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JM" w:eastAsia="en-JM"/>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EA31FE" w:rsidRDefault="00AE5B6F" w:rsidP="00B04033">
      <w:pPr>
        <w:pStyle w:val="ListParagraph"/>
        <w:numPr>
          <w:ilvl w:val="0"/>
          <w:numId w:val="1"/>
        </w:numPr>
        <w:ind w:left="426"/>
        <w:jc w:val="both"/>
        <w:rPr>
          <w:rFonts w:ascii="Avenir Next" w:hAnsi="Avenir Next" w:cs="Arial"/>
          <w:sz w:val="22"/>
          <w:szCs w:val="22"/>
          <w:highlight w:val="yellow"/>
          <w:lang w:val="en-GB"/>
        </w:rPr>
      </w:pPr>
      <w:r w:rsidRPr="00EA31FE">
        <w:rPr>
          <w:rFonts w:ascii="Avenir Next" w:hAnsi="Avenir Next" w:cs="Arial"/>
          <w:sz w:val="22"/>
          <w:szCs w:val="22"/>
          <w:highlight w:val="yellow"/>
          <w:lang w:val="en-GB"/>
        </w:rPr>
        <w:t>w</w:t>
      </w:r>
      <w:r w:rsidR="00C91062" w:rsidRPr="00EA31FE">
        <w:rPr>
          <w:rFonts w:ascii="Avenir Next" w:hAnsi="Avenir Next" w:cs="Arial"/>
          <w:sz w:val="22"/>
          <w:szCs w:val="22"/>
          <w:highlight w:val="yellow"/>
          <w:lang w:val="en-GB"/>
        </w:rPr>
        <w:t xml:space="preserve">ithin </w:t>
      </w:r>
      <w:r w:rsidR="00733A34" w:rsidRPr="00EA31FE">
        <w:rPr>
          <w:rFonts w:ascii="Avenir Next" w:hAnsi="Avenir Next" w:cs="Arial"/>
          <w:sz w:val="22"/>
          <w:szCs w:val="22"/>
          <w:highlight w:val="yellow"/>
          <w:lang w:val="en-GB"/>
        </w:rPr>
        <w:t>eight</w:t>
      </w:r>
      <w:r w:rsidR="00C91062" w:rsidRPr="00EA31FE">
        <w:rPr>
          <w:rFonts w:ascii="Avenir Next" w:hAnsi="Avenir Next" w:cs="Arial"/>
          <w:sz w:val="22"/>
          <w:szCs w:val="22"/>
          <w:highlight w:val="yellow"/>
          <w:lang w:val="en-GB"/>
        </w:rPr>
        <w:t xml:space="preserve"> weeks of the commencement of the administration</w:t>
      </w:r>
      <w:r w:rsidR="00763348" w:rsidRPr="00EA31F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EA31FE" w:rsidRDefault="00E443D7" w:rsidP="00C55824">
      <w:pPr>
        <w:pStyle w:val="ListParagraph"/>
        <w:numPr>
          <w:ilvl w:val="0"/>
          <w:numId w:val="2"/>
        </w:numPr>
        <w:ind w:left="426"/>
        <w:jc w:val="both"/>
        <w:rPr>
          <w:rFonts w:ascii="Avenir Next" w:hAnsi="Avenir Next" w:cs="Arial"/>
          <w:sz w:val="22"/>
          <w:szCs w:val="22"/>
          <w:highlight w:val="yellow"/>
          <w:lang w:val="en-GB"/>
        </w:rPr>
      </w:pPr>
      <w:r w:rsidRPr="00EA31FE">
        <w:rPr>
          <w:rFonts w:ascii="Avenir Next" w:hAnsi="Avenir Next" w:cs="Arial"/>
          <w:sz w:val="22"/>
          <w:szCs w:val="22"/>
          <w:highlight w:val="yellow"/>
          <w:lang w:val="en-GB"/>
        </w:rPr>
        <w:t>One year</w:t>
      </w:r>
      <w:r w:rsidR="00763348" w:rsidRPr="00EA31FE">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EA31FE" w:rsidRDefault="00AE5B6F" w:rsidP="00B04033">
      <w:pPr>
        <w:pStyle w:val="ListParagraph"/>
        <w:numPr>
          <w:ilvl w:val="0"/>
          <w:numId w:val="3"/>
        </w:numPr>
        <w:ind w:left="426"/>
        <w:jc w:val="both"/>
        <w:rPr>
          <w:rFonts w:ascii="Avenir Next" w:hAnsi="Avenir Next" w:cs="Arial"/>
          <w:sz w:val="22"/>
          <w:szCs w:val="22"/>
          <w:highlight w:val="yellow"/>
          <w:lang w:val="en-GB"/>
        </w:rPr>
      </w:pPr>
      <w:r w:rsidRPr="00EA31FE">
        <w:rPr>
          <w:rFonts w:ascii="Avenir Next" w:hAnsi="Avenir Next" w:cs="Arial"/>
          <w:sz w:val="22"/>
          <w:szCs w:val="22"/>
          <w:highlight w:val="yellow"/>
          <w:lang w:val="en-GB"/>
        </w:rPr>
        <w:t>T</w:t>
      </w:r>
      <w:r w:rsidR="008D1616" w:rsidRPr="00EA31FE">
        <w:rPr>
          <w:rFonts w:ascii="Avenir Next" w:hAnsi="Avenir Next" w:cs="Arial"/>
          <w:sz w:val="22"/>
          <w:szCs w:val="22"/>
          <w:highlight w:val="yellow"/>
          <w:lang w:val="en-GB"/>
        </w:rPr>
        <w:t>he company is, or is likely to become, unable to pay their debts, as defined under s</w:t>
      </w:r>
      <w:r w:rsidR="00E833F4" w:rsidRPr="00EA31FE">
        <w:rPr>
          <w:rFonts w:ascii="Avenir Next" w:hAnsi="Avenir Next" w:cs="Arial"/>
          <w:sz w:val="22"/>
          <w:szCs w:val="22"/>
          <w:highlight w:val="yellow"/>
          <w:lang w:val="en-GB"/>
        </w:rPr>
        <w:t>ection</w:t>
      </w:r>
      <w:r w:rsidR="008D1616" w:rsidRPr="00EA31FE">
        <w:rPr>
          <w:rFonts w:ascii="Avenir Next" w:hAnsi="Avenir Next" w:cs="Arial"/>
          <w:sz w:val="22"/>
          <w:szCs w:val="22"/>
          <w:highlight w:val="yellow"/>
          <w:lang w:val="en-GB"/>
        </w:rPr>
        <w:t xml:space="preserve"> 123 of the Insolvency Act 1986</w:t>
      </w:r>
      <w:r w:rsidR="00763348" w:rsidRPr="00EA31F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24134B" w:rsidRDefault="00C91062" w:rsidP="00B04033">
      <w:pPr>
        <w:pStyle w:val="ListParagraph"/>
        <w:numPr>
          <w:ilvl w:val="0"/>
          <w:numId w:val="4"/>
        </w:numPr>
        <w:ind w:left="426"/>
        <w:jc w:val="both"/>
        <w:rPr>
          <w:rFonts w:ascii="Avenir Next" w:hAnsi="Avenir Next" w:cs="Arial"/>
          <w:sz w:val="22"/>
          <w:szCs w:val="22"/>
          <w:highlight w:val="yellow"/>
          <w:lang w:val="en-GB"/>
        </w:rPr>
      </w:pPr>
      <w:r w:rsidRPr="0024134B">
        <w:rPr>
          <w:rFonts w:ascii="Avenir Next" w:hAnsi="Avenir Next" w:cs="Arial"/>
          <w:sz w:val="22"/>
          <w:szCs w:val="22"/>
          <w:highlight w:val="yellow"/>
          <w:lang w:val="en-GB"/>
        </w:rPr>
        <w:t>The purchaser</w:t>
      </w:r>
      <w:r w:rsidR="00763348" w:rsidRPr="0024134B">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24134B" w:rsidRDefault="113B42BF" w:rsidP="113B42BF">
      <w:pPr>
        <w:pStyle w:val="ListParagraph"/>
        <w:numPr>
          <w:ilvl w:val="0"/>
          <w:numId w:val="5"/>
        </w:numPr>
        <w:ind w:left="426"/>
        <w:jc w:val="both"/>
        <w:rPr>
          <w:rFonts w:ascii="Avenir Next" w:hAnsi="Avenir Next" w:cs="Arial"/>
          <w:sz w:val="22"/>
          <w:szCs w:val="22"/>
          <w:highlight w:val="yellow"/>
          <w:lang w:val="en-GB"/>
        </w:rPr>
      </w:pPr>
      <w:r w:rsidRPr="113B42BF">
        <w:rPr>
          <w:rFonts w:ascii="Avenir Next" w:hAnsi="Avenir Next" w:cs="Arial"/>
          <w:sz w:val="22"/>
          <w:szCs w:val="22"/>
          <w:highlight w:val="yellow"/>
          <w:lang w:val="en-GB"/>
        </w:rPr>
        <w:t>Administration.</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3D2408" w:rsidRDefault="00221444" w:rsidP="00221444">
      <w:pPr>
        <w:pStyle w:val="ListParagraph"/>
        <w:numPr>
          <w:ilvl w:val="0"/>
          <w:numId w:val="6"/>
        </w:numPr>
        <w:ind w:left="426"/>
        <w:jc w:val="both"/>
        <w:rPr>
          <w:rFonts w:ascii="Avenir Next" w:hAnsi="Avenir Next" w:cs="Arial"/>
          <w:sz w:val="22"/>
          <w:szCs w:val="22"/>
          <w:highlight w:val="yellow"/>
          <w:lang w:val="en-GB"/>
        </w:rPr>
      </w:pPr>
      <w:r w:rsidRPr="003D2408">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990E96" w:rsidRDefault="00BA1CFD" w:rsidP="00B04033">
      <w:pPr>
        <w:pStyle w:val="ListParagraph"/>
        <w:numPr>
          <w:ilvl w:val="0"/>
          <w:numId w:val="7"/>
        </w:numPr>
        <w:ind w:left="426"/>
        <w:jc w:val="both"/>
        <w:rPr>
          <w:rFonts w:ascii="Avenir Next" w:hAnsi="Avenir Next" w:cs="Arial"/>
          <w:sz w:val="22"/>
          <w:szCs w:val="22"/>
          <w:highlight w:val="yellow"/>
          <w:lang w:val="en-GB"/>
        </w:rPr>
      </w:pPr>
      <w:r w:rsidRPr="00990E96">
        <w:rPr>
          <w:rFonts w:ascii="Avenir Next" w:hAnsi="Avenir Next" w:cs="Arial"/>
          <w:sz w:val="22"/>
          <w:szCs w:val="22"/>
          <w:highlight w:val="yellow"/>
          <w:lang w:val="en-GB"/>
        </w:rPr>
        <w:t>Being found guilty of an indictable offence overseas</w:t>
      </w:r>
      <w:r w:rsidR="00763348" w:rsidRPr="00990E96">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A46B1" w:rsidRDefault="00450393" w:rsidP="00450393">
      <w:pPr>
        <w:pStyle w:val="ListParagraph"/>
        <w:numPr>
          <w:ilvl w:val="0"/>
          <w:numId w:val="8"/>
        </w:numPr>
        <w:ind w:left="426"/>
        <w:jc w:val="both"/>
        <w:rPr>
          <w:rFonts w:ascii="Avenir Next" w:hAnsi="Avenir Next" w:cs="Arial"/>
          <w:sz w:val="22"/>
          <w:szCs w:val="22"/>
          <w:highlight w:val="yellow"/>
          <w:lang w:val="en-GB"/>
        </w:rPr>
      </w:pPr>
      <w:r w:rsidRPr="00AA46B1">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AA46B1" w:rsidRDefault="00E833F4" w:rsidP="00B04033">
      <w:pPr>
        <w:pStyle w:val="ListParagraph"/>
        <w:numPr>
          <w:ilvl w:val="0"/>
          <w:numId w:val="9"/>
        </w:numPr>
        <w:ind w:left="426"/>
        <w:jc w:val="both"/>
        <w:rPr>
          <w:rFonts w:ascii="Avenir Next" w:hAnsi="Avenir Next" w:cs="Arial"/>
          <w:sz w:val="22"/>
          <w:szCs w:val="22"/>
          <w:highlight w:val="yellow"/>
          <w:lang w:val="en-GB"/>
        </w:rPr>
      </w:pPr>
      <w:r w:rsidRPr="00AA46B1">
        <w:rPr>
          <w:rFonts w:ascii="Avenir Next" w:hAnsi="Avenir Next" w:cs="Arial"/>
          <w:sz w:val="22"/>
          <w:szCs w:val="22"/>
          <w:highlight w:val="yellow"/>
          <w:lang w:val="en-GB"/>
        </w:rPr>
        <w:t>A</w:t>
      </w:r>
      <w:r w:rsidR="000D10C6" w:rsidRPr="00AA46B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47609778"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r w:rsidR="00AA46B1">
        <w:rPr>
          <w:rFonts w:ascii="Avenir Next" w:hAnsi="Avenir Next" w:cs="Arial"/>
          <w:sz w:val="22"/>
          <w:szCs w:val="22"/>
          <w:lang w:val="en-GB"/>
        </w:rPr>
        <w:t>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A46B1" w:rsidRDefault="000D4CFA" w:rsidP="004C7A8F">
      <w:pPr>
        <w:pStyle w:val="ListParagraph"/>
        <w:numPr>
          <w:ilvl w:val="0"/>
          <w:numId w:val="10"/>
        </w:numPr>
        <w:ind w:left="426"/>
        <w:jc w:val="both"/>
        <w:rPr>
          <w:rFonts w:ascii="Avenir Next" w:hAnsi="Avenir Next" w:cs="Arial"/>
          <w:sz w:val="22"/>
          <w:szCs w:val="22"/>
          <w:highlight w:val="yellow"/>
          <w:lang w:val="en-GB"/>
        </w:rPr>
      </w:pPr>
      <w:r w:rsidRPr="00AA46B1">
        <w:rPr>
          <w:rFonts w:ascii="Avenir Next" w:hAnsi="Avenir Next" w:cs="Arial"/>
          <w:sz w:val="22"/>
          <w:szCs w:val="22"/>
          <w:highlight w:val="yellow"/>
          <w:lang w:val="en-GB"/>
        </w:rPr>
        <w:t>Twelve</w:t>
      </w:r>
      <w:r w:rsidR="004C7A8F" w:rsidRPr="00AA46B1">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113B42BF" w:rsidP="00774AD3">
      <w:pPr>
        <w:jc w:val="both"/>
        <w:rPr>
          <w:rFonts w:ascii="Avenir Next" w:hAnsi="Avenir Next" w:cs="Arial"/>
          <w:sz w:val="22"/>
          <w:szCs w:val="22"/>
          <w:lang w:val="en-GB"/>
        </w:rPr>
      </w:pPr>
      <w:r w:rsidRPr="113B42BF">
        <w:rPr>
          <w:rFonts w:ascii="Avenir Next" w:hAnsi="Avenir Next" w:cs="Arial"/>
          <w:sz w:val="22"/>
          <w:szCs w:val="22"/>
          <w:lang w:val="en-GB"/>
        </w:rPr>
        <w:lastRenderedPageBreak/>
        <w:t>Who may bring an action under: (i) section 245 of the Insolvency Act 1986, (ii) section 6 of the Company Directors Disqualification Act 1986, (iii) section 246ZB of the Insolvency Act 1986, and (iv) section 127 of the Insolvency Act 1986?</w:t>
      </w:r>
    </w:p>
    <w:p w14:paraId="6298A19E" w14:textId="040728BE" w:rsidR="113B42BF" w:rsidRDefault="113B42BF" w:rsidP="113B42BF">
      <w:pPr>
        <w:jc w:val="both"/>
        <w:rPr>
          <w:rFonts w:ascii="Avenir Next" w:hAnsi="Avenir Next" w:cs="Arial"/>
          <w:sz w:val="22"/>
          <w:szCs w:val="22"/>
          <w:lang w:val="en-GB"/>
        </w:rPr>
      </w:pPr>
    </w:p>
    <w:p w14:paraId="3BBFAC96" w14:textId="77777777" w:rsidR="0020090A" w:rsidRPr="001B3679" w:rsidRDefault="0020090A" w:rsidP="002A37BB">
      <w:pPr>
        <w:ind w:left="720" w:hanging="720"/>
        <w:jc w:val="both"/>
        <w:rPr>
          <w:rFonts w:ascii="Avenir Next" w:hAnsi="Avenir Next" w:cs="Arial"/>
          <w:color w:val="FF0000"/>
          <w:sz w:val="22"/>
          <w:szCs w:val="22"/>
          <w:lang w:val="en-GB"/>
        </w:rPr>
      </w:pPr>
    </w:p>
    <w:p w14:paraId="22C610C9" w14:textId="17818E79" w:rsidR="00DE03AF" w:rsidRPr="00484784" w:rsidRDefault="113B42BF" w:rsidP="113B42BF">
      <w:pPr>
        <w:pStyle w:val="ListParagraph"/>
        <w:numPr>
          <w:ilvl w:val="0"/>
          <w:numId w:val="18"/>
        </w:numPr>
        <w:jc w:val="both"/>
        <w:rPr>
          <w:rFonts w:ascii="Arial" w:hAnsi="Arial" w:cs="Arial"/>
          <w:sz w:val="22"/>
          <w:szCs w:val="22"/>
          <w:lang w:val="en-GB"/>
        </w:rPr>
      </w:pPr>
      <w:r w:rsidRPr="113B42BF">
        <w:rPr>
          <w:rFonts w:ascii="Arial" w:hAnsi="Arial" w:cs="Arial"/>
          <w:sz w:val="22"/>
          <w:szCs w:val="22"/>
          <w:lang w:val="en-GB"/>
        </w:rPr>
        <w:t>A liquidator or administrator may bring an action under section 245 of the Insolvency Act 1986.</w:t>
      </w:r>
    </w:p>
    <w:p w14:paraId="617C93A6" w14:textId="77777777" w:rsidR="00954C85" w:rsidRPr="00484784" w:rsidRDefault="00954C85" w:rsidP="113B42BF">
      <w:pPr>
        <w:pStyle w:val="ListParagraph"/>
        <w:ind w:left="1080"/>
        <w:jc w:val="both"/>
        <w:rPr>
          <w:rFonts w:ascii="Arial" w:hAnsi="Arial" w:cs="Arial"/>
          <w:sz w:val="22"/>
          <w:szCs w:val="22"/>
          <w:lang w:val="en-GB"/>
        </w:rPr>
      </w:pPr>
    </w:p>
    <w:p w14:paraId="730D39F9" w14:textId="1E96BA9B" w:rsidR="00990E96" w:rsidRPr="00484784" w:rsidRDefault="113B42BF" w:rsidP="113B42BF">
      <w:pPr>
        <w:pStyle w:val="ListParagraph"/>
        <w:numPr>
          <w:ilvl w:val="0"/>
          <w:numId w:val="18"/>
        </w:numPr>
        <w:jc w:val="both"/>
        <w:rPr>
          <w:rFonts w:ascii="Arial" w:hAnsi="Arial" w:cs="Arial"/>
          <w:sz w:val="22"/>
          <w:szCs w:val="22"/>
          <w:lang w:val="en-GB"/>
        </w:rPr>
      </w:pPr>
      <w:r w:rsidRPr="113B42BF">
        <w:rPr>
          <w:rFonts w:ascii="Arial" w:hAnsi="Arial" w:cs="Arial"/>
          <w:sz w:val="22"/>
          <w:szCs w:val="22"/>
          <w:lang w:val="en-GB"/>
        </w:rPr>
        <w:t>The Secretary of State or the Official Receiver being instructed by the Secretary of State may bring an action under section 6 of the Company Directors Disqualification Act 1986.</w:t>
      </w:r>
    </w:p>
    <w:p w14:paraId="0A414910" w14:textId="77777777" w:rsidR="00954C85" w:rsidRPr="00484784" w:rsidRDefault="00954C85" w:rsidP="113B42BF">
      <w:pPr>
        <w:jc w:val="both"/>
        <w:rPr>
          <w:rFonts w:ascii="Arial" w:hAnsi="Arial" w:cs="Arial"/>
          <w:sz w:val="22"/>
          <w:szCs w:val="22"/>
          <w:lang w:val="en-GB"/>
        </w:rPr>
      </w:pPr>
    </w:p>
    <w:p w14:paraId="477E283F" w14:textId="11520A08" w:rsidR="001B3679" w:rsidRPr="00484784" w:rsidRDefault="113B42BF" w:rsidP="113B42BF">
      <w:pPr>
        <w:pStyle w:val="ListParagraph"/>
        <w:numPr>
          <w:ilvl w:val="0"/>
          <w:numId w:val="18"/>
        </w:numPr>
        <w:jc w:val="both"/>
        <w:rPr>
          <w:rFonts w:ascii="Arial" w:hAnsi="Arial" w:cs="Arial"/>
          <w:sz w:val="22"/>
          <w:szCs w:val="22"/>
          <w:lang w:val="en-GB"/>
        </w:rPr>
      </w:pPr>
      <w:r w:rsidRPr="113B42BF">
        <w:rPr>
          <w:rFonts w:ascii="Arial" w:hAnsi="Arial" w:cs="Arial"/>
          <w:sz w:val="22"/>
          <w:szCs w:val="22"/>
          <w:lang w:val="en-GB"/>
        </w:rPr>
        <w:t>The liquidator or administrator may bring an action under section 246ZB of the Insolvency Act 1986.</w:t>
      </w:r>
    </w:p>
    <w:p w14:paraId="4DADF462" w14:textId="77777777" w:rsidR="005945FE" w:rsidRPr="00484784" w:rsidRDefault="005945FE" w:rsidP="113B42BF">
      <w:pPr>
        <w:pStyle w:val="ListParagraph"/>
        <w:rPr>
          <w:rFonts w:ascii="Arial" w:hAnsi="Arial" w:cs="Arial"/>
          <w:sz w:val="22"/>
          <w:szCs w:val="22"/>
          <w:lang w:val="en-GB"/>
        </w:rPr>
      </w:pPr>
    </w:p>
    <w:p w14:paraId="1AAFDB12" w14:textId="65E80699" w:rsidR="001B3679" w:rsidRPr="00484784" w:rsidRDefault="113B42BF" w:rsidP="113B42BF">
      <w:pPr>
        <w:pStyle w:val="ListParagraph"/>
        <w:numPr>
          <w:ilvl w:val="0"/>
          <w:numId w:val="18"/>
        </w:numPr>
        <w:jc w:val="both"/>
        <w:rPr>
          <w:rFonts w:ascii="Arial" w:hAnsi="Arial" w:cs="Arial"/>
          <w:sz w:val="22"/>
          <w:szCs w:val="22"/>
          <w:lang w:val="en-GB"/>
        </w:rPr>
      </w:pPr>
      <w:r w:rsidRPr="113B42BF">
        <w:rPr>
          <w:rFonts w:ascii="Arial" w:hAnsi="Arial" w:cs="Arial"/>
          <w:sz w:val="22"/>
          <w:szCs w:val="22"/>
          <w:lang w:val="en-GB"/>
        </w:rPr>
        <w:t>The liquidator may bring an action under section 127 of the Insolvency Act 1986.</w:t>
      </w:r>
    </w:p>
    <w:p w14:paraId="055B8058" w14:textId="77777777" w:rsidR="005945FE" w:rsidRPr="005945FE" w:rsidRDefault="005945FE" w:rsidP="005945FE">
      <w:pPr>
        <w:pStyle w:val="ListParagraph"/>
        <w:rPr>
          <w:rFonts w:ascii="Avenir Next" w:hAnsi="Avenir Next" w:cs="Arial"/>
          <w:color w:val="FF0000"/>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C3E2A8B" w:rsidR="00197F24" w:rsidRDefault="113B42BF" w:rsidP="113B42BF">
      <w:pPr>
        <w:jc w:val="both"/>
        <w:rPr>
          <w:rFonts w:ascii="Arial" w:hAnsi="Arial" w:cs="Arial"/>
          <w:sz w:val="22"/>
          <w:szCs w:val="22"/>
          <w:lang w:val="en-GB"/>
        </w:rPr>
      </w:pPr>
      <w:r w:rsidRPr="113B42BF">
        <w:rPr>
          <w:rFonts w:ascii="Arial" w:hAnsi="Arial" w:cs="Arial"/>
          <w:sz w:val="22"/>
          <w:szCs w:val="22"/>
          <w:lang w:val="en-GB"/>
        </w:rPr>
        <w:t xml:space="preserve">The payment holiday under Part A1 of the </w:t>
      </w:r>
      <w:bookmarkStart w:id="0" w:name="_Hlk160087346"/>
      <w:r w:rsidRPr="113B42BF">
        <w:rPr>
          <w:rFonts w:ascii="Arial" w:hAnsi="Arial" w:cs="Arial"/>
          <w:sz w:val="22"/>
          <w:szCs w:val="22"/>
          <w:lang w:val="en-GB"/>
        </w:rPr>
        <w:t xml:space="preserve">Insolvency Act 1986 (the Act) </w:t>
      </w:r>
      <w:bookmarkEnd w:id="0"/>
      <w:r w:rsidRPr="113B42BF">
        <w:rPr>
          <w:rFonts w:ascii="Arial" w:hAnsi="Arial" w:cs="Arial"/>
          <w:sz w:val="22"/>
          <w:szCs w:val="22"/>
          <w:lang w:val="en-GB"/>
        </w:rPr>
        <w:t>applies only to debts prior to the moratorium i.e. debts which became due at that time or obligations which were formed at that time but become due during the moratorium period. However, pursuant to Section A18 of the Act, the moratorium does not apply to these debts:</w:t>
      </w:r>
    </w:p>
    <w:p w14:paraId="7D73FFAF" w14:textId="77777777" w:rsidR="00835FCC" w:rsidRDefault="00835FCC" w:rsidP="113B42BF">
      <w:pPr>
        <w:jc w:val="both"/>
        <w:rPr>
          <w:rFonts w:ascii="Arial" w:hAnsi="Arial" w:cs="Arial"/>
          <w:sz w:val="22"/>
          <w:szCs w:val="22"/>
          <w:lang w:val="en-GB"/>
        </w:rPr>
      </w:pPr>
    </w:p>
    <w:p w14:paraId="322C32C6" w14:textId="77777777" w:rsidR="00E26633" w:rsidRDefault="113B42BF" w:rsidP="113B42BF">
      <w:pPr>
        <w:pStyle w:val="ListParagraph"/>
        <w:numPr>
          <w:ilvl w:val="0"/>
          <w:numId w:val="19"/>
        </w:numPr>
        <w:jc w:val="both"/>
        <w:rPr>
          <w:rFonts w:ascii="Arial" w:hAnsi="Arial" w:cs="Arial"/>
          <w:sz w:val="22"/>
          <w:szCs w:val="22"/>
          <w:lang w:val="en-GB"/>
        </w:rPr>
      </w:pPr>
      <w:r w:rsidRPr="113B42BF">
        <w:rPr>
          <w:rFonts w:ascii="Arial" w:hAnsi="Arial" w:cs="Arial"/>
          <w:sz w:val="22"/>
          <w:szCs w:val="22"/>
          <w:lang w:val="en-GB"/>
        </w:rPr>
        <w:t>wages or salary arising under a contract of employment;</w:t>
      </w:r>
    </w:p>
    <w:p w14:paraId="34FDF333" w14:textId="77777777" w:rsidR="00730364" w:rsidRDefault="113B42BF" w:rsidP="113B42BF">
      <w:pPr>
        <w:pStyle w:val="ListParagraph"/>
        <w:numPr>
          <w:ilvl w:val="0"/>
          <w:numId w:val="19"/>
        </w:numPr>
        <w:jc w:val="both"/>
        <w:rPr>
          <w:rFonts w:ascii="Arial" w:hAnsi="Arial" w:cs="Arial"/>
          <w:sz w:val="22"/>
          <w:szCs w:val="22"/>
          <w:lang w:val="en-GB"/>
        </w:rPr>
      </w:pPr>
      <w:r w:rsidRPr="113B42BF">
        <w:rPr>
          <w:rFonts w:ascii="Arial" w:hAnsi="Arial" w:cs="Arial"/>
          <w:sz w:val="22"/>
          <w:szCs w:val="22"/>
          <w:lang w:val="en-GB"/>
        </w:rPr>
        <w:t>redundancy payments;</w:t>
      </w:r>
    </w:p>
    <w:p w14:paraId="2DAE31A4" w14:textId="77777777" w:rsidR="00730364" w:rsidRPr="00730364" w:rsidRDefault="113B42BF" w:rsidP="113B42BF">
      <w:pPr>
        <w:pStyle w:val="ListParagraph"/>
        <w:numPr>
          <w:ilvl w:val="0"/>
          <w:numId w:val="19"/>
        </w:numPr>
        <w:jc w:val="both"/>
        <w:rPr>
          <w:rFonts w:ascii="Arial" w:hAnsi="Arial" w:cs="Arial"/>
          <w:sz w:val="22"/>
          <w:szCs w:val="22"/>
          <w:lang w:val="en-GB"/>
        </w:rPr>
      </w:pPr>
      <w:r w:rsidRPr="113B42BF">
        <w:rPr>
          <w:rFonts w:ascii="Arial" w:hAnsi="Arial" w:cs="Arial"/>
          <w:sz w:val="22"/>
          <w:szCs w:val="22"/>
        </w:rPr>
        <w:t>debts or other liabilities arising under a contract or other instrument involving financial services;</w:t>
      </w:r>
    </w:p>
    <w:p w14:paraId="2D08E921" w14:textId="76347C67" w:rsidR="00835FCC" w:rsidRPr="00E40192" w:rsidRDefault="113B42BF" w:rsidP="113B42BF">
      <w:pPr>
        <w:pStyle w:val="ListParagraph"/>
        <w:numPr>
          <w:ilvl w:val="0"/>
          <w:numId w:val="19"/>
        </w:numPr>
        <w:jc w:val="both"/>
        <w:rPr>
          <w:rFonts w:ascii="Arial" w:hAnsi="Arial" w:cs="Arial"/>
          <w:sz w:val="22"/>
          <w:szCs w:val="22"/>
          <w:lang w:val="en-GB"/>
        </w:rPr>
      </w:pPr>
      <w:r w:rsidRPr="113B42BF">
        <w:rPr>
          <w:rFonts w:ascii="Arial" w:hAnsi="Arial" w:cs="Arial"/>
          <w:sz w:val="22"/>
          <w:szCs w:val="22"/>
        </w:rPr>
        <w:t>the monitor’s remuneration or expenses; and</w:t>
      </w:r>
    </w:p>
    <w:p w14:paraId="3E86822A" w14:textId="5319137C" w:rsidR="00E40192" w:rsidRPr="00E40192" w:rsidRDefault="00E40192" w:rsidP="113B42BF">
      <w:pPr>
        <w:pStyle w:val="ListParagraph"/>
        <w:numPr>
          <w:ilvl w:val="0"/>
          <w:numId w:val="19"/>
        </w:numPr>
        <w:jc w:val="both"/>
        <w:rPr>
          <w:rFonts w:ascii="Arial" w:hAnsi="Arial" w:cs="Arial"/>
          <w:sz w:val="22"/>
          <w:szCs w:val="22"/>
          <w:lang w:val="en-GB"/>
        </w:rPr>
      </w:pPr>
      <w:r w:rsidRPr="113B42BF">
        <w:rPr>
          <w:rFonts w:ascii="Arial" w:hAnsi="Arial" w:cs="Arial"/>
          <w:sz w:val="22"/>
          <w:szCs w:val="22"/>
          <w:shd w:val="clear" w:color="auto" w:fill="FFFFFF"/>
        </w:rPr>
        <w:t>rent in respect of a period during the moratorium.</w:t>
      </w:r>
    </w:p>
    <w:p w14:paraId="572227E7" w14:textId="10041403" w:rsidR="0045683E" w:rsidRDefault="0045683E" w:rsidP="002A37BB">
      <w:pPr>
        <w:jc w:val="both"/>
        <w:rPr>
          <w:rFonts w:ascii="Avenir Next" w:hAnsi="Avenir Next" w:cs="Arial"/>
          <w:bCs/>
          <w:sz w:val="22"/>
          <w:szCs w:val="22"/>
          <w:lang w:val="en-GB"/>
        </w:rPr>
      </w:pPr>
    </w:p>
    <w:p w14:paraId="4855EDEB" w14:textId="77777777" w:rsidR="00E40192" w:rsidRPr="006925C1" w:rsidRDefault="00E40192"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 xml:space="preserve">Can an administrator who wishes to continue to operate the business of the company in administration </w:t>
      </w:r>
      <w:bookmarkStart w:id="1" w:name="_Hlk160087178"/>
      <w:r w:rsidRPr="006925C1">
        <w:rPr>
          <w:rFonts w:ascii="Avenir Next" w:hAnsi="Avenir Next" w:cs="Arial"/>
          <w:sz w:val="22"/>
          <w:szCs w:val="22"/>
          <w:lang w:val="en-GB"/>
        </w:rPr>
        <w:t>require suppliers of goods and services to continue to supply those goods and services during the administration</w:t>
      </w:r>
      <w:bookmarkEnd w:id="1"/>
      <w:r w:rsidRPr="006925C1">
        <w:rPr>
          <w:rFonts w:ascii="Avenir Next" w:hAnsi="Avenir Next" w:cs="Arial"/>
          <w:sz w:val="22"/>
          <w:szCs w:val="22"/>
          <w:lang w:val="en-GB"/>
        </w:rPr>
        <w:t>?</w:t>
      </w:r>
    </w:p>
    <w:p w14:paraId="2E92BE25" w14:textId="1423A99B" w:rsidR="00197F24" w:rsidRDefault="00197F24" w:rsidP="00197F24">
      <w:pPr>
        <w:jc w:val="both"/>
        <w:rPr>
          <w:rFonts w:ascii="Avenir Next" w:hAnsi="Avenir Next" w:cs="Arial"/>
          <w:color w:val="7B7B7B" w:themeColor="accent3" w:themeShade="BF"/>
          <w:sz w:val="22"/>
          <w:szCs w:val="22"/>
          <w:lang w:val="en-GB"/>
        </w:rPr>
      </w:pPr>
    </w:p>
    <w:p w14:paraId="44B9D490" w14:textId="28BD056F" w:rsidR="0089197E" w:rsidRDefault="113B42BF" w:rsidP="113B42BF">
      <w:pPr>
        <w:jc w:val="both"/>
        <w:rPr>
          <w:rFonts w:ascii="Arial" w:eastAsia="Arial" w:hAnsi="Arial" w:cs="Arial"/>
          <w:sz w:val="22"/>
          <w:szCs w:val="22"/>
          <w:lang w:val="en-GB"/>
        </w:rPr>
      </w:pPr>
      <w:r w:rsidRPr="113B42BF">
        <w:rPr>
          <w:rFonts w:ascii="Arial" w:eastAsia="Arial" w:hAnsi="Arial" w:cs="Arial"/>
          <w:sz w:val="22"/>
          <w:szCs w:val="22"/>
          <w:lang w:val="en-GB"/>
        </w:rPr>
        <w:t xml:space="preserve">Yes, an administrator who wishes to continue to operate the business of a company in administration can require suppliers of goods and services to continue to supply those goods and services during the administration. The operation of a business necessitates the acquisition and use of goods and services such as water, electricity, a phone, POS terminals, computers etc. to produce/deliver the finished product (whatever it may be) for its consumers – this does not change because a company is in administration. The administrator in carrying on the operation of the business of the company may require the said goods and services and Sections 233, 23A and 233B of Insolvency Act 1986 (the Act) contemplate a situation such as this. </w:t>
      </w:r>
    </w:p>
    <w:p w14:paraId="67DE9B6E" w14:textId="77777777" w:rsidR="00B73932" w:rsidRDefault="00B73932" w:rsidP="113B42BF">
      <w:pPr>
        <w:jc w:val="both"/>
        <w:rPr>
          <w:rFonts w:ascii="Arial" w:eastAsia="Arial" w:hAnsi="Arial" w:cs="Arial"/>
          <w:sz w:val="22"/>
          <w:szCs w:val="22"/>
          <w:lang w:val="en-GB"/>
        </w:rPr>
      </w:pPr>
    </w:p>
    <w:p w14:paraId="2B53E70A" w14:textId="3A8C4D05" w:rsidR="0068543A" w:rsidRDefault="113B42BF" w:rsidP="113B42BF">
      <w:pPr>
        <w:jc w:val="both"/>
        <w:rPr>
          <w:rFonts w:ascii="Arial" w:eastAsia="Arial" w:hAnsi="Arial" w:cs="Arial"/>
          <w:sz w:val="22"/>
          <w:szCs w:val="22"/>
        </w:rPr>
      </w:pPr>
      <w:r w:rsidRPr="113B42BF">
        <w:rPr>
          <w:rFonts w:ascii="Arial" w:eastAsia="Arial" w:hAnsi="Arial" w:cs="Arial"/>
          <w:sz w:val="22"/>
          <w:szCs w:val="22"/>
          <w:lang w:val="en-GB"/>
        </w:rPr>
        <w:lastRenderedPageBreak/>
        <w:t xml:space="preserve">By virtue of Section 233 of the Insolvency Act 1986 (the Act), the administrator is offered certain protection if he requires the continued supply of goods and services in that the section provides that suppliers </w:t>
      </w:r>
      <w:r w:rsidRPr="113B42BF">
        <w:rPr>
          <w:rFonts w:ascii="Arial" w:eastAsia="Arial" w:hAnsi="Arial" w:cs="Arial"/>
          <w:sz w:val="22"/>
          <w:szCs w:val="22"/>
        </w:rPr>
        <w:t>cannot require that payment be made for any outstanding charges in respect of a supply given to the company prior to the administration, in exchange for the resumption of the supply. It does, however, allow the supplier to request that the administrator personally guarantees the charges for the supply in the current period. This section applies to gas, water, electricity, and communication services.</w:t>
      </w:r>
    </w:p>
    <w:p w14:paraId="76E6773F" w14:textId="77777777" w:rsidR="00541A45" w:rsidRDefault="00541A45" w:rsidP="113B42BF">
      <w:pPr>
        <w:jc w:val="both"/>
        <w:rPr>
          <w:rFonts w:ascii="Arial" w:eastAsia="Arial" w:hAnsi="Arial" w:cs="Arial"/>
          <w:sz w:val="22"/>
          <w:szCs w:val="22"/>
        </w:rPr>
      </w:pPr>
    </w:p>
    <w:p w14:paraId="0D61E76C" w14:textId="08700E25" w:rsidR="00541A45" w:rsidRDefault="113B42BF" w:rsidP="113B42BF">
      <w:pPr>
        <w:jc w:val="both"/>
        <w:rPr>
          <w:rFonts w:ascii="Arial" w:eastAsia="Arial" w:hAnsi="Arial" w:cs="Arial"/>
          <w:sz w:val="22"/>
          <w:szCs w:val="22"/>
          <w:lang w:val="en-GB"/>
        </w:rPr>
      </w:pPr>
      <w:r w:rsidRPr="113B42BF">
        <w:rPr>
          <w:rFonts w:ascii="Arial" w:eastAsia="Arial" w:hAnsi="Arial" w:cs="Arial"/>
          <w:sz w:val="22"/>
          <w:szCs w:val="22"/>
        </w:rPr>
        <w:t xml:space="preserve">Section 233A offers further protection for essential supplies. Subsection 1 provides for an “insolvency-related term” of a contract for the provision of essential supplies to a company is void if that company enters administration or an approved voluntary arrangement under Part 1 takes effect. Such term is one that under normal circumstances would allow the supplier to terminate the contract and the supply due to the company entering one of the said insolvency procedures. </w:t>
      </w:r>
    </w:p>
    <w:p w14:paraId="5CA0EE0A" w14:textId="77777777" w:rsidR="0068543A" w:rsidRDefault="0068543A" w:rsidP="113B42BF">
      <w:pPr>
        <w:jc w:val="both"/>
        <w:rPr>
          <w:rFonts w:ascii="Arial" w:eastAsia="Arial" w:hAnsi="Arial" w:cs="Arial"/>
          <w:sz w:val="22"/>
          <w:szCs w:val="22"/>
          <w:lang w:val="en-GB"/>
        </w:rPr>
      </w:pPr>
    </w:p>
    <w:p w14:paraId="06B20020" w14:textId="5A5A6FED" w:rsidR="00705D5F" w:rsidRPr="00705D5F" w:rsidRDefault="113B42BF" w:rsidP="113B42BF">
      <w:pPr>
        <w:jc w:val="both"/>
        <w:rPr>
          <w:rFonts w:ascii="Arial" w:eastAsia="Arial" w:hAnsi="Arial" w:cs="Arial"/>
          <w:sz w:val="22"/>
          <w:szCs w:val="22"/>
          <w:lang w:val="en-GB"/>
        </w:rPr>
      </w:pPr>
      <w:r w:rsidRPr="113B42BF">
        <w:rPr>
          <w:rFonts w:ascii="Arial" w:eastAsia="Arial" w:hAnsi="Arial" w:cs="Arial"/>
          <w:sz w:val="22"/>
          <w:szCs w:val="22"/>
          <w:lang w:val="en-GB"/>
        </w:rPr>
        <w:t xml:space="preserve">Similarly, Section 233B of </w:t>
      </w:r>
      <w:bookmarkStart w:id="2" w:name="_Hlk160088948"/>
      <w:r w:rsidRPr="113B42BF">
        <w:rPr>
          <w:rFonts w:ascii="Arial" w:eastAsia="Arial" w:hAnsi="Arial" w:cs="Arial"/>
          <w:sz w:val="22"/>
          <w:szCs w:val="22"/>
          <w:lang w:val="en-GB"/>
        </w:rPr>
        <w:t xml:space="preserve">the Act </w:t>
      </w:r>
      <w:bookmarkEnd w:id="2"/>
      <w:r w:rsidRPr="113B42BF">
        <w:rPr>
          <w:rFonts w:ascii="Arial" w:eastAsia="Arial" w:hAnsi="Arial" w:cs="Arial"/>
          <w:sz w:val="22"/>
          <w:szCs w:val="22"/>
          <w:lang w:val="en-GB"/>
        </w:rPr>
        <w:t>goes even further by offering protection with respect to the general supply of good and services; same is not limited to the essential supplies. The section prohibits clauses in contracts for the supply of goods and services that allow suppliers to terminate a contract or supply or do any other thing because the company becomes subject to an insolvency procedure such as administration. However, subsection (5) makes it clear that the contract may still be terminated if the office-holder, in this case being the administrator, or the company consents to the termination or if the court is satisfied that the supplier would suffer hardship as a result of the continuation of the contract and permits the termination of same.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3DAA6780" w14:textId="032C8B7A" w:rsidR="00962045" w:rsidRDefault="00962045" w:rsidP="002A37BB">
      <w:pPr>
        <w:jc w:val="both"/>
        <w:rPr>
          <w:rFonts w:ascii="Avenir Next" w:hAnsi="Avenir Next" w:cs="Arial"/>
          <w:color w:val="7B7B7B" w:themeColor="accent3" w:themeShade="BF"/>
          <w:sz w:val="22"/>
          <w:szCs w:val="22"/>
          <w:lang w:val="en-GB"/>
        </w:rPr>
      </w:pPr>
    </w:p>
    <w:p w14:paraId="240778A1" w14:textId="6DCC5EF5" w:rsidR="000328A2" w:rsidRDefault="113B42BF" w:rsidP="113B42BF">
      <w:pPr>
        <w:jc w:val="both"/>
        <w:rPr>
          <w:rFonts w:ascii="Arial" w:hAnsi="Arial" w:cs="Arial"/>
          <w:sz w:val="22"/>
          <w:szCs w:val="22"/>
          <w:lang w:val="en-GB"/>
        </w:rPr>
      </w:pPr>
      <w:r w:rsidRPr="113B42BF">
        <w:rPr>
          <w:rFonts w:ascii="Arial" w:hAnsi="Arial" w:cs="Arial"/>
          <w:sz w:val="22"/>
          <w:szCs w:val="22"/>
          <w:lang w:val="en-GB"/>
        </w:rPr>
        <w:t>The order of priority in a liquidation is as follows:</w:t>
      </w:r>
    </w:p>
    <w:p w14:paraId="3AF700AE" w14:textId="77777777" w:rsidR="00F60933" w:rsidRDefault="00F60933" w:rsidP="113B42BF">
      <w:pPr>
        <w:jc w:val="both"/>
        <w:rPr>
          <w:rFonts w:ascii="Arial" w:hAnsi="Arial" w:cs="Arial"/>
          <w:sz w:val="22"/>
          <w:szCs w:val="22"/>
          <w:lang w:val="en-GB"/>
        </w:rPr>
      </w:pPr>
    </w:p>
    <w:p w14:paraId="64A390AA" w14:textId="5C3192CE" w:rsidR="00F60933" w:rsidRDefault="113B42BF" w:rsidP="113B42BF">
      <w:pPr>
        <w:pStyle w:val="ListParagraph"/>
        <w:numPr>
          <w:ilvl w:val="0"/>
          <w:numId w:val="21"/>
        </w:numPr>
        <w:jc w:val="both"/>
        <w:rPr>
          <w:rFonts w:ascii="Arial" w:hAnsi="Arial" w:cs="Arial"/>
          <w:sz w:val="22"/>
          <w:szCs w:val="22"/>
          <w:lang w:val="en-GB"/>
        </w:rPr>
      </w:pPr>
      <w:r w:rsidRPr="113B42BF">
        <w:rPr>
          <w:rFonts w:ascii="Arial" w:hAnsi="Arial" w:cs="Arial"/>
          <w:sz w:val="22"/>
          <w:szCs w:val="22"/>
          <w:lang w:val="en-GB"/>
        </w:rPr>
        <w:t xml:space="preserve">all </w:t>
      </w:r>
      <w:bookmarkStart w:id="3" w:name="_Hlk160117891"/>
      <w:r w:rsidRPr="113B42BF">
        <w:rPr>
          <w:rFonts w:ascii="Arial" w:hAnsi="Arial" w:cs="Arial"/>
          <w:sz w:val="22"/>
          <w:szCs w:val="22"/>
          <w:lang w:val="en-GB"/>
        </w:rPr>
        <w:t>expenses properly incurred during the winding up of the company which is inclusive of the liquidator’s remuneration</w:t>
      </w:r>
      <w:bookmarkEnd w:id="3"/>
      <w:r w:rsidRPr="113B42BF">
        <w:rPr>
          <w:rFonts w:ascii="Arial" w:hAnsi="Arial" w:cs="Arial"/>
          <w:sz w:val="22"/>
          <w:szCs w:val="22"/>
          <w:lang w:val="en-GB"/>
        </w:rPr>
        <w:t xml:space="preserve">: Section 115 of </w:t>
      </w:r>
      <w:bookmarkStart w:id="4" w:name="_Hlk160118213"/>
      <w:r w:rsidRPr="113B42BF">
        <w:rPr>
          <w:rFonts w:ascii="Arial" w:hAnsi="Arial" w:cs="Arial"/>
          <w:sz w:val="22"/>
          <w:szCs w:val="22"/>
          <w:lang w:val="en-GB"/>
        </w:rPr>
        <w:t>the Insolvency Act 1986 (the Act)</w:t>
      </w:r>
      <w:bookmarkEnd w:id="4"/>
      <w:r w:rsidRPr="113B42BF">
        <w:rPr>
          <w:rFonts w:ascii="Arial" w:hAnsi="Arial" w:cs="Arial"/>
          <w:sz w:val="22"/>
          <w:szCs w:val="22"/>
          <w:lang w:val="en-GB"/>
        </w:rPr>
        <w:t xml:space="preserve"> indicates that after liabilities are paid in instances where Section 174 of the Act is applicable, </w:t>
      </w:r>
      <w:bookmarkStart w:id="5" w:name="_Hlk160113271"/>
      <w:r w:rsidRPr="113B42BF">
        <w:rPr>
          <w:rFonts w:ascii="Arial" w:hAnsi="Arial" w:cs="Arial"/>
          <w:sz w:val="22"/>
          <w:szCs w:val="22"/>
          <w:lang w:val="en-GB"/>
        </w:rPr>
        <w:t>all expenses incurred during the winding up of the company are to be paid in priority to all other claims, using the company’s assets.</w:t>
      </w:r>
    </w:p>
    <w:p w14:paraId="7066F0F7" w14:textId="77777777" w:rsidR="00FD62EA" w:rsidRDefault="00FD62EA" w:rsidP="113B42BF">
      <w:pPr>
        <w:pStyle w:val="ListParagraph"/>
        <w:ind w:left="1080"/>
        <w:jc w:val="both"/>
        <w:rPr>
          <w:rFonts w:ascii="Arial" w:hAnsi="Arial" w:cs="Arial"/>
          <w:sz w:val="22"/>
          <w:szCs w:val="22"/>
          <w:lang w:val="en-GB"/>
        </w:rPr>
      </w:pPr>
    </w:p>
    <w:p w14:paraId="35C10580" w14:textId="10F46C04" w:rsidR="003152A6" w:rsidRDefault="113B42BF" w:rsidP="113B42BF">
      <w:pPr>
        <w:pStyle w:val="ListParagraph"/>
        <w:numPr>
          <w:ilvl w:val="0"/>
          <w:numId w:val="21"/>
        </w:numPr>
        <w:jc w:val="both"/>
        <w:rPr>
          <w:rFonts w:ascii="Arial" w:hAnsi="Arial" w:cs="Arial"/>
          <w:sz w:val="22"/>
          <w:szCs w:val="22"/>
          <w:lang w:val="en-GB"/>
        </w:rPr>
      </w:pPr>
      <w:r w:rsidRPr="113B42BF">
        <w:rPr>
          <w:rFonts w:ascii="Arial" w:hAnsi="Arial" w:cs="Arial"/>
          <w:sz w:val="22"/>
          <w:szCs w:val="22"/>
          <w:lang w:val="en-GB"/>
        </w:rPr>
        <w:t xml:space="preserve">Preferential creditors (as per Sections 386, 387 and Schedule 6: Section 175 of the Act) – After the expenses have been settled in full, the company’s assets will then be used to pay the preferential creditors pursuant to Section 175 of the Act. Section 386 of the Act makes reference to two types of preferential debts: ordinary and secondary. Subsection 1 of Section 175 indicates the ordinary preferential debts are to be paid before secondary preferential debts and shall be paid in full unless the assets are insufficient to meet them. Nevertheless, these debts rank equally among themselves within their classes. Schedule 6 outlines 9 categories of preferential debts which include </w:t>
      </w:r>
      <w:r w:rsidRPr="113B42BF">
        <w:rPr>
          <w:rFonts w:ascii="Arial" w:hAnsi="Arial" w:cs="Arial"/>
          <w:i/>
          <w:iCs/>
          <w:sz w:val="22"/>
          <w:szCs w:val="22"/>
          <w:lang w:val="en-GB"/>
        </w:rPr>
        <w:t>inter alia</w:t>
      </w:r>
      <w:r w:rsidRPr="113B42BF">
        <w:rPr>
          <w:rFonts w:ascii="Arial" w:hAnsi="Arial" w:cs="Arial"/>
          <w:sz w:val="22"/>
          <w:szCs w:val="22"/>
          <w:lang w:val="en-GB"/>
        </w:rPr>
        <w:t xml:space="preserve"> debts due to Inland Revenue, debts due to customs and Excise and the remuneration, etc. of employees.</w:t>
      </w:r>
    </w:p>
    <w:p w14:paraId="37299C82" w14:textId="77777777" w:rsidR="00FD62EA" w:rsidRPr="00FD62EA" w:rsidRDefault="00FD62EA" w:rsidP="113B42BF">
      <w:pPr>
        <w:jc w:val="both"/>
        <w:rPr>
          <w:rFonts w:ascii="Arial" w:hAnsi="Arial" w:cs="Arial"/>
          <w:sz w:val="22"/>
          <w:szCs w:val="22"/>
          <w:lang w:val="en-GB"/>
        </w:rPr>
      </w:pPr>
    </w:p>
    <w:p w14:paraId="1903DB0A" w14:textId="3C82845F" w:rsidR="00FD62EA" w:rsidRDefault="113B42BF" w:rsidP="113B42BF">
      <w:pPr>
        <w:pStyle w:val="ListParagraph"/>
        <w:numPr>
          <w:ilvl w:val="0"/>
          <w:numId w:val="21"/>
        </w:numPr>
        <w:jc w:val="both"/>
        <w:rPr>
          <w:rFonts w:ascii="Arial" w:hAnsi="Arial" w:cs="Arial"/>
          <w:sz w:val="22"/>
          <w:szCs w:val="22"/>
          <w:lang w:val="en-GB"/>
        </w:rPr>
      </w:pPr>
      <w:r w:rsidRPr="113B42BF">
        <w:rPr>
          <w:rFonts w:ascii="Arial" w:hAnsi="Arial" w:cs="Arial"/>
          <w:sz w:val="22"/>
          <w:szCs w:val="22"/>
          <w:lang w:val="en-GB"/>
        </w:rPr>
        <w:t xml:space="preserve">Floating Charge Holder – The floating charge holder would be next in line for payments however the applicability of Section 176A of the Act must be considered. The section particularly subsection (2) requires the liquidator to make a prescribed part of the company’s net property available for the payment of unsecured debts </w:t>
      </w:r>
      <w:r w:rsidRPr="113B42BF">
        <w:rPr>
          <w:rFonts w:ascii="Arial" w:hAnsi="Arial" w:cs="Arial"/>
          <w:sz w:val="22"/>
          <w:szCs w:val="22"/>
          <w:lang w:val="en-GB"/>
        </w:rPr>
        <w:lastRenderedPageBreak/>
        <w:t>and prohibits the distribution of the said part to a floating charge holder except where there is excess when consideration is given to the amount required for the satisfaction of the unsecured debts. Subsection 6 indicates that the company’s net property is the amount of the company’s property that would be available to satisfy the claims of debenture holders or floating charge holders, but for Section 176A of the Act. Subsections 3, 4 and 5 outline the instances in which the section would not apply such as where the liquidator believes the cost to make the distribution to the unsecured creditors is disproportionate to the benefits to be gained or if the Court orders that subsection 2 should not apply. In identifying the part, subsection 7 provides that an order under subsection (2) may provide for the calculation of the “part” as a percentage of the company’s net property or as a total of different percentages of different parts of the company’s net property.</w:t>
      </w:r>
    </w:p>
    <w:p w14:paraId="5B622E73" w14:textId="77777777" w:rsidR="009071F0" w:rsidRPr="009071F0" w:rsidRDefault="009071F0" w:rsidP="113B42BF">
      <w:pPr>
        <w:pStyle w:val="ListParagraph"/>
        <w:rPr>
          <w:rFonts w:ascii="Arial" w:hAnsi="Arial" w:cs="Arial"/>
          <w:sz w:val="22"/>
          <w:szCs w:val="22"/>
          <w:lang w:val="en-GB"/>
        </w:rPr>
      </w:pPr>
    </w:p>
    <w:p w14:paraId="3573EE7D" w14:textId="6A21BA01" w:rsidR="000328A2" w:rsidRPr="00241814" w:rsidRDefault="113B42BF" w:rsidP="113B42BF">
      <w:pPr>
        <w:pStyle w:val="ListParagraph"/>
        <w:numPr>
          <w:ilvl w:val="0"/>
          <w:numId w:val="21"/>
        </w:numPr>
        <w:jc w:val="both"/>
        <w:rPr>
          <w:rFonts w:ascii="Arial" w:hAnsi="Arial" w:cs="Arial"/>
          <w:sz w:val="22"/>
          <w:szCs w:val="22"/>
          <w:lang w:val="en-GB"/>
        </w:rPr>
      </w:pPr>
      <w:r w:rsidRPr="113B42BF">
        <w:rPr>
          <w:rFonts w:ascii="Arial" w:hAnsi="Arial" w:cs="Arial"/>
          <w:sz w:val="22"/>
          <w:szCs w:val="22"/>
          <w:lang w:val="en-GB"/>
        </w:rPr>
        <w:t>Unsecured Creditors – The unsecured creditors are usually paid last and frequently, receive nothing after the expenses are paid and preferential and secured creditors are satisfied.</w:t>
      </w:r>
    </w:p>
    <w:bookmarkEnd w:id="5"/>
    <w:p w14:paraId="46720789" w14:textId="77777777" w:rsidR="000328A2" w:rsidRDefault="000328A2" w:rsidP="113B42BF">
      <w:pPr>
        <w:jc w:val="both"/>
        <w:rPr>
          <w:rFonts w:ascii="Arial" w:hAnsi="Arial" w:cs="Arial"/>
          <w:sz w:val="22"/>
          <w:szCs w:val="22"/>
          <w:lang w:val="en-GB"/>
        </w:rPr>
      </w:pPr>
    </w:p>
    <w:p w14:paraId="20716476" w14:textId="39D0EF59" w:rsidR="000328A2" w:rsidRDefault="00F60933" w:rsidP="113B42BF">
      <w:pPr>
        <w:jc w:val="both"/>
        <w:rPr>
          <w:rFonts w:ascii="Arial" w:hAnsi="Arial" w:cs="Arial"/>
          <w:sz w:val="22"/>
          <w:szCs w:val="22"/>
          <w:shd w:val="clear" w:color="auto" w:fill="FFFFFF"/>
          <w:lang w:val="en-GB"/>
        </w:rPr>
      </w:pPr>
      <w:r w:rsidRPr="113B42BF">
        <w:rPr>
          <w:rFonts w:ascii="Arial" w:hAnsi="Arial" w:cs="Arial"/>
          <w:sz w:val="22"/>
          <w:szCs w:val="22"/>
          <w:shd w:val="clear" w:color="auto" w:fill="FFFFFF"/>
          <w:lang w:val="en-GB"/>
        </w:rPr>
        <w:t xml:space="preserve">If the company had been subject to a Moratorium under Part A1 </w:t>
      </w:r>
      <w:bookmarkStart w:id="6" w:name="_Hlk160113173"/>
      <w:r w:rsidRPr="113B42BF">
        <w:rPr>
          <w:rFonts w:ascii="Arial" w:hAnsi="Arial" w:cs="Arial"/>
          <w:sz w:val="22"/>
          <w:szCs w:val="22"/>
          <w:shd w:val="clear" w:color="auto" w:fill="FFFFFF"/>
          <w:lang w:val="en-GB"/>
        </w:rPr>
        <w:t xml:space="preserve">of the Insolvency Act 1986 </w:t>
      </w:r>
      <w:bookmarkEnd w:id="6"/>
      <w:r w:rsidRPr="113B42BF">
        <w:rPr>
          <w:rFonts w:ascii="Arial" w:hAnsi="Arial" w:cs="Arial"/>
          <w:sz w:val="22"/>
          <w:szCs w:val="22"/>
          <w:shd w:val="clear" w:color="auto" w:fill="FFFFFF"/>
          <w:lang w:val="en-GB"/>
        </w:rPr>
        <w:t>during the 12-week period prior to the commencement of the liquidation, Section 17</w:t>
      </w:r>
      <w:r w:rsidR="00050D53" w:rsidRPr="113B42BF">
        <w:rPr>
          <w:rFonts w:ascii="Arial" w:hAnsi="Arial" w:cs="Arial"/>
          <w:sz w:val="22"/>
          <w:szCs w:val="22"/>
          <w:shd w:val="clear" w:color="auto" w:fill="FFFFFF"/>
          <w:lang w:val="en-GB"/>
        </w:rPr>
        <w:t>4</w:t>
      </w:r>
      <w:r w:rsidRPr="113B42BF">
        <w:rPr>
          <w:rFonts w:ascii="Arial" w:hAnsi="Arial" w:cs="Arial"/>
          <w:sz w:val="22"/>
          <w:szCs w:val="22"/>
          <w:shd w:val="clear" w:color="auto" w:fill="FFFFFF"/>
          <w:lang w:val="en-GB"/>
        </w:rPr>
        <w:t>A of the Act would be applicable.</w:t>
      </w:r>
      <w:r w:rsidR="001B7485" w:rsidRPr="113B42BF">
        <w:rPr>
          <w:rFonts w:ascii="Arial" w:hAnsi="Arial" w:cs="Arial"/>
          <w:sz w:val="22"/>
          <w:szCs w:val="22"/>
          <w:shd w:val="clear" w:color="auto" w:fill="FFFFFF"/>
          <w:lang w:val="en-GB"/>
        </w:rPr>
        <w:t xml:space="preserve"> S</w:t>
      </w:r>
      <w:r w:rsidR="003C4D24" w:rsidRPr="113B42BF">
        <w:rPr>
          <w:rFonts w:ascii="Arial" w:hAnsi="Arial" w:cs="Arial"/>
          <w:sz w:val="22"/>
          <w:szCs w:val="22"/>
          <w:shd w:val="clear" w:color="auto" w:fill="FFFFFF"/>
          <w:lang w:val="en-GB"/>
        </w:rPr>
        <w:t>ubs</w:t>
      </w:r>
      <w:r w:rsidR="001B7485" w:rsidRPr="113B42BF">
        <w:rPr>
          <w:rFonts w:ascii="Arial" w:hAnsi="Arial" w:cs="Arial"/>
          <w:sz w:val="22"/>
          <w:szCs w:val="22"/>
          <w:shd w:val="clear" w:color="auto" w:fill="FFFFFF"/>
          <w:lang w:val="en-GB"/>
        </w:rPr>
        <w:t xml:space="preserve">ection 2 of the </w:t>
      </w:r>
      <w:r w:rsidR="003C4D24" w:rsidRPr="113B42BF">
        <w:rPr>
          <w:rFonts w:ascii="Arial" w:hAnsi="Arial" w:cs="Arial"/>
          <w:sz w:val="22"/>
          <w:szCs w:val="22"/>
          <w:shd w:val="clear" w:color="auto" w:fill="FFFFFF"/>
          <w:lang w:val="en-GB"/>
        </w:rPr>
        <w:t xml:space="preserve">provision provides for the </w:t>
      </w:r>
      <w:r w:rsidR="00F70BB1" w:rsidRPr="113B42BF">
        <w:rPr>
          <w:rFonts w:ascii="Arial" w:hAnsi="Arial" w:cs="Arial"/>
          <w:sz w:val="22"/>
          <w:szCs w:val="22"/>
          <w:shd w:val="clear" w:color="auto" w:fill="FFFFFF"/>
          <w:lang w:val="en-GB"/>
        </w:rPr>
        <w:t xml:space="preserve">payment </w:t>
      </w:r>
      <w:r w:rsidR="003F58C0" w:rsidRPr="113B42BF">
        <w:rPr>
          <w:rFonts w:ascii="Arial" w:hAnsi="Arial" w:cs="Arial"/>
          <w:sz w:val="22"/>
          <w:szCs w:val="22"/>
          <w:shd w:val="clear" w:color="auto" w:fill="FFFFFF"/>
          <w:lang w:val="en-GB"/>
        </w:rPr>
        <w:t xml:space="preserve">of fees or expenses of the official </w:t>
      </w:r>
      <w:r w:rsidR="00DC6558" w:rsidRPr="113B42BF">
        <w:rPr>
          <w:rFonts w:ascii="Arial" w:hAnsi="Arial" w:cs="Arial"/>
          <w:sz w:val="22"/>
          <w:szCs w:val="22"/>
          <w:shd w:val="clear" w:color="auto" w:fill="FFFFFF"/>
          <w:lang w:val="en-GB"/>
        </w:rPr>
        <w:t>receiver</w:t>
      </w:r>
      <w:r w:rsidR="003F58C0" w:rsidRPr="113B42BF">
        <w:rPr>
          <w:rFonts w:ascii="Arial" w:hAnsi="Arial" w:cs="Arial"/>
          <w:sz w:val="22"/>
          <w:szCs w:val="22"/>
          <w:shd w:val="clear" w:color="auto" w:fill="FFFFFF"/>
          <w:lang w:val="en-GB"/>
        </w:rPr>
        <w:t xml:space="preserve"> and </w:t>
      </w:r>
      <w:r w:rsidR="00DC6558" w:rsidRPr="113B42BF">
        <w:rPr>
          <w:rFonts w:ascii="Arial" w:hAnsi="Arial" w:cs="Arial"/>
          <w:sz w:val="22"/>
          <w:szCs w:val="22"/>
          <w:shd w:val="clear" w:color="auto" w:fill="FFFFFF"/>
          <w:lang w:val="en-GB"/>
        </w:rPr>
        <w:t xml:space="preserve">certain moratorium and </w:t>
      </w:r>
      <w:r w:rsidR="000613B6" w:rsidRPr="113B42BF">
        <w:rPr>
          <w:rFonts w:ascii="Arial" w:hAnsi="Arial" w:cs="Arial"/>
          <w:sz w:val="22"/>
          <w:szCs w:val="22"/>
          <w:shd w:val="clear" w:color="auto" w:fill="FFFFFF"/>
          <w:lang w:val="en-GB"/>
        </w:rPr>
        <w:t xml:space="preserve">priority </w:t>
      </w:r>
      <w:r w:rsidR="00DC6558" w:rsidRPr="113B42BF">
        <w:rPr>
          <w:rFonts w:ascii="Arial" w:hAnsi="Arial" w:cs="Arial"/>
          <w:sz w:val="22"/>
          <w:szCs w:val="22"/>
          <w:shd w:val="clear" w:color="auto" w:fill="FFFFFF"/>
          <w:lang w:val="en-GB"/>
        </w:rPr>
        <w:t xml:space="preserve">pre-moratorium debts in preference to all other </w:t>
      </w:r>
      <w:r w:rsidR="008C70A3" w:rsidRPr="113B42BF">
        <w:rPr>
          <w:rFonts w:ascii="Arial" w:hAnsi="Arial" w:cs="Arial"/>
          <w:sz w:val="22"/>
          <w:szCs w:val="22"/>
          <w:shd w:val="clear" w:color="auto" w:fill="FFFFFF"/>
          <w:lang w:val="en-GB"/>
        </w:rPr>
        <w:t>claims, in the liquidation. Subsection 2 (b) outlines what is considered a</w:t>
      </w:r>
      <w:r w:rsidR="000613B6" w:rsidRPr="113B42BF">
        <w:rPr>
          <w:rFonts w:ascii="Arial" w:hAnsi="Arial" w:cs="Arial"/>
          <w:sz w:val="22"/>
          <w:szCs w:val="22"/>
          <w:shd w:val="clear" w:color="auto" w:fill="FFFFFF"/>
          <w:lang w:val="en-GB"/>
        </w:rPr>
        <w:t xml:space="preserve"> priority</w:t>
      </w:r>
      <w:r w:rsidR="008C70A3" w:rsidRPr="113B42BF">
        <w:rPr>
          <w:rFonts w:ascii="Arial" w:hAnsi="Arial" w:cs="Arial"/>
          <w:sz w:val="22"/>
          <w:szCs w:val="22"/>
          <w:shd w:val="clear" w:color="auto" w:fill="FFFFFF"/>
          <w:lang w:val="en-GB"/>
        </w:rPr>
        <w:t xml:space="preserve"> pre-moratorium </w:t>
      </w:r>
      <w:r w:rsidR="000613B6" w:rsidRPr="113B42BF">
        <w:rPr>
          <w:rFonts w:ascii="Arial" w:hAnsi="Arial" w:cs="Arial"/>
          <w:sz w:val="22"/>
          <w:szCs w:val="22"/>
          <w:shd w:val="clear" w:color="auto" w:fill="FFFFFF"/>
          <w:lang w:val="en-GB"/>
        </w:rPr>
        <w:t>debt</w:t>
      </w:r>
      <w:r w:rsidR="006F3B80" w:rsidRPr="113B42BF">
        <w:rPr>
          <w:rFonts w:ascii="Arial" w:hAnsi="Arial" w:cs="Arial"/>
          <w:sz w:val="22"/>
          <w:szCs w:val="22"/>
          <w:shd w:val="clear" w:color="auto" w:fill="FFFFFF"/>
          <w:lang w:val="en-GB"/>
        </w:rPr>
        <w:t xml:space="preserve">. </w:t>
      </w:r>
      <w:r w:rsidR="00D70C98" w:rsidRPr="113B42BF">
        <w:rPr>
          <w:rFonts w:ascii="Arial" w:hAnsi="Arial" w:cs="Arial"/>
          <w:sz w:val="22"/>
          <w:szCs w:val="22"/>
          <w:shd w:val="clear" w:color="auto" w:fill="FFFFFF"/>
          <w:lang w:val="en-GB"/>
        </w:rPr>
        <w:t>This therefore means that the said debts would rank above</w:t>
      </w:r>
      <w:r w:rsidR="00D70C98" w:rsidRPr="113B42BF">
        <w:rPr>
          <w:rFonts w:ascii="Arial" w:hAnsi="Arial" w:cs="Arial"/>
          <w:sz w:val="22"/>
          <w:szCs w:val="22"/>
          <w:lang w:val="en-GB"/>
        </w:rPr>
        <w:t xml:space="preserve"> all the </w:t>
      </w:r>
      <w:r w:rsidR="00D70C98" w:rsidRPr="113B42BF">
        <w:rPr>
          <w:rFonts w:ascii="Arial" w:hAnsi="Arial" w:cs="Arial"/>
          <w:sz w:val="22"/>
          <w:szCs w:val="22"/>
          <w:shd w:val="clear" w:color="auto" w:fill="FFFFFF"/>
          <w:lang w:val="en-GB"/>
        </w:rPr>
        <w:t>expenses properly incurred during the winding up of the company which is inclusive of the liquidator’s remuneration.</w:t>
      </w:r>
    </w:p>
    <w:p w14:paraId="232DEBA9" w14:textId="77777777" w:rsidR="00F60933" w:rsidRPr="000328A2" w:rsidRDefault="00F60933" w:rsidP="002A37BB">
      <w:pPr>
        <w:jc w:val="both"/>
        <w:rPr>
          <w:rFonts w:ascii="Arial" w:hAnsi="Arial" w:cs="Arial"/>
          <w:color w:val="FF0000"/>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A5246C" w:rsidRDefault="113B42BF" w:rsidP="113B42BF">
      <w:pPr>
        <w:pStyle w:val="NormalWeb"/>
        <w:spacing w:before="0" w:beforeAutospacing="0" w:after="0" w:afterAutospacing="0"/>
        <w:jc w:val="both"/>
        <w:rPr>
          <w:rFonts w:ascii="Avenir Next" w:hAnsi="Avenir Next" w:cs="Arial"/>
          <w:sz w:val="22"/>
          <w:szCs w:val="22"/>
        </w:rPr>
      </w:pPr>
      <w:bookmarkStart w:id="7" w:name="_Hlk17745211"/>
      <w:r w:rsidRPr="113B42BF">
        <w:rPr>
          <w:rFonts w:ascii="Avenir Next" w:hAnsi="Avenir Next" w:cs="Arial"/>
          <w:sz w:val="22"/>
          <w:szCs w:val="22"/>
        </w:rPr>
        <w:t>Prior to going into compulsory liquidation on 28 February 2024, under pressure from its bank, Ambitus Bank plc, and in order to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A5246C" w:rsidRDefault="00880059" w:rsidP="113B42BF">
      <w:pPr>
        <w:pStyle w:val="NormalWeb"/>
        <w:spacing w:before="0" w:beforeAutospacing="0" w:after="0" w:afterAutospacing="0"/>
        <w:rPr>
          <w:rFonts w:ascii="Avenir Next" w:hAnsi="Avenir Next" w:cs="Arial"/>
          <w:sz w:val="22"/>
          <w:szCs w:val="22"/>
        </w:rPr>
      </w:pPr>
    </w:p>
    <w:p w14:paraId="24BFB471" w14:textId="2143FDC2" w:rsidR="00880059" w:rsidRPr="006925C1" w:rsidRDefault="113B42BF" w:rsidP="113B42BF">
      <w:pPr>
        <w:pStyle w:val="NormalWeb"/>
        <w:spacing w:before="0" w:beforeAutospacing="0" w:after="0" w:afterAutospacing="0"/>
        <w:jc w:val="both"/>
        <w:rPr>
          <w:rFonts w:ascii="Avenir Next" w:hAnsi="Avenir Next" w:cs="Arial"/>
          <w:sz w:val="22"/>
          <w:szCs w:val="22"/>
        </w:rPr>
      </w:pPr>
      <w:r w:rsidRPr="113B42BF">
        <w:rPr>
          <w:rFonts w:ascii="Avenir Next" w:hAnsi="Avenir Next" w:cs="Arial"/>
          <w:sz w:val="22"/>
          <w:szCs w:val="22"/>
        </w:rPr>
        <w:t>The winding up order followed a creditor’s winding up petition issued on 13 January 2024.</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113B42BF">
      <w:pPr>
        <w:rPr>
          <w:rFonts w:ascii="Arial" w:eastAsia="Arial" w:hAnsi="Arial" w:cs="Arial"/>
          <w:b/>
          <w:bCs/>
          <w:sz w:val="22"/>
          <w:szCs w:val="22"/>
        </w:rPr>
      </w:pPr>
    </w:p>
    <w:p w14:paraId="36E32093" w14:textId="0A69D36B" w:rsidR="008016CD" w:rsidRDefault="008016CD" w:rsidP="113B42BF">
      <w:pPr>
        <w:jc w:val="both"/>
        <w:rPr>
          <w:rFonts w:ascii="Arial" w:eastAsia="Arial" w:hAnsi="Arial" w:cs="Arial"/>
          <w:sz w:val="22"/>
          <w:szCs w:val="22"/>
          <w:shd w:val="clear" w:color="auto" w:fill="FFFFFF"/>
        </w:rPr>
      </w:pPr>
      <w:r w:rsidRPr="113B42BF">
        <w:rPr>
          <w:rFonts w:ascii="Arial" w:eastAsia="Arial" w:hAnsi="Arial" w:cs="Arial"/>
          <w:sz w:val="22"/>
          <w:szCs w:val="22"/>
          <w:shd w:val="clear" w:color="auto" w:fill="FFFFFF"/>
          <w:lang w:val="en-GB"/>
        </w:rPr>
        <w:t>Section 239 of the Insolvency Act 1986 (the Act) w</w:t>
      </w:r>
      <w:r w:rsidRPr="113B42BF">
        <w:rPr>
          <w:rFonts w:ascii="Arial" w:eastAsia="Arial" w:hAnsi="Arial" w:cs="Arial"/>
          <w:sz w:val="22"/>
          <w:szCs w:val="22"/>
          <w:shd w:val="clear" w:color="auto" w:fill="FFFFFF"/>
        </w:rPr>
        <w:t xml:space="preserve">here a company has at a relevant time given a preference to any person, the liquidator may apply to the court for an order under this section. </w:t>
      </w:r>
      <w:r w:rsidR="00502536" w:rsidRPr="113B42BF">
        <w:rPr>
          <w:rFonts w:ascii="Arial" w:eastAsia="Arial" w:hAnsi="Arial" w:cs="Arial"/>
          <w:sz w:val="22"/>
          <w:szCs w:val="22"/>
          <w:shd w:val="clear" w:color="auto" w:fill="FFFFFF"/>
        </w:rPr>
        <w:t>In order to bring a successful application under Section 239, the liquidator must show that the preferred person is one of the company’</w:t>
      </w:r>
      <w:r w:rsidR="00FA694B" w:rsidRPr="113B42BF">
        <w:rPr>
          <w:rFonts w:ascii="Arial" w:eastAsia="Arial" w:hAnsi="Arial" w:cs="Arial"/>
          <w:sz w:val="22"/>
          <w:szCs w:val="22"/>
          <w:shd w:val="clear" w:color="auto" w:fill="FFFFFF"/>
        </w:rPr>
        <w:t xml:space="preserve">s creditors and </w:t>
      </w:r>
      <w:r w:rsidR="00502536" w:rsidRPr="113B42BF">
        <w:rPr>
          <w:rFonts w:ascii="Arial" w:eastAsia="Arial" w:hAnsi="Arial" w:cs="Arial"/>
          <w:sz w:val="22"/>
          <w:szCs w:val="22"/>
          <w:shd w:val="clear" w:color="auto" w:fill="FFFFFF"/>
        </w:rPr>
        <w:t>the company does anything or instructs that anything be done to put that person in a better position</w:t>
      </w:r>
      <w:r w:rsidR="00823225" w:rsidRPr="113B42BF">
        <w:rPr>
          <w:rFonts w:ascii="Arial" w:eastAsia="Arial" w:hAnsi="Arial" w:cs="Arial"/>
          <w:sz w:val="22"/>
          <w:szCs w:val="22"/>
          <w:shd w:val="clear" w:color="auto" w:fill="FFFFFF"/>
        </w:rPr>
        <w:t xml:space="preserve"> if that thing hadn’t been done; that company in preference was influenced </w:t>
      </w:r>
      <w:r w:rsidR="00FA694B" w:rsidRPr="113B42BF">
        <w:rPr>
          <w:rFonts w:ascii="Arial" w:eastAsia="Arial" w:hAnsi="Arial" w:cs="Arial"/>
          <w:sz w:val="22"/>
          <w:szCs w:val="22"/>
          <w:shd w:val="clear" w:color="auto" w:fill="FFFFFF"/>
        </w:rPr>
        <w:t xml:space="preserve">by a desire </w:t>
      </w:r>
      <w:r w:rsidR="00823225" w:rsidRPr="113B42BF">
        <w:rPr>
          <w:rFonts w:ascii="Arial" w:eastAsia="Arial" w:hAnsi="Arial" w:cs="Arial"/>
          <w:sz w:val="22"/>
          <w:szCs w:val="22"/>
          <w:shd w:val="clear" w:color="auto" w:fill="FFFFFF"/>
        </w:rPr>
        <w:t>to do so to put the creditor in a better position than he would have been had the thing not occurred; and that the preference was given at a relevant time.</w:t>
      </w:r>
      <w:r w:rsidRPr="113B42BF">
        <w:rPr>
          <w:rFonts w:ascii="Arial" w:eastAsia="Arial" w:hAnsi="Arial" w:cs="Arial"/>
          <w:sz w:val="22"/>
          <w:szCs w:val="22"/>
          <w:shd w:val="clear" w:color="auto" w:fill="FFFFFF"/>
        </w:rPr>
        <w:t xml:space="preserve"> Due consideration should also be given to the pre-requisite for liability under the Act which </w:t>
      </w:r>
      <w:r w:rsidR="005B10DE">
        <w:rPr>
          <w:rFonts w:ascii="Arial" w:eastAsia="Arial" w:hAnsi="Arial" w:cs="Arial"/>
          <w:sz w:val="22"/>
          <w:szCs w:val="22"/>
          <w:shd w:val="clear" w:color="auto" w:fill="FFFFFF"/>
        </w:rPr>
        <w:t xml:space="preserve">is </w:t>
      </w:r>
      <w:r w:rsidRPr="113B42BF">
        <w:rPr>
          <w:rFonts w:ascii="Arial" w:eastAsia="Arial" w:hAnsi="Arial" w:cs="Arial"/>
          <w:sz w:val="22"/>
          <w:szCs w:val="22"/>
          <w:shd w:val="clear" w:color="auto" w:fill="FFFFFF"/>
        </w:rPr>
        <w:t>whether the company at the time of the transaction was unable to pay its debts as they fell due (as per Section 123 of the Act) or the company became unable to pay its debts as a result of the transaction.</w:t>
      </w:r>
      <w:r w:rsidR="00823225" w:rsidRPr="113B42BF">
        <w:rPr>
          <w:rFonts w:ascii="Arial" w:eastAsia="Arial" w:hAnsi="Arial" w:cs="Arial"/>
          <w:sz w:val="22"/>
          <w:szCs w:val="22"/>
          <w:shd w:val="clear" w:color="auto" w:fill="FFFFFF"/>
        </w:rPr>
        <w:t xml:space="preserve"> </w:t>
      </w:r>
      <w:r w:rsidR="00E543CE" w:rsidRPr="113B42BF">
        <w:rPr>
          <w:rFonts w:ascii="Arial" w:eastAsia="Arial" w:hAnsi="Arial" w:cs="Arial"/>
          <w:sz w:val="22"/>
          <w:szCs w:val="22"/>
          <w:shd w:val="clear" w:color="auto" w:fill="FFFFFF"/>
        </w:rPr>
        <w:t>The burden of proof will lie with the liquidator unless the person who received preference is a connected person.</w:t>
      </w:r>
    </w:p>
    <w:p w14:paraId="79C9A3E1" w14:textId="77777777" w:rsidR="00823225" w:rsidRDefault="00823225" w:rsidP="113B42BF">
      <w:pPr>
        <w:jc w:val="both"/>
        <w:rPr>
          <w:rFonts w:ascii="Arial" w:eastAsia="Arial" w:hAnsi="Arial" w:cs="Arial"/>
          <w:sz w:val="22"/>
          <w:szCs w:val="22"/>
          <w:shd w:val="clear" w:color="auto" w:fill="FFFFFF"/>
        </w:rPr>
      </w:pPr>
    </w:p>
    <w:p w14:paraId="31E128CF" w14:textId="75AA25EB" w:rsidR="00502536" w:rsidRDefault="00823225" w:rsidP="113B42BF">
      <w:pPr>
        <w:jc w:val="both"/>
        <w:rPr>
          <w:rFonts w:ascii="Arial" w:eastAsia="Arial" w:hAnsi="Arial" w:cs="Arial"/>
          <w:sz w:val="22"/>
          <w:szCs w:val="22"/>
          <w:shd w:val="clear" w:color="auto" w:fill="FFFFFF"/>
        </w:rPr>
      </w:pPr>
      <w:r w:rsidRPr="113B42BF">
        <w:rPr>
          <w:rFonts w:ascii="Arial" w:eastAsia="Arial" w:hAnsi="Arial" w:cs="Arial"/>
          <w:sz w:val="22"/>
          <w:szCs w:val="22"/>
          <w:shd w:val="clear" w:color="auto" w:fill="FFFFFF"/>
        </w:rPr>
        <w:t>On the face of it, the facts sug</w:t>
      </w:r>
      <w:r w:rsidR="005A1EBE" w:rsidRPr="113B42BF">
        <w:rPr>
          <w:rFonts w:ascii="Arial" w:eastAsia="Arial" w:hAnsi="Arial" w:cs="Arial"/>
          <w:sz w:val="22"/>
          <w:szCs w:val="22"/>
          <w:shd w:val="clear" w:color="auto" w:fill="FFFFFF"/>
        </w:rPr>
        <w:t>gest that these requirements would not</w:t>
      </w:r>
      <w:r w:rsidRPr="113B42BF">
        <w:rPr>
          <w:rFonts w:ascii="Arial" w:eastAsia="Arial" w:hAnsi="Arial" w:cs="Arial"/>
          <w:sz w:val="22"/>
          <w:szCs w:val="22"/>
          <w:shd w:val="clear" w:color="auto" w:fill="FFFFFF"/>
        </w:rPr>
        <w:t xml:space="preserve"> be proven.</w:t>
      </w:r>
      <w:r w:rsidR="00FA694B" w:rsidRPr="113B42BF">
        <w:rPr>
          <w:rFonts w:ascii="Arial" w:eastAsia="Arial" w:hAnsi="Arial" w:cs="Arial"/>
          <w:sz w:val="22"/>
          <w:szCs w:val="22"/>
          <w:shd w:val="clear" w:color="auto" w:fill="FFFFFF"/>
        </w:rPr>
        <w:t xml:space="preserve"> </w:t>
      </w:r>
      <w:r w:rsidR="005A1EBE" w:rsidRPr="113B42BF">
        <w:rPr>
          <w:rFonts w:ascii="Arial" w:eastAsia="Arial" w:hAnsi="Arial" w:cs="Arial"/>
          <w:sz w:val="22"/>
          <w:szCs w:val="22"/>
          <w:shd w:val="clear" w:color="auto" w:fill="FFFFFF"/>
        </w:rPr>
        <w:t xml:space="preserve">It is true that </w:t>
      </w:r>
      <w:r w:rsidR="00FA694B" w:rsidRPr="113B42BF">
        <w:rPr>
          <w:rFonts w:ascii="Arial" w:eastAsia="Arial" w:hAnsi="Arial" w:cs="Arial"/>
          <w:sz w:val="22"/>
          <w:szCs w:val="22"/>
          <w:shd w:val="clear" w:color="auto" w:fill="FFFFFF"/>
        </w:rPr>
        <w:t>Ambitus Bank plc was a creditor of the company</w:t>
      </w:r>
      <w:r w:rsidRPr="113B42BF">
        <w:rPr>
          <w:rFonts w:ascii="Arial" w:eastAsia="Arial" w:hAnsi="Arial" w:cs="Arial"/>
          <w:sz w:val="22"/>
          <w:szCs w:val="22"/>
          <w:shd w:val="clear" w:color="auto" w:fill="FFFFFF"/>
        </w:rPr>
        <w:t xml:space="preserve"> </w:t>
      </w:r>
      <w:r w:rsidR="00FA694B" w:rsidRPr="113B42BF">
        <w:rPr>
          <w:rFonts w:ascii="Arial" w:eastAsia="Arial" w:hAnsi="Arial" w:cs="Arial"/>
          <w:sz w:val="22"/>
          <w:szCs w:val="22"/>
          <w:shd w:val="clear" w:color="auto" w:fill="FFFFFF"/>
        </w:rPr>
        <w:t>who was put in a better position by the company when a debenture was issued in their favour</w:t>
      </w:r>
      <w:r w:rsidR="005A1EBE" w:rsidRPr="113B42BF">
        <w:rPr>
          <w:rFonts w:ascii="Arial" w:eastAsia="Arial" w:hAnsi="Arial" w:cs="Arial"/>
          <w:sz w:val="22"/>
          <w:szCs w:val="22"/>
          <w:shd w:val="clear" w:color="auto" w:fill="FFFFFF"/>
        </w:rPr>
        <w:t xml:space="preserve">. </w:t>
      </w:r>
      <w:r w:rsidR="00172BE8" w:rsidRPr="113B42BF">
        <w:rPr>
          <w:rFonts w:ascii="Arial" w:eastAsia="Arial" w:hAnsi="Arial" w:cs="Arial"/>
          <w:sz w:val="22"/>
          <w:szCs w:val="22"/>
          <w:shd w:val="clear" w:color="auto" w:fill="FFFFFF"/>
        </w:rPr>
        <w:t xml:space="preserve">In terms of the pre-requisite, it appears that at the relevant time the company could be deemed unable to pay its debts taking into account its actions to avoid the bank demanding repayment of its loans. </w:t>
      </w:r>
      <w:r w:rsidR="005B10DE" w:rsidRPr="113B42BF">
        <w:rPr>
          <w:rFonts w:ascii="Arial" w:eastAsia="Arial" w:hAnsi="Arial" w:cs="Arial"/>
          <w:sz w:val="22"/>
          <w:szCs w:val="22"/>
          <w:shd w:val="clear" w:color="auto" w:fill="FFFFFF"/>
        </w:rPr>
        <w:t>This</w:t>
      </w:r>
      <w:r w:rsidR="00172BE8" w:rsidRPr="113B42BF">
        <w:rPr>
          <w:rFonts w:ascii="Arial" w:eastAsia="Arial" w:hAnsi="Arial" w:cs="Arial"/>
          <w:sz w:val="22"/>
          <w:szCs w:val="22"/>
          <w:shd w:val="clear" w:color="auto" w:fill="FFFFFF"/>
        </w:rPr>
        <w:t xml:space="preserve"> would have to be proved to the satisfaction of the Court. </w:t>
      </w:r>
      <w:r w:rsidR="005A1EBE" w:rsidRPr="113B42BF">
        <w:rPr>
          <w:rFonts w:ascii="Arial" w:eastAsia="Arial" w:hAnsi="Arial" w:cs="Arial"/>
          <w:sz w:val="22"/>
          <w:szCs w:val="22"/>
          <w:shd w:val="clear" w:color="auto" w:fill="FFFFFF"/>
        </w:rPr>
        <w:t xml:space="preserve">However, based on the definition of “relevant time” under Section 240 of the Act this act would not meet </w:t>
      </w:r>
      <w:r w:rsidR="00826FBD" w:rsidRPr="113B42BF">
        <w:rPr>
          <w:rFonts w:ascii="Arial" w:eastAsia="Arial" w:hAnsi="Arial" w:cs="Arial"/>
          <w:sz w:val="22"/>
          <w:szCs w:val="22"/>
          <w:shd w:val="clear" w:color="auto" w:fill="FFFFFF"/>
        </w:rPr>
        <w:t>this requirement</w:t>
      </w:r>
      <w:r w:rsidR="005A1EBE" w:rsidRPr="113B42BF">
        <w:rPr>
          <w:rFonts w:ascii="Arial" w:eastAsia="Arial" w:hAnsi="Arial" w:cs="Arial"/>
          <w:sz w:val="22"/>
          <w:szCs w:val="22"/>
          <w:shd w:val="clear" w:color="auto" w:fill="FFFFFF"/>
        </w:rPr>
        <w:t xml:space="preserve"> as in this case</w:t>
      </w:r>
      <w:r w:rsidR="00826FBD" w:rsidRPr="113B42BF">
        <w:rPr>
          <w:rFonts w:ascii="Arial" w:eastAsia="Arial" w:hAnsi="Arial" w:cs="Arial"/>
          <w:sz w:val="22"/>
          <w:szCs w:val="22"/>
          <w:shd w:val="clear" w:color="auto" w:fill="FFFFFF"/>
        </w:rPr>
        <w:t>,</w:t>
      </w:r>
      <w:r w:rsidR="005A1EBE" w:rsidRPr="113B42BF">
        <w:rPr>
          <w:rFonts w:ascii="Arial" w:eastAsia="Arial" w:hAnsi="Arial" w:cs="Arial"/>
          <w:sz w:val="22"/>
          <w:szCs w:val="22"/>
          <w:shd w:val="clear" w:color="auto" w:fill="FFFFFF"/>
        </w:rPr>
        <w:t xml:space="preserve"> where the preferred person was not a connected person</w:t>
      </w:r>
      <w:r w:rsidR="00826FBD" w:rsidRPr="113B42BF">
        <w:rPr>
          <w:rFonts w:ascii="Arial" w:eastAsia="Arial" w:hAnsi="Arial" w:cs="Arial"/>
          <w:sz w:val="22"/>
          <w:szCs w:val="22"/>
          <w:shd w:val="clear" w:color="auto" w:fill="FFFFFF"/>
        </w:rPr>
        <w:t>, the act of preference would have had to occur within a 6-month period ending with the onset of insolvency. Furthermore, the facts indicate that the debenture was issued to prevent the bank from demanding repayment of the company’s loans which could be argued as proof that the Company had no desire to the company to put the bank in a better position</w:t>
      </w:r>
      <w:r w:rsidR="00172BE8" w:rsidRPr="113B42BF">
        <w:rPr>
          <w:rFonts w:ascii="Arial" w:eastAsia="Arial" w:hAnsi="Arial" w:cs="Arial"/>
          <w:sz w:val="22"/>
          <w:szCs w:val="22"/>
          <w:shd w:val="clear" w:color="auto" w:fill="FFFFFF"/>
        </w:rPr>
        <w:t xml:space="preserve"> which is essential to the success of the application.</w:t>
      </w:r>
      <w:r w:rsidR="00826FBD" w:rsidRPr="113B42BF">
        <w:rPr>
          <w:rFonts w:ascii="Arial" w:eastAsia="Arial" w:hAnsi="Arial" w:cs="Arial"/>
          <w:sz w:val="22"/>
          <w:szCs w:val="22"/>
          <w:shd w:val="clear" w:color="auto" w:fill="FFFFFF"/>
        </w:rPr>
        <w:t xml:space="preserve"> </w:t>
      </w:r>
    </w:p>
    <w:p w14:paraId="504B7237" w14:textId="77777777" w:rsidR="00100805" w:rsidRDefault="00100805" w:rsidP="113B42BF">
      <w:pPr>
        <w:jc w:val="both"/>
        <w:rPr>
          <w:rFonts w:ascii="Arial" w:eastAsia="Arial" w:hAnsi="Arial" w:cs="Arial"/>
          <w:sz w:val="22"/>
          <w:szCs w:val="22"/>
          <w:shd w:val="clear" w:color="auto" w:fill="FFFFFF"/>
        </w:rPr>
      </w:pPr>
    </w:p>
    <w:p w14:paraId="796978D3" w14:textId="25F7443F" w:rsidR="00100805" w:rsidRDefault="00100805" w:rsidP="113B42BF">
      <w:pPr>
        <w:jc w:val="both"/>
        <w:rPr>
          <w:rFonts w:ascii="Arial" w:eastAsia="Arial" w:hAnsi="Arial" w:cs="Arial"/>
          <w:sz w:val="22"/>
          <w:szCs w:val="22"/>
          <w:shd w:val="clear" w:color="auto" w:fill="FFFFFF"/>
        </w:rPr>
      </w:pPr>
      <w:r w:rsidRPr="113B42BF">
        <w:rPr>
          <w:rFonts w:ascii="Arial" w:eastAsia="Arial" w:hAnsi="Arial" w:cs="Arial"/>
          <w:sz w:val="22"/>
          <w:szCs w:val="22"/>
          <w:shd w:val="clear" w:color="auto" w:fill="FFFFFF"/>
        </w:rPr>
        <w:t>The liquidator may also bring an action under Section 245 of the Act after giving consideration to whether the floating charge was created at a relevant time and whether the company at the time of the transaction was unable to pay its debts as they fell due (as per Section 123 of the Act) or the company became unable to pay its debts as a result of the transaction.</w:t>
      </w:r>
    </w:p>
    <w:p w14:paraId="76E83B6C" w14:textId="212796C6" w:rsidR="00197F24" w:rsidRPr="008016CD" w:rsidRDefault="00197F24" w:rsidP="00197F24">
      <w:pPr>
        <w:jc w:val="both"/>
        <w:rPr>
          <w:rFonts w:ascii="Avenir Next" w:hAnsi="Avenir Next" w:cs="Arial"/>
          <w:color w:val="FF0000"/>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6302435C" w14:textId="11E3CF2A" w:rsidR="00014595" w:rsidRPr="00172BE8" w:rsidRDefault="113B42BF" w:rsidP="113B42BF">
      <w:pPr>
        <w:jc w:val="both"/>
        <w:rPr>
          <w:rFonts w:ascii="Arial" w:hAnsi="Arial" w:cs="Arial"/>
          <w:sz w:val="22"/>
          <w:szCs w:val="22"/>
        </w:rPr>
      </w:pPr>
      <w:r w:rsidRPr="113B42BF">
        <w:rPr>
          <w:rFonts w:ascii="Arial" w:hAnsi="Arial" w:cs="Arial"/>
          <w:sz w:val="22"/>
          <w:szCs w:val="22"/>
          <w:lang w:val="en-GB"/>
        </w:rPr>
        <w:t xml:space="preserve">The liquidator may take action under Section 238 of the Insolvency Act 1986 (the Act) provides that a liquidator, where a company at a relevant time has entered into a transaction at an undervalue, may apply to the court for a remedy under the section. To make a successful application under this section, the liquidator must show that in the present case, the Company entered into a transaction for consideration which </w:t>
      </w:r>
      <w:r w:rsidRPr="113B42BF">
        <w:rPr>
          <w:rFonts w:ascii="Arial" w:hAnsi="Arial" w:cs="Arial"/>
          <w:sz w:val="22"/>
          <w:szCs w:val="22"/>
        </w:rPr>
        <w:t xml:space="preserve">the value of which, in money or money’s worth, is significantly less than the value, in money or money’s worth, of the consideration provided by the Company. </w:t>
      </w:r>
    </w:p>
    <w:p w14:paraId="57097DA9" w14:textId="77777777" w:rsidR="0094525C" w:rsidRPr="00172BE8" w:rsidRDefault="0094525C" w:rsidP="113B42BF">
      <w:pPr>
        <w:jc w:val="both"/>
        <w:rPr>
          <w:rFonts w:ascii="Arial" w:hAnsi="Arial" w:cs="Arial"/>
          <w:sz w:val="22"/>
          <w:szCs w:val="22"/>
        </w:rPr>
      </w:pPr>
    </w:p>
    <w:p w14:paraId="2048FCA2" w14:textId="2B46D296" w:rsidR="00197F24" w:rsidRPr="00172BE8" w:rsidRDefault="113B42BF" w:rsidP="113B42BF">
      <w:pPr>
        <w:jc w:val="both"/>
        <w:rPr>
          <w:rFonts w:ascii="Arial" w:hAnsi="Arial" w:cs="Arial"/>
          <w:sz w:val="22"/>
          <w:szCs w:val="22"/>
        </w:rPr>
      </w:pPr>
      <w:r w:rsidRPr="113B42BF">
        <w:rPr>
          <w:rFonts w:ascii="Arial" w:hAnsi="Arial" w:cs="Arial"/>
          <w:sz w:val="22"/>
          <w:szCs w:val="22"/>
        </w:rPr>
        <w:t xml:space="preserve">Furthermore, the liquidator must also confirm that the transaction took place at “a relevant time” which pursuant to Section 240 of the Act is in the period of 2 years ending with the onset of insolvency being the date of the commencement of the winding up. The transaction took </w:t>
      </w:r>
      <w:r w:rsidRPr="113B42BF">
        <w:rPr>
          <w:rFonts w:ascii="Arial" w:hAnsi="Arial" w:cs="Arial"/>
          <w:sz w:val="22"/>
          <w:szCs w:val="22"/>
        </w:rPr>
        <w:lastRenderedPageBreak/>
        <w:t>place in January 2023, over a year before the winding up meaning that the transaction took place at “a relevant time” as per the Act.</w:t>
      </w:r>
    </w:p>
    <w:p w14:paraId="245C0E14" w14:textId="77777777" w:rsidR="00C53ABA" w:rsidRPr="00172BE8" w:rsidRDefault="00C53ABA" w:rsidP="113B42BF">
      <w:pPr>
        <w:jc w:val="both"/>
        <w:rPr>
          <w:rFonts w:ascii="Arial" w:hAnsi="Arial" w:cs="Arial"/>
          <w:sz w:val="22"/>
          <w:szCs w:val="22"/>
        </w:rPr>
      </w:pPr>
    </w:p>
    <w:p w14:paraId="070ABF9B" w14:textId="5161DEED" w:rsidR="007E2919" w:rsidRPr="00172BE8" w:rsidRDefault="113B42BF" w:rsidP="113B42BF">
      <w:pPr>
        <w:jc w:val="both"/>
        <w:rPr>
          <w:rFonts w:ascii="Arial" w:hAnsi="Arial" w:cs="Arial"/>
          <w:sz w:val="22"/>
          <w:szCs w:val="22"/>
        </w:rPr>
      </w:pPr>
      <w:r w:rsidRPr="113B42BF">
        <w:rPr>
          <w:rFonts w:ascii="Arial" w:hAnsi="Arial" w:cs="Arial"/>
          <w:sz w:val="22"/>
          <w:szCs w:val="22"/>
        </w:rPr>
        <w:t>Notwithstanding the above requirements, consideration must also be given to whether the company at the time of the transaction was unable to pay its debts as they fell due (as per Section 123 of the Act) or the company became unable to pay its debts as a result of the transaction.</w:t>
      </w:r>
    </w:p>
    <w:p w14:paraId="3113F836" w14:textId="77777777" w:rsidR="0094525C" w:rsidRPr="00172BE8" w:rsidRDefault="0094525C" w:rsidP="113B42BF">
      <w:pPr>
        <w:rPr>
          <w:rFonts w:ascii="Arial" w:hAnsi="Arial" w:cs="Arial"/>
          <w:sz w:val="22"/>
          <w:szCs w:val="22"/>
        </w:rPr>
      </w:pPr>
    </w:p>
    <w:p w14:paraId="54AA4CCC" w14:textId="4B8CC88D" w:rsidR="0094525C" w:rsidRPr="00172BE8" w:rsidRDefault="113B42BF" w:rsidP="113B42BF">
      <w:pPr>
        <w:jc w:val="both"/>
        <w:rPr>
          <w:rFonts w:ascii="Arial" w:hAnsi="Arial" w:cs="Arial"/>
          <w:sz w:val="22"/>
          <w:szCs w:val="22"/>
        </w:rPr>
      </w:pPr>
      <w:r w:rsidRPr="113B42BF">
        <w:rPr>
          <w:rFonts w:ascii="Arial" w:hAnsi="Arial" w:cs="Arial"/>
          <w:sz w:val="22"/>
          <w:szCs w:val="22"/>
        </w:rPr>
        <w:t xml:space="preserve">In the present case, the laser cutting machines were sold to Ms. Bannister for less than what they were worth a year before the company went into liquidation and as such, the liquidator should be able to prove the transaction was undervalue. </w:t>
      </w:r>
      <w:r w:rsidR="005B10DE" w:rsidRPr="113B42BF">
        <w:rPr>
          <w:rFonts w:ascii="Arial" w:hAnsi="Arial" w:cs="Arial"/>
          <w:sz w:val="22"/>
          <w:szCs w:val="22"/>
        </w:rPr>
        <w:t>However,</w:t>
      </w:r>
      <w:r w:rsidRPr="113B42BF">
        <w:rPr>
          <w:rFonts w:ascii="Arial" w:hAnsi="Arial" w:cs="Arial"/>
          <w:sz w:val="22"/>
          <w:szCs w:val="22"/>
        </w:rPr>
        <w:t xml:space="preserve"> to prove that the amount paid was “significantly less” than the value at the time it is likely that a valuation will have to be done by the liquidator. Furthermore, the time of the transaction being more than a year before the commencement of the liquidation means that it happened at a “relevant time” as per the legislation and the report of “cash flow problems” suggests cash flow insolvency which means the requirement pursuant to Section 123 has also been met.</w:t>
      </w:r>
    </w:p>
    <w:p w14:paraId="3AEF0076" w14:textId="77777777" w:rsidR="00935286" w:rsidRPr="00172BE8" w:rsidRDefault="00935286" w:rsidP="113B42BF">
      <w:pPr>
        <w:jc w:val="both"/>
        <w:rPr>
          <w:rFonts w:ascii="Arial" w:hAnsi="Arial" w:cs="Arial"/>
          <w:sz w:val="22"/>
          <w:szCs w:val="22"/>
        </w:rPr>
      </w:pPr>
    </w:p>
    <w:p w14:paraId="7DF17034" w14:textId="75AF528B" w:rsidR="00935286" w:rsidRPr="00172BE8" w:rsidRDefault="113B42BF" w:rsidP="113B42BF">
      <w:pPr>
        <w:jc w:val="both"/>
        <w:rPr>
          <w:rFonts w:ascii="Arial" w:hAnsi="Arial" w:cs="Arial"/>
          <w:sz w:val="22"/>
          <w:szCs w:val="22"/>
        </w:rPr>
      </w:pPr>
      <w:r w:rsidRPr="113B42BF">
        <w:rPr>
          <w:rFonts w:ascii="Arial" w:hAnsi="Arial" w:cs="Arial"/>
          <w:sz w:val="22"/>
          <w:szCs w:val="22"/>
        </w:rPr>
        <w:t xml:space="preserve">Accordingly, on the face of it, the liquidator may take action against this issue pursuant to Section 238 of the Act. Furthermore, the liquidator may also seek to bring a general misfeasance action against the directors in this regard. He must however also consider whether the Company would be able to prove that the transaction was entered into in good faith and in order to carry on its business and whether at the time there were reasonable grounds for believing that the transaction would benefit the company – the Court will not make the order under Section 238 if it is satisfied of this. </w:t>
      </w:r>
    </w:p>
    <w:p w14:paraId="2451003C" w14:textId="77777777" w:rsidR="0094525C" w:rsidRDefault="0094525C" w:rsidP="0094525C">
      <w:pPr>
        <w:jc w:val="both"/>
        <w:rPr>
          <w:rFonts w:ascii="Arial" w:hAnsi="Arial" w:cs="Arial"/>
          <w:color w:val="FF0000"/>
          <w:sz w:val="24"/>
        </w:rPr>
      </w:pPr>
    </w:p>
    <w:p w14:paraId="5B3D2B13" w14:textId="77777777" w:rsidR="0094525C" w:rsidRPr="006925C1" w:rsidRDefault="0094525C"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25C6EF3" w:rsidR="00CF3708" w:rsidRPr="008D33B7" w:rsidRDefault="113B42BF" w:rsidP="113B42BF">
      <w:pPr>
        <w:jc w:val="both"/>
        <w:rPr>
          <w:rFonts w:ascii="Arial" w:hAnsi="Arial" w:cs="Arial"/>
          <w:i/>
          <w:iCs/>
          <w:sz w:val="22"/>
          <w:szCs w:val="22"/>
          <w:lang w:val="en-GB"/>
        </w:rPr>
      </w:pPr>
      <w:r w:rsidRPr="113B42BF">
        <w:rPr>
          <w:rFonts w:ascii="Arial" w:hAnsi="Arial" w:cs="Arial"/>
          <w:sz w:val="22"/>
          <w:szCs w:val="22"/>
          <w:lang w:val="en-GB"/>
        </w:rPr>
        <w:t>Under Section 127 of the Act any disposition of the company’s property, etc. made after the commencement of the winding up by the Court is avoided, unless the Court makes an order to the contrary. The term “disposition of property” includes and affects payment of money as well as the sale, lease and loan of other property. Notwithstanding same, the Court can make an order declaring that the dispositions are not void – a validation order. Such order will only be made where it is showed that the disposition was done for the benefit of the unsecured creditors. In making its decision, it is likely that the court will sanction payments made to secure continued supply of goods and services to allow the company to continue to trade which it believes was in the best interest of its creditors and where supplies are paid for as per cash on delivery, consideration will be given to whether this was done to secure further supplies to continue the trading of the Company. In the present case, the avoidance of these payments would be automatic unless the Court orders otherwise and in this case the application under this Section would be to validate the disposition of the assets of the company. It is unlikely that this application would be made by the liquidator but rather the Company or its directors who would benefit from such an order. Based on the foregoing, the liquidator may not take action under this section of the Act.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7"/>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411AB4">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34C35" w14:textId="77777777" w:rsidR="00523095" w:rsidRDefault="00523095" w:rsidP="00241B44">
      <w:r>
        <w:separator/>
      </w:r>
    </w:p>
  </w:endnote>
  <w:endnote w:type="continuationSeparator" w:id="0">
    <w:p w14:paraId="260568A5" w14:textId="77777777" w:rsidR="00523095" w:rsidRDefault="005230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rPr>
      <w:id w:val="-758512077"/>
      <w:docPartObj>
        <w:docPartGallery w:val="Page Numbers (Bottom of Page)"/>
        <w:docPartUnique/>
      </w:docPartObj>
    </w:sdtPr>
    <w:sdtEndPr>
      <w:rPr>
        <w:rStyle w:val="PageNumber"/>
        <w:b w:val="0"/>
        <w:bCs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A326EE">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3C53BBF5" w:rsidR="00241FA3" w:rsidRPr="00A84235" w:rsidRDefault="00EA31FE" w:rsidP="009B4976">
    <w:pPr>
      <w:pStyle w:val="Footer"/>
      <w:ind w:right="360"/>
      <w:rPr>
        <w:rFonts w:ascii="Avenir Next" w:hAnsi="Avenir Next" w:cs="Arial"/>
        <w:sz w:val="22"/>
        <w:szCs w:val="22"/>
        <w:lang w:val="en-GB"/>
      </w:rPr>
    </w:pPr>
    <w:r>
      <w:rPr>
        <w:rFonts w:ascii="Avenir Next" w:hAnsi="Avenir Next" w:cs="Arial"/>
        <w:sz w:val="22"/>
        <w:szCs w:val="22"/>
        <w:lang w:val="en-GB"/>
      </w:rPr>
      <w:t>202324-1357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3350F" w14:textId="77777777" w:rsidR="00523095" w:rsidRDefault="00523095" w:rsidP="00241B44">
      <w:r>
        <w:separator/>
      </w:r>
    </w:p>
  </w:footnote>
  <w:footnote w:type="continuationSeparator" w:id="0">
    <w:p w14:paraId="323D161B" w14:textId="77777777" w:rsidR="00523095" w:rsidRDefault="0052309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03D3E"/>
    <w:multiLevelType w:val="hybridMultilevel"/>
    <w:tmpl w:val="082CFF66"/>
    <w:lvl w:ilvl="0" w:tplc="ED4651C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508C4897"/>
    <w:multiLevelType w:val="hybridMultilevel"/>
    <w:tmpl w:val="E2EE6A00"/>
    <w:lvl w:ilvl="0" w:tplc="ED465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77E1C08"/>
    <w:multiLevelType w:val="hybridMultilevel"/>
    <w:tmpl w:val="EED4E43A"/>
    <w:lvl w:ilvl="0" w:tplc="ED465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56E91"/>
    <w:multiLevelType w:val="hybridMultilevel"/>
    <w:tmpl w:val="EED4E43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371700">
    <w:abstractNumId w:val="3"/>
  </w:num>
  <w:num w:numId="2" w16cid:durableId="1455636622">
    <w:abstractNumId w:val="1"/>
  </w:num>
  <w:num w:numId="3" w16cid:durableId="120417630">
    <w:abstractNumId w:val="0"/>
  </w:num>
  <w:num w:numId="4" w16cid:durableId="329647336">
    <w:abstractNumId w:val="9"/>
  </w:num>
  <w:num w:numId="5" w16cid:durableId="2017269152">
    <w:abstractNumId w:val="12"/>
  </w:num>
  <w:num w:numId="6" w16cid:durableId="1732266979">
    <w:abstractNumId w:val="2"/>
  </w:num>
  <w:num w:numId="7" w16cid:durableId="136841823">
    <w:abstractNumId w:val="13"/>
  </w:num>
  <w:num w:numId="8" w16cid:durableId="1858739273">
    <w:abstractNumId w:val="19"/>
  </w:num>
  <w:num w:numId="9" w16cid:durableId="1244686945">
    <w:abstractNumId w:val="10"/>
  </w:num>
  <w:num w:numId="10" w16cid:durableId="24603397">
    <w:abstractNumId w:val="20"/>
  </w:num>
  <w:num w:numId="11" w16cid:durableId="910851711">
    <w:abstractNumId w:val="5"/>
  </w:num>
  <w:num w:numId="12" w16cid:durableId="1868062342">
    <w:abstractNumId w:val="16"/>
  </w:num>
  <w:num w:numId="13" w16cid:durableId="1866483681">
    <w:abstractNumId w:val="11"/>
  </w:num>
  <w:num w:numId="14" w16cid:durableId="33777062">
    <w:abstractNumId w:val="4"/>
  </w:num>
  <w:num w:numId="15" w16cid:durableId="627591706">
    <w:abstractNumId w:val="14"/>
  </w:num>
  <w:num w:numId="16" w16cid:durableId="1458720361">
    <w:abstractNumId w:val="18"/>
  </w:num>
  <w:num w:numId="17" w16cid:durableId="63454993">
    <w:abstractNumId w:val="6"/>
  </w:num>
  <w:num w:numId="18" w16cid:durableId="1935822602">
    <w:abstractNumId w:val="7"/>
  </w:num>
  <w:num w:numId="19" w16cid:durableId="920718466">
    <w:abstractNumId w:val="8"/>
  </w:num>
  <w:num w:numId="20" w16cid:durableId="262343194">
    <w:abstractNumId w:val="15"/>
  </w:num>
  <w:num w:numId="21" w16cid:durableId="13228109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595"/>
    <w:rsid w:val="00020557"/>
    <w:rsid w:val="00021FC2"/>
    <w:rsid w:val="0002443E"/>
    <w:rsid w:val="000250C7"/>
    <w:rsid w:val="00026F16"/>
    <w:rsid w:val="000328A2"/>
    <w:rsid w:val="00037621"/>
    <w:rsid w:val="00041CDF"/>
    <w:rsid w:val="00043FEA"/>
    <w:rsid w:val="0004444C"/>
    <w:rsid w:val="00044D46"/>
    <w:rsid w:val="00045088"/>
    <w:rsid w:val="00045904"/>
    <w:rsid w:val="000502FD"/>
    <w:rsid w:val="00050A9A"/>
    <w:rsid w:val="00050D53"/>
    <w:rsid w:val="000613B6"/>
    <w:rsid w:val="00065166"/>
    <w:rsid w:val="0006527D"/>
    <w:rsid w:val="00070358"/>
    <w:rsid w:val="000716CB"/>
    <w:rsid w:val="00082609"/>
    <w:rsid w:val="000851CC"/>
    <w:rsid w:val="00086C55"/>
    <w:rsid w:val="00087F21"/>
    <w:rsid w:val="00093BE8"/>
    <w:rsid w:val="000A08BF"/>
    <w:rsid w:val="000A407B"/>
    <w:rsid w:val="000A511A"/>
    <w:rsid w:val="000A68ED"/>
    <w:rsid w:val="000B5FF1"/>
    <w:rsid w:val="000B609F"/>
    <w:rsid w:val="000D10C6"/>
    <w:rsid w:val="000D1EAC"/>
    <w:rsid w:val="000D4CFA"/>
    <w:rsid w:val="000D55A8"/>
    <w:rsid w:val="000E14BF"/>
    <w:rsid w:val="000E4841"/>
    <w:rsid w:val="000F1677"/>
    <w:rsid w:val="000F3D6C"/>
    <w:rsid w:val="000F5AEC"/>
    <w:rsid w:val="000F6565"/>
    <w:rsid w:val="00100805"/>
    <w:rsid w:val="00101694"/>
    <w:rsid w:val="00101707"/>
    <w:rsid w:val="00102CC9"/>
    <w:rsid w:val="0010593A"/>
    <w:rsid w:val="0011473D"/>
    <w:rsid w:val="00115C85"/>
    <w:rsid w:val="00115FCB"/>
    <w:rsid w:val="00123855"/>
    <w:rsid w:val="00126A4D"/>
    <w:rsid w:val="0013225B"/>
    <w:rsid w:val="00132D0F"/>
    <w:rsid w:val="0014171F"/>
    <w:rsid w:val="0014622C"/>
    <w:rsid w:val="00152348"/>
    <w:rsid w:val="0015456D"/>
    <w:rsid w:val="00155FA2"/>
    <w:rsid w:val="00161F1B"/>
    <w:rsid w:val="00162829"/>
    <w:rsid w:val="00172BE8"/>
    <w:rsid w:val="00174DB5"/>
    <w:rsid w:val="00176133"/>
    <w:rsid w:val="00176D83"/>
    <w:rsid w:val="00180548"/>
    <w:rsid w:val="00180AC4"/>
    <w:rsid w:val="00180CCE"/>
    <w:rsid w:val="0018267A"/>
    <w:rsid w:val="00182779"/>
    <w:rsid w:val="00182788"/>
    <w:rsid w:val="001830DF"/>
    <w:rsid w:val="00192937"/>
    <w:rsid w:val="001966D9"/>
    <w:rsid w:val="00197F24"/>
    <w:rsid w:val="001A007A"/>
    <w:rsid w:val="001A0C02"/>
    <w:rsid w:val="001A0E11"/>
    <w:rsid w:val="001A7E9A"/>
    <w:rsid w:val="001B0F70"/>
    <w:rsid w:val="001B3679"/>
    <w:rsid w:val="001B5016"/>
    <w:rsid w:val="001B7485"/>
    <w:rsid w:val="001C253F"/>
    <w:rsid w:val="001C45FC"/>
    <w:rsid w:val="001D0469"/>
    <w:rsid w:val="001D29C0"/>
    <w:rsid w:val="001D4862"/>
    <w:rsid w:val="001E1628"/>
    <w:rsid w:val="001E25B9"/>
    <w:rsid w:val="001E49E0"/>
    <w:rsid w:val="001E7B5A"/>
    <w:rsid w:val="001F2C4B"/>
    <w:rsid w:val="001F3C98"/>
    <w:rsid w:val="001F7412"/>
    <w:rsid w:val="0020090A"/>
    <w:rsid w:val="0020204E"/>
    <w:rsid w:val="00202DFE"/>
    <w:rsid w:val="002058BF"/>
    <w:rsid w:val="0020725B"/>
    <w:rsid w:val="0021019C"/>
    <w:rsid w:val="002110F1"/>
    <w:rsid w:val="002117CF"/>
    <w:rsid w:val="002206FF"/>
    <w:rsid w:val="00221444"/>
    <w:rsid w:val="00233950"/>
    <w:rsid w:val="002356EA"/>
    <w:rsid w:val="00237A00"/>
    <w:rsid w:val="0024116D"/>
    <w:rsid w:val="0024134B"/>
    <w:rsid w:val="00241814"/>
    <w:rsid w:val="00241B44"/>
    <w:rsid w:val="00241FA3"/>
    <w:rsid w:val="00245EFB"/>
    <w:rsid w:val="0025386E"/>
    <w:rsid w:val="0026269A"/>
    <w:rsid w:val="002638B0"/>
    <w:rsid w:val="0026647A"/>
    <w:rsid w:val="002668D3"/>
    <w:rsid w:val="0027299F"/>
    <w:rsid w:val="00284EBE"/>
    <w:rsid w:val="0028653B"/>
    <w:rsid w:val="002903A7"/>
    <w:rsid w:val="0029341C"/>
    <w:rsid w:val="0029433F"/>
    <w:rsid w:val="00294829"/>
    <w:rsid w:val="0029690F"/>
    <w:rsid w:val="00297C8A"/>
    <w:rsid w:val="002A2A60"/>
    <w:rsid w:val="002A37BB"/>
    <w:rsid w:val="002B1C45"/>
    <w:rsid w:val="002C13C8"/>
    <w:rsid w:val="002C3547"/>
    <w:rsid w:val="002C46CB"/>
    <w:rsid w:val="002C5491"/>
    <w:rsid w:val="002D0021"/>
    <w:rsid w:val="002D299D"/>
    <w:rsid w:val="002D3473"/>
    <w:rsid w:val="002D41C4"/>
    <w:rsid w:val="002F0665"/>
    <w:rsid w:val="002F1956"/>
    <w:rsid w:val="002F3440"/>
    <w:rsid w:val="002F75A3"/>
    <w:rsid w:val="002F77D6"/>
    <w:rsid w:val="00301BC6"/>
    <w:rsid w:val="00302D83"/>
    <w:rsid w:val="00303C2F"/>
    <w:rsid w:val="00311816"/>
    <w:rsid w:val="0031184E"/>
    <w:rsid w:val="003144EF"/>
    <w:rsid w:val="00314F32"/>
    <w:rsid w:val="003152A6"/>
    <w:rsid w:val="00320CC4"/>
    <w:rsid w:val="00322083"/>
    <w:rsid w:val="00326292"/>
    <w:rsid w:val="00326415"/>
    <w:rsid w:val="00330937"/>
    <w:rsid w:val="00330F31"/>
    <w:rsid w:val="00334648"/>
    <w:rsid w:val="00335759"/>
    <w:rsid w:val="0033768C"/>
    <w:rsid w:val="00337938"/>
    <w:rsid w:val="00340769"/>
    <w:rsid w:val="00341AA6"/>
    <w:rsid w:val="00361A0A"/>
    <w:rsid w:val="00363801"/>
    <w:rsid w:val="00364836"/>
    <w:rsid w:val="00364B1A"/>
    <w:rsid w:val="0036565C"/>
    <w:rsid w:val="0036625E"/>
    <w:rsid w:val="0037465A"/>
    <w:rsid w:val="00376451"/>
    <w:rsid w:val="00382544"/>
    <w:rsid w:val="00382C98"/>
    <w:rsid w:val="0038410E"/>
    <w:rsid w:val="0038533C"/>
    <w:rsid w:val="00386568"/>
    <w:rsid w:val="00390B57"/>
    <w:rsid w:val="003948D5"/>
    <w:rsid w:val="00396821"/>
    <w:rsid w:val="0039696F"/>
    <w:rsid w:val="00397B96"/>
    <w:rsid w:val="00397D3A"/>
    <w:rsid w:val="003A051E"/>
    <w:rsid w:val="003A4482"/>
    <w:rsid w:val="003B170F"/>
    <w:rsid w:val="003B3C5F"/>
    <w:rsid w:val="003C02F1"/>
    <w:rsid w:val="003C4471"/>
    <w:rsid w:val="003C4D24"/>
    <w:rsid w:val="003D0A6D"/>
    <w:rsid w:val="003D2408"/>
    <w:rsid w:val="003D5DE3"/>
    <w:rsid w:val="003E0B16"/>
    <w:rsid w:val="003E1BBF"/>
    <w:rsid w:val="003E67D1"/>
    <w:rsid w:val="003F58C0"/>
    <w:rsid w:val="003F6FD5"/>
    <w:rsid w:val="00404329"/>
    <w:rsid w:val="00405DC1"/>
    <w:rsid w:val="00411AB4"/>
    <w:rsid w:val="00412751"/>
    <w:rsid w:val="00412DF6"/>
    <w:rsid w:val="00415606"/>
    <w:rsid w:val="00415F1F"/>
    <w:rsid w:val="0042108F"/>
    <w:rsid w:val="00430FED"/>
    <w:rsid w:val="00434A8C"/>
    <w:rsid w:val="00434EC6"/>
    <w:rsid w:val="00435114"/>
    <w:rsid w:val="0043643D"/>
    <w:rsid w:val="00437297"/>
    <w:rsid w:val="004376C9"/>
    <w:rsid w:val="00444284"/>
    <w:rsid w:val="00445CE6"/>
    <w:rsid w:val="00450393"/>
    <w:rsid w:val="004534C2"/>
    <w:rsid w:val="0045446F"/>
    <w:rsid w:val="00454A6F"/>
    <w:rsid w:val="0045683E"/>
    <w:rsid w:val="00460D59"/>
    <w:rsid w:val="00461F95"/>
    <w:rsid w:val="004668E9"/>
    <w:rsid w:val="00471959"/>
    <w:rsid w:val="0047278D"/>
    <w:rsid w:val="00474C2B"/>
    <w:rsid w:val="00477C72"/>
    <w:rsid w:val="00484784"/>
    <w:rsid w:val="00491675"/>
    <w:rsid w:val="00493855"/>
    <w:rsid w:val="00495E79"/>
    <w:rsid w:val="00496C17"/>
    <w:rsid w:val="004A1147"/>
    <w:rsid w:val="004A2D83"/>
    <w:rsid w:val="004A57DD"/>
    <w:rsid w:val="004A7B51"/>
    <w:rsid w:val="004A7D71"/>
    <w:rsid w:val="004A7EF3"/>
    <w:rsid w:val="004B11FD"/>
    <w:rsid w:val="004B23A2"/>
    <w:rsid w:val="004C2BEB"/>
    <w:rsid w:val="004C2E64"/>
    <w:rsid w:val="004C7A8F"/>
    <w:rsid w:val="004D1A5A"/>
    <w:rsid w:val="004D1DDC"/>
    <w:rsid w:val="004D2FFF"/>
    <w:rsid w:val="004D3721"/>
    <w:rsid w:val="004D64F9"/>
    <w:rsid w:val="004E18E9"/>
    <w:rsid w:val="004E3A6B"/>
    <w:rsid w:val="004E50EC"/>
    <w:rsid w:val="004E622C"/>
    <w:rsid w:val="004F5FDF"/>
    <w:rsid w:val="00502536"/>
    <w:rsid w:val="005038A9"/>
    <w:rsid w:val="005177FE"/>
    <w:rsid w:val="00520242"/>
    <w:rsid w:val="0052263B"/>
    <w:rsid w:val="00523095"/>
    <w:rsid w:val="00524728"/>
    <w:rsid w:val="005331CA"/>
    <w:rsid w:val="00537970"/>
    <w:rsid w:val="00540E3A"/>
    <w:rsid w:val="00541A45"/>
    <w:rsid w:val="00544127"/>
    <w:rsid w:val="005463A9"/>
    <w:rsid w:val="00553EB2"/>
    <w:rsid w:val="00560534"/>
    <w:rsid w:val="0056391B"/>
    <w:rsid w:val="005650E2"/>
    <w:rsid w:val="00567610"/>
    <w:rsid w:val="00567AD7"/>
    <w:rsid w:val="00570BED"/>
    <w:rsid w:val="00570CC5"/>
    <w:rsid w:val="00572365"/>
    <w:rsid w:val="00575B2D"/>
    <w:rsid w:val="00581827"/>
    <w:rsid w:val="00581C82"/>
    <w:rsid w:val="005833D0"/>
    <w:rsid w:val="005842C9"/>
    <w:rsid w:val="005846F3"/>
    <w:rsid w:val="0058622F"/>
    <w:rsid w:val="005925B5"/>
    <w:rsid w:val="00592F82"/>
    <w:rsid w:val="005945FE"/>
    <w:rsid w:val="005A0CCA"/>
    <w:rsid w:val="005A1083"/>
    <w:rsid w:val="005A1EBE"/>
    <w:rsid w:val="005A6C7C"/>
    <w:rsid w:val="005A6FF2"/>
    <w:rsid w:val="005A726D"/>
    <w:rsid w:val="005B10DE"/>
    <w:rsid w:val="005B67AC"/>
    <w:rsid w:val="005B780D"/>
    <w:rsid w:val="005B79F4"/>
    <w:rsid w:val="005C4919"/>
    <w:rsid w:val="005D09BD"/>
    <w:rsid w:val="005D16DD"/>
    <w:rsid w:val="005D43E0"/>
    <w:rsid w:val="005D58A3"/>
    <w:rsid w:val="005E1B79"/>
    <w:rsid w:val="005E3762"/>
    <w:rsid w:val="005E6076"/>
    <w:rsid w:val="005E7008"/>
    <w:rsid w:val="005F026D"/>
    <w:rsid w:val="005F2AEA"/>
    <w:rsid w:val="005F2D0B"/>
    <w:rsid w:val="005F4B31"/>
    <w:rsid w:val="005F5AAD"/>
    <w:rsid w:val="005F7346"/>
    <w:rsid w:val="006039EB"/>
    <w:rsid w:val="00605B8F"/>
    <w:rsid w:val="00610388"/>
    <w:rsid w:val="00610AC7"/>
    <w:rsid w:val="00612CA5"/>
    <w:rsid w:val="00613BFD"/>
    <w:rsid w:val="00613F81"/>
    <w:rsid w:val="006153EC"/>
    <w:rsid w:val="00617647"/>
    <w:rsid w:val="00621A17"/>
    <w:rsid w:val="00621A26"/>
    <w:rsid w:val="00627CC9"/>
    <w:rsid w:val="00627E7B"/>
    <w:rsid w:val="00630542"/>
    <w:rsid w:val="00632E44"/>
    <w:rsid w:val="0063381C"/>
    <w:rsid w:val="00634622"/>
    <w:rsid w:val="00636808"/>
    <w:rsid w:val="00637D43"/>
    <w:rsid w:val="00641515"/>
    <w:rsid w:val="00647A8F"/>
    <w:rsid w:val="00654C2F"/>
    <w:rsid w:val="00657087"/>
    <w:rsid w:val="00657F61"/>
    <w:rsid w:val="00661CB5"/>
    <w:rsid w:val="0066213A"/>
    <w:rsid w:val="006624AB"/>
    <w:rsid w:val="006639DB"/>
    <w:rsid w:val="006661EF"/>
    <w:rsid w:val="00677AEB"/>
    <w:rsid w:val="0068030E"/>
    <w:rsid w:val="00680EF2"/>
    <w:rsid w:val="0068543A"/>
    <w:rsid w:val="00687A1D"/>
    <w:rsid w:val="006925C1"/>
    <w:rsid w:val="00693CFB"/>
    <w:rsid w:val="00697EA1"/>
    <w:rsid w:val="006A2646"/>
    <w:rsid w:val="006A6530"/>
    <w:rsid w:val="006B31CE"/>
    <w:rsid w:val="006B435A"/>
    <w:rsid w:val="006B4C64"/>
    <w:rsid w:val="006B7B3B"/>
    <w:rsid w:val="006C225D"/>
    <w:rsid w:val="006D282B"/>
    <w:rsid w:val="006D65FD"/>
    <w:rsid w:val="006D6BD5"/>
    <w:rsid w:val="006E0D3B"/>
    <w:rsid w:val="006E481A"/>
    <w:rsid w:val="006E5298"/>
    <w:rsid w:val="006F3B80"/>
    <w:rsid w:val="006F4A78"/>
    <w:rsid w:val="006F734A"/>
    <w:rsid w:val="00700D83"/>
    <w:rsid w:val="00704852"/>
    <w:rsid w:val="0070524B"/>
    <w:rsid w:val="00705D5F"/>
    <w:rsid w:val="007074E9"/>
    <w:rsid w:val="00713DA4"/>
    <w:rsid w:val="00714BF1"/>
    <w:rsid w:val="00721383"/>
    <w:rsid w:val="00721A31"/>
    <w:rsid w:val="00730364"/>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4834"/>
    <w:rsid w:val="0078583C"/>
    <w:rsid w:val="00787BCC"/>
    <w:rsid w:val="00793173"/>
    <w:rsid w:val="007A2A33"/>
    <w:rsid w:val="007A5171"/>
    <w:rsid w:val="007B3D82"/>
    <w:rsid w:val="007B5C89"/>
    <w:rsid w:val="007B62E8"/>
    <w:rsid w:val="007C1FCC"/>
    <w:rsid w:val="007C6201"/>
    <w:rsid w:val="007D7C92"/>
    <w:rsid w:val="007E1154"/>
    <w:rsid w:val="007E2919"/>
    <w:rsid w:val="007E2BBE"/>
    <w:rsid w:val="007E46A8"/>
    <w:rsid w:val="007E6BA4"/>
    <w:rsid w:val="007E6BD0"/>
    <w:rsid w:val="007F41F8"/>
    <w:rsid w:val="007F553A"/>
    <w:rsid w:val="007F659B"/>
    <w:rsid w:val="008016CD"/>
    <w:rsid w:val="0080441E"/>
    <w:rsid w:val="0080454E"/>
    <w:rsid w:val="00804C32"/>
    <w:rsid w:val="00806302"/>
    <w:rsid w:val="00807119"/>
    <w:rsid w:val="0081386E"/>
    <w:rsid w:val="008216B4"/>
    <w:rsid w:val="00823225"/>
    <w:rsid w:val="0082483F"/>
    <w:rsid w:val="00826FBD"/>
    <w:rsid w:val="008279C0"/>
    <w:rsid w:val="00831550"/>
    <w:rsid w:val="00835FCC"/>
    <w:rsid w:val="00851A39"/>
    <w:rsid w:val="008544D2"/>
    <w:rsid w:val="008605A7"/>
    <w:rsid w:val="00867701"/>
    <w:rsid w:val="00871C74"/>
    <w:rsid w:val="008723F3"/>
    <w:rsid w:val="00876F56"/>
    <w:rsid w:val="00880059"/>
    <w:rsid w:val="00881DE6"/>
    <w:rsid w:val="008837A6"/>
    <w:rsid w:val="0089145D"/>
    <w:rsid w:val="00891690"/>
    <w:rsid w:val="0089197E"/>
    <w:rsid w:val="0089357A"/>
    <w:rsid w:val="008A4DF2"/>
    <w:rsid w:val="008A6CFE"/>
    <w:rsid w:val="008B1BDB"/>
    <w:rsid w:val="008B29E6"/>
    <w:rsid w:val="008B5333"/>
    <w:rsid w:val="008B5781"/>
    <w:rsid w:val="008B58D5"/>
    <w:rsid w:val="008B5A66"/>
    <w:rsid w:val="008B6223"/>
    <w:rsid w:val="008B72B8"/>
    <w:rsid w:val="008C2660"/>
    <w:rsid w:val="008C66E0"/>
    <w:rsid w:val="008C70A3"/>
    <w:rsid w:val="008D1616"/>
    <w:rsid w:val="008D33B7"/>
    <w:rsid w:val="008E3339"/>
    <w:rsid w:val="008F1F2B"/>
    <w:rsid w:val="008F20FC"/>
    <w:rsid w:val="008F2228"/>
    <w:rsid w:val="008F5FFE"/>
    <w:rsid w:val="00905A43"/>
    <w:rsid w:val="009071F0"/>
    <w:rsid w:val="00912C79"/>
    <w:rsid w:val="00921B8C"/>
    <w:rsid w:val="00924DAF"/>
    <w:rsid w:val="00926FAB"/>
    <w:rsid w:val="00931D14"/>
    <w:rsid w:val="00935286"/>
    <w:rsid w:val="00935EEF"/>
    <w:rsid w:val="00942123"/>
    <w:rsid w:val="00944A8B"/>
    <w:rsid w:val="0094525C"/>
    <w:rsid w:val="00951AA8"/>
    <w:rsid w:val="0095207B"/>
    <w:rsid w:val="00954C85"/>
    <w:rsid w:val="00962045"/>
    <w:rsid w:val="0096377D"/>
    <w:rsid w:val="009646C7"/>
    <w:rsid w:val="00980E61"/>
    <w:rsid w:val="00990E96"/>
    <w:rsid w:val="00991428"/>
    <w:rsid w:val="00992676"/>
    <w:rsid w:val="00995079"/>
    <w:rsid w:val="009954B2"/>
    <w:rsid w:val="00996691"/>
    <w:rsid w:val="009A3AB7"/>
    <w:rsid w:val="009A652D"/>
    <w:rsid w:val="009A7C2B"/>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E5282"/>
    <w:rsid w:val="009E5987"/>
    <w:rsid w:val="009E6DD7"/>
    <w:rsid w:val="009F275E"/>
    <w:rsid w:val="009F4E3B"/>
    <w:rsid w:val="00A0470D"/>
    <w:rsid w:val="00A047EE"/>
    <w:rsid w:val="00A12D94"/>
    <w:rsid w:val="00A14496"/>
    <w:rsid w:val="00A21CCC"/>
    <w:rsid w:val="00A2274A"/>
    <w:rsid w:val="00A235B7"/>
    <w:rsid w:val="00A27A7A"/>
    <w:rsid w:val="00A326EE"/>
    <w:rsid w:val="00A34ABE"/>
    <w:rsid w:val="00A407EF"/>
    <w:rsid w:val="00A41228"/>
    <w:rsid w:val="00A46B4C"/>
    <w:rsid w:val="00A5117B"/>
    <w:rsid w:val="00A5246C"/>
    <w:rsid w:val="00A535F9"/>
    <w:rsid w:val="00A5467C"/>
    <w:rsid w:val="00A56D34"/>
    <w:rsid w:val="00A60074"/>
    <w:rsid w:val="00A6627C"/>
    <w:rsid w:val="00A71019"/>
    <w:rsid w:val="00A7218D"/>
    <w:rsid w:val="00A744A3"/>
    <w:rsid w:val="00A81029"/>
    <w:rsid w:val="00A84235"/>
    <w:rsid w:val="00A845F5"/>
    <w:rsid w:val="00A96489"/>
    <w:rsid w:val="00AA2435"/>
    <w:rsid w:val="00AA4206"/>
    <w:rsid w:val="00AA46B1"/>
    <w:rsid w:val="00AB2425"/>
    <w:rsid w:val="00AB3688"/>
    <w:rsid w:val="00AB685C"/>
    <w:rsid w:val="00AB6C2D"/>
    <w:rsid w:val="00AC08F7"/>
    <w:rsid w:val="00AC317D"/>
    <w:rsid w:val="00AC3839"/>
    <w:rsid w:val="00AC583D"/>
    <w:rsid w:val="00AC7082"/>
    <w:rsid w:val="00AD4BE8"/>
    <w:rsid w:val="00AE5B6F"/>
    <w:rsid w:val="00AF228E"/>
    <w:rsid w:val="00B016A8"/>
    <w:rsid w:val="00B04033"/>
    <w:rsid w:val="00B11454"/>
    <w:rsid w:val="00B14819"/>
    <w:rsid w:val="00B15E2F"/>
    <w:rsid w:val="00B17AA9"/>
    <w:rsid w:val="00B44713"/>
    <w:rsid w:val="00B455E5"/>
    <w:rsid w:val="00B51B95"/>
    <w:rsid w:val="00B52D0E"/>
    <w:rsid w:val="00B56103"/>
    <w:rsid w:val="00B5765C"/>
    <w:rsid w:val="00B64929"/>
    <w:rsid w:val="00B736DF"/>
    <w:rsid w:val="00B73932"/>
    <w:rsid w:val="00B743D6"/>
    <w:rsid w:val="00B74FBD"/>
    <w:rsid w:val="00B77F46"/>
    <w:rsid w:val="00B82586"/>
    <w:rsid w:val="00B829A3"/>
    <w:rsid w:val="00B831CB"/>
    <w:rsid w:val="00B86DB1"/>
    <w:rsid w:val="00B87114"/>
    <w:rsid w:val="00B87869"/>
    <w:rsid w:val="00B95501"/>
    <w:rsid w:val="00B9639B"/>
    <w:rsid w:val="00B976D0"/>
    <w:rsid w:val="00BA1CFD"/>
    <w:rsid w:val="00BB0F2B"/>
    <w:rsid w:val="00BC0B68"/>
    <w:rsid w:val="00BC231B"/>
    <w:rsid w:val="00BC5E24"/>
    <w:rsid w:val="00BC70B9"/>
    <w:rsid w:val="00BE160D"/>
    <w:rsid w:val="00BE3979"/>
    <w:rsid w:val="00BE4FF3"/>
    <w:rsid w:val="00BF2C93"/>
    <w:rsid w:val="00BF3C3A"/>
    <w:rsid w:val="00BF50F7"/>
    <w:rsid w:val="00BF6641"/>
    <w:rsid w:val="00C02F29"/>
    <w:rsid w:val="00C030DE"/>
    <w:rsid w:val="00C17718"/>
    <w:rsid w:val="00C20AFE"/>
    <w:rsid w:val="00C22A25"/>
    <w:rsid w:val="00C270C4"/>
    <w:rsid w:val="00C305F5"/>
    <w:rsid w:val="00C33B82"/>
    <w:rsid w:val="00C344E0"/>
    <w:rsid w:val="00C35671"/>
    <w:rsid w:val="00C35B77"/>
    <w:rsid w:val="00C376EB"/>
    <w:rsid w:val="00C46A92"/>
    <w:rsid w:val="00C46EC1"/>
    <w:rsid w:val="00C519F9"/>
    <w:rsid w:val="00C52796"/>
    <w:rsid w:val="00C53ABA"/>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0A05"/>
    <w:rsid w:val="00CB09F0"/>
    <w:rsid w:val="00CB1983"/>
    <w:rsid w:val="00CB2CBB"/>
    <w:rsid w:val="00CB7CAC"/>
    <w:rsid w:val="00CC3585"/>
    <w:rsid w:val="00CC5335"/>
    <w:rsid w:val="00CC5BA4"/>
    <w:rsid w:val="00CD4998"/>
    <w:rsid w:val="00CE1035"/>
    <w:rsid w:val="00CE6E50"/>
    <w:rsid w:val="00CF2819"/>
    <w:rsid w:val="00CF3708"/>
    <w:rsid w:val="00CF4F9D"/>
    <w:rsid w:val="00CF70DC"/>
    <w:rsid w:val="00D01697"/>
    <w:rsid w:val="00D14728"/>
    <w:rsid w:val="00D148DC"/>
    <w:rsid w:val="00D17FDC"/>
    <w:rsid w:val="00D21D8C"/>
    <w:rsid w:val="00D5099F"/>
    <w:rsid w:val="00D53719"/>
    <w:rsid w:val="00D61C8E"/>
    <w:rsid w:val="00D63EFD"/>
    <w:rsid w:val="00D6701A"/>
    <w:rsid w:val="00D70C98"/>
    <w:rsid w:val="00D72DE0"/>
    <w:rsid w:val="00D84752"/>
    <w:rsid w:val="00D86B3B"/>
    <w:rsid w:val="00D8748A"/>
    <w:rsid w:val="00D93196"/>
    <w:rsid w:val="00DA0DC0"/>
    <w:rsid w:val="00DB243C"/>
    <w:rsid w:val="00DB482A"/>
    <w:rsid w:val="00DB50FB"/>
    <w:rsid w:val="00DB56F2"/>
    <w:rsid w:val="00DB6EF5"/>
    <w:rsid w:val="00DC3089"/>
    <w:rsid w:val="00DC4420"/>
    <w:rsid w:val="00DC4660"/>
    <w:rsid w:val="00DC6558"/>
    <w:rsid w:val="00DD0802"/>
    <w:rsid w:val="00DD2E11"/>
    <w:rsid w:val="00DE03AF"/>
    <w:rsid w:val="00DE121C"/>
    <w:rsid w:val="00DE6633"/>
    <w:rsid w:val="00DF75F8"/>
    <w:rsid w:val="00DF7A3A"/>
    <w:rsid w:val="00E00C00"/>
    <w:rsid w:val="00E07C5A"/>
    <w:rsid w:val="00E15BA9"/>
    <w:rsid w:val="00E222FA"/>
    <w:rsid w:val="00E24BF9"/>
    <w:rsid w:val="00E26633"/>
    <w:rsid w:val="00E26E19"/>
    <w:rsid w:val="00E31DF3"/>
    <w:rsid w:val="00E40192"/>
    <w:rsid w:val="00E436F0"/>
    <w:rsid w:val="00E43782"/>
    <w:rsid w:val="00E443D7"/>
    <w:rsid w:val="00E450A4"/>
    <w:rsid w:val="00E506BE"/>
    <w:rsid w:val="00E51AF2"/>
    <w:rsid w:val="00E52525"/>
    <w:rsid w:val="00E543CE"/>
    <w:rsid w:val="00E55547"/>
    <w:rsid w:val="00E56312"/>
    <w:rsid w:val="00E6302B"/>
    <w:rsid w:val="00E6452F"/>
    <w:rsid w:val="00E64F45"/>
    <w:rsid w:val="00E6742D"/>
    <w:rsid w:val="00E702C6"/>
    <w:rsid w:val="00E71CB0"/>
    <w:rsid w:val="00E71D21"/>
    <w:rsid w:val="00E73D48"/>
    <w:rsid w:val="00E76DCE"/>
    <w:rsid w:val="00E77C3D"/>
    <w:rsid w:val="00E833F4"/>
    <w:rsid w:val="00E90991"/>
    <w:rsid w:val="00E909F0"/>
    <w:rsid w:val="00E90D47"/>
    <w:rsid w:val="00E93993"/>
    <w:rsid w:val="00E94797"/>
    <w:rsid w:val="00E9597C"/>
    <w:rsid w:val="00EA0913"/>
    <w:rsid w:val="00EA31FE"/>
    <w:rsid w:val="00EA5B00"/>
    <w:rsid w:val="00EB146B"/>
    <w:rsid w:val="00EB45AC"/>
    <w:rsid w:val="00EC441F"/>
    <w:rsid w:val="00EC4755"/>
    <w:rsid w:val="00ED0BC4"/>
    <w:rsid w:val="00ED447D"/>
    <w:rsid w:val="00ED4A5D"/>
    <w:rsid w:val="00EE2FB2"/>
    <w:rsid w:val="00EE3503"/>
    <w:rsid w:val="00EE4971"/>
    <w:rsid w:val="00EE6CB0"/>
    <w:rsid w:val="00EF090E"/>
    <w:rsid w:val="00EF2273"/>
    <w:rsid w:val="00EF5572"/>
    <w:rsid w:val="00F01D7D"/>
    <w:rsid w:val="00F021F5"/>
    <w:rsid w:val="00F033DA"/>
    <w:rsid w:val="00F13691"/>
    <w:rsid w:val="00F13FB1"/>
    <w:rsid w:val="00F17F23"/>
    <w:rsid w:val="00F2410B"/>
    <w:rsid w:val="00F27CD8"/>
    <w:rsid w:val="00F30351"/>
    <w:rsid w:val="00F3323E"/>
    <w:rsid w:val="00F341F4"/>
    <w:rsid w:val="00F34F9D"/>
    <w:rsid w:val="00F35CCE"/>
    <w:rsid w:val="00F41146"/>
    <w:rsid w:val="00F422E3"/>
    <w:rsid w:val="00F475AE"/>
    <w:rsid w:val="00F5524B"/>
    <w:rsid w:val="00F5731E"/>
    <w:rsid w:val="00F60538"/>
    <w:rsid w:val="00F60933"/>
    <w:rsid w:val="00F60E95"/>
    <w:rsid w:val="00F61DD2"/>
    <w:rsid w:val="00F62E7A"/>
    <w:rsid w:val="00F66AFF"/>
    <w:rsid w:val="00F70126"/>
    <w:rsid w:val="00F70BB1"/>
    <w:rsid w:val="00F71433"/>
    <w:rsid w:val="00F766CA"/>
    <w:rsid w:val="00F82F8C"/>
    <w:rsid w:val="00F87B04"/>
    <w:rsid w:val="00F97C5B"/>
    <w:rsid w:val="00FA12B9"/>
    <w:rsid w:val="00FA17D2"/>
    <w:rsid w:val="00FA3D50"/>
    <w:rsid w:val="00FA417D"/>
    <w:rsid w:val="00FA694B"/>
    <w:rsid w:val="00FB1C26"/>
    <w:rsid w:val="00FB31D6"/>
    <w:rsid w:val="00FB6A19"/>
    <w:rsid w:val="00FB7FBD"/>
    <w:rsid w:val="00FC374A"/>
    <w:rsid w:val="00FC74C8"/>
    <w:rsid w:val="00FC7B47"/>
    <w:rsid w:val="00FD035C"/>
    <w:rsid w:val="00FD1A35"/>
    <w:rsid w:val="00FD2BB2"/>
    <w:rsid w:val="00FD2EA4"/>
    <w:rsid w:val="00FD36C5"/>
    <w:rsid w:val="00FD62EA"/>
    <w:rsid w:val="00FD6310"/>
    <w:rsid w:val="00FD7C7B"/>
    <w:rsid w:val="00FE1D12"/>
    <w:rsid w:val="00FE2122"/>
    <w:rsid w:val="00FE2A86"/>
    <w:rsid w:val="00FE2DE2"/>
    <w:rsid w:val="00FF296F"/>
    <w:rsid w:val="00FF5E23"/>
    <w:rsid w:val="00FF5F1E"/>
    <w:rsid w:val="00FF7578"/>
    <w:rsid w:val="113B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69BB9-723D-4C0D-BA0D-82BEBE3E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E. Mu�oz</cp:lastModifiedBy>
  <cp:revision>215</cp:revision>
  <cp:lastPrinted>2019-08-27T05:42:00Z</cp:lastPrinted>
  <dcterms:created xsi:type="dcterms:W3CDTF">2024-02-29T03:11:00Z</dcterms:created>
  <dcterms:modified xsi:type="dcterms:W3CDTF">2024-03-01T18:49:00Z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