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JM" w:eastAsia="en-JM"/>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24599E">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8C206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94FDC" w:rsidRDefault="00B263D0" w:rsidP="008C206D">
      <w:pPr>
        <w:pStyle w:val="ListParagraph"/>
        <w:numPr>
          <w:ilvl w:val="0"/>
          <w:numId w:val="1"/>
        </w:numPr>
        <w:ind w:left="426" w:hanging="426"/>
        <w:jc w:val="both"/>
        <w:rPr>
          <w:rFonts w:ascii="Avenir Next" w:hAnsi="Avenir Next" w:cs="Arial"/>
          <w:sz w:val="22"/>
          <w:szCs w:val="22"/>
          <w:highlight w:val="yellow"/>
          <w:lang w:val="en-GB"/>
        </w:rPr>
      </w:pPr>
      <w:r w:rsidRPr="00594FD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8C206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8C206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8C206D">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8C206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8C206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594FDC" w:rsidRDefault="783FE671" w:rsidP="783FE671">
      <w:pPr>
        <w:pStyle w:val="ListParagraph"/>
        <w:numPr>
          <w:ilvl w:val="0"/>
          <w:numId w:val="10"/>
        </w:numPr>
        <w:ind w:left="426" w:hanging="426"/>
        <w:jc w:val="both"/>
        <w:rPr>
          <w:rFonts w:ascii="Avenir Next" w:hAnsi="Avenir Next" w:cs="Arial"/>
          <w:sz w:val="22"/>
          <w:szCs w:val="22"/>
          <w:lang w:val="en-GB"/>
        </w:rPr>
      </w:pPr>
      <w:r w:rsidRPr="783FE671">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C206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C206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C206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C206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C206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C206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594FDC" w:rsidRDefault="00893A03" w:rsidP="008C206D">
      <w:pPr>
        <w:pStyle w:val="ListParagraph"/>
        <w:numPr>
          <w:ilvl w:val="0"/>
          <w:numId w:val="2"/>
        </w:numPr>
        <w:ind w:left="426" w:hanging="426"/>
        <w:jc w:val="both"/>
        <w:rPr>
          <w:rFonts w:ascii="Avenir Next" w:hAnsi="Avenir Next" w:cs="Arial"/>
          <w:sz w:val="22"/>
          <w:szCs w:val="22"/>
          <w:highlight w:val="yellow"/>
          <w:lang w:val="en-GB"/>
        </w:rPr>
      </w:pPr>
      <w:r w:rsidRPr="00594FDC">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C206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8C206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8C206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8C206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8C206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8C206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8C206D">
      <w:pPr>
        <w:pStyle w:val="ListParagraph"/>
        <w:numPr>
          <w:ilvl w:val="0"/>
          <w:numId w:val="3"/>
        </w:numPr>
        <w:ind w:left="426" w:hanging="426"/>
        <w:jc w:val="both"/>
        <w:rPr>
          <w:rFonts w:ascii="Avenir Next" w:hAnsi="Avenir Next" w:cs="Arial"/>
          <w:sz w:val="22"/>
          <w:szCs w:val="22"/>
          <w:lang w:val="en-GB"/>
        </w:rPr>
      </w:pPr>
      <w:r w:rsidRPr="00594FDC">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8C206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8C206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8C206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8C206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8C206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8C206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8C206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8C206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CCA2816" w:rsidP="0CCA2816">
      <w:pPr>
        <w:pStyle w:val="ListParagraph"/>
        <w:numPr>
          <w:ilvl w:val="0"/>
          <w:numId w:val="4"/>
        </w:numPr>
        <w:ind w:left="426" w:hanging="426"/>
        <w:jc w:val="both"/>
        <w:rPr>
          <w:rFonts w:ascii="Avenir Next" w:hAnsi="Avenir Next" w:cs="Arial"/>
          <w:sz w:val="22"/>
          <w:szCs w:val="22"/>
        </w:rPr>
      </w:pPr>
      <w:r w:rsidRPr="0CCA2816">
        <w:rPr>
          <w:rFonts w:ascii="Avenir Next" w:hAnsi="Avenir Next" w:cs="Arial"/>
          <w:sz w:val="22"/>
          <w:szCs w:val="22"/>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CCA2816" w:rsidP="0CCA2816">
      <w:pPr>
        <w:pStyle w:val="ListParagraph"/>
        <w:numPr>
          <w:ilvl w:val="0"/>
          <w:numId w:val="4"/>
        </w:numPr>
        <w:ind w:left="426" w:hanging="426"/>
        <w:jc w:val="both"/>
        <w:rPr>
          <w:rFonts w:ascii="Avenir Next" w:hAnsi="Avenir Next" w:cs="Arial"/>
          <w:sz w:val="22"/>
          <w:szCs w:val="22"/>
        </w:rPr>
      </w:pPr>
      <w:r w:rsidRPr="0CCA2816">
        <w:rPr>
          <w:rFonts w:ascii="Avenir Next" w:hAnsi="Avenir Next" w:cs="Arial"/>
          <w:sz w:val="22"/>
          <w:szCs w:val="22"/>
        </w:rPr>
        <w:t xml:space="preserve">Options (ii) and (iii).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CCA2816" w:rsidP="0CCA2816">
      <w:pPr>
        <w:pStyle w:val="ListParagraph"/>
        <w:numPr>
          <w:ilvl w:val="0"/>
          <w:numId w:val="4"/>
        </w:numPr>
        <w:ind w:left="426" w:hanging="426"/>
        <w:jc w:val="both"/>
        <w:rPr>
          <w:rFonts w:ascii="Avenir Next" w:hAnsi="Avenir Next" w:cs="Arial"/>
          <w:sz w:val="22"/>
          <w:szCs w:val="22"/>
        </w:rPr>
      </w:pPr>
      <w:r w:rsidRPr="0CCA2816">
        <w:rPr>
          <w:rFonts w:ascii="Avenir Next" w:hAnsi="Avenir Next" w:cs="Arial"/>
          <w:sz w:val="22"/>
          <w:szCs w:val="22"/>
        </w:rPr>
        <w:t xml:space="preserve">Options (iii) and (v).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594FDC" w:rsidRDefault="003220BA" w:rsidP="008C206D">
      <w:pPr>
        <w:pStyle w:val="ListParagraph"/>
        <w:numPr>
          <w:ilvl w:val="0"/>
          <w:numId w:val="4"/>
        </w:numPr>
        <w:ind w:left="426" w:hanging="426"/>
        <w:jc w:val="both"/>
        <w:rPr>
          <w:rFonts w:ascii="Avenir Next" w:hAnsi="Avenir Next" w:cs="Arial"/>
          <w:sz w:val="22"/>
          <w:szCs w:val="22"/>
          <w:highlight w:val="yellow"/>
          <w:lang w:val="en-GB"/>
        </w:rPr>
      </w:pPr>
      <w:r w:rsidRPr="00594FDC">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8C206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8C206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8C206D">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8C206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94FDC" w:rsidRDefault="783FE671" w:rsidP="783FE671">
      <w:pPr>
        <w:pStyle w:val="ListParagraph"/>
        <w:numPr>
          <w:ilvl w:val="0"/>
          <w:numId w:val="5"/>
        </w:numPr>
        <w:ind w:left="426" w:hanging="426"/>
        <w:jc w:val="both"/>
        <w:rPr>
          <w:rFonts w:ascii="Avenir Next" w:hAnsi="Avenir Next" w:cs="Arial"/>
          <w:sz w:val="22"/>
          <w:szCs w:val="22"/>
          <w:highlight w:val="yellow"/>
          <w:lang w:val="en-GB"/>
        </w:rPr>
      </w:pPr>
      <w:r w:rsidRPr="783FE671">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8C206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8C206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8C206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8C206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8C206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94FDC" w:rsidRDefault="00F51EE5" w:rsidP="008C206D">
      <w:pPr>
        <w:pStyle w:val="ListParagraph"/>
        <w:numPr>
          <w:ilvl w:val="0"/>
          <w:numId w:val="6"/>
        </w:numPr>
        <w:ind w:left="426" w:hanging="426"/>
        <w:jc w:val="both"/>
        <w:rPr>
          <w:rFonts w:ascii="Avenir Next" w:hAnsi="Avenir Next" w:cs="Arial"/>
          <w:sz w:val="22"/>
          <w:szCs w:val="22"/>
          <w:highlight w:val="yellow"/>
          <w:lang w:val="en-GB"/>
        </w:rPr>
      </w:pPr>
      <w:r w:rsidRPr="00594FDC">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8C206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8C206D">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8C206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8C206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8C206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8C206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8C206D">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8C206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8C206D">
      <w:pPr>
        <w:pStyle w:val="ListParagraph"/>
        <w:numPr>
          <w:ilvl w:val="0"/>
          <w:numId w:val="7"/>
        </w:numPr>
        <w:ind w:left="426" w:hanging="426"/>
        <w:jc w:val="both"/>
        <w:rPr>
          <w:rFonts w:ascii="Avenir Next" w:hAnsi="Avenir Next" w:cs="Arial"/>
          <w:sz w:val="22"/>
          <w:szCs w:val="22"/>
          <w:lang w:val="en-GB"/>
        </w:rPr>
      </w:pPr>
      <w:r w:rsidRPr="00594FDC">
        <w:rPr>
          <w:rFonts w:ascii="Avenir Next" w:hAnsi="Avenir Next" w:cs="Arial"/>
          <w:sz w:val="22"/>
          <w:szCs w:val="22"/>
          <w:highlight w:val="yellow"/>
          <w:lang w:val="en-GB"/>
        </w:rPr>
        <w:t>All of the above</w:t>
      </w:r>
      <w:r>
        <w:rPr>
          <w:rFonts w:ascii="Avenir Next" w:hAnsi="Avenir Next" w:cs="Arial"/>
          <w:sz w:val="22"/>
          <w:szCs w:val="22"/>
          <w:lang w:val="en-GB"/>
        </w:rPr>
        <w:t>.</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8C206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8C206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8C206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8C206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8C206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CCA2816" w:rsidP="0CCA2816">
      <w:pPr>
        <w:pStyle w:val="ListParagraph"/>
        <w:numPr>
          <w:ilvl w:val="0"/>
          <w:numId w:val="8"/>
        </w:numPr>
        <w:ind w:left="426" w:hanging="426"/>
        <w:jc w:val="both"/>
        <w:rPr>
          <w:rFonts w:ascii="Avenir Next" w:hAnsi="Avenir Next" w:cs="Arial"/>
          <w:sz w:val="22"/>
          <w:szCs w:val="22"/>
        </w:rPr>
      </w:pPr>
      <w:r w:rsidRPr="0CCA2816">
        <w:rPr>
          <w:rFonts w:ascii="Avenir Next" w:hAnsi="Avenir Next" w:cs="Arial"/>
          <w:sz w:val="22"/>
          <w:szCs w:val="22"/>
        </w:rPr>
        <w:t xml:space="preserve">Options (i),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8C206D">
      <w:pPr>
        <w:pStyle w:val="ListParagraph"/>
        <w:numPr>
          <w:ilvl w:val="0"/>
          <w:numId w:val="8"/>
        </w:numPr>
        <w:ind w:left="426" w:hanging="426"/>
        <w:jc w:val="both"/>
        <w:rPr>
          <w:rFonts w:ascii="Avenir Next" w:hAnsi="Avenir Next" w:cs="Arial"/>
          <w:sz w:val="22"/>
          <w:szCs w:val="22"/>
          <w:lang w:val="en-GB"/>
        </w:rPr>
      </w:pPr>
      <w:r w:rsidRPr="00594FDC">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8C206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8C206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8C206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8C206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94FDC" w:rsidRDefault="00C4510C" w:rsidP="008C206D">
      <w:pPr>
        <w:pStyle w:val="ListParagraph"/>
        <w:numPr>
          <w:ilvl w:val="0"/>
          <w:numId w:val="9"/>
        </w:numPr>
        <w:ind w:left="426" w:hanging="426"/>
        <w:jc w:val="both"/>
        <w:rPr>
          <w:rFonts w:ascii="Avenir Next" w:hAnsi="Avenir Next" w:cs="Arial"/>
          <w:sz w:val="22"/>
          <w:szCs w:val="22"/>
          <w:highlight w:val="yellow"/>
          <w:lang w:val="en-GB"/>
        </w:rPr>
      </w:pPr>
      <w:r w:rsidRPr="00594FDC">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CCA2816" w:rsidP="0CCA2816">
      <w:pPr>
        <w:ind w:left="720" w:hanging="720"/>
        <w:jc w:val="both"/>
        <w:rPr>
          <w:rFonts w:ascii="Avenir Next Demi Bold" w:hAnsi="Avenir Next Demi Bold" w:cs="Arial"/>
          <w:b/>
          <w:bCs/>
          <w:sz w:val="22"/>
          <w:szCs w:val="22"/>
        </w:rPr>
      </w:pPr>
      <w:r w:rsidRPr="0CCA2816">
        <w:rPr>
          <w:rFonts w:ascii="Avenir Next Demi Bold" w:hAnsi="Avenir Next Demi Bold" w:cs="Arial"/>
          <w:b/>
          <w:bCs/>
          <w:sz w:val="22"/>
          <w:szCs w:val="22"/>
        </w:rPr>
        <w:t>Question 2.1</w:t>
      </w:r>
      <w:r w:rsidR="002C13C8">
        <w:tab/>
      </w:r>
      <w:r w:rsidRPr="0CCA2816">
        <w:rPr>
          <w:rFonts w:ascii="Avenir Next Demi Bold" w:hAnsi="Avenir Next Demi Bold" w:cs="Arial"/>
          <w:b/>
          <w:bCs/>
          <w:sz w:val="22"/>
          <w:szCs w:val="22"/>
        </w:rPr>
        <w:t xml:space="preserve">[maximum 3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C2559A">
      <w:pPr>
        <w:rPr>
          <w:rFonts w:ascii="Avenir Next" w:hAnsi="Avenir Next" w:cs="Arial"/>
          <w:sz w:val="22"/>
          <w:szCs w:val="22"/>
          <w:lang w:val="en-GB"/>
        </w:rPr>
      </w:pPr>
    </w:p>
    <w:p w14:paraId="4F7607A9" w14:textId="49B32294" w:rsidR="783FE671" w:rsidRDefault="783FE671" w:rsidP="783FE671">
      <w:pPr>
        <w:jc w:val="both"/>
        <w:rPr>
          <w:rFonts w:ascii="Arial" w:hAnsi="Arial" w:cs="Arial"/>
          <w:sz w:val="22"/>
          <w:szCs w:val="22"/>
          <w:lang w:val="en-GB"/>
        </w:rPr>
      </w:pPr>
      <w:r w:rsidRPr="783FE671">
        <w:rPr>
          <w:rFonts w:ascii="Arial" w:hAnsi="Arial" w:cs="Arial"/>
          <w:sz w:val="22"/>
          <w:szCs w:val="22"/>
          <w:lang w:val="en-GB"/>
        </w:rPr>
        <w:t xml:space="preserve">The key distinction between the application of the MLCBI and European Union (EU) Regulation on Insolvency Proceedings (EIR), the MLCBI attempts to provide uniform approach to cross-border insolvency matters by recommending the framework to be implemented with domestic insolvency laws while the EIR are regulations which like treaties which become a part of a State’s domestic law once it has been adopted. The advantage of the EIR is the automatic recognition of insolvency proceedings with the European Union, however this is also its disadvantage. The benefits of the EIR are only available to EU member states, any non-EU State who is seeking the recognition of its proceedings in an EU State would have to submit to the domestic insolvency law of the country in question which affect legal certainty, transparency and ultimately efficiency. </w:t>
      </w:r>
    </w:p>
    <w:p w14:paraId="08B1AC30" w14:textId="176D64D3" w:rsidR="783FE671" w:rsidRDefault="783FE671" w:rsidP="783FE671">
      <w:pPr>
        <w:jc w:val="both"/>
        <w:rPr>
          <w:rFonts w:ascii="Arial" w:hAnsi="Arial" w:cs="Arial"/>
          <w:sz w:val="22"/>
          <w:szCs w:val="22"/>
          <w:lang w:val="en-GB"/>
        </w:rPr>
      </w:pPr>
    </w:p>
    <w:p w14:paraId="705E5A68" w14:textId="6B73EF29" w:rsidR="783FE671" w:rsidRDefault="783FE671" w:rsidP="783FE671">
      <w:pPr>
        <w:jc w:val="both"/>
        <w:rPr>
          <w:rFonts w:ascii="Arial" w:hAnsi="Arial" w:cs="Arial"/>
          <w:sz w:val="22"/>
          <w:szCs w:val="22"/>
          <w:lang w:val="en-GB"/>
        </w:rPr>
      </w:pPr>
      <w:r w:rsidRPr="783FE671">
        <w:rPr>
          <w:rFonts w:ascii="Arial" w:hAnsi="Arial" w:cs="Arial"/>
          <w:sz w:val="22"/>
          <w:szCs w:val="22"/>
          <w:lang w:val="en-GB"/>
        </w:rPr>
        <w:t>On the other hand, the advantage of the MLCBI is that it allows any enacting State the freedom to determine which recommendations it will implement considering its domestic law and facilitates direct communication and co-operation between Courts in different States which allow for a more efficient process, however, the MLCBI unlike the EIR does not allow for automatic recognition of insolvency proceedings rather, it provides the foreign representative with standing in the relevant court to make an application for recognition and relief.</w:t>
      </w:r>
    </w:p>
    <w:p w14:paraId="221852E1" w14:textId="2DE1B732" w:rsidR="783FE671" w:rsidRDefault="783FE671" w:rsidP="783FE671">
      <w:pPr>
        <w:jc w:val="both"/>
        <w:rPr>
          <w:rFonts w:ascii="Arial" w:hAnsi="Arial" w:cs="Arial"/>
          <w:sz w:val="22"/>
          <w:szCs w:val="22"/>
          <w:lang w:val="en-GB"/>
        </w:rPr>
      </w:pPr>
    </w:p>
    <w:p w14:paraId="40712013" w14:textId="744C4D6B" w:rsidR="783FE671" w:rsidRDefault="783FE671" w:rsidP="783FE671">
      <w:pPr>
        <w:jc w:val="both"/>
        <w:rPr>
          <w:rFonts w:ascii="Arial" w:hAnsi="Arial" w:cs="Arial"/>
          <w:color w:val="FF0000"/>
          <w:sz w:val="22"/>
          <w:szCs w:val="22"/>
          <w:lang w:val="en-GB"/>
        </w:rPr>
      </w:pPr>
    </w:p>
    <w:p w14:paraId="10614297" w14:textId="7EA17DA7" w:rsidR="00C72848" w:rsidRPr="007B497A" w:rsidRDefault="0CCA2816" w:rsidP="0CCA2816">
      <w:pPr>
        <w:ind w:left="720" w:hanging="720"/>
        <w:jc w:val="both"/>
        <w:rPr>
          <w:rFonts w:ascii="Avenir Next Demi Bold" w:hAnsi="Avenir Next Demi Bold" w:cs="Arial"/>
          <w:b/>
          <w:bCs/>
          <w:sz w:val="22"/>
          <w:szCs w:val="22"/>
        </w:rPr>
      </w:pPr>
      <w:r w:rsidRPr="0CCA2816">
        <w:rPr>
          <w:rFonts w:ascii="Avenir Next Demi Bold" w:hAnsi="Avenir Next Demi Bold" w:cs="Arial"/>
          <w:b/>
          <w:bCs/>
          <w:sz w:val="22"/>
          <w:szCs w:val="22"/>
        </w:rPr>
        <w:t>Question 2.2</w:t>
      </w:r>
      <w:r w:rsidR="002C13C8">
        <w:tab/>
      </w:r>
      <w:r w:rsidRPr="0CCA2816">
        <w:rPr>
          <w:rFonts w:ascii="Avenir Next Demi Bold" w:hAnsi="Avenir Next Demi Bold" w:cs="Arial"/>
          <w:b/>
          <w:bCs/>
          <w:sz w:val="22"/>
          <w:szCs w:val="22"/>
        </w:rPr>
        <w:t xml:space="preserve">[maximum 2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3CB64D7" w:rsidR="00867A8F" w:rsidRPr="00C2559A" w:rsidRDefault="783FE671" w:rsidP="783FE671">
      <w:pPr>
        <w:jc w:val="both"/>
        <w:rPr>
          <w:rFonts w:ascii="Arial" w:hAnsi="Arial" w:cs="Arial"/>
          <w:sz w:val="22"/>
          <w:szCs w:val="22"/>
          <w:lang w:val="en-GB"/>
        </w:rPr>
      </w:pPr>
      <w:r w:rsidRPr="783FE671">
        <w:rPr>
          <w:rFonts w:ascii="Arial" w:hAnsi="Arial" w:cs="Arial"/>
          <w:sz w:val="22"/>
          <w:szCs w:val="22"/>
          <w:lang w:val="en-GB"/>
        </w:rPr>
        <w:t xml:space="preserve">Pursuant to paragraph 2 of Article 21 of the MLCBI, the Court in using its discretionary power to grant post-recognition relief must consider and satisfy itself that the interests of the local creditors are protected. This is due to the serious consequences or prejudice that may </w:t>
      </w:r>
      <w:r w:rsidRPr="783FE671">
        <w:rPr>
          <w:rFonts w:ascii="Arial" w:hAnsi="Arial" w:cs="Arial"/>
          <w:sz w:val="22"/>
          <w:szCs w:val="22"/>
          <w:lang w:val="en-GB"/>
        </w:rPr>
        <w:lastRenderedPageBreak/>
        <w:t>manifest for the local creditors as a result of the Court turning over all or part of the debtor’s assets located in its State, to the foreign representative for distribution.</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CCA2816" w:rsidP="0CCA2816">
      <w:pPr>
        <w:ind w:left="720" w:hanging="720"/>
        <w:jc w:val="both"/>
        <w:rPr>
          <w:rFonts w:ascii="Avenir Next Demi Bold" w:hAnsi="Avenir Next Demi Bold" w:cs="Arial"/>
          <w:b/>
          <w:bCs/>
          <w:sz w:val="22"/>
          <w:szCs w:val="22"/>
        </w:rPr>
      </w:pPr>
      <w:r w:rsidRPr="0CCA2816">
        <w:rPr>
          <w:rFonts w:ascii="Avenir Next Demi Bold" w:hAnsi="Avenir Next Demi Bold" w:cs="Arial"/>
          <w:b/>
          <w:bCs/>
          <w:sz w:val="22"/>
          <w:szCs w:val="22"/>
        </w:rPr>
        <w:t>Question 2.3</w:t>
      </w:r>
      <w:r w:rsidR="00C72848">
        <w:tab/>
      </w:r>
      <w:r w:rsidRPr="0CCA2816">
        <w:rPr>
          <w:rFonts w:ascii="Avenir Next Demi Bold" w:hAnsi="Avenir Next Demi Bold" w:cs="Arial"/>
          <w:b/>
          <w:bCs/>
          <w:sz w:val="22"/>
          <w:szCs w:val="22"/>
        </w:rPr>
        <w:t xml:space="preserve">[2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67322BB" w:rsidR="00867A8F" w:rsidRPr="00CD1CAC" w:rsidRDefault="783FE671" w:rsidP="783FE671">
      <w:pPr>
        <w:jc w:val="both"/>
        <w:rPr>
          <w:rFonts w:ascii="Arial" w:hAnsi="Arial" w:cs="Arial"/>
          <w:sz w:val="22"/>
          <w:szCs w:val="22"/>
          <w:lang w:val="en-GB"/>
        </w:rPr>
      </w:pPr>
      <w:r w:rsidRPr="783FE671">
        <w:rPr>
          <w:rFonts w:ascii="Arial" w:hAnsi="Arial" w:cs="Arial"/>
          <w:sz w:val="22"/>
          <w:szCs w:val="22"/>
          <w:lang w:val="en-GB"/>
        </w:rPr>
        <w:t>Article 13 of the MLCBI grants creditors in a foreign proceeding protection from discrimination. It particularly grants foreign creditors the same rights as local creditors /creditors in the enacting State with respect to the commencement of a proceeding and participation in a proceeding. That is to say, they should not be treated any worse than local creditors.  Furthermore, paragraph 2 of Article 13 makes it clear that these rights do not affect the ranking of claims except that the ranking of foreign creditor’s claims shall not be lower than that of a general unsecured claim.</w:t>
      </w:r>
    </w:p>
    <w:p w14:paraId="7D075261" w14:textId="77777777" w:rsidR="00867A8F" w:rsidRPr="00E2622D" w:rsidRDefault="00867A8F" w:rsidP="783FE671">
      <w:pPr>
        <w:jc w:val="both"/>
        <w:rPr>
          <w:rFonts w:ascii="Avenir Next" w:hAnsi="Avenir Next" w:cs="Arial"/>
          <w:b/>
          <w:bCs/>
          <w:sz w:val="22"/>
          <w:szCs w:val="22"/>
          <w:lang w:val="en-GB"/>
        </w:rPr>
      </w:pPr>
    </w:p>
    <w:p w14:paraId="41AAD286" w14:textId="312468A7" w:rsidR="00F17C87" w:rsidRPr="00C7161B" w:rsidRDefault="0CCA2816" w:rsidP="0CCA2816">
      <w:pPr>
        <w:ind w:left="720" w:hanging="720"/>
        <w:jc w:val="both"/>
        <w:rPr>
          <w:rFonts w:ascii="Avenir Next Demi Bold" w:hAnsi="Avenir Next Demi Bold" w:cs="Arial"/>
          <w:b/>
          <w:bCs/>
          <w:sz w:val="22"/>
          <w:szCs w:val="22"/>
        </w:rPr>
      </w:pPr>
      <w:r w:rsidRPr="0CCA2816">
        <w:rPr>
          <w:rFonts w:ascii="Avenir Next Demi Bold" w:hAnsi="Avenir Next Demi Bold" w:cs="Arial"/>
          <w:b/>
          <w:bCs/>
          <w:sz w:val="22"/>
          <w:szCs w:val="22"/>
        </w:rPr>
        <w:t>Question 2.4</w:t>
      </w:r>
      <w:r w:rsidR="00F17C87">
        <w:tab/>
      </w:r>
      <w:r w:rsidRPr="0CCA2816">
        <w:rPr>
          <w:rFonts w:ascii="Avenir Next Demi Bold" w:hAnsi="Avenir Next Demi Bold" w:cs="Arial"/>
          <w:b/>
          <w:bCs/>
          <w:sz w:val="22"/>
          <w:szCs w:val="22"/>
        </w:rPr>
        <w:t xml:space="preserve">[maximum 3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FE02E0" w:rsidRDefault="00100E8F" w:rsidP="00100E8F">
      <w:pPr>
        <w:jc w:val="both"/>
        <w:rPr>
          <w:rFonts w:ascii="Avenir Next" w:hAnsi="Avenir Next" w:cs="Arial"/>
          <w:color w:val="FF0000"/>
          <w:sz w:val="22"/>
          <w:szCs w:val="28"/>
        </w:rPr>
      </w:pPr>
    </w:p>
    <w:p w14:paraId="396F3E81" w14:textId="3E127FB1" w:rsidR="00257437" w:rsidRPr="00CD1CAC" w:rsidRDefault="783FE671" w:rsidP="783FE671">
      <w:pPr>
        <w:jc w:val="both"/>
        <w:rPr>
          <w:rFonts w:ascii="Arial" w:hAnsi="Arial" w:cs="Arial"/>
          <w:sz w:val="22"/>
          <w:szCs w:val="22"/>
          <w:lang w:val="en-JM"/>
        </w:rPr>
      </w:pPr>
      <w:r w:rsidRPr="783FE671">
        <w:rPr>
          <w:rFonts w:ascii="Arial" w:hAnsi="Arial" w:cs="Arial"/>
          <w:sz w:val="22"/>
          <w:szCs w:val="22"/>
          <w:lang w:val="en-GB"/>
        </w:rPr>
        <w:t>The key distinction with respect to the relief available in foreign main proceedings and foreign non-main proceedings is that pursuant to Article 20 the MLCBI, the available relief is automatic/mandatory where the foreign main proceeding has been recognised. This relief includes the following:</w:t>
      </w:r>
      <w:r w:rsidRPr="783FE671">
        <w:rPr>
          <w:rFonts w:ascii="Arial" w:hAnsi="Arial" w:cs="Arial"/>
          <w:sz w:val="22"/>
          <w:szCs w:val="22"/>
          <w:lang w:val="en-JM"/>
        </w:rPr>
        <w:t xml:space="preserve"> the staying of the commencement or continuation of individual actions/proceedings which touch and concern the debtor’s assets, rights, obligations or liabilities, the staying of the execution against the debtor’s assets, and the suspension of the right to transfer, encumber or otherwise dispose of any assets. Whilst relief is available upon the recognition of both foreign main and non-main proceedings under Article 19 and 21 of the MLCBI, same is discretionary and the Court can refuse to grant said relief be if it is not satisfied that the relief relates to assets that should be dealt with using the law of its State or if the relief would affect the foreign main proceedings.</w:t>
      </w:r>
    </w:p>
    <w:p w14:paraId="24BE92CD" w14:textId="77777777" w:rsidR="00443CA4" w:rsidRPr="00E2622D" w:rsidRDefault="00443CA4" w:rsidP="00443CA4">
      <w:pPr>
        <w:ind w:left="720" w:hanging="720"/>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7F2CC2" w:rsidRDefault="00C550C8" w:rsidP="00707FC8">
      <w:pPr>
        <w:jc w:val="both"/>
        <w:rPr>
          <w:rFonts w:ascii="Arial" w:hAnsi="Arial" w:cs="Arial"/>
          <w:sz w:val="22"/>
          <w:szCs w:val="22"/>
          <w:lang w:val="en-GB"/>
        </w:rPr>
      </w:pPr>
    </w:p>
    <w:p w14:paraId="08475351" w14:textId="76C4DA46" w:rsidR="00867A8F" w:rsidRPr="007F2CC2" w:rsidRDefault="783FE671" w:rsidP="783FE671">
      <w:pPr>
        <w:jc w:val="both"/>
        <w:rPr>
          <w:rFonts w:ascii="Arial" w:hAnsi="Arial" w:cs="Arial"/>
          <w:sz w:val="22"/>
          <w:szCs w:val="22"/>
          <w:lang w:val="en-GB"/>
        </w:rPr>
      </w:pPr>
      <w:r w:rsidRPr="783FE671">
        <w:rPr>
          <w:rFonts w:ascii="Arial" w:hAnsi="Arial" w:cs="Arial"/>
          <w:sz w:val="22"/>
          <w:szCs w:val="22"/>
          <w:lang w:val="en-GB"/>
        </w:rPr>
        <w:t xml:space="preserve">The foreign main proceedings must have been filed in Germany where the debtor has its COMI and foreign non-main proceedings in Bermuda where the debtor has an establishment pursuant to Article 3 (1) of the EIR Recast which states that the centre of the debtor’s main interests (COMI) shall have the jurisdiction to open main insolvency proceedings. It is likely that the US Court would recognise the proceedings in Germany as the foreign main proceedings and the proceedings in Bermuda as the foreign non-main proceeding pursuant to Article 17 (2) of the MLCBI. The article provides for the recognition of a foreign proceeding as the foreign main proceeding if the proceeding occurs in the State where the debtor has its centre of main interests or COMI. It also provides for the recognition of a foreign proceeding as the foreign non-main proceeding if the proceeding occurs in the State where the debtor has an establishment.  It should also be noted that recognition may be modified or terminated </w:t>
      </w:r>
      <w:r w:rsidRPr="783FE671">
        <w:rPr>
          <w:rFonts w:ascii="Arial" w:hAnsi="Arial" w:cs="Arial"/>
          <w:sz w:val="22"/>
          <w:szCs w:val="22"/>
          <w:lang w:val="en-GB"/>
        </w:rPr>
        <w:lastRenderedPageBreak/>
        <w:t>under the MLCBI where the grounds either partially or wholly for granting same, have ceased to exist.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02730B" w:rsidRDefault="00622C2B" w:rsidP="00707FC8">
      <w:pPr>
        <w:jc w:val="both"/>
        <w:rPr>
          <w:rFonts w:ascii="Avenir Next" w:hAnsi="Avenir Next" w:cs="Arial"/>
          <w:color w:val="FF0000"/>
          <w:sz w:val="22"/>
          <w:szCs w:val="22"/>
          <w:lang w:val="en-GB"/>
        </w:rPr>
      </w:pPr>
    </w:p>
    <w:p w14:paraId="1C545DFB" w14:textId="6B1EFEAD" w:rsidR="00273A72" w:rsidRPr="00822EBD" w:rsidRDefault="783FE671" w:rsidP="783FE671">
      <w:pPr>
        <w:jc w:val="both"/>
        <w:rPr>
          <w:rFonts w:ascii="Arial" w:hAnsi="Arial" w:cs="Arial"/>
          <w:i/>
          <w:iCs/>
          <w:sz w:val="22"/>
          <w:szCs w:val="22"/>
          <w:lang w:val="en-JM"/>
        </w:rPr>
      </w:pPr>
      <w:r w:rsidRPr="783FE671">
        <w:rPr>
          <w:rFonts w:ascii="Arial" w:hAnsi="Arial" w:cs="Arial"/>
          <w:sz w:val="22"/>
          <w:szCs w:val="22"/>
          <w:lang w:val="en-GB"/>
        </w:rPr>
        <w:t xml:space="preserve">The USA has adopted the MLCBI as Chapter 15 of its Bankruptcy Code. Accordingly, it is likely that the joint provisional liquidators will request that the US Court grant provisional relief in the form of a stay of the now pending litigation against them pursuant to Article 19 of the MLCBI until a decision is made on their application for recognition. Article 19 provides for interim relief that is urgently needed to protect the assets or interests being those of the relevant debtor and creditors respectively. However, it is likely that the Court will deny this application for interim relief on the basis that recognition is required for a stay of litigation to be granted as a form of relief. This was the basis on which </w:t>
      </w:r>
      <w:r w:rsidRPr="783FE671">
        <w:rPr>
          <w:rFonts w:ascii="Arial" w:hAnsi="Arial" w:cs="Arial"/>
          <w:sz w:val="22"/>
          <w:szCs w:val="22"/>
          <w:lang w:val="en-JM"/>
        </w:rPr>
        <w:t xml:space="preserve">a stay of litigation was refused </w:t>
      </w:r>
      <w:r w:rsidRPr="783FE671">
        <w:rPr>
          <w:rFonts w:ascii="Arial" w:hAnsi="Arial" w:cs="Arial"/>
          <w:sz w:val="22"/>
          <w:szCs w:val="22"/>
          <w:lang w:val="en-GB"/>
        </w:rPr>
        <w:t>in the USA cases of</w:t>
      </w:r>
      <w:r w:rsidRPr="783FE671">
        <w:rPr>
          <w:rFonts w:ascii="Arial" w:eastAsia="MS Mincho" w:hAnsi="Arial" w:cs="Arial"/>
          <w:sz w:val="10"/>
          <w:szCs w:val="10"/>
          <w:lang w:val="en-JM"/>
        </w:rPr>
        <w:t xml:space="preserve"> </w:t>
      </w:r>
      <w:r w:rsidRPr="783FE671">
        <w:rPr>
          <w:rFonts w:ascii="Arial" w:hAnsi="Arial" w:cs="Arial"/>
          <w:i/>
          <w:iCs/>
          <w:sz w:val="22"/>
          <w:szCs w:val="22"/>
          <w:lang w:val="en-JM"/>
        </w:rPr>
        <w:t>Halo Creative &amp; Design Limited v Comptoir des Indes Inc., case No. 14C 8196 (N.D. Ill Oct. 2, 2018)  and United States v J.A. Jones Constr. Group, LLC, 333 B.R. 637 (E.D.N.Y. 2005)</w:t>
      </w:r>
      <w:r w:rsidRPr="783FE671">
        <w:rPr>
          <w:rFonts w:ascii="Arial" w:hAnsi="Arial" w:cs="Arial"/>
          <w:sz w:val="22"/>
          <w:szCs w:val="22"/>
          <w:lang w:val="en-JM"/>
        </w:rPr>
        <w:t>.</w:t>
      </w:r>
    </w:p>
    <w:p w14:paraId="3937CDFF" w14:textId="2A15B898" w:rsidR="00867A8F" w:rsidRPr="00273A72" w:rsidRDefault="00867A8F" w:rsidP="783FE671">
      <w:pPr>
        <w:ind w:left="720" w:hanging="720"/>
        <w:jc w:val="both"/>
        <w:rPr>
          <w:rFonts w:ascii="Avenir Next" w:hAnsi="Avenir Next" w:cs="Arial"/>
          <w:i/>
          <w:iCs/>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783FE671">
      <w:pPr>
        <w:jc w:val="both"/>
        <w:rPr>
          <w:rFonts w:ascii="Arial" w:eastAsia="Arial" w:hAnsi="Arial" w:cs="Arial"/>
          <w:sz w:val="22"/>
          <w:szCs w:val="22"/>
          <w:lang w:val="en-GB"/>
        </w:rPr>
      </w:pPr>
    </w:p>
    <w:p w14:paraId="4D7BCB0D" w14:textId="06E08E1C" w:rsidR="00867A8F" w:rsidRPr="00822EBD" w:rsidRDefault="783FE671" w:rsidP="783FE671">
      <w:pPr>
        <w:spacing w:line="259" w:lineRule="auto"/>
        <w:jc w:val="both"/>
        <w:rPr>
          <w:rFonts w:ascii="Arial" w:eastAsia="Arial" w:hAnsi="Arial" w:cs="Arial"/>
          <w:sz w:val="22"/>
          <w:szCs w:val="22"/>
          <w:lang w:val="en-GB"/>
        </w:rPr>
      </w:pPr>
      <w:r w:rsidRPr="783FE671">
        <w:rPr>
          <w:rFonts w:ascii="Arial" w:eastAsia="Arial" w:hAnsi="Arial" w:cs="Arial"/>
          <w:sz w:val="22"/>
          <w:szCs w:val="22"/>
          <w:lang w:val="en-GB"/>
        </w:rPr>
        <w:t>The foreign representative should still take steps to protect the assets even though the relevant ipso facto clauses are not enforceable under the US Bankruptcy Code. This is because the length of time being 35 days until the recognition application is heard could facilitate creditor/3</w:t>
      </w:r>
      <w:r w:rsidRPr="783FE671">
        <w:rPr>
          <w:rFonts w:ascii="Arial" w:eastAsia="Arial" w:hAnsi="Arial" w:cs="Arial"/>
          <w:sz w:val="22"/>
          <w:szCs w:val="22"/>
          <w:vertAlign w:val="superscript"/>
          <w:lang w:val="en-GB"/>
        </w:rPr>
        <w:t>rd</w:t>
      </w:r>
      <w:r w:rsidRPr="783FE671">
        <w:rPr>
          <w:rFonts w:ascii="Arial" w:eastAsia="Arial" w:hAnsi="Arial" w:cs="Arial"/>
          <w:sz w:val="22"/>
          <w:szCs w:val="22"/>
          <w:lang w:val="en-GB"/>
        </w:rPr>
        <w:t xml:space="preserve"> party interference with the said assets in the form of termination of the said leases and licenses which could jeopardize unfairly deprive the creditors and render the pending proceedings useless if the leases and licenses are so terminated. </w:t>
      </w:r>
    </w:p>
    <w:p w14:paraId="6391433C" w14:textId="5599CD2F" w:rsidR="00867A8F" w:rsidRPr="00822EBD" w:rsidRDefault="00867A8F" w:rsidP="783FE671">
      <w:pPr>
        <w:spacing w:line="259" w:lineRule="auto"/>
        <w:jc w:val="both"/>
        <w:rPr>
          <w:rFonts w:ascii="Arial" w:eastAsia="Arial" w:hAnsi="Arial" w:cs="Arial"/>
          <w:sz w:val="22"/>
          <w:szCs w:val="22"/>
          <w:lang w:val="en-GB"/>
        </w:rPr>
      </w:pPr>
    </w:p>
    <w:p w14:paraId="4A0E319B" w14:textId="466E0468" w:rsidR="00867A8F" w:rsidRPr="00822EBD" w:rsidRDefault="783FE671" w:rsidP="783FE671">
      <w:pPr>
        <w:spacing w:line="259" w:lineRule="auto"/>
        <w:jc w:val="both"/>
        <w:rPr>
          <w:rFonts w:ascii="Arial" w:eastAsia="Arial" w:hAnsi="Arial" w:cs="Arial"/>
          <w:sz w:val="22"/>
          <w:szCs w:val="22"/>
          <w:lang w:val="en-GB"/>
        </w:rPr>
      </w:pPr>
      <w:r w:rsidRPr="783FE671">
        <w:rPr>
          <w:rFonts w:ascii="Arial" w:eastAsia="Arial" w:hAnsi="Arial" w:cs="Arial"/>
          <w:sz w:val="22"/>
          <w:szCs w:val="22"/>
          <w:lang w:val="en-GB"/>
        </w:rPr>
        <w:t xml:space="preserve">Accordingly, should apply for interim relief in accordance with the section of Bankruptcy Code which corresponds with Article 19 of the MLCBI. Article 19 provides for interim relief that is urgently needed to protect the assets or interests being those of the relevant debtor and creditors respectively. Relief should be sought in the form of an order for recognition relief available under Article 21 of the MLBI i.e. suspending </w:t>
      </w:r>
      <w:r w:rsidRPr="783FE671">
        <w:rPr>
          <w:rFonts w:ascii="Arial" w:eastAsia="Arial" w:hAnsi="Arial" w:cs="Arial"/>
          <w:i/>
          <w:iCs/>
          <w:sz w:val="22"/>
          <w:szCs w:val="22"/>
          <w:lang w:val="en-GB"/>
        </w:rPr>
        <w:t xml:space="preserve">inter alia </w:t>
      </w:r>
      <w:r w:rsidRPr="783FE671">
        <w:rPr>
          <w:rFonts w:ascii="Arial" w:eastAsia="Arial" w:hAnsi="Arial" w:cs="Arial"/>
          <w:sz w:val="22"/>
          <w:szCs w:val="22"/>
          <w:lang w:val="en-GB"/>
        </w:rPr>
        <w:t>the right of transfer and disposition of any of the assets of the debtor.</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w:t>
      </w:r>
      <w:r w:rsidRPr="000A7632">
        <w:rPr>
          <w:rFonts w:ascii="Avenir Next" w:hAnsi="Avenir Next" w:cs="Arial"/>
          <w:sz w:val="22"/>
          <w:szCs w:val="22"/>
          <w:lang w:val="en-GB"/>
        </w:rPr>
        <w:lastRenderedPageBreak/>
        <w:t>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2477D607" w14:textId="77777777" w:rsidR="003127D7" w:rsidRDefault="003127D7" w:rsidP="00867A8F">
      <w:pPr>
        <w:ind w:left="720" w:hanging="720"/>
        <w:jc w:val="both"/>
        <w:rPr>
          <w:rFonts w:ascii="Avenir Next" w:hAnsi="Avenir Next" w:cs="Arial"/>
          <w:color w:val="FF0000"/>
          <w:sz w:val="22"/>
          <w:szCs w:val="22"/>
          <w:lang w:val="en-GB"/>
        </w:rPr>
      </w:pPr>
    </w:p>
    <w:p w14:paraId="245A9FAA" w14:textId="18283725" w:rsidR="003127D7" w:rsidRPr="0070331D" w:rsidRDefault="783FE671" w:rsidP="783FE671">
      <w:pPr>
        <w:jc w:val="both"/>
        <w:rPr>
          <w:rFonts w:ascii="Arial" w:hAnsi="Arial" w:cs="Arial"/>
          <w:sz w:val="22"/>
          <w:szCs w:val="22"/>
          <w:lang w:val="en-JM"/>
        </w:rPr>
      </w:pPr>
      <w:r w:rsidRPr="783FE671">
        <w:rPr>
          <w:rFonts w:ascii="Arial" w:hAnsi="Arial" w:cs="Arial"/>
          <w:sz w:val="22"/>
          <w:szCs w:val="22"/>
          <w:lang w:val="en-GB"/>
        </w:rPr>
        <w:t>At the outset, the foreign representative should have analysed the affairs of the debtor to identify whether the affairs/assets of the debtor in Country A would cause it to be considered the COMI or whether same would amount to an establishment pursuant to the MLCBI. Pursuant to Article 17 of the MLCBI, if foreign proceedings are commenced in a country where the Debtor has its COMI, all things being equal the said proceedings will be recognised in the enacting country as foreign main proceedings, however if the debtor only has an establishment (as defined by Article 2 (f) of the MLCBI) in that country, the proceedings shall be recognised in the enacting country as foreign non-main proceedings. An establishment is defined in the MLCBI as “</w:t>
      </w:r>
      <w:r w:rsidRPr="783FE671">
        <w:rPr>
          <w:rFonts w:ascii="Arial" w:hAnsi="Arial" w:cs="Arial"/>
          <w:sz w:val="22"/>
          <w:szCs w:val="22"/>
          <w:lang w:val="en-JM"/>
        </w:rPr>
        <w:t>any place of operations where the debtor carries out a non-transitory economic activity with human means and goods or services. The foreign representative should assess the debtor’s affairs in Country A to see whether it meets these requirements for an establishment under the MLCBI. Provided that it does, t</w:t>
      </w:r>
      <w:r w:rsidRPr="783FE671">
        <w:rPr>
          <w:rFonts w:ascii="Arial" w:hAnsi="Arial" w:cs="Arial"/>
          <w:sz w:val="22"/>
          <w:szCs w:val="22"/>
          <w:lang w:val="en-GB"/>
        </w:rPr>
        <w:t>he foreign representative should now commence proceedings in Country B to recognise the proceedings in Country A as the foreign non-main proceeding. If it does not meet these requirements, the foreign representative may pursuant to Article 11 of the MLCBI, initiate insolvency proceedings in Country B provided that the necessary requirements are met.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6F61FC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r w:rsidR="00A72035" w:rsidRPr="00E61F6E">
        <w:rPr>
          <w:rFonts w:ascii="Avenir Next" w:hAnsi="Avenir Next"/>
          <w:sz w:val="22"/>
          <w:szCs w:val="28"/>
        </w:rPr>
        <w:t>physically,</w:t>
      </w:r>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CB36801" w14:textId="77777777" w:rsidR="007E6FBF" w:rsidRDefault="007E6FBF" w:rsidP="00594FDC">
      <w:pPr>
        <w:jc w:val="both"/>
        <w:rPr>
          <w:rFonts w:ascii="Avenir Next Demi Bold" w:hAnsi="Avenir Next Demi Bold" w:cs="Arial"/>
          <w:b/>
          <w:bCs/>
          <w:color w:val="FF0000"/>
          <w:sz w:val="22"/>
          <w:szCs w:val="22"/>
          <w:lang w:val="en-GB"/>
        </w:rPr>
      </w:pPr>
    </w:p>
    <w:p w14:paraId="5F886BEE" w14:textId="3BD9E009" w:rsidR="783FE671"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Response:</w:t>
      </w:r>
    </w:p>
    <w:p w14:paraId="067B1E6D" w14:textId="565C7D05" w:rsidR="783FE671" w:rsidRDefault="783FE671" w:rsidP="783FE671">
      <w:pPr>
        <w:jc w:val="both"/>
        <w:rPr>
          <w:rFonts w:ascii="Arial" w:eastAsia="Arial" w:hAnsi="Arial" w:cs="Arial"/>
          <w:sz w:val="22"/>
          <w:szCs w:val="22"/>
          <w:lang w:val="en-GB"/>
        </w:rPr>
      </w:pPr>
    </w:p>
    <w:p w14:paraId="0FE869BA" w14:textId="7E4CC0E0" w:rsidR="00D0660D" w:rsidRPr="00EE7D32"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To decide whether an application should be made for the recognition of main or non-main proceedings, a determination must be made as to whether the client’s COMI is located in the Cayman Islands (CI) being the State in which the foreign proceedings originated. </w:t>
      </w:r>
      <w:r w:rsidR="00A72035" w:rsidRPr="783FE671">
        <w:rPr>
          <w:rFonts w:ascii="Arial" w:eastAsia="Arial" w:hAnsi="Arial" w:cs="Arial"/>
          <w:sz w:val="22"/>
          <w:szCs w:val="22"/>
          <w:lang w:val="en-GB"/>
        </w:rPr>
        <w:t>Generally,</w:t>
      </w:r>
      <w:r w:rsidRPr="783FE671">
        <w:rPr>
          <w:rFonts w:ascii="Arial" w:eastAsia="Arial" w:hAnsi="Arial" w:cs="Arial"/>
          <w:sz w:val="22"/>
          <w:szCs w:val="22"/>
          <w:lang w:val="en-GB"/>
        </w:rPr>
        <w:t xml:space="preserve"> it is accepted that the COMI of a debtor is the State/location where the debtor’s administration of his interests regularly takes place and as such, the location is considered to be same by third parties particularly, the creditors of the debtor. </w:t>
      </w:r>
    </w:p>
    <w:p w14:paraId="68A8F583" w14:textId="77777777" w:rsidR="00D0660D" w:rsidRPr="00EE7D32" w:rsidRDefault="00D0660D" w:rsidP="783FE671">
      <w:pPr>
        <w:jc w:val="both"/>
        <w:rPr>
          <w:rFonts w:ascii="Arial" w:eastAsia="Arial" w:hAnsi="Arial" w:cs="Arial"/>
          <w:sz w:val="22"/>
          <w:szCs w:val="22"/>
          <w:lang w:val="en-GB"/>
        </w:rPr>
      </w:pPr>
    </w:p>
    <w:p w14:paraId="10E56AE7" w14:textId="2EDFE8E4" w:rsidR="007E6FBF" w:rsidRPr="00EE7D32" w:rsidRDefault="00375300"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Pursuant to Article </w:t>
      </w:r>
      <w:r w:rsidR="00B42C93" w:rsidRPr="783FE671">
        <w:rPr>
          <w:rFonts w:ascii="Arial" w:eastAsia="Arial" w:hAnsi="Arial" w:cs="Arial"/>
          <w:sz w:val="22"/>
          <w:szCs w:val="22"/>
          <w:lang w:val="en-GB"/>
        </w:rPr>
        <w:t xml:space="preserve">16 of the MLCBI, there is a presumption </w:t>
      </w:r>
      <w:r w:rsidR="00D0660D" w:rsidRPr="783FE671">
        <w:rPr>
          <w:rFonts w:ascii="Arial" w:eastAsia="Arial" w:hAnsi="Arial" w:cs="Arial"/>
          <w:sz w:val="22"/>
          <w:szCs w:val="22"/>
          <w:lang w:val="en-GB"/>
        </w:rPr>
        <w:t xml:space="preserve">that a debtor’s </w:t>
      </w:r>
      <w:r w:rsidR="00635F97" w:rsidRPr="783FE671">
        <w:rPr>
          <w:rFonts w:ascii="Arial" w:eastAsia="Arial" w:hAnsi="Arial" w:cs="Arial"/>
          <w:sz w:val="22"/>
          <w:szCs w:val="22"/>
          <w:lang w:val="en-GB"/>
        </w:rPr>
        <w:t>registered office is the debtor’s COMI</w:t>
      </w:r>
      <w:r w:rsidR="006E0A9A" w:rsidRPr="783FE671">
        <w:rPr>
          <w:rFonts w:ascii="Arial" w:eastAsia="Arial" w:hAnsi="Arial" w:cs="Arial"/>
          <w:sz w:val="22"/>
          <w:szCs w:val="22"/>
          <w:lang w:val="en-GB"/>
        </w:rPr>
        <w:t xml:space="preserve"> </w:t>
      </w:r>
      <w:r w:rsidR="00A31D9A" w:rsidRPr="783FE671">
        <w:rPr>
          <w:rFonts w:ascii="Arial" w:eastAsia="Arial" w:hAnsi="Arial" w:cs="Arial"/>
          <w:sz w:val="22"/>
          <w:szCs w:val="22"/>
          <w:lang w:val="en-GB"/>
        </w:rPr>
        <w:t>where there is no evidence to the contrary.</w:t>
      </w:r>
      <w:r w:rsidR="004261C8" w:rsidRPr="783FE671">
        <w:rPr>
          <w:rFonts w:ascii="Arial" w:eastAsia="Arial" w:hAnsi="Arial" w:cs="Arial"/>
          <w:sz w:val="22"/>
          <w:szCs w:val="22"/>
          <w:lang w:val="en-GB"/>
        </w:rPr>
        <w:t xml:space="preserve"> Furthermore, </w:t>
      </w:r>
      <w:r w:rsidR="00346E9B" w:rsidRPr="783FE671">
        <w:rPr>
          <w:rFonts w:ascii="Arial" w:eastAsia="Arial" w:hAnsi="Arial" w:cs="Arial"/>
          <w:sz w:val="22"/>
          <w:szCs w:val="22"/>
          <w:lang w:val="en-GB"/>
        </w:rPr>
        <w:t xml:space="preserve">in the </w:t>
      </w:r>
      <w:r w:rsidR="00A72035" w:rsidRPr="783FE671">
        <w:rPr>
          <w:rFonts w:ascii="Arial" w:eastAsia="Arial" w:hAnsi="Arial" w:cs="Arial"/>
          <w:sz w:val="22"/>
          <w:szCs w:val="22"/>
          <w:lang w:val="en-GB"/>
        </w:rPr>
        <w:t>USA</w:t>
      </w:r>
      <w:r w:rsidR="00A72035">
        <w:rPr>
          <w:rFonts w:ascii="Arial" w:eastAsia="Arial" w:hAnsi="Arial" w:cs="Arial"/>
          <w:sz w:val="22"/>
          <w:szCs w:val="22"/>
          <w:lang w:val="en-GB"/>
        </w:rPr>
        <w:t>,</w:t>
      </w:r>
      <w:r w:rsidR="00A72035" w:rsidRPr="783FE671">
        <w:rPr>
          <w:rFonts w:ascii="Arial" w:eastAsia="Arial" w:hAnsi="Arial" w:cs="Arial"/>
          <w:sz w:val="22"/>
          <w:szCs w:val="22"/>
          <w:lang w:val="en-GB"/>
        </w:rPr>
        <w:t xml:space="preserve"> consideration</w:t>
      </w:r>
      <w:r w:rsidR="008521A1" w:rsidRPr="783FE671">
        <w:rPr>
          <w:rFonts w:ascii="Arial" w:eastAsia="Arial" w:hAnsi="Arial" w:cs="Arial"/>
          <w:sz w:val="22"/>
          <w:szCs w:val="22"/>
          <w:lang w:val="en-GB"/>
        </w:rPr>
        <w:t xml:space="preserve"> </w:t>
      </w:r>
      <w:r w:rsidR="001E1294" w:rsidRPr="783FE671">
        <w:rPr>
          <w:rFonts w:ascii="Arial" w:eastAsia="Arial" w:hAnsi="Arial" w:cs="Arial"/>
          <w:sz w:val="22"/>
          <w:szCs w:val="22"/>
          <w:lang w:val="en-GB"/>
        </w:rPr>
        <w:t>will also be</w:t>
      </w:r>
      <w:r w:rsidR="008521A1" w:rsidRPr="783FE671">
        <w:rPr>
          <w:rFonts w:ascii="Arial" w:eastAsia="Arial" w:hAnsi="Arial" w:cs="Arial"/>
          <w:sz w:val="22"/>
          <w:szCs w:val="22"/>
          <w:lang w:val="en-GB"/>
        </w:rPr>
        <w:t xml:space="preserve"> given to the debtor</w:t>
      </w:r>
      <w:r w:rsidR="00391F9C" w:rsidRPr="783FE671">
        <w:rPr>
          <w:rFonts w:ascii="Arial" w:eastAsia="Arial" w:hAnsi="Arial" w:cs="Arial"/>
          <w:sz w:val="22"/>
          <w:szCs w:val="22"/>
          <w:lang w:val="en-GB"/>
        </w:rPr>
        <w:t>’s activitie</w:t>
      </w:r>
      <w:r w:rsidR="00B17D72" w:rsidRPr="783FE671">
        <w:rPr>
          <w:rFonts w:ascii="Arial" w:eastAsia="Arial" w:hAnsi="Arial" w:cs="Arial"/>
          <w:sz w:val="22"/>
          <w:szCs w:val="22"/>
          <w:lang w:val="en-GB"/>
        </w:rPr>
        <w:t xml:space="preserve">s </w:t>
      </w:r>
      <w:r w:rsidR="00391F9C" w:rsidRPr="783FE671">
        <w:rPr>
          <w:rFonts w:ascii="Arial" w:eastAsia="Arial" w:hAnsi="Arial" w:cs="Arial"/>
          <w:sz w:val="22"/>
          <w:szCs w:val="22"/>
          <w:lang w:val="en-GB"/>
        </w:rPr>
        <w:t xml:space="preserve">at or around </w:t>
      </w:r>
      <w:r w:rsidR="001E1294" w:rsidRPr="783FE671">
        <w:rPr>
          <w:rFonts w:ascii="Arial" w:eastAsia="Arial" w:hAnsi="Arial" w:cs="Arial"/>
          <w:sz w:val="22"/>
          <w:szCs w:val="22"/>
          <w:lang w:val="en-GB"/>
        </w:rPr>
        <w:t xml:space="preserve">the filing date of the Chapter 15 petition </w:t>
      </w:r>
      <w:r w:rsidR="008E4F8C" w:rsidRPr="783FE671">
        <w:rPr>
          <w:rFonts w:ascii="Arial" w:eastAsia="Arial" w:hAnsi="Arial" w:cs="Arial"/>
          <w:sz w:val="22"/>
          <w:szCs w:val="22"/>
          <w:lang w:val="en-GB"/>
        </w:rPr>
        <w:t>based on the application of the case</w:t>
      </w:r>
      <w:r w:rsidR="00B163E7" w:rsidRPr="783FE671">
        <w:rPr>
          <w:rFonts w:ascii="Arial" w:eastAsia="Arial" w:hAnsi="Arial" w:cs="Arial"/>
          <w:sz w:val="22"/>
          <w:szCs w:val="22"/>
          <w:shd w:val="clear" w:color="auto" w:fill="FFFFFF"/>
        </w:rPr>
        <w:t xml:space="preserve"> </w:t>
      </w:r>
      <w:r w:rsidR="00B163E7" w:rsidRPr="00A72035">
        <w:rPr>
          <w:rFonts w:ascii="Arial" w:eastAsia="Arial" w:hAnsi="Arial" w:cs="Arial"/>
          <w:sz w:val="22"/>
          <w:szCs w:val="22"/>
          <w:shd w:val="clear" w:color="auto" w:fill="FFFFFF"/>
        </w:rPr>
        <w:t>of</w:t>
      </w:r>
      <w:r w:rsidR="00B163E7" w:rsidRPr="00A72035">
        <w:rPr>
          <w:rFonts w:ascii="Arial" w:eastAsia="Arial" w:hAnsi="Arial" w:cs="Arial"/>
          <w:i/>
          <w:iCs/>
          <w:sz w:val="22"/>
          <w:szCs w:val="22"/>
          <w:shd w:val="clear" w:color="auto" w:fill="FFFFFF"/>
        </w:rPr>
        <w:t xml:space="preserve"> </w:t>
      </w:r>
      <w:r w:rsidR="783FE671" w:rsidRPr="00A72035">
        <w:rPr>
          <w:rFonts w:ascii="Arial" w:eastAsia="Arial" w:hAnsi="Arial" w:cs="Arial"/>
          <w:i/>
          <w:iCs/>
          <w:sz w:val="22"/>
          <w:szCs w:val="22"/>
        </w:rPr>
        <w:t xml:space="preserve">In re </w:t>
      </w:r>
      <w:r w:rsidR="783FE671" w:rsidRPr="00A72035">
        <w:rPr>
          <w:rFonts w:ascii="Arial" w:eastAsia="Arial" w:hAnsi="Arial" w:cs="Arial"/>
          <w:b/>
          <w:bCs/>
          <w:i/>
          <w:iCs/>
          <w:sz w:val="22"/>
          <w:szCs w:val="22"/>
        </w:rPr>
        <w:t>Fairfield Sentry</w:t>
      </w:r>
      <w:r w:rsidR="783FE671" w:rsidRPr="00A72035">
        <w:rPr>
          <w:rFonts w:ascii="Arial" w:eastAsia="Arial" w:hAnsi="Arial" w:cs="Arial"/>
          <w:i/>
          <w:iCs/>
          <w:sz w:val="22"/>
          <w:szCs w:val="22"/>
        </w:rPr>
        <w:t xml:space="preserve"> Ltd., et al. Litigation</w:t>
      </w:r>
      <w:r w:rsidR="783FE671" w:rsidRPr="783FE671">
        <w:rPr>
          <w:rFonts w:ascii="Arial" w:eastAsia="Arial" w:hAnsi="Arial" w:cs="Arial"/>
          <w:sz w:val="22"/>
          <w:szCs w:val="22"/>
        </w:rPr>
        <w:t xml:space="preserve">, </w:t>
      </w:r>
      <w:r w:rsidR="783FE671" w:rsidRPr="783FE671">
        <w:rPr>
          <w:rFonts w:ascii="Arial" w:eastAsia="Arial" w:hAnsi="Arial" w:cs="Arial"/>
          <w:i/>
          <w:iCs/>
          <w:sz w:val="22"/>
          <w:szCs w:val="22"/>
        </w:rPr>
        <w:t xml:space="preserve">458 B.R. 665 </w:t>
      </w:r>
      <w:r w:rsidR="783FE671" w:rsidRPr="783FE671">
        <w:rPr>
          <w:rFonts w:ascii="Arial" w:eastAsia="Arial" w:hAnsi="Arial" w:cs="Arial"/>
          <w:sz w:val="22"/>
          <w:szCs w:val="22"/>
        </w:rPr>
        <w:t xml:space="preserve">in the case of </w:t>
      </w:r>
      <w:r w:rsidR="783FE671" w:rsidRPr="783FE671">
        <w:rPr>
          <w:rFonts w:ascii="Arial" w:eastAsia="Arial" w:hAnsi="Arial" w:cs="Arial"/>
          <w:i/>
          <w:iCs/>
          <w:sz w:val="22"/>
          <w:szCs w:val="22"/>
        </w:rPr>
        <w:t>I</w:t>
      </w:r>
      <w:r w:rsidR="00B163E7" w:rsidRPr="783FE671">
        <w:rPr>
          <w:rFonts w:ascii="Arial" w:eastAsia="Arial" w:hAnsi="Arial" w:cs="Arial"/>
          <w:i/>
          <w:iCs/>
          <w:sz w:val="22"/>
          <w:szCs w:val="22"/>
        </w:rPr>
        <w:t>n re Modern Land (China) Co.</w:t>
      </w:r>
      <w:r w:rsidR="00B163E7" w:rsidRPr="783FE671">
        <w:rPr>
          <w:rFonts w:ascii="Arial" w:eastAsia="Arial" w:hAnsi="Arial" w:cs="Arial"/>
          <w:sz w:val="22"/>
          <w:szCs w:val="22"/>
        </w:rPr>
        <w:t xml:space="preserve">, </w:t>
      </w:r>
      <w:r w:rsidR="00B163E7" w:rsidRPr="783FE671">
        <w:rPr>
          <w:rFonts w:ascii="Arial" w:eastAsia="Arial" w:hAnsi="Arial" w:cs="Arial"/>
          <w:i/>
          <w:iCs/>
          <w:sz w:val="22"/>
          <w:szCs w:val="22"/>
        </w:rPr>
        <w:t>41 B.R. 768, 782 Bankr. S.D.N.Y. 2022</w:t>
      </w:r>
      <w:r w:rsidR="00391F9C" w:rsidRPr="783FE671">
        <w:rPr>
          <w:rFonts w:ascii="Arial" w:eastAsia="Arial" w:hAnsi="Arial" w:cs="Arial"/>
          <w:sz w:val="22"/>
          <w:szCs w:val="22"/>
          <w:lang w:val="en-GB"/>
        </w:rPr>
        <w:t>.</w:t>
      </w:r>
      <w:r w:rsidR="00F96EC5" w:rsidRPr="783FE671">
        <w:rPr>
          <w:rFonts w:ascii="Arial" w:eastAsia="Arial" w:hAnsi="Arial" w:cs="Arial"/>
          <w:sz w:val="22"/>
          <w:szCs w:val="22"/>
          <w:lang w:val="en-GB"/>
        </w:rPr>
        <w:t xml:space="preserve"> </w:t>
      </w:r>
      <w:r w:rsidR="00795A6C" w:rsidRPr="783FE671">
        <w:rPr>
          <w:rFonts w:ascii="Arial" w:eastAsia="Arial" w:hAnsi="Arial" w:cs="Arial"/>
          <w:sz w:val="22"/>
          <w:szCs w:val="22"/>
          <w:lang w:val="en-GB"/>
        </w:rPr>
        <w:t xml:space="preserve">Notwithstanding same, </w:t>
      </w:r>
      <w:bookmarkStart w:id="5" w:name="_Hlk159423694"/>
      <w:r w:rsidR="00795A6C" w:rsidRPr="783FE671">
        <w:rPr>
          <w:rFonts w:ascii="Arial" w:eastAsia="Arial" w:hAnsi="Arial" w:cs="Arial"/>
          <w:sz w:val="22"/>
          <w:szCs w:val="22"/>
          <w:lang w:val="en-GB"/>
        </w:rPr>
        <w:t xml:space="preserve">the Court may also </w:t>
      </w:r>
      <w:r w:rsidR="0025564D" w:rsidRPr="783FE671">
        <w:rPr>
          <w:rFonts w:ascii="Arial" w:eastAsia="Arial" w:hAnsi="Arial" w:cs="Arial"/>
          <w:sz w:val="22"/>
          <w:szCs w:val="22"/>
          <w:lang w:val="en-GB"/>
        </w:rPr>
        <w:t>review the period betwee</w:t>
      </w:r>
      <w:r w:rsidR="005D4F0B" w:rsidRPr="783FE671">
        <w:rPr>
          <w:rFonts w:ascii="Arial" w:eastAsia="Arial" w:hAnsi="Arial" w:cs="Arial"/>
          <w:sz w:val="22"/>
          <w:szCs w:val="22"/>
          <w:lang w:val="en-GB"/>
        </w:rPr>
        <w:t xml:space="preserve">n the start of foreign proceedings </w:t>
      </w:r>
      <w:r w:rsidR="00D41FDF" w:rsidRPr="783FE671">
        <w:rPr>
          <w:rFonts w:ascii="Arial" w:eastAsia="Arial" w:hAnsi="Arial" w:cs="Arial"/>
          <w:sz w:val="22"/>
          <w:szCs w:val="22"/>
          <w:lang w:val="en-GB"/>
        </w:rPr>
        <w:t xml:space="preserve">and the Chapter 15 petition to ensure that </w:t>
      </w:r>
      <w:r w:rsidR="00FD23DA" w:rsidRPr="783FE671">
        <w:rPr>
          <w:rFonts w:ascii="Arial" w:eastAsia="Arial" w:hAnsi="Arial" w:cs="Arial"/>
          <w:sz w:val="22"/>
          <w:szCs w:val="22"/>
          <w:lang w:val="en-GB"/>
        </w:rPr>
        <w:t xml:space="preserve">the debtor has not attempted to manipulate the determination of its COMI to its advantage. </w:t>
      </w:r>
      <w:bookmarkEnd w:id="5"/>
      <w:r w:rsidR="00F96EC5" w:rsidRPr="783FE671">
        <w:rPr>
          <w:rFonts w:ascii="Arial" w:eastAsia="Arial" w:hAnsi="Arial" w:cs="Arial"/>
          <w:sz w:val="22"/>
          <w:szCs w:val="22"/>
          <w:lang w:val="en-GB"/>
        </w:rPr>
        <w:t>The court will</w:t>
      </w:r>
      <w:r w:rsidR="00C5596C" w:rsidRPr="783FE671">
        <w:rPr>
          <w:rFonts w:ascii="Arial" w:eastAsia="Arial" w:hAnsi="Arial" w:cs="Arial"/>
          <w:sz w:val="22"/>
          <w:szCs w:val="22"/>
          <w:lang w:val="en-GB"/>
        </w:rPr>
        <w:t xml:space="preserve"> also,</w:t>
      </w:r>
      <w:r w:rsidR="00F96EC5" w:rsidRPr="783FE671">
        <w:rPr>
          <w:rFonts w:ascii="Arial" w:eastAsia="Arial" w:hAnsi="Arial" w:cs="Arial"/>
          <w:sz w:val="22"/>
          <w:szCs w:val="22"/>
          <w:lang w:val="en-GB"/>
        </w:rPr>
        <w:t xml:space="preserve"> </w:t>
      </w:r>
      <w:r w:rsidR="00C5596C" w:rsidRPr="783FE671">
        <w:rPr>
          <w:rFonts w:ascii="Arial" w:eastAsia="Arial" w:hAnsi="Arial" w:cs="Arial"/>
          <w:sz w:val="22"/>
          <w:szCs w:val="22"/>
          <w:lang w:val="en-GB"/>
        </w:rPr>
        <w:t xml:space="preserve">in determining the debtor’s COMI, </w:t>
      </w:r>
      <w:r w:rsidR="00F96EC5" w:rsidRPr="783FE671">
        <w:rPr>
          <w:rFonts w:ascii="Arial" w:eastAsia="Arial" w:hAnsi="Arial" w:cs="Arial"/>
          <w:sz w:val="22"/>
          <w:szCs w:val="22"/>
          <w:lang w:val="en-GB"/>
        </w:rPr>
        <w:t xml:space="preserve">give consideration </w:t>
      </w:r>
      <w:r w:rsidR="00B17D72" w:rsidRPr="783FE671">
        <w:rPr>
          <w:rFonts w:ascii="Arial" w:eastAsia="Arial" w:hAnsi="Arial" w:cs="Arial"/>
          <w:sz w:val="22"/>
          <w:szCs w:val="22"/>
          <w:lang w:val="en-GB"/>
        </w:rPr>
        <w:t>to other factors, su</w:t>
      </w:r>
      <w:r w:rsidR="00735871" w:rsidRPr="783FE671">
        <w:rPr>
          <w:rFonts w:ascii="Arial" w:eastAsia="Arial" w:hAnsi="Arial" w:cs="Arial"/>
          <w:sz w:val="22"/>
          <w:szCs w:val="22"/>
          <w:lang w:val="en-GB"/>
        </w:rPr>
        <w:t>c</w:t>
      </w:r>
      <w:r w:rsidR="00B17D72" w:rsidRPr="783FE671">
        <w:rPr>
          <w:rFonts w:ascii="Arial" w:eastAsia="Arial" w:hAnsi="Arial" w:cs="Arial"/>
          <w:sz w:val="22"/>
          <w:szCs w:val="22"/>
          <w:lang w:val="en-GB"/>
        </w:rPr>
        <w:t xml:space="preserve">h as: </w:t>
      </w:r>
      <w:r w:rsidR="00735871" w:rsidRPr="783FE671">
        <w:rPr>
          <w:rFonts w:ascii="Arial" w:eastAsia="Arial" w:hAnsi="Arial" w:cs="Arial"/>
          <w:sz w:val="22"/>
          <w:szCs w:val="22"/>
          <w:lang w:val="en-GB"/>
        </w:rPr>
        <w:t>the lo</w:t>
      </w:r>
      <w:r w:rsidR="001E6255" w:rsidRPr="783FE671">
        <w:rPr>
          <w:rFonts w:ascii="Arial" w:eastAsia="Arial" w:hAnsi="Arial" w:cs="Arial"/>
          <w:sz w:val="22"/>
          <w:szCs w:val="22"/>
          <w:lang w:val="en-GB"/>
        </w:rPr>
        <w:t>cations of the debtor’s assets, employees, creditors</w:t>
      </w:r>
      <w:r w:rsidR="00772D69" w:rsidRPr="783FE671">
        <w:rPr>
          <w:rFonts w:ascii="Arial" w:eastAsia="Arial" w:hAnsi="Arial" w:cs="Arial"/>
          <w:sz w:val="22"/>
          <w:szCs w:val="22"/>
          <w:lang w:val="en-GB"/>
        </w:rPr>
        <w:t>, headquarters, bank as well</w:t>
      </w:r>
      <w:r w:rsidR="00C5596C" w:rsidRPr="783FE671">
        <w:rPr>
          <w:rFonts w:ascii="Arial" w:eastAsia="Arial" w:hAnsi="Arial" w:cs="Arial"/>
          <w:sz w:val="22"/>
          <w:szCs w:val="22"/>
          <w:lang w:val="en-GB"/>
        </w:rPr>
        <w:t xml:space="preserve"> as </w:t>
      </w:r>
      <w:r w:rsidR="0095462A" w:rsidRPr="783FE671">
        <w:rPr>
          <w:rFonts w:ascii="Arial" w:eastAsia="Arial" w:hAnsi="Arial" w:cs="Arial"/>
          <w:sz w:val="22"/>
          <w:szCs w:val="22"/>
          <w:lang w:val="en-GB"/>
        </w:rPr>
        <w:t>the law governing the contracts of the debtor and m</w:t>
      </w:r>
      <w:r w:rsidR="0057021E" w:rsidRPr="783FE671">
        <w:rPr>
          <w:rFonts w:ascii="Arial" w:eastAsia="Arial" w:hAnsi="Arial" w:cs="Arial"/>
          <w:sz w:val="22"/>
          <w:szCs w:val="22"/>
          <w:lang w:val="en-GB"/>
        </w:rPr>
        <w:t>ost of its disputes.</w:t>
      </w:r>
    </w:p>
    <w:p w14:paraId="3DEA06E7" w14:textId="77777777" w:rsidR="00546784" w:rsidRPr="00EE7D32" w:rsidRDefault="00546784" w:rsidP="783FE671">
      <w:pPr>
        <w:jc w:val="both"/>
        <w:rPr>
          <w:rFonts w:ascii="Arial" w:eastAsia="Arial" w:hAnsi="Arial" w:cs="Arial"/>
          <w:sz w:val="22"/>
          <w:szCs w:val="22"/>
          <w:lang w:val="en-GB"/>
        </w:rPr>
      </w:pPr>
    </w:p>
    <w:p w14:paraId="6365C2F7" w14:textId="7BDF7A72" w:rsidR="00FE6B9B" w:rsidRPr="00EE7D32"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In the present matter, the client’s presumptive COMI is the Cayman Islands (CI). In support of this presumption, the administration of the client’s interest regularly takes place in the CI in the form of </w:t>
      </w:r>
      <w:r w:rsidRPr="783FE671">
        <w:rPr>
          <w:rFonts w:ascii="Arial" w:eastAsia="Arial" w:hAnsi="Arial" w:cs="Arial"/>
          <w:i/>
          <w:iCs/>
          <w:sz w:val="22"/>
          <w:szCs w:val="22"/>
          <w:lang w:val="en-GB"/>
        </w:rPr>
        <w:t xml:space="preserve">inter alia </w:t>
      </w:r>
      <w:r w:rsidRPr="783FE671">
        <w:rPr>
          <w:rFonts w:ascii="Arial" w:eastAsia="Arial" w:hAnsi="Arial" w:cs="Arial"/>
          <w:sz w:val="22"/>
          <w:szCs w:val="22"/>
          <w:lang w:val="en-GB"/>
        </w:rPr>
        <w:t>the client retaining CI counsel, holding virtual general and special board meetings in CI which are organised by the CI counsel, maintaining its books and records in the State. Furthermore, the client’s creditors have always considered and understood the client to be a Cayman Islands company in that the subject Notes issued to the creditors disclosed the client as a CI company and explained the consequences in relation to CI law. The Restructuring Support Agreement also indicated that the said restructuring would take place in the CI which coincidentally was expected by the largest Noteholders and no other Noteholders have raised any objections in relation to this issue. Further thereto, the restructuring process has begun in the CI and the Scheme has been sanctioned by the Court in CI and the order sanctioning same has been filed with the Registrar of Companies in the CI.</w:t>
      </w:r>
    </w:p>
    <w:p w14:paraId="4CE26590" w14:textId="77777777" w:rsidR="00FE6B9B" w:rsidRPr="00EE7D32" w:rsidRDefault="00FE6B9B" w:rsidP="783FE671">
      <w:pPr>
        <w:jc w:val="both"/>
        <w:rPr>
          <w:rFonts w:ascii="Arial" w:eastAsia="Arial" w:hAnsi="Arial" w:cs="Arial"/>
          <w:sz w:val="22"/>
          <w:szCs w:val="22"/>
          <w:lang w:val="en-GB"/>
        </w:rPr>
      </w:pPr>
    </w:p>
    <w:p w14:paraId="65B9BC7F" w14:textId="2797E870" w:rsidR="003A04B5"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In considering the period </w:t>
      </w:r>
      <w:r w:rsidR="00A72035" w:rsidRPr="783FE671">
        <w:rPr>
          <w:rFonts w:ascii="Arial" w:eastAsia="Arial" w:hAnsi="Arial" w:cs="Arial"/>
          <w:sz w:val="22"/>
          <w:szCs w:val="22"/>
          <w:lang w:val="en-GB"/>
        </w:rPr>
        <w:t>between the start of foreign proceedings and the Chapter 15 petition</w:t>
      </w:r>
      <w:r w:rsidRPr="783FE671">
        <w:rPr>
          <w:rFonts w:ascii="Arial" w:eastAsia="Arial" w:hAnsi="Arial" w:cs="Arial"/>
          <w:sz w:val="22"/>
          <w:szCs w:val="22"/>
          <w:lang w:val="en-GB"/>
        </w:rPr>
        <w:t xml:space="preserve"> of note is that an independent third party is currently marketing the sale of the client’s corporate headquarters in New York and the client has opened a bank account in the CI a few days ago to pay certain operating expenses. The opening of the bank account a few days ago gives the appearance that the client may not be acting in good faith in relation to the debtor’s COMI, however without additional evidence to support this, I do envision same being considered a sound argument by the Court. While, an argument could be made for the USA to be the debtor’s COMI, the facts provide overwhelming evidence in support of the contention that the Cayman Islands is the client’s COMI. Accordingly, an application for recognition of foreign main proceedings should be made in the USA.</w:t>
      </w:r>
    </w:p>
    <w:p w14:paraId="324D237B" w14:textId="6EEC1D81" w:rsidR="003E42F6" w:rsidRDefault="003E42F6" w:rsidP="783FE671">
      <w:pPr>
        <w:jc w:val="both"/>
        <w:rPr>
          <w:rFonts w:ascii="Arial" w:eastAsia="Arial" w:hAnsi="Arial" w:cs="Arial"/>
          <w:b/>
          <w:bCs/>
          <w:sz w:val="22"/>
          <w:szCs w:val="22"/>
          <w:lang w:val="en-GB"/>
        </w:rPr>
      </w:pPr>
    </w:p>
    <w:p w14:paraId="29AF3CAE" w14:textId="648C4764" w:rsidR="003E42F6" w:rsidRPr="00EB66BE"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In order to make such application, pursuant to Article 15 of the MLCBI, the application for recognition should be submitted with a certified copy of the Sanction Order along with the foreign representative’s statement identifying all foreign proceedings concerning the debtor, which are known to the foreign representative. </w:t>
      </w:r>
    </w:p>
    <w:p w14:paraId="4D4E10C7" w14:textId="17CB3C47" w:rsidR="000075A8" w:rsidRDefault="000075A8" w:rsidP="783FE671">
      <w:pPr>
        <w:jc w:val="both"/>
        <w:rPr>
          <w:rFonts w:ascii="Arial" w:eastAsia="Arial" w:hAnsi="Arial" w:cs="Arial"/>
          <w:b/>
          <w:bCs/>
          <w:sz w:val="22"/>
          <w:szCs w:val="22"/>
          <w:lang w:val="en-GB"/>
        </w:rPr>
      </w:pPr>
    </w:p>
    <w:p w14:paraId="11212DF4" w14:textId="1F66CD83" w:rsidR="000075A8" w:rsidRPr="000075A8" w:rsidRDefault="783FE671" w:rsidP="783FE671">
      <w:pPr>
        <w:jc w:val="both"/>
        <w:rPr>
          <w:rFonts w:ascii="Arial" w:eastAsia="Arial" w:hAnsi="Arial" w:cs="Arial"/>
          <w:sz w:val="22"/>
          <w:szCs w:val="22"/>
          <w:lang w:val="en-GB"/>
        </w:rPr>
      </w:pPr>
      <w:r w:rsidRPr="783FE671">
        <w:rPr>
          <w:rFonts w:ascii="Arial" w:eastAsia="Arial" w:hAnsi="Arial" w:cs="Arial"/>
          <w:sz w:val="22"/>
          <w:szCs w:val="22"/>
          <w:lang w:val="en-GB"/>
        </w:rPr>
        <w:t xml:space="preserve">Upon filing the application, interim relief should be sought under Article 19 of the MLCBI in the form of an order entrusting the realisation of the debtor’s assets located in the USA to the foreign representative to protect/preserve the assets of the client particularly </w:t>
      </w:r>
      <w:r w:rsidRPr="783FE671">
        <w:rPr>
          <w:rFonts w:ascii="Arial" w:eastAsia="Arial" w:hAnsi="Arial" w:cs="Arial"/>
          <w:sz w:val="22"/>
          <w:szCs w:val="22"/>
        </w:rPr>
        <w:t>the corporate headquarters which include the land, building, building improvements and contents including furniture and fixtures.</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722C1D98" w14:textId="51057CB4" w:rsidR="009B0723" w:rsidRPr="004A6EC6" w:rsidRDefault="00C606C3" w:rsidP="004A6EC6">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9B0723" w:rsidRPr="004A6EC6" w:rsidSect="0024599E">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21C4F" w14:textId="77777777" w:rsidR="00742CF8" w:rsidRDefault="00742CF8" w:rsidP="00241B44">
      <w:r>
        <w:separator/>
      </w:r>
    </w:p>
  </w:endnote>
  <w:endnote w:type="continuationSeparator" w:id="0">
    <w:p w14:paraId="2A25B466" w14:textId="77777777" w:rsidR="00742CF8" w:rsidRDefault="00742CF8" w:rsidP="00241B44">
      <w:r>
        <w:continuationSeparator/>
      </w:r>
    </w:p>
  </w:endnote>
  <w:endnote w:type="continuationNotice" w:id="1">
    <w:p w14:paraId="58540EFF" w14:textId="77777777" w:rsidR="00742CF8" w:rsidRDefault="0074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68880920"/>
      <w:docPartObj>
        <w:docPartGallery w:val="Page Numbers (Bottom of Page)"/>
        <w:docPartUnique/>
      </w:docPartObj>
    </w:sdtPr>
    <w:sdtEndPr>
      <w:rPr>
        <w:rStyle w:val="PageNumber"/>
      </w:rPr>
    </w:sdtEndPr>
    <w:sdtContent>
      <w:p w14:paraId="75DFA1A2" w14:textId="6BA13D30" w:rsidR="00F14597" w:rsidRDefault="00F14597"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F14597" w:rsidRDefault="00F14597"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A9987" w14:textId="6E59C970" w:rsidR="00F14597" w:rsidRPr="000300E0" w:rsidRDefault="00F14597" w:rsidP="00C2559A">
    <w:pPr>
      <w:pStyle w:val="Footer"/>
      <w:framePr w:wrap="none" w:vAnchor="text" w:hAnchor="margin" w:xAlign="right" w:y="1"/>
      <w:rPr>
        <w:rStyle w:val="PageNumber"/>
        <w:rFonts w:ascii="Avenir Next" w:hAnsi="Avenir Next"/>
        <w:sz w:val="22"/>
        <w:szCs w:val="22"/>
      </w:rPr>
    </w:pPr>
  </w:p>
  <w:p w14:paraId="6BA38AA4" w14:textId="0591D1DD" w:rsidR="00F14597" w:rsidRDefault="00F14597"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96495926"/>
      <w:docPartObj>
        <w:docPartGallery w:val="Page Numbers (Bottom of Page)"/>
        <w:docPartUnique/>
      </w:docPartObj>
    </w:sdtPr>
    <w:sdtEndPr>
      <w:rPr>
        <w:rStyle w:val="PageNumber"/>
      </w:rPr>
    </w:sdtEndPr>
    <w:sdtContent>
      <w:p w14:paraId="1F7F18A2" w14:textId="560E059B" w:rsidR="00F14597" w:rsidRDefault="00F14597" w:rsidP="00C25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F14597" w:rsidRPr="000300E0" w:rsidRDefault="00F14597" w:rsidP="000300E0">
    <w:pPr>
      <w:pStyle w:val="Footer"/>
      <w:ind w:right="360"/>
      <w:rPr>
        <w:rFonts w:ascii="Avenir Next" w:hAnsi="Avenir Next" w:cs="Arial"/>
        <w:sz w:val="22"/>
        <w:szCs w:val="22"/>
      </w:rPr>
    </w:pPr>
  </w:p>
  <w:p w14:paraId="01028C96" w14:textId="77777777" w:rsidR="00F14597" w:rsidRDefault="00F14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5745" w14:textId="362366D2" w:rsidR="00F14597" w:rsidRPr="00B46CE2" w:rsidRDefault="00F14597" w:rsidP="000300E0">
    <w:pPr>
      <w:pStyle w:val="Footer"/>
      <w:ind w:right="360"/>
      <w:rPr>
        <w:rFonts w:ascii="Avenir Next" w:hAnsi="Avenir Next"/>
        <w:sz w:val="22"/>
        <w:szCs w:val="22"/>
      </w:rPr>
    </w:pPr>
    <w:r>
      <w:rPr>
        <w:rFonts w:ascii="Avenir Next" w:hAnsi="Avenir Next"/>
        <w:sz w:val="22"/>
        <w:szCs w:val="22"/>
      </w:rPr>
      <w:t>202324-1357</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F14597" w:rsidRPr="000300E0" w:rsidRDefault="00F14597"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1E2A97">
          <w:rPr>
            <w:rStyle w:val="PageNumber"/>
            <w:rFonts w:ascii="Avenir Next" w:hAnsi="Avenir Next"/>
            <w:noProof/>
            <w:sz w:val="22"/>
            <w:szCs w:val="22"/>
          </w:rPr>
          <w:t>12</w:t>
        </w:r>
        <w:r w:rsidRPr="000300E0">
          <w:rPr>
            <w:rStyle w:val="PageNumber"/>
            <w:rFonts w:ascii="Avenir Next" w:hAnsi="Avenir Next"/>
            <w:sz w:val="22"/>
            <w:szCs w:val="22"/>
          </w:rPr>
          <w:fldChar w:fldCharType="end"/>
        </w:r>
      </w:p>
    </w:sdtContent>
  </w:sdt>
  <w:p w14:paraId="4C5B12BE" w14:textId="77777777" w:rsidR="00F14597" w:rsidRPr="000300E0" w:rsidRDefault="00F14597"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F14597" w:rsidRDefault="00F14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6738B" w14:textId="77777777" w:rsidR="00742CF8" w:rsidRDefault="00742CF8" w:rsidP="00241B44">
      <w:r>
        <w:separator/>
      </w:r>
    </w:p>
  </w:footnote>
  <w:footnote w:type="continuationSeparator" w:id="0">
    <w:p w14:paraId="4FF015E6" w14:textId="77777777" w:rsidR="00742CF8" w:rsidRDefault="00742CF8" w:rsidP="00241B44">
      <w:r>
        <w:continuationSeparator/>
      </w:r>
    </w:p>
  </w:footnote>
  <w:footnote w:type="continuationNotice" w:id="1">
    <w:p w14:paraId="2E42CAA7" w14:textId="77777777" w:rsidR="00742CF8" w:rsidRDefault="00742C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7329959">
    <w:abstractNumId w:val="12"/>
  </w:num>
  <w:num w:numId="2" w16cid:durableId="485362566">
    <w:abstractNumId w:val="6"/>
  </w:num>
  <w:num w:numId="3" w16cid:durableId="385494182">
    <w:abstractNumId w:val="2"/>
  </w:num>
  <w:num w:numId="4" w16cid:durableId="218639264">
    <w:abstractNumId w:val="16"/>
  </w:num>
  <w:num w:numId="5" w16cid:durableId="1689792319">
    <w:abstractNumId w:val="15"/>
  </w:num>
  <w:num w:numId="6" w16cid:durableId="2110082398">
    <w:abstractNumId w:val="14"/>
  </w:num>
  <w:num w:numId="7" w16cid:durableId="441193222">
    <w:abstractNumId w:val="4"/>
  </w:num>
  <w:num w:numId="8" w16cid:durableId="273097168">
    <w:abstractNumId w:val="5"/>
  </w:num>
  <w:num w:numId="9" w16cid:durableId="193539137">
    <w:abstractNumId w:val="11"/>
  </w:num>
  <w:num w:numId="10" w16cid:durableId="1934045801">
    <w:abstractNumId w:val="10"/>
  </w:num>
  <w:num w:numId="11" w16cid:durableId="1656102884">
    <w:abstractNumId w:val="3"/>
  </w:num>
  <w:num w:numId="12" w16cid:durableId="3214684">
    <w:abstractNumId w:val="8"/>
  </w:num>
  <w:num w:numId="13" w16cid:durableId="1524785617">
    <w:abstractNumId w:val="9"/>
  </w:num>
  <w:num w:numId="14" w16cid:durableId="1209879451">
    <w:abstractNumId w:val="1"/>
  </w:num>
  <w:num w:numId="15" w16cid:durableId="1291086105">
    <w:abstractNumId w:val="0"/>
  </w:num>
  <w:num w:numId="16" w16cid:durableId="1496989837">
    <w:abstractNumId w:val="7"/>
  </w:num>
  <w:num w:numId="17" w16cid:durableId="198319568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5A8"/>
    <w:rsid w:val="000077DD"/>
    <w:rsid w:val="00010BA0"/>
    <w:rsid w:val="000113D8"/>
    <w:rsid w:val="00011778"/>
    <w:rsid w:val="0001365B"/>
    <w:rsid w:val="00020557"/>
    <w:rsid w:val="000232A1"/>
    <w:rsid w:val="000250C7"/>
    <w:rsid w:val="00025CCF"/>
    <w:rsid w:val="0002730B"/>
    <w:rsid w:val="000300E0"/>
    <w:rsid w:val="0003114A"/>
    <w:rsid w:val="000352C1"/>
    <w:rsid w:val="0003619C"/>
    <w:rsid w:val="00036961"/>
    <w:rsid w:val="0003743B"/>
    <w:rsid w:val="00037621"/>
    <w:rsid w:val="00043E15"/>
    <w:rsid w:val="0004428A"/>
    <w:rsid w:val="00044D46"/>
    <w:rsid w:val="00045088"/>
    <w:rsid w:val="00045904"/>
    <w:rsid w:val="000464F7"/>
    <w:rsid w:val="0005141D"/>
    <w:rsid w:val="000564FB"/>
    <w:rsid w:val="00057796"/>
    <w:rsid w:val="00060E02"/>
    <w:rsid w:val="00065166"/>
    <w:rsid w:val="00067A88"/>
    <w:rsid w:val="00070B92"/>
    <w:rsid w:val="00073474"/>
    <w:rsid w:val="00077D49"/>
    <w:rsid w:val="0008164E"/>
    <w:rsid w:val="000825B8"/>
    <w:rsid w:val="00082609"/>
    <w:rsid w:val="00083B38"/>
    <w:rsid w:val="000851CC"/>
    <w:rsid w:val="000868E6"/>
    <w:rsid w:val="00093BE8"/>
    <w:rsid w:val="000A292C"/>
    <w:rsid w:val="000A68ED"/>
    <w:rsid w:val="000B4FEB"/>
    <w:rsid w:val="000B5F5F"/>
    <w:rsid w:val="000B5FF1"/>
    <w:rsid w:val="000B609F"/>
    <w:rsid w:val="000C147F"/>
    <w:rsid w:val="000C4AC4"/>
    <w:rsid w:val="000C6BB9"/>
    <w:rsid w:val="000D32A9"/>
    <w:rsid w:val="000D55A8"/>
    <w:rsid w:val="000E4841"/>
    <w:rsid w:val="000E6325"/>
    <w:rsid w:val="000F1677"/>
    <w:rsid w:val="000F251F"/>
    <w:rsid w:val="000F3D6C"/>
    <w:rsid w:val="000F579C"/>
    <w:rsid w:val="00100E8F"/>
    <w:rsid w:val="00101707"/>
    <w:rsid w:val="00101A9E"/>
    <w:rsid w:val="00113A11"/>
    <w:rsid w:val="00114082"/>
    <w:rsid w:val="0011473D"/>
    <w:rsid w:val="00115C13"/>
    <w:rsid w:val="00115C85"/>
    <w:rsid w:val="00123855"/>
    <w:rsid w:val="00126A4D"/>
    <w:rsid w:val="00126E19"/>
    <w:rsid w:val="001374D8"/>
    <w:rsid w:val="00140E0A"/>
    <w:rsid w:val="0014171F"/>
    <w:rsid w:val="0014622C"/>
    <w:rsid w:val="00147256"/>
    <w:rsid w:val="00151F58"/>
    <w:rsid w:val="00152348"/>
    <w:rsid w:val="00152845"/>
    <w:rsid w:val="00152D06"/>
    <w:rsid w:val="00153E6D"/>
    <w:rsid w:val="0015456D"/>
    <w:rsid w:val="00154F0E"/>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5B6A"/>
    <w:rsid w:val="001966D9"/>
    <w:rsid w:val="00197A21"/>
    <w:rsid w:val="001A24E7"/>
    <w:rsid w:val="001A2B78"/>
    <w:rsid w:val="001A7E9A"/>
    <w:rsid w:val="001B0F70"/>
    <w:rsid w:val="001B5016"/>
    <w:rsid w:val="001C0188"/>
    <w:rsid w:val="001C45FC"/>
    <w:rsid w:val="001D02C5"/>
    <w:rsid w:val="001D4862"/>
    <w:rsid w:val="001E1294"/>
    <w:rsid w:val="001E195A"/>
    <w:rsid w:val="001E25B9"/>
    <w:rsid w:val="001E2A97"/>
    <w:rsid w:val="001E49E0"/>
    <w:rsid w:val="001E60C3"/>
    <w:rsid w:val="001E6255"/>
    <w:rsid w:val="001E7B5A"/>
    <w:rsid w:val="001F31A6"/>
    <w:rsid w:val="001F7412"/>
    <w:rsid w:val="00200FDD"/>
    <w:rsid w:val="00201874"/>
    <w:rsid w:val="00202133"/>
    <w:rsid w:val="0020264E"/>
    <w:rsid w:val="0020725B"/>
    <w:rsid w:val="00210014"/>
    <w:rsid w:val="002175BA"/>
    <w:rsid w:val="0022599E"/>
    <w:rsid w:val="00227C5E"/>
    <w:rsid w:val="002305E8"/>
    <w:rsid w:val="0023198D"/>
    <w:rsid w:val="0023317E"/>
    <w:rsid w:val="00234F2C"/>
    <w:rsid w:val="00236C82"/>
    <w:rsid w:val="00236DCC"/>
    <w:rsid w:val="00240B0E"/>
    <w:rsid w:val="0024116D"/>
    <w:rsid w:val="00241B44"/>
    <w:rsid w:val="0024599E"/>
    <w:rsid w:val="00245EFB"/>
    <w:rsid w:val="00250E19"/>
    <w:rsid w:val="00253477"/>
    <w:rsid w:val="0025386E"/>
    <w:rsid w:val="002539D7"/>
    <w:rsid w:val="0025564D"/>
    <w:rsid w:val="00257437"/>
    <w:rsid w:val="002638B0"/>
    <w:rsid w:val="00264FFF"/>
    <w:rsid w:val="002650D7"/>
    <w:rsid w:val="002654E8"/>
    <w:rsid w:val="002655EB"/>
    <w:rsid w:val="0026647A"/>
    <w:rsid w:val="002668D3"/>
    <w:rsid w:val="002675BE"/>
    <w:rsid w:val="0027299F"/>
    <w:rsid w:val="00273A72"/>
    <w:rsid w:val="00276913"/>
    <w:rsid w:val="0028135B"/>
    <w:rsid w:val="00282480"/>
    <w:rsid w:val="00284EBE"/>
    <w:rsid w:val="0029433F"/>
    <w:rsid w:val="00294829"/>
    <w:rsid w:val="00294F3B"/>
    <w:rsid w:val="0029690F"/>
    <w:rsid w:val="002A1EEC"/>
    <w:rsid w:val="002A29FB"/>
    <w:rsid w:val="002A2A60"/>
    <w:rsid w:val="002B1C45"/>
    <w:rsid w:val="002B51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5F1"/>
    <w:rsid w:val="00303C2F"/>
    <w:rsid w:val="003127D7"/>
    <w:rsid w:val="00312911"/>
    <w:rsid w:val="003144EF"/>
    <w:rsid w:val="003148CA"/>
    <w:rsid w:val="00315506"/>
    <w:rsid w:val="003220BA"/>
    <w:rsid w:val="00322F3B"/>
    <w:rsid w:val="00323940"/>
    <w:rsid w:val="00326292"/>
    <w:rsid w:val="00326415"/>
    <w:rsid w:val="0032656B"/>
    <w:rsid w:val="00330937"/>
    <w:rsid w:val="00330DC9"/>
    <w:rsid w:val="00330F31"/>
    <w:rsid w:val="0033442A"/>
    <w:rsid w:val="00334648"/>
    <w:rsid w:val="0033768C"/>
    <w:rsid w:val="00337938"/>
    <w:rsid w:val="00340769"/>
    <w:rsid w:val="00341AA6"/>
    <w:rsid w:val="00342459"/>
    <w:rsid w:val="003427B9"/>
    <w:rsid w:val="00346B16"/>
    <w:rsid w:val="00346E9B"/>
    <w:rsid w:val="00361A0A"/>
    <w:rsid w:val="0036565C"/>
    <w:rsid w:val="0036625E"/>
    <w:rsid w:val="0036738A"/>
    <w:rsid w:val="0036760B"/>
    <w:rsid w:val="0037465A"/>
    <w:rsid w:val="00375300"/>
    <w:rsid w:val="0037544E"/>
    <w:rsid w:val="00380BAB"/>
    <w:rsid w:val="00382C98"/>
    <w:rsid w:val="0038533C"/>
    <w:rsid w:val="00386568"/>
    <w:rsid w:val="00387106"/>
    <w:rsid w:val="00391F3E"/>
    <w:rsid w:val="00391F9C"/>
    <w:rsid w:val="003948D5"/>
    <w:rsid w:val="003963D4"/>
    <w:rsid w:val="00396821"/>
    <w:rsid w:val="00397D3A"/>
    <w:rsid w:val="003A04B5"/>
    <w:rsid w:val="003A051E"/>
    <w:rsid w:val="003A1ED2"/>
    <w:rsid w:val="003A2FEE"/>
    <w:rsid w:val="003A66A3"/>
    <w:rsid w:val="003B1310"/>
    <w:rsid w:val="003B170F"/>
    <w:rsid w:val="003B3C5F"/>
    <w:rsid w:val="003C089D"/>
    <w:rsid w:val="003C4471"/>
    <w:rsid w:val="003C66B1"/>
    <w:rsid w:val="003D0A6D"/>
    <w:rsid w:val="003E0B16"/>
    <w:rsid w:val="003E42F6"/>
    <w:rsid w:val="003E67D1"/>
    <w:rsid w:val="003F015A"/>
    <w:rsid w:val="003F0FD6"/>
    <w:rsid w:val="003F30CF"/>
    <w:rsid w:val="00402788"/>
    <w:rsid w:val="00405DC1"/>
    <w:rsid w:val="0040710D"/>
    <w:rsid w:val="0041139B"/>
    <w:rsid w:val="00411AD2"/>
    <w:rsid w:val="004137C3"/>
    <w:rsid w:val="00413D3A"/>
    <w:rsid w:val="00415F1F"/>
    <w:rsid w:val="00417B0F"/>
    <w:rsid w:val="0042108F"/>
    <w:rsid w:val="00422242"/>
    <w:rsid w:val="00424D07"/>
    <w:rsid w:val="004261C8"/>
    <w:rsid w:val="00430FED"/>
    <w:rsid w:val="00432179"/>
    <w:rsid w:val="00433B92"/>
    <w:rsid w:val="00434292"/>
    <w:rsid w:val="00434A8C"/>
    <w:rsid w:val="00435583"/>
    <w:rsid w:val="00436884"/>
    <w:rsid w:val="00437297"/>
    <w:rsid w:val="00443403"/>
    <w:rsid w:val="00443848"/>
    <w:rsid w:val="00443CA4"/>
    <w:rsid w:val="00444284"/>
    <w:rsid w:val="0044597D"/>
    <w:rsid w:val="00445CE6"/>
    <w:rsid w:val="00447FE6"/>
    <w:rsid w:val="004534C2"/>
    <w:rsid w:val="0045446F"/>
    <w:rsid w:val="0045683E"/>
    <w:rsid w:val="0047025B"/>
    <w:rsid w:val="00491675"/>
    <w:rsid w:val="00493855"/>
    <w:rsid w:val="0049508F"/>
    <w:rsid w:val="004A171E"/>
    <w:rsid w:val="004A363E"/>
    <w:rsid w:val="004A57DD"/>
    <w:rsid w:val="004A6EC6"/>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4F71C1"/>
    <w:rsid w:val="0050157D"/>
    <w:rsid w:val="00506803"/>
    <w:rsid w:val="0050682B"/>
    <w:rsid w:val="00507AAC"/>
    <w:rsid w:val="005110CE"/>
    <w:rsid w:val="005177FE"/>
    <w:rsid w:val="00521720"/>
    <w:rsid w:val="0052263B"/>
    <w:rsid w:val="00524728"/>
    <w:rsid w:val="0052481C"/>
    <w:rsid w:val="00530003"/>
    <w:rsid w:val="00530E88"/>
    <w:rsid w:val="005331CA"/>
    <w:rsid w:val="0053353F"/>
    <w:rsid w:val="00533739"/>
    <w:rsid w:val="00537970"/>
    <w:rsid w:val="00540B44"/>
    <w:rsid w:val="00540E3A"/>
    <w:rsid w:val="00544127"/>
    <w:rsid w:val="00544273"/>
    <w:rsid w:val="005463A9"/>
    <w:rsid w:val="00546784"/>
    <w:rsid w:val="00547993"/>
    <w:rsid w:val="00553EB2"/>
    <w:rsid w:val="005549E1"/>
    <w:rsid w:val="00555841"/>
    <w:rsid w:val="00556777"/>
    <w:rsid w:val="0055688E"/>
    <w:rsid w:val="00560534"/>
    <w:rsid w:val="0056391B"/>
    <w:rsid w:val="005650E2"/>
    <w:rsid w:val="00565292"/>
    <w:rsid w:val="0056535A"/>
    <w:rsid w:val="00565DEE"/>
    <w:rsid w:val="00567AD7"/>
    <w:rsid w:val="00567F31"/>
    <w:rsid w:val="0057021E"/>
    <w:rsid w:val="00573E73"/>
    <w:rsid w:val="00575B2D"/>
    <w:rsid w:val="005833D0"/>
    <w:rsid w:val="005846F3"/>
    <w:rsid w:val="0058622F"/>
    <w:rsid w:val="00587461"/>
    <w:rsid w:val="00590023"/>
    <w:rsid w:val="00592F82"/>
    <w:rsid w:val="00594FDC"/>
    <w:rsid w:val="005A0CCA"/>
    <w:rsid w:val="005A1ACB"/>
    <w:rsid w:val="005A42A5"/>
    <w:rsid w:val="005A726D"/>
    <w:rsid w:val="005B14E7"/>
    <w:rsid w:val="005B67AC"/>
    <w:rsid w:val="005C29F9"/>
    <w:rsid w:val="005C2C94"/>
    <w:rsid w:val="005C36BC"/>
    <w:rsid w:val="005C4865"/>
    <w:rsid w:val="005D1FFF"/>
    <w:rsid w:val="005D43E0"/>
    <w:rsid w:val="005D4F0B"/>
    <w:rsid w:val="005D58A3"/>
    <w:rsid w:val="005E1B79"/>
    <w:rsid w:val="005E37D1"/>
    <w:rsid w:val="005E5C28"/>
    <w:rsid w:val="005F026D"/>
    <w:rsid w:val="005F21F4"/>
    <w:rsid w:val="005F2D0B"/>
    <w:rsid w:val="005F4702"/>
    <w:rsid w:val="005F4B31"/>
    <w:rsid w:val="00606406"/>
    <w:rsid w:val="006078C8"/>
    <w:rsid w:val="00610388"/>
    <w:rsid w:val="00612CA5"/>
    <w:rsid w:val="006130BD"/>
    <w:rsid w:val="00614075"/>
    <w:rsid w:val="006152C1"/>
    <w:rsid w:val="006153EC"/>
    <w:rsid w:val="00621A17"/>
    <w:rsid w:val="00622586"/>
    <w:rsid w:val="00622C2B"/>
    <w:rsid w:val="00622DCB"/>
    <w:rsid w:val="00627CC9"/>
    <w:rsid w:val="00627E7B"/>
    <w:rsid w:val="00630542"/>
    <w:rsid w:val="00632E44"/>
    <w:rsid w:val="00634622"/>
    <w:rsid w:val="00635F97"/>
    <w:rsid w:val="00636808"/>
    <w:rsid w:val="00641002"/>
    <w:rsid w:val="00641515"/>
    <w:rsid w:val="00651AE3"/>
    <w:rsid w:val="00654C2F"/>
    <w:rsid w:val="00657087"/>
    <w:rsid w:val="0066252C"/>
    <w:rsid w:val="006661EF"/>
    <w:rsid w:val="0067294B"/>
    <w:rsid w:val="00677736"/>
    <w:rsid w:val="0067785F"/>
    <w:rsid w:val="00677AEB"/>
    <w:rsid w:val="00680AE2"/>
    <w:rsid w:val="00680EF2"/>
    <w:rsid w:val="006839C2"/>
    <w:rsid w:val="00687A1D"/>
    <w:rsid w:val="006920CC"/>
    <w:rsid w:val="00692AB2"/>
    <w:rsid w:val="0069647C"/>
    <w:rsid w:val="00697EA1"/>
    <w:rsid w:val="006A1850"/>
    <w:rsid w:val="006A222D"/>
    <w:rsid w:val="006A2646"/>
    <w:rsid w:val="006A3DF0"/>
    <w:rsid w:val="006A6530"/>
    <w:rsid w:val="006B435A"/>
    <w:rsid w:val="006B4C64"/>
    <w:rsid w:val="006B4FFC"/>
    <w:rsid w:val="006C4771"/>
    <w:rsid w:val="006D0E6E"/>
    <w:rsid w:val="006D6BD5"/>
    <w:rsid w:val="006E0A9A"/>
    <w:rsid w:val="006E481A"/>
    <w:rsid w:val="006E5298"/>
    <w:rsid w:val="006F2CE3"/>
    <w:rsid w:val="006F734A"/>
    <w:rsid w:val="00700D83"/>
    <w:rsid w:val="0070331D"/>
    <w:rsid w:val="00703819"/>
    <w:rsid w:val="00704852"/>
    <w:rsid w:val="00705A5C"/>
    <w:rsid w:val="00706297"/>
    <w:rsid w:val="00706AD5"/>
    <w:rsid w:val="007074E9"/>
    <w:rsid w:val="00707FC8"/>
    <w:rsid w:val="00711457"/>
    <w:rsid w:val="00713DA4"/>
    <w:rsid w:val="00714BF1"/>
    <w:rsid w:val="00721383"/>
    <w:rsid w:val="0072554C"/>
    <w:rsid w:val="00725911"/>
    <w:rsid w:val="0072636B"/>
    <w:rsid w:val="00731DBD"/>
    <w:rsid w:val="007333CC"/>
    <w:rsid w:val="0073399A"/>
    <w:rsid w:val="00735871"/>
    <w:rsid w:val="00742CF8"/>
    <w:rsid w:val="0074544A"/>
    <w:rsid w:val="00745650"/>
    <w:rsid w:val="00751F66"/>
    <w:rsid w:val="00755A2D"/>
    <w:rsid w:val="007603F5"/>
    <w:rsid w:val="00764DB0"/>
    <w:rsid w:val="00766F8A"/>
    <w:rsid w:val="0076764D"/>
    <w:rsid w:val="00772629"/>
    <w:rsid w:val="00772D69"/>
    <w:rsid w:val="0077498C"/>
    <w:rsid w:val="00777183"/>
    <w:rsid w:val="00777449"/>
    <w:rsid w:val="00781B80"/>
    <w:rsid w:val="00784128"/>
    <w:rsid w:val="00784B4B"/>
    <w:rsid w:val="007854ED"/>
    <w:rsid w:val="00793173"/>
    <w:rsid w:val="00795A6C"/>
    <w:rsid w:val="007B3AC7"/>
    <w:rsid w:val="007B497A"/>
    <w:rsid w:val="007B7806"/>
    <w:rsid w:val="007C1FCC"/>
    <w:rsid w:val="007C32A8"/>
    <w:rsid w:val="007C3FE5"/>
    <w:rsid w:val="007C6201"/>
    <w:rsid w:val="007C6988"/>
    <w:rsid w:val="007D28A1"/>
    <w:rsid w:val="007D7C92"/>
    <w:rsid w:val="007E1154"/>
    <w:rsid w:val="007E57E2"/>
    <w:rsid w:val="007E6BA4"/>
    <w:rsid w:val="007E6FBF"/>
    <w:rsid w:val="007E7678"/>
    <w:rsid w:val="007F2CC2"/>
    <w:rsid w:val="007F2CEC"/>
    <w:rsid w:val="007F41F8"/>
    <w:rsid w:val="007F60D0"/>
    <w:rsid w:val="0080454E"/>
    <w:rsid w:val="00804C32"/>
    <w:rsid w:val="00804D5A"/>
    <w:rsid w:val="00806302"/>
    <w:rsid w:val="00807119"/>
    <w:rsid w:val="00812AFE"/>
    <w:rsid w:val="0081714E"/>
    <w:rsid w:val="00817D57"/>
    <w:rsid w:val="00822764"/>
    <w:rsid w:val="00822EBD"/>
    <w:rsid w:val="008241C4"/>
    <w:rsid w:val="0082483F"/>
    <w:rsid w:val="008264CB"/>
    <w:rsid w:val="0082676C"/>
    <w:rsid w:val="0082771E"/>
    <w:rsid w:val="008279C0"/>
    <w:rsid w:val="00835FD1"/>
    <w:rsid w:val="0084683C"/>
    <w:rsid w:val="008512FA"/>
    <w:rsid w:val="008521A1"/>
    <w:rsid w:val="00853A74"/>
    <w:rsid w:val="00857763"/>
    <w:rsid w:val="00860E61"/>
    <w:rsid w:val="00867A8F"/>
    <w:rsid w:val="008723F3"/>
    <w:rsid w:val="008770D3"/>
    <w:rsid w:val="00881DE6"/>
    <w:rsid w:val="008837A6"/>
    <w:rsid w:val="0089145D"/>
    <w:rsid w:val="00893A03"/>
    <w:rsid w:val="008A0C6E"/>
    <w:rsid w:val="008A28AC"/>
    <w:rsid w:val="008A46CF"/>
    <w:rsid w:val="008A4DF2"/>
    <w:rsid w:val="008A6CFE"/>
    <w:rsid w:val="008A7470"/>
    <w:rsid w:val="008B1A08"/>
    <w:rsid w:val="008B2DE3"/>
    <w:rsid w:val="008B5333"/>
    <w:rsid w:val="008B6223"/>
    <w:rsid w:val="008C206D"/>
    <w:rsid w:val="008C66E0"/>
    <w:rsid w:val="008E2DFA"/>
    <w:rsid w:val="008E3339"/>
    <w:rsid w:val="008E4F8C"/>
    <w:rsid w:val="008E549B"/>
    <w:rsid w:val="008E5E0C"/>
    <w:rsid w:val="008F18EF"/>
    <w:rsid w:val="008F20FC"/>
    <w:rsid w:val="008F2561"/>
    <w:rsid w:val="008F2B24"/>
    <w:rsid w:val="008F5FFE"/>
    <w:rsid w:val="008F624C"/>
    <w:rsid w:val="0090421A"/>
    <w:rsid w:val="00905A43"/>
    <w:rsid w:val="00907DC2"/>
    <w:rsid w:val="00912C79"/>
    <w:rsid w:val="009260A2"/>
    <w:rsid w:val="009344C1"/>
    <w:rsid w:val="00940663"/>
    <w:rsid w:val="00940D33"/>
    <w:rsid w:val="00942123"/>
    <w:rsid w:val="009424EE"/>
    <w:rsid w:val="00951031"/>
    <w:rsid w:val="0095207B"/>
    <w:rsid w:val="00954461"/>
    <w:rsid w:val="0095462A"/>
    <w:rsid w:val="00956085"/>
    <w:rsid w:val="00957951"/>
    <w:rsid w:val="00962045"/>
    <w:rsid w:val="00963A8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2FB5"/>
    <w:rsid w:val="009D0811"/>
    <w:rsid w:val="009D0EE1"/>
    <w:rsid w:val="009D30BB"/>
    <w:rsid w:val="009E2AEB"/>
    <w:rsid w:val="009E2B4B"/>
    <w:rsid w:val="009E2E27"/>
    <w:rsid w:val="009E3CA7"/>
    <w:rsid w:val="009E478B"/>
    <w:rsid w:val="009E4D14"/>
    <w:rsid w:val="009E4DE3"/>
    <w:rsid w:val="00A02137"/>
    <w:rsid w:val="00A047EE"/>
    <w:rsid w:val="00A114EA"/>
    <w:rsid w:val="00A153F7"/>
    <w:rsid w:val="00A2274A"/>
    <w:rsid w:val="00A235B7"/>
    <w:rsid w:val="00A25CD4"/>
    <w:rsid w:val="00A27A7A"/>
    <w:rsid w:val="00A31D9A"/>
    <w:rsid w:val="00A407EF"/>
    <w:rsid w:val="00A46B4C"/>
    <w:rsid w:val="00A5117B"/>
    <w:rsid w:val="00A54000"/>
    <w:rsid w:val="00A54689"/>
    <w:rsid w:val="00A56F50"/>
    <w:rsid w:val="00A60074"/>
    <w:rsid w:val="00A60D75"/>
    <w:rsid w:val="00A6627C"/>
    <w:rsid w:val="00A6649C"/>
    <w:rsid w:val="00A70BBC"/>
    <w:rsid w:val="00A71019"/>
    <w:rsid w:val="00A72035"/>
    <w:rsid w:val="00A72313"/>
    <w:rsid w:val="00A81029"/>
    <w:rsid w:val="00A83CB5"/>
    <w:rsid w:val="00A865A7"/>
    <w:rsid w:val="00A87667"/>
    <w:rsid w:val="00A927E4"/>
    <w:rsid w:val="00A96489"/>
    <w:rsid w:val="00AA3A42"/>
    <w:rsid w:val="00AA5311"/>
    <w:rsid w:val="00AA57E0"/>
    <w:rsid w:val="00AA7BAA"/>
    <w:rsid w:val="00AB6349"/>
    <w:rsid w:val="00AB685C"/>
    <w:rsid w:val="00AB6C2D"/>
    <w:rsid w:val="00AC08F7"/>
    <w:rsid w:val="00AC20E4"/>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63E7"/>
    <w:rsid w:val="00B17AA9"/>
    <w:rsid w:val="00B17D72"/>
    <w:rsid w:val="00B263D0"/>
    <w:rsid w:val="00B3295B"/>
    <w:rsid w:val="00B32DE4"/>
    <w:rsid w:val="00B33578"/>
    <w:rsid w:val="00B3495F"/>
    <w:rsid w:val="00B370C3"/>
    <w:rsid w:val="00B411AE"/>
    <w:rsid w:val="00B413F5"/>
    <w:rsid w:val="00B42C93"/>
    <w:rsid w:val="00B457BF"/>
    <w:rsid w:val="00B46CE2"/>
    <w:rsid w:val="00B60190"/>
    <w:rsid w:val="00B61419"/>
    <w:rsid w:val="00B6250B"/>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D7003"/>
    <w:rsid w:val="00BE0138"/>
    <w:rsid w:val="00BE1A50"/>
    <w:rsid w:val="00BF50F7"/>
    <w:rsid w:val="00C00111"/>
    <w:rsid w:val="00C018EB"/>
    <w:rsid w:val="00C02F29"/>
    <w:rsid w:val="00C10C13"/>
    <w:rsid w:val="00C17111"/>
    <w:rsid w:val="00C20747"/>
    <w:rsid w:val="00C20AFE"/>
    <w:rsid w:val="00C22A25"/>
    <w:rsid w:val="00C23B79"/>
    <w:rsid w:val="00C2559A"/>
    <w:rsid w:val="00C33D50"/>
    <w:rsid w:val="00C35671"/>
    <w:rsid w:val="00C35B77"/>
    <w:rsid w:val="00C370D3"/>
    <w:rsid w:val="00C376EB"/>
    <w:rsid w:val="00C4003A"/>
    <w:rsid w:val="00C4510C"/>
    <w:rsid w:val="00C46EC1"/>
    <w:rsid w:val="00C504E5"/>
    <w:rsid w:val="00C512A8"/>
    <w:rsid w:val="00C53E2C"/>
    <w:rsid w:val="00C550C8"/>
    <w:rsid w:val="00C5596C"/>
    <w:rsid w:val="00C56B61"/>
    <w:rsid w:val="00C606C3"/>
    <w:rsid w:val="00C620F4"/>
    <w:rsid w:val="00C668B6"/>
    <w:rsid w:val="00C67ECE"/>
    <w:rsid w:val="00C7161B"/>
    <w:rsid w:val="00C72848"/>
    <w:rsid w:val="00C75F16"/>
    <w:rsid w:val="00C7736C"/>
    <w:rsid w:val="00C82D87"/>
    <w:rsid w:val="00C841ED"/>
    <w:rsid w:val="00C85F17"/>
    <w:rsid w:val="00C8712A"/>
    <w:rsid w:val="00C90AEA"/>
    <w:rsid w:val="00C91324"/>
    <w:rsid w:val="00C914F7"/>
    <w:rsid w:val="00C91F13"/>
    <w:rsid w:val="00C963D3"/>
    <w:rsid w:val="00CA6E0D"/>
    <w:rsid w:val="00CB2CBB"/>
    <w:rsid w:val="00CB56CE"/>
    <w:rsid w:val="00CB59CF"/>
    <w:rsid w:val="00CB780F"/>
    <w:rsid w:val="00CB7CAC"/>
    <w:rsid w:val="00CC0EA0"/>
    <w:rsid w:val="00CC3F36"/>
    <w:rsid w:val="00CC5335"/>
    <w:rsid w:val="00CC5BA4"/>
    <w:rsid w:val="00CC70BB"/>
    <w:rsid w:val="00CC7D20"/>
    <w:rsid w:val="00CD12FA"/>
    <w:rsid w:val="00CD1CAC"/>
    <w:rsid w:val="00CD3420"/>
    <w:rsid w:val="00CD4998"/>
    <w:rsid w:val="00CE1035"/>
    <w:rsid w:val="00CE2A6A"/>
    <w:rsid w:val="00CE3E99"/>
    <w:rsid w:val="00CF2819"/>
    <w:rsid w:val="00CF4F9D"/>
    <w:rsid w:val="00CF6222"/>
    <w:rsid w:val="00CF70DC"/>
    <w:rsid w:val="00D0660D"/>
    <w:rsid w:val="00D148DC"/>
    <w:rsid w:val="00D15D9F"/>
    <w:rsid w:val="00D17FDC"/>
    <w:rsid w:val="00D41FDF"/>
    <w:rsid w:val="00D444C5"/>
    <w:rsid w:val="00D45AEA"/>
    <w:rsid w:val="00D5244F"/>
    <w:rsid w:val="00D52E4F"/>
    <w:rsid w:val="00D56A37"/>
    <w:rsid w:val="00D57202"/>
    <w:rsid w:val="00D61EAC"/>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1DDE"/>
    <w:rsid w:val="00DB243C"/>
    <w:rsid w:val="00DB45DD"/>
    <w:rsid w:val="00DB482A"/>
    <w:rsid w:val="00DB56F2"/>
    <w:rsid w:val="00DB6EF5"/>
    <w:rsid w:val="00DB6F4C"/>
    <w:rsid w:val="00DC3089"/>
    <w:rsid w:val="00DC4420"/>
    <w:rsid w:val="00DC4ED8"/>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6ED0"/>
    <w:rsid w:val="00E275AC"/>
    <w:rsid w:val="00E27E3C"/>
    <w:rsid w:val="00E31DF3"/>
    <w:rsid w:val="00E32814"/>
    <w:rsid w:val="00E33448"/>
    <w:rsid w:val="00E33486"/>
    <w:rsid w:val="00E34181"/>
    <w:rsid w:val="00E450A4"/>
    <w:rsid w:val="00E506BE"/>
    <w:rsid w:val="00E55275"/>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6BE"/>
    <w:rsid w:val="00EC2A46"/>
    <w:rsid w:val="00EC2AEA"/>
    <w:rsid w:val="00EC7B11"/>
    <w:rsid w:val="00EC7F95"/>
    <w:rsid w:val="00ED0BC4"/>
    <w:rsid w:val="00ED3771"/>
    <w:rsid w:val="00ED4AB7"/>
    <w:rsid w:val="00ED5191"/>
    <w:rsid w:val="00ED6A32"/>
    <w:rsid w:val="00ED7758"/>
    <w:rsid w:val="00EE4971"/>
    <w:rsid w:val="00EE7D32"/>
    <w:rsid w:val="00EF090E"/>
    <w:rsid w:val="00EF5791"/>
    <w:rsid w:val="00F033DA"/>
    <w:rsid w:val="00F11AAB"/>
    <w:rsid w:val="00F13FB1"/>
    <w:rsid w:val="00F14597"/>
    <w:rsid w:val="00F17BC1"/>
    <w:rsid w:val="00F17C87"/>
    <w:rsid w:val="00F20272"/>
    <w:rsid w:val="00F21C24"/>
    <w:rsid w:val="00F223E7"/>
    <w:rsid w:val="00F2288D"/>
    <w:rsid w:val="00F253ED"/>
    <w:rsid w:val="00F25779"/>
    <w:rsid w:val="00F2750A"/>
    <w:rsid w:val="00F27CD8"/>
    <w:rsid w:val="00F30351"/>
    <w:rsid w:val="00F31EE9"/>
    <w:rsid w:val="00F3323E"/>
    <w:rsid w:val="00F341F4"/>
    <w:rsid w:val="00F34F9D"/>
    <w:rsid w:val="00F35CCE"/>
    <w:rsid w:val="00F3650D"/>
    <w:rsid w:val="00F374C3"/>
    <w:rsid w:val="00F514B8"/>
    <w:rsid w:val="00F51EE5"/>
    <w:rsid w:val="00F55241"/>
    <w:rsid w:val="00F5524B"/>
    <w:rsid w:val="00F572DC"/>
    <w:rsid w:val="00F60538"/>
    <w:rsid w:val="00F61DD2"/>
    <w:rsid w:val="00F646E7"/>
    <w:rsid w:val="00F6523A"/>
    <w:rsid w:val="00F66AFF"/>
    <w:rsid w:val="00F71433"/>
    <w:rsid w:val="00F7241A"/>
    <w:rsid w:val="00F83E76"/>
    <w:rsid w:val="00F87BEA"/>
    <w:rsid w:val="00F90A57"/>
    <w:rsid w:val="00F92DA0"/>
    <w:rsid w:val="00F96EC5"/>
    <w:rsid w:val="00F97C5B"/>
    <w:rsid w:val="00F97D99"/>
    <w:rsid w:val="00FA05D2"/>
    <w:rsid w:val="00FA29E9"/>
    <w:rsid w:val="00FA359A"/>
    <w:rsid w:val="00FA3D50"/>
    <w:rsid w:val="00FB009F"/>
    <w:rsid w:val="00FB25B0"/>
    <w:rsid w:val="00FB6136"/>
    <w:rsid w:val="00FC374A"/>
    <w:rsid w:val="00FC7B47"/>
    <w:rsid w:val="00FD035C"/>
    <w:rsid w:val="00FD1A35"/>
    <w:rsid w:val="00FD1FE6"/>
    <w:rsid w:val="00FD23DA"/>
    <w:rsid w:val="00FD3018"/>
    <w:rsid w:val="00FD36C5"/>
    <w:rsid w:val="00FD428C"/>
    <w:rsid w:val="00FD6310"/>
    <w:rsid w:val="00FD7C7B"/>
    <w:rsid w:val="00FD7FD0"/>
    <w:rsid w:val="00FE02E0"/>
    <w:rsid w:val="00FE1D12"/>
    <w:rsid w:val="00FE2122"/>
    <w:rsid w:val="00FE2A86"/>
    <w:rsid w:val="00FE6B9B"/>
    <w:rsid w:val="00FE7B88"/>
    <w:rsid w:val="00FF296F"/>
    <w:rsid w:val="00FF5E23"/>
    <w:rsid w:val="00FF7578"/>
    <w:rsid w:val="0CCA2816"/>
    <w:rsid w:val="783FE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D6460F7C-7B18-46E6-8304-59F70591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BE18-6004-4AD0-B645-C3CB3C88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4617</Words>
  <Characters>26321</Characters>
  <Application>Microsoft Office Word</Application>
  <DocSecurity>0</DocSecurity>
  <Lines>219</Lines>
  <Paragraphs>61</Paragraphs>
  <ScaleCrop>false</ScaleCrop>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E. Mu�oz</cp:lastModifiedBy>
  <cp:revision>6</cp:revision>
  <cp:lastPrinted>2019-08-27T05:42:00Z</cp:lastPrinted>
  <dcterms:created xsi:type="dcterms:W3CDTF">2023-01-19T09:32:00Z</dcterms:created>
  <dcterms:modified xsi:type="dcterms:W3CDTF">2024-03-01T18:44:00Z</dcterms:modified>
</cp:coreProperties>
</file>