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230116">
        <w:rPr>
          <w:rFonts w:ascii="Avenir Next" w:hAnsi="Avenir Next"/>
          <w:highlight w:val="yellow"/>
        </w:rPr>
        <w:t>(c)</w:t>
      </w:r>
      <w:r w:rsidRPr="00230116">
        <w:rPr>
          <w:rFonts w:ascii="Avenir Next" w:hAnsi="Avenir Next"/>
          <w:highlight w:val="yellow"/>
        </w:rPr>
        <w:tab/>
        <w:t xml:space="preserve">Yes, if other creditors owed at least </w:t>
      </w:r>
      <w:r w:rsidR="00A81F08" w:rsidRPr="00230116">
        <w:rPr>
          <w:rFonts w:ascii="Avenir Next" w:hAnsi="Avenir Next"/>
          <w:highlight w:val="yellow"/>
        </w:rPr>
        <w:t xml:space="preserve">USD </w:t>
      </w:r>
      <w:r w:rsidRPr="00230116">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5F6E60">
        <w:rPr>
          <w:rFonts w:ascii="Avenir Next" w:hAnsi="Avenir Next"/>
          <w:highlight w:val="yellow"/>
        </w:rPr>
        <w:t>(d)</w:t>
      </w:r>
      <w:r w:rsidRPr="005F6E60">
        <w:rPr>
          <w:rFonts w:ascii="Avenir Next" w:hAnsi="Avenir Next"/>
          <w:highlight w:val="yellow"/>
        </w:rPr>
        <w:tab/>
        <w:t>A retired employee of Car Corp who receives payments from the company’s pension plan</w:t>
      </w:r>
      <w:r w:rsidR="00631394" w:rsidRPr="005F6E60">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5F6E60">
        <w:rPr>
          <w:rFonts w:ascii="Avenir Next" w:hAnsi="Avenir Next"/>
          <w:highlight w:val="yellow"/>
        </w:rPr>
        <w:t>(d)</w:t>
      </w:r>
      <w:r w:rsidRPr="005F6E60">
        <w:rPr>
          <w:rFonts w:ascii="Avenir Next" w:hAnsi="Avenir Next"/>
          <w:highlight w:val="yellow"/>
        </w:rPr>
        <w:tab/>
      </w:r>
      <w:r w:rsidR="00B849C5" w:rsidRPr="005F6E60">
        <w:rPr>
          <w:rFonts w:ascii="Avenir Next" w:hAnsi="Avenir Next"/>
          <w:highlight w:val="yellow"/>
        </w:rPr>
        <w:t xml:space="preserve">Options (a) to (c) </w:t>
      </w:r>
      <w:r w:rsidRPr="005F6E60">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93457F">
        <w:rPr>
          <w:rFonts w:ascii="Avenir Next" w:hAnsi="Avenir Next"/>
          <w:highlight w:val="yellow"/>
        </w:rPr>
        <w:t>(c)</w:t>
      </w:r>
      <w:r w:rsidRPr="0093457F">
        <w:rPr>
          <w:rFonts w:ascii="Avenir Next" w:hAnsi="Avenir Next"/>
          <w:highlight w:val="yellow"/>
        </w:rPr>
        <w:tab/>
        <w:t>An insolvency professional appointed by the court overseeing the foreign proceeding</w:t>
      </w:r>
      <w:r w:rsidR="0036662D" w:rsidRPr="0093457F">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055DD3">
        <w:rPr>
          <w:rFonts w:ascii="Avenir Next" w:hAnsi="Avenir Next"/>
          <w:highlight w:val="yellow"/>
        </w:rPr>
        <w:t>(b)</w:t>
      </w:r>
      <w:r w:rsidRPr="00055DD3">
        <w:rPr>
          <w:rFonts w:ascii="Avenir Next" w:hAnsi="Avenir Next"/>
          <w:highlight w:val="yellow"/>
        </w:rPr>
        <w:tab/>
        <w:t xml:space="preserve">Executory contracts are clearly defined by the </w:t>
      </w:r>
      <w:r w:rsidR="00ED7BF3" w:rsidRPr="00055DD3">
        <w:rPr>
          <w:rFonts w:ascii="Avenir Next" w:hAnsi="Avenir Next"/>
          <w:highlight w:val="yellow"/>
        </w:rPr>
        <w:t>B</w:t>
      </w:r>
      <w:r w:rsidRPr="00055DD3">
        <w:rPr>
          <w:rFonts w:ascii="Avenir Next" w:hAnsi="Avenir Next"/>
          <w:highlight w:val="yellow"/>
        </w:rPr>
        <w:t xml:space="preserve">ankruptcy </w:t>
      </w:r>
      <w:r w:rsidR="00ED7BF3" w:rsidRPr="00055DD3">
        <w:rPr>
          <w:rFonts w:ascii="Avenir Next" w:hAnsi="Avenir Next"/>
          <w:highlight w:val="yellow"/>
        </w:rPr>
        <w:t>C</w:t>
      </w:r>
      <w:r w:rsidRPr="00055DD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055DD3" w:rsidRDefault="000643AB" w:rsidP="00875912">
      <w:pPr>
        <w:pStyle w:val="AODocTxt"/>
        <w:numPr>
          <w:ilvl w:val="0"/>
          <w:numId w:val="24"/>
        </w:numPr>
        <w:spacing w:before="0" w:line="240" w:lineRule="auto"/>
        <w:ind w:left="426" w:hanging="426"/>
        <w:rPr>
          <w:rFonts w:ascii="Avenir Next" w:hAnsi="Avenir Next"/>
          <w:highlight w:val="yellow"/>
        </w:rPr>
      </w:pPr>
      <w:r w:rsidRPr="00055DD3">
        <w:rPr>
          <w:rFonts w:ascii="Avenir Next" w:hAnsi="Avenir Next"/>
          <w:highlight w:val="yellow"/>
        </w:rPr>
        <w:t>Acceptance of the plan by all classes of secured creditors</w:t>
      </w:r>
      <w:r w:rsidR="006844A8" w:rsidRPr="00055DD3">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D56495" w:rsidRDefault="00C24FAB" w:rsidP="009017A1">
      <w:pPr>
        <w:pStyle w:val="AODocTxt"/>
        <w:numPr>
          <w:ilvl w:val="0"/>
          <w:numId w:val="33"/>
        </w:numPr>
        <w:spacing w:before="0" w:line="240" w:lineRule="auto"/>
        <w:ind w:left="426" w:hanging="426"/>
        <w:rPr>
          <w:rFonts w:ascii="Avenir Next" w:hAnsi="Avenir Next"/>
          <w:highlight w:val="yellow"/>
        </w:rPr>
      </w:pPr>
      <w:r w:rsidRPr="00D5649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F8508C" w:rsidRDefault="00853272" w:rsidP="00BA74EF">
      <w:pPr>
        <w:pStyle w:val="AODocTxt"/>
        <w:numPr>
          <w:ilvl w:val="0"/>
          <w:numId w:val="28"/>
        </w:numPr>
        <w:spacing w:before="0" w:line="240" w:lineRule="auto"/>
        <w:ind w:left="426" w:hanging="426"/>
        <w:rPr>
          <w:rFonts w:ascii="Avenir Next" w:hAnsi="Avenir Next"/>
          <w:highlight w:val="yellow"/>
        </w:rPr>
      </w:pPr>
      <w:r w:rsidRPr="00F8508C">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0E2BF0" w:rsidRDefault="00334B98" w:rsidP="00676F12">
      <w:pPr>
        <w:pStyle w:val="AODocTxt"/>
        <w:keepNext/>
        <w:numPr>
          <w:ilvl w:val="0"/>
          <w:numId w:val="30"/>
        </w:numPr>
        <w:spacing w:before="0" w:line="240" w:lineRule="auto"/>
        <w:ind w:left="426" w:hanging="426"/>
        <w:rPr>
          <w:rFonts w:ascii="Avenir Next" w:hAnsi="Avenir Next"/>
          <w:highlight w:val="yellow"/>
        </w:rPr>
      </w:pPr>
      <w:r w:rsidRPr="000E2BF0">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0E2BF0" w:rsidRDefault="00740655" w:rsidP="00DF5F7C">
      <w:pPr>
        <w:pStyle w:val="AODocTxt"/>
        <w:keepNext/>
        <w:numPr>
          <w:ilvl w:val="0"/>
          <w:numId w:val="35"/>
        </w:numPr>
        <w:spacing w:before="0" w:line="240" w:lineRule="auto"/>
        <w:ind w:left="426" w:hanging="426"/>
        <w:rPr>
          <w:rFonts w:ascii="Avenir Next" w:hAnsi="Avenir Next"/>
          <w:highlight w:val="yellow"/>
        </w:rPr>
      </w:pPr>
      <w:r w:rsidRPr="000E2BF0">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1AC432E5" w14:textId="6BB56B0B" w:rsidR="001F4A8A" w:rsidRPr="002B5D64" w:rsidRDefault="001F4A8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Where </w:t>
      </w:r>
      <w:r w:rsidR="00BC71AE">
        <w:rPr>
          <w:rFonts w:ascii="Avenir Next" w:hAnsi="Avenir Next"/>
          <w:color w:val="808080" w:themeColor="background1" w:themeShade="80"/>
        </w:rPr>
        <w:t>a</w:t>
      </w:r>
      <w:r>
        <w:rPr>
          <w:rFonts w:ascii="Avenir Next" w:hAnsi="Avenir Next"/>
          <w:color w:val="808080" w:themeColor="background1" w:themeShade="80"/>
        </w:rPr>
        <w:t xml:space="preserve"> debtor has a cross-claim against </w:t>
      </w:r>
      <w:r w:rsidR="00BC71AE">
        <w:rPr>
          <w:rFonts w:ascii="Avenir Next" w:hAnsi="Avenir Next"/>
          <w:color w:val="808080" w:themeColor="background1" w:themeShade="80"/>
        </w:rPr>
        <w:t>a</w:t>
      </w:r>
      <w:r>
        <w:rPr>
          <w:rFonts w:ascii="Avenir Next" w:hAnsi="Avenir Next"/>
          <w:color w:val="808080" w:themeColor="background1" w:themeShade="80"/>
        </w:rPr>
        <w:t xml:space="preserve"> creditor, setoff has the effect of reducing the creditor’s claim </w:t>
      </w:r>
      <w:r w:rsidR="00BC71AE">
        <w:rPr>
          <w:rFonts w:ascii="Avenir Next" w:hAnsi="Avenir Next"/>
          <w:color w:val="808080" w:themeColor="background1" w:themeShade="80"/>
        </w:rPr>
        <w:t xml:space="preserve">against the debtor </w:t>
      </w:r>
      <w:r>
        <w:rPr>
          <w:rFonts w:ascii="Avenir Next" w:hAnsi="Avenir Next"/>
          <w:color w:val="808080" w:themeColor="background1" w:themeShade="80"/>
        </w:rPr>
        <w:t>by the extent of the debtor’s cross-claim.  It is not permitted in many circumstances because it</w:t>
      </w:r>
      <w:r w:rsidR="00D8522A">
        <w:rPr>
          <w:rFonts w:ascii="Avenir Next" w:hAnsi="Avenir Next"/>
          <w:color w:val="808080" w:themeColor="background1" w:themeShade="80"/>
        </w:rPr>
        <w:t xml:space="preserve"> has the effect of reducing a </w:t>
      </w:r>
      <w:r>
        <w:rPr>
          <w:rFonts w:ascii="Avenir Next" w:hAnsi="Avenir Next"/>
          <w:color w:val="808080" w:themeColor="background1" w:themeShade="80"/>
        </w:rPr>
        <w:t>debtor’s property (which includes its cross-claims</w:t>
      </w:r>
      <w:r w:rsidR="00D8522A">
        <w:rPr>
          <w:rFonts w:ascii="Avenir Next" w:hAnsi="Avenir Next"/>
          <w:color w:val="808080" w:themeColor="background1" w:themeShade="80"/>
        </w:rPr>
        <w:t xml:space="preserve"> against a creditor), when creditors against whom the debtor has cross-claims should be treated in the same way as other creditors (of the same class) without factoring in any setoff.</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5B510CA8" w:rsidR="001D3BAA" w:rsidRPr="002B5D64" w:rsidRDefault="008B19C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Priming lien is security </w:t>
      </w:r>
      <w:r w:rsidR="00605BDE">
        <w:rPr>
          <w:rFonts w:ascii="Avenir Next" w:hAnsi="Avenir Next"/>
          <w:color w:val="808080" w:themeColor="background1" w:themeShade="80"/>
        </w:rPr>
        <w:t xml:space="preserve">over pre-petition encumbered estate property that ranks above or no less than the pre-petition lien on the encumbered estate property.  The court permits priming lien where it is necessary to secure post-petition financing and the interest of the secured creditor with the pre-petition lien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FC8CEB5" w:rsidR="001D3BAA" w:rsidRPr="002B5D64" w:rsidRDefault="008541E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Violation of the automatic stay is tantamount to contempt of court.  Acts committed in violation of the automatic stay can be rendered void or voidable.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2433E01B" w:rsidR="001D3BAA" w:rsidRPr="002B5D64" w:rsidRDefault="008541E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Creditors deemed to accept a plan of reorganization are those whose rights are not adversely affected by the plan.  Creditors deemed to reject the plan are those who will receive nothing under the plan.  Creditors permitted to vote on the plan are those whose rights may be adversely affected by the plan.  </w:t>
      </w:r>
      <w:r w:rsidR="00D8664E">
        <w:rPr>
          <w:rFonts w:ascii="Avenir Next" w:hAnsi="Avenir Next"/>
          <w:color w:val="808080" w:themeColor="background1" w:themeShade="80"/>
        </w:rPr>
        <w:t>For a class of creditors to accept a plan, a</w:t>
      </w:r>
      <w:r>
        <w:rPr>
          <w:rFonts w:ascii="Avenir Next" w:hAnsi="Avenir Next"/>
          <w:color w:val="808080" w:themeColor="background1" w:themeShade="80"/>
        </w:rPr>
        <w:t xml:space="preserve"> simple majority (more than 50%) of </w:t>
      </w:r>
      <w:r w:rsidR="00D8664E">
        <w:rPr>
          <w:rFonts w:ascii="Avenir Next" w:hAnsi="Avenir Next"/>
          <w:color w:val="808080" w:themeColor="background1" w:themeShade="80"/>
        </w:rPr>
        <w:t>the creditors in the</w:t>
      </w:r>
      <w:r>
        <w:rPr>
          <w:rFonts w:ascii="Avenir Next" w:hAnsi="Avenir Next"/>
          <w:color w:val="808080" w:themeColor="background1" w:themeShade="80"/>
        </w:rPr>
        <w:t xml:space="preserve"> class holding at least two-thirds in value of the claims in the class must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of the plan.</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1BF237C6" w:rsidR="00E239B8" w:rsidRDefault="00B738AD" w:rsidP="00B738AD">
      <w:pPr>
        <w:pStyle w:val="AODocTxt"/>
        <w:numPr>
          <w:ilvl w:val="0"/>
          <w:numId w:val="38"/>
        </w:numPr>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Preferences.</w:t>
      </w:r>
    </w:p>
    <w:p w14:paraId="36527528" w14:textId="77777777" w:rsidR="00B738AD" w:rsidRDefault="00B738AD" w:rsidP="00B738AD">
      <w:pPr>
        <w:pStyle w:val="AODocTxt"/>
        <w:spacing w:before="0" w:line="240" w:lineRule="auto"/>
        <w:ind w:left="360"/>
        <w:rPr>
          <w:rFonts w:ascii="Avenir Next" w:hAnsi="Avenir Next"/>
          <w:color w:val="808080" w:themeColor="background1" w:themeShade="80"/>
        </w:rPr>
      </w:pPr>
    </w:p>
    <w:p w14:paraId="2A71074B" w14:textId="32A574DB" w:rsidR="00B738AD" w:rsidRDefault="00B738AD" w:rsidP="00B738AD">
      <w:pPr>
        <w:pStyle w:val="AODocTxt"/>
        <w:numPr>
          <w:ilvl w:val="0"/>
          <w:numId w:val="38"/>
        </w:numPr>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Preferences.</w:t>
      </w:r>
    </w:p>
    <w:p w14:paraId="2D076C06" w14:textId="77777777" w:rsidR="00B738AD" w:rsidRDefault="00B738AD" w:rsidP="00B738AD">
      <w:pPr>
        <w:pStyle w:val="ListParagraph"/>
        <w:rPr>
          <w:rFonts w:ascii="Avenir Next" w:hAnsi="Avenir Next"/>
          <w:color w:val="808080" w:themeColor="background1" w:themeShade="80"/>
        </w:rPr>
      </w:pPr>
    </w:p>
    <w:p w14:paraId="1080C00A" w14:textId="1D5662FD" w:rsidR="00B738AD" w:rsidRDefault="00350760" w:rsidP="00B738AD">
      <w:pPr>
        <w:pStyle w:val="AODocTxt"/>
        <w:numPr>
          <w:ilvl w:val="0"/>
          <w:numId w:val="38"/>
        </w:numPr>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Actual fraudulent conveyances.</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52CF5F3C" w:rsidR="001D3BAA" w:rsidRDefault="00CF5C5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bankruptcy court may enter a final order consistent with the US Constitution if the order is in respect of “core proceedings” (essentially </w:t>
      </w:r>
      <w:r w:rsidR="0018362E">
        <w:rPr>
          <w:rFonts w:ascii="Avenir Next" w:hAnsi="Avenir Next"/>
          <w:color w:val="808080" w:themeColor="background1" w:themeShade="80"/>
        </w:rPr>
        <w:t>cases under the Bankruptcy Code or proceedings arising under the Bankruptcy Code</w:t>
      </w:r>
      <w:r>
        <w:rPr>
          <w:rFonts w:ascii="Avenir Next" w:hAnsi="Avenir Next"/>
          <w:color w:val="808080" w:themeColor="background1" w:themeShade="80"/>
        </w:rPr>
        <w:t xml:space="preserve">) to the extent that they do not involve the determination of rights that also come within the jurisdiction of courts provided under the US Constitution (as opposed to bankruptcy courts which are creatures of statute, the Bankruptcy Code).  Notwithstanding, a bankruptcy court may also enter a final order where the parties so consent. </w:t>
      </w:r>
    </w:p>
    <w:p w14:paraId="2C91063C" w14:textId="4D3572F8" w:rsidR="00CF5C5C" w:rsidRDefault="00CF5C5C" w:rsidP="001D3BAA">
      <w:pPr>
        <w:pStyle w:val="AODocTxt"/>
        <w:spacing w:before="0" w:line="240" w:lineRule="auto"/>
        <w:rPr>
          <w:rFonts w:ascii="Avenir Next" w:hAnsi="Avenir Next"/>
          <w:color w:val="808080" w:themeColor="background1" w:themeShade="80"/>
        </w:rPr>
      </w:pPr>
    </w:p>
    <w:p w14:paraId="168867CB" w14:textId="4193A86B" w:rsidR="00CF5C5C" w:rsidRPr="00CF5C5C" w:rsidRDefault="00CF5C5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Orders that are not constitutionally final are reviewed </w:t>
      </w:r>
      <w:r>
        <w:rPr>
          <w:rFonts w:ascii="Avenir Next" w:hAnsi="Avenir Next"/>
          <w:i/>
          <w:color w:val="808080" w:themeColor="background1" w:themeShade="80"/>
        </w:rPr>
        <w:t>de novo</w:t>
      </w:r>
      <w:r>
        <w:rPr>
          <w:rFonts w:ascii="Avenir Next" w:hAnsi="Avenir Next"/>
          <w:color w:val="808080" w:themeColor="background1" w:themeShade="80"/>
        </w:rPr>
        <w:t xml:space="preserve"> </w:t>
      </w:r>
      <w:r w:rsidR="003F4FBF">
        <w:rPr>
          <w:rFonts w:ascii="Avenir Next" w:hAnsi="Avenir Next"/>
          <w:color w:val="808080" w:themeColor="background1" w:themeShade="80"/>
        </w:rPr>
        <w:t xml:space="preserve">(i.e., afresh) </w:t>
      </w:r>
      <w:r>
        <w:rPr>
          <w:rFonts w:ascii="Avenir Next" w:hAnsi="Avenir Next"/>
          <w:color w:val="808080" w:themeColor="background1" w:themeShade="80"/>
        </w:rPr>
        <w:t>both as to findings of fact and conclusions of law</w:t>
      </w:r>
      <w:r w:rsidR="003F4FBF">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74B33B55" w14:textId="67EEE687" w:rsidR="008D4DF6" w:rsidRDefault="00904EB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representative’s filing of a Chapter 15 petition does not gi</w:t>
      </w:r>
      <w:r w:rsidR="008D4DF6">
        <w:rPr>
          <w:rFonts w:ascii="Avenir Next" w:hAnsi="Avenir Next"/>
          <w:color w:val="808080" w:themeColor="background1" w:themeShade="80"/>
        </w:rPr>
        <w:t xml:space="preserve">ve rise to an </w:t>
      </w:r>
      <w:r>
        <w:rPr>
          <w:rFonts w:ascii="Avenir Next" w:hAnsi="Avenir Next"/>
          <w:color w:val="808080" w:themeColor="background1" w:themeShade="80"/>
        </w:rPr>
        <w:t xml:space="preserve">automatic stay of creditor action.  The automatic stay arises only if the foreign proceeding in a Chapter 15 petition is recognized as a foreign main proceeding.  </w:t>
      </w:r>
      <w:r w:rsidR="008D4DF6">
        <w:rPr>
          <w:rFonts w:ascii="Avenir Next" w:hAnsi="Avenir Next"/>
          <w:color w:val="808080" w:themeColor="background1" w:themeShade="80"/>
        </w:rPr>
        <w:t xml:space="preserve">A foreign representative can obtain </w:t>
      </w:r>
      <w:r w:rsidR="008D4DF6">
        <w:rPr>
          <w:rFonts w:ascii="Avenir Next" w:hAnsi="Avenir Next"/>
          <w:color w:val="808080" w:themeColor="background1" w:themeShade="80"/>
        </w:rPr>
        <w:lastRenderedPageBreak/>
        <w:t>equivalent relief by applying for a stay of creditor action on an interim basis under Chapter 15 of the Bankruptcy Code, or by commencing plenary proceedings under the Bankruptcy Code.</w:t>
      </w:r>
      <w:bookmarkStart w:id="1" w:name="_GoBack"/>
      <w:bookmarkEnd w:id="1"/>
    </w:p>
    <w:p w14:paraId="75F2F4BD" w14:textId="77777777" w:rsidR="008D4DF6" w:rsidRDefault="008D4DF6" w:rsidP="001D3BAA">
      <w:pPr>
        <w:pStyle w:val="AODocTxt"/>
        <w:spacing w:before="0" w:line="240" w:lineRule="auto"/>
        <w:rPr>
          <w:rFonts w:ascii="Avenir Next" w:hAnsi="Avenir Next"/>
          <w:color w:val="808080" w:themeColor="background1" w:themeShade="80"/>
        </w:rPr>
      </w:pPr>
    </w:p>
    <w:p w14:paraId="4C019754" w14:textId="4B68478B" w:rsidR="008D4DF6" w:rsidRPr="002B5D64" w:rsidRDefault="008D4DF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foreign representative in a Chapter 15 proceeding also does not have access to the provisions of the Bankruptcy Code for avoidance powers.  A foreign representative can overcome this by commencing a plenary proceeding under the Bankruptcy Code after recognition of the foreign proceeding.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7EAD26DA" w:rsidR="001D3BAA" w:rsidRPr="002B5D64" w:rsidRDefault="00CE147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Aside the Bankruptcy Code, w</w:t>
      </w:r>
      <w:r w:rsidR="00BC16C3">
        <w:rPr>
          <w:rFonts w:ascii="Avenir Next" w:hAnsi="Avenir Next"/>
          <w:color w:val="808080" w:themeColor="background1" w:themeShade="80"/>
        </w:rPr>
        <w:t>hen preparing a filing for a bankruptcy court, one should review the Federal Rules of Bankruptcy Procedure,</w:t>
      </w:r>
      <w:r>
        <w:rPr>
          <w:rFonts w:ascii="Avenir Next" w:hAnsi="Avenir Next"/>
          <w:color w:val="808080" w:themeColor="background1" w:themeShade="80"/>
        </w:rPr>
        <w:t xml:space="preserve"> the Federal Rules of Civil Procedure incorporated in the Federal Rules of Bankruptcy Procedure, as well as the local rules of procedure and the personal practices of the judges of the relevant court where filing is contemplated.</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5FBEEEB8" w14:textId="303A947A" w:rsidR="00812EE2" w:rsidRDefault="003F32D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of Delaware corporations owe a fiduciary duty of loyalty to their corporation</w:t>
      </w:r>
      <w:r w:rsidR="00812EE2">
        <w:rPr>
          <w:rFonts w:ascii="Avenir Next" w:hAnsi="Avenir Next"/>
          <w:color w:val="808080" w:themeColor="background1" w:themeShade="80"/>
        </w:rPr>
        <w:t>, to act in the b</w:t>
      </w:r>
      <w:r>
        <w:rPr>
          <w:rFonts w:ascii="Avenir Next" w:hAnsi="Avenir Next"/>
          <w:color w:val="808080" w:themeColor="background1" w:themeShade="80"/>
        </w:rPr>
        <w:t xml:space="preserve">est interest </w:t>
      </w:r>
      <w:r w:rsidR="00812EE2">
        <w:rPr>
          <w:rFonts w:ascii="Avenir Next" w:hAnsi="Avenir Next"/>
          <w:color w:val="808080" w:themeColor="background1" w:themeShade="80"/>
        </w:rPr>
        <w:t xml:space="preserve">of their corporation, in good faith on the basis of reasonable information. They also owe a duty of care in managing the affairs of their corporation.  </w:t>
      </w:r>
    </w:p>
    <w:p w14:paraId="525ED453" w14:textId="41ACF212" w:rsidR="00812EE2" w:rsidRDefault="00812EE2" w:rsidP="001D3BAA">
      <w:pPr>
        <w:pStyle w:val="AODocTxt"/>
        <w:spacing w:before="0" w:line="240" w:lineRule="auto"/>
        <w:rPr>
          <w:rFonts w:ascii="Avenir Next" w:hAnsi="Avenir Next"/>
          <w:color w:val="808080" w:themeColor="background1" w:themeShade="80"/>
        </w:rPr>
      </w:pPr>
    </w:p>
    <w:p w14:paraId="22CF7854" w14:textId="1D54425D" w:rsidR="00812EE2" w:rsidRDefault="00812EE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ordinary course of business, their duties are owed to their corporation and its shareholders.  </w:t>
      </w:r>
    </w:p>
    <w:p w14:paraId="4482A0DC" w14:textId="7DEAFF38" w:rsidR="00812EE2" w:rsidRDefault="00812EE2" w:rsidP="001D3BAA">
      <w:pPr>
        <w:pStyle w:val="AODocTxt"/>
        <w:spacing w:before="0" w:line="240" w:lineRule="auto"/>
        <w:rPr>
          <w:rFonts w:ascii="Avenir Next" w:hAnsi="Avenir Next"/>
          <w:color w:val="808080" w:themeColor="background1" w:themeShade="80"/>
        </w:rPr>
      </w:pPr>
    </w:p>
    <w:p w14:paraId="3B4DF1F8" w14:textId="55988CFB" w:rsidR="00812EE2" w:rsidRPr="002B5D64" w:rsidRDefault="00812EE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Even when a Delaware corporation is potentially or actually insolvent, a director of such a corporation still owes duties to the corporation and its shareholders, and not creditors of the corporation.  Consequently, directors cannot be held accountable for “wrongful trading”, for example, which is a concept that has no equivalence in the US.</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38AAAC55" w:rsidR="001D3BAA" w:rsidRDefault="00967BE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lessors of office space to iWork Ltd could evict iWork Ltd if the relevant leases have expired as the automatic stay provided under the Bankruptcy Code does not extend to such creditor action. </w:t>
      </w:r>
    </w:p>
    <w:p w14:paraId="06A20E3A" w14:textId="2555F71E" w:rsidR="00967BE3" w:rsidRDefault="00967BE3" w:rsidP="001D3BAA">
      <w:pPr>
        <w:pStyle w:val="AODocTxt"/>
        <w:spacing w:before="0" w:line="240" w:lineRule="auto"/>
        <w:rPr>
          <w:rFonts w:ascii="Avenir Next" w:hAnsi="Avenir Next"/>
          <w:color w:val="808080" w:themeColor="background1" w:themeShade="80"/>
        </w:rPr>
      </w:pPr>
    </w:p>
    <w:p w14:paraId="6DF5FCA5" w14:textId="13F6DE1E" w:rsidR="00967BE3" w:rsidRDefault="00967BE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Another protection is that</w:t>
      </w:r>
      <w:r w:rsidR="00DC2B1F">
        <w:rPr>
          <w:rFonts w:ascii="Avenir Next" w:hAnsi="Avenir Next"/>
          <w:color w:val="808080" w:themeColor="background1" w:themeShade="80"/>
        </w:rPr>
        <w:t>, if iWork Ltd is in a Chapter 7 case, the trustee of</w:t>
      </w:r>
      <w:r>
        <w:rPr>
          <w:rFonts w:ascii="Avenir Next" w:hAnsi="Avenir Next"/>
          <w:color w:val="808080" w:themeColor="background1" w:themeShade="80"/>
        </w:rPr>
        <w:t xml:space="preserve"> iWork Ltd </w:t>
      </w:r>
      <w:r w:rsidR="00DC2B1F">
        <w:rPr>
          <w:rFonts w:ascii="Avenir Next" w:hAnsi="Avenir Next"/>
          <w:color w:val="808080" w:themeColor="background1" w:themeShade="80"/>
        </w:rPr>
        <w:t>is limited to make decisions about the assumption or rejection of any unexpired lease within 60 days from petition date</w:t>
      </w:r>
      <w:r>
        <w:rPr>
          <w:rFonts w:ascii="Avenir Next" w:hAnsi="Avenir Next"/>
          <w:color w:val="808080" w:themeColor="background1" w:themeShade="80"/>
        </w:rPr>
        <w:t xml:space="preserve">.  While iWork Ltd would have until the confirmation of a </w:t>
      </w:r>
      <w:r w:rsidR="00DC2B1F">
        <w:rPr>
          <w:rFonts w:ascii="Avenir Next" w:hAnsi="Avenir Next"/>
          <w:color w:val="808080" w:themeColor="background1" w:themeShade="80"/>
        </w:rPr>
        <w:lastRenderedPageBreak/>
        <w:t xml:space="preserve">reorganization </w:t>
      </w:r>
      <w:r>
        <w:rPr>
          <w:rFonts w:ascii="Avenir Next" w:hAnsi="Avenir Next"/>
          <w:color w:val="808080" w:themeColor="background1" w:themeShade="80"/>
        </w:rPr>
        <w:t xml:space="preserve">plan to decide whether to assume and assign or reject any unexpired lease if it were a Chapter 11 case, the </w:t>
      </w:r>
      <w:r w:rsidR="00A86FC4">
        <w:rPr>
          <w:rFonts w:ascii="Avenir Next" w:hAnsi="Avenir Next"/>
          <w:color w:val="808080" w:themeColor="background1" w:themeShade="80"/>
        </w:rPr>
        <w:t>Bankruptcy Code specifically requires iWork Ltd to make decisions about any unexpired lease within 1</w:t>
      </w:r>
      <w:r w:rsidR="003C6097">
        <w:rPr>
          <w:rFonts w:ascii="Avenir Next" w:hAnsi="Avenir Next"/>
          <w:color w:val="808080" w:themeColor="background1" w:themeShade="80"/>
        </w:rPr>
        <w:t>20 days of the order for relief.  Th</w:t>
      </w:r>
      <w:r w:rsidR="00217B1A">
        <w:rPr>
          <w:rFonts w:ascii="Avenir Next" w:hAnsi="Avenir Next"/>
          <w:color w:val="808080" w:themeColor="background1" w:themeShade="80"/>
        </w:rPr>
        <w:t>is period can be extended for</w:t>
      </w:r>
      <w:r w:rsidR="003C6097">
        <w:rPr>
          <w:rFonts w:ascii="Avenir Next" w:hAnsi="Avenir Next"/>
          <w:color w:val="808080" w:themeColor="background1" w:themeShade="80"/>
        </w:rPr>
        <w:t xml:space="preserve"> 90 days for cause, but any subsequent extension requires </w:t>
      </w:r>
      <w:r w:rsidR="003B66E5">
        <w:rPr>
          <w:rFonts w:ascii="Avenir Next" w:hAnsi="Avenir Next"/>
          <w:color w:val="808080" w:themeColor="background1" w:themeShade="80"/>
        </w:rPr>
        <w:t xml:space="preserve">the consent of the lessors. </w:t>
      </w:r>
    </w:p>
    <w:p w14:paraId="460D9703" w14:textId="39B0054F" w:rsidR="003B66E5" w:rsidRDefault="003B66E5" w:rsidP="001D3BAA">
      <w:pPr>
        <w:pStyle w:val="AODocTxt"/>
        <w:spacing w:before="0" w:line="240" w:lineRule="auto"/>
        <w:rPr>
          <w:rFonts w:ascii="Avenir Next" w:hAnsi="Avenir Next"/>
          <w:color w:val="808080" w:themeColor="background1" w:themeShade="80"/>
        </w:rPr>
      </w:pPr>
    </w:p>
    <w:p w14:paraId="30C88489" w14:textId="69BCCF55" w:rsidR="003B66E5" w:rsidRPr="002B5D64" w:rsidRDefault="003B66E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Where the leases of office space to iWork Ltd were assumed and subsequently rejected, the Bankruptcy Code ranks two years of lease payments from the later of the date of rejection of a lease or turn</w:t>
      </w:r>
      <w:r w:rsidR="00DC2B1F">
        <w:rPr>
          <w:rFonts w:ascii="Avenir Next" w:hAnsi="Avenir Next"/>
          <w:color w:val="808080" w:themeColor="background1" w:themeShade="80"/>
        </w:rPr>
        <w:t>over of</w:t>
      </w:r>
      <w:r>
        <w:rPr>
          <w:rFonts w:ascii="Avenir Next" w:hAnsi="Avenir Next"/>
          <w:color w:val="808080" w:themeColor="background1" w:themeShade="80"/>
        </w:rPr>
        <w:t xml:space="preserve"> lease premises </w:t>
      </w:r>
      <w:r w:rsidR="00DC2B1F">
        <w:rPr>
          <w:rFonts w:ascii="Avenir Next" w:hAnsi="Avenir Next"/>
          <w:color w:val="808080" w:themeColor="background1" w:themeShade="80"/>
        </w:rPr>
        <w:t xml:space="preserve">as administrative expenses.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502D9D95" w:rsidR="001D3BAA" w:rsidRPr="002B5D64" w:rsidRDefault="00D30B0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could be granted recognition under US Chapter 15 as a foreign non-main proceeding.  Whether a foreign proceeding should be recognized as a foreign main or foreign non-main proceeding depends on whether the foreign proceeding was commenced in a jurisdiction where the </w:t>
      </w:r>
      <w:r w:rsidR="00DD0915">
        <w:rPr>
          <w:rFonts w:ascii="Avenir Next" w:hAnsi="Avenir Next"/>
          <w:color w:val="808080" w:themeColor="background1" w:themeShade="80"/>
        </w:rPr>
        <w:t xml:space="preserve">debtor’s </w:t>
      </w:r>
      <w:proofErr w:type="spellStart"/>
      <w:r w:rsidR="00DD0915">
        <w:rPr>
          <w:rFonts w:ascii="Avenir Next" w:hAnsi="Avenir Next"/>
          <w:color w:val="808080" w:themeColor="background1" w:themeShade="80"/>
        </w:rPr>
        <w:t>centre</w:t>
      </w:r>
      <w:proofErr w:type="spellEnd"/>
      <w:r w:rsidR="00DD0915">
        <w:rPr>
          <w:rFonts w:ascii="Avenir Next" w:hAnsi="Avenir Next"/>
          <w:color w:val="808080" w:themeColor="background1" w:themeShade="80"/>
        </w:rPr>
        <w:t xml:space="preserve"> of main interest (COMI) is.  While COMI is not defined, a debtor’s place of incorporation is presumed to be its COMI. In this case, Skin </w:t>
      </w:r>
      <w:proofErr w:type="spellStart"/>
      <w:r w:rsidR="00DD0915">
        <w:rPr>
          <w:rFonts w:ascii="Avenir Next" w:hAnsi="Avenir Next"/>
          <w:color w:val="808080" w:themeColor="background1" w:themeShade="80"/>
        </w:rPr>
        <w:t>Luxe’s</w:t>
      </w:r>
      <w:proofErr w:type="spellEnd"/>
      <w:r w:rsidR="00DD0915">
        <w:rPr>
          <w:rFonts w:ascii="Avenir Next" w:hAnsi="Avenir Next"/>
          <w:color w:val="808080" w:themeColor="background1" w:themeShade="80"/>
        </w:rPr>
        <w:t xml:space="preserve"> COMI is in France as that is where Skin Luxe was incorporated and where its principal place of business is.  France is where Skin Luxe develops and manufactures its skin care products. </w:t>
      </w:r>
      <w:r w:rsidR="00BC4A0D">
        <w:rPr>
          <w:rFonts w:ascii="Avenir Next" w:hAnsi="Avenir Next"/>
          <w:color w:val="808080" w:themeColor="background1" w:themeShade="80"/>
        </w:rPr>
        <w:t xml:space="preserve">In contrast, </w:t>
      </w:r>
      <w:r w:rsidR="00DD0915">
        <w:rPr>
          <w:rFonts w:ascii="Avenir Next" w:hAnsi="Avenir Next"/>
          <w:color w:val="808080" w:themeColor="background1" w:themeShade="80"/>
        </w:rPr>
        <w:t xml:space="preserve">London is but one of the various international cities in which Skin Luxe sells its skin care products, which is hardly sufficient to demonstrate that Skin </w:t>
      </w:r>
      <w:proofErr w:type="spellStart"/>
      <w:r w:rsidR="00DD0915">
        <w:rPr>
          <w:rFonts w:ascii="Avenir Next" w:hAnsi="Avenir Next"/>
          <w:color w:val="808080" w:themeColor="background1" w:themeShade="80"/>
        </w:rPr>
        <w:t>Luxe’s</w:t>
      </w:r>
      <w:proofErr w:type="spellEnd"/>
      <w:r w:rsidR="00DD0915">
        <w:rPr>
          <w:rFonts w:ascii="Avenir Next" w:hAnsi="Avenir Next"/>
          <w:color w:val="808080" w:themeColor="background1" w:themeShade="80"/>
        </w:rPr>
        <w:t xml:space="preserve"> COMI lies in London/UK.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4C624CD3" w14:textId="6A8EB2FA" w:rsidR="00FC0105" w:rsidRDefault="00FF46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filing of a Chapter 11 petition automatically gives ri</w:t>
      </w:r>
      <w:r w:rsidR="00217B1A">
        <w:rPr>
          <w:rFonts w:ascii="Avenir Next" w:hAnsi="Avenir Next"/>
          <w:color w:val="808080" w:themeColor="background1" w:themeShade="80"/>
        </w:rPr>
        <w:t>se to a stay of creditor action, which does not have the effect of staying the DOJ investigation.</w:t>
      </w:r>
    </w:p>
    <w:p w14:paraId="1FCD7825" w14:textId="77777777" w:rsidR="00FC0105" w:rsidRDefault="00FC0105" w:rsidP="001D3BAA">
      <w:pPr>
        <w:pStyle w:val="AODocTxt"/>
        <w:spacing w:before="0" w:line="240" w:lineRule="auto"/>
        <w:rPr>
          <w:rFonts w:ascii="Avenir Next" w:hAnsi="Avenir Next"/>
          <w:color w:val="808080" w:themeColor="background1" w:themeShade="80"/>
        </w:rPr>
      </w:pPr>
    </w:p>
    <w:p w14:paraId="43E36C5D" w14:textId="7BF5D7DE" w:rsidR="0077416B" w:rsidRDefault="00217B1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 regards the margin loan default, the automatic stay means that the</w:t>
      </w:r>
      <w:r w:rsidR="0077416B">
        <w:rPr>
          <w:rFonts w:ascii="Avenir Next" w:hAnsi="Avenir Next"/>
          <w:color w:val="808080" w:themeColor="background1" w:themeShade="80"/>
        </w:rPr>
        <w:t xml:space="preserve"> broker will not be able to enforce against the shares held as security for the margin loan, or to commence or </w:t>
      </w:r>
      <w:r w:rsidR="0077416B">
        <w:rPr>
          <w:rFonts w:ascii="Avenir Next" w:hAnsi="Avenir Next"/>
          <w:color w:val="808080" w:themeColor="background1" w:themeShade="80"/>
        </w:rPr>
        <w:lastRenderedPageBreak/>
        <w:t xml:space="preserve">continue any proceeding in respect of the margin loan default. </w:t>
      </w:r>
      <w:r w:rsidR="00FC0105">
        <w:rPr>
          <w:rFonts w:ascii="Avenir Next" w:hAnsi="Avenir Next"/>
          <w:color w:val="808080" w:themeColor="background1" w:themeShade="80"/>
        </w:rPr>
        <w:t xml:space="preserve">Any setting off of trades with Speculation </w:t>
      </w:r>
      <w:proofErr w:type="spellStart"/>
      <w:r w:rsidR="00FC0105">
        <w:rPr>
          <w:rFonts w:ascii="Avenir Next" w:hAnsi="Avenir Next"/>
          <w:color w:val="808080" w:themeColor="background1" w:themeShade="80"/>
        </w:rPr>
        <w:t>Inc’s</w:t>
      </w:r>
      <w:proofErr w:type="spellEnd"/>
      <w:r w:rsidR="00FC0105">
        <w:rPr>
          <w:rFonts w:ascii="Avenir Next" w:hAnsi="Avenir Next"/>
          <w:color w:val="808080" w:themeColor="background1" w:themeShade="80"/>
        </w:rPr>
        <w:t xml:space="preserve"> </w:t>
      </w:r>
      <w:r>
        <w:rPr>
          <w:rFonts w:ascii="Avenir Next" w:hAnsi="Avenir Next"/>
          <w:color w:val="808080" w:themeColor="background1" w:themeShade="80"/>
        </w:rPr>
        <w:t xml:space="preserve">trading </w:t>
      </w:r>
      <w:r w:rsidR="00FC0105">
        <w:rPr>
          <w:rFonts w:ascii="Avenir Next" w:hAnsi="Avenir Next"/>
          <w:color w:val="808080" w:themeColor="background1" w:themeShade="80"/>
        </w:rPr>
        <w:t xml:space="preserve">counterparts is, however, not affected </w:t>
      </w:r>
      <w:r>
        <w:rPr>
          <w:rFonts w:ascii="Avenir Next" w:hAnsi="Avenir Next"/>
          <w:color w:val="808080" w:themeColor="background1" w:themeShade="80"/>
        </w:rPr>
        <w:t>by the automatic stay</w:t>
      </w:r>
      <w:r w:rsidR="00FC0105">
        <w:rPr>
          <w:rFonts w:ascii="Avenir Next" w:hAnsi="Avenir Next"/>
          <w:color w:val="808080" w:themeColor="background1" w:themeShade="80"/>
        </w:rPr>
        <w:t>.</w:t>
      </w:r>
    </w:p>
    <w:p w14:paraId="32323E42" w14:textId="305C8F16" w:rsidR="00FC0105" w:rsidRDefault="00FC0105" w:rsidP="001D3BAA">
      <w:pPr>
        <w:pStyle w:val="AODocTxt"/>
        <w:spacing w:before="0" w:line="240" w:lineRule="auto"/>
        <w:rPr>
          <w:rFonts w:ascii="Avenir Next" w:hAnsi="Avenir Next"/>
          <w:color w:val="808080" w:themeColor="background1" w:themeShade="80"/>
        </w:rPr>
      </w:pPr>
    </w:p>
    <w:p w14:paraId="69EA0E57" w14:textId="4429BDD4" w:rsidR="00FC0105" w:rsidRDefault="00217B1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for the delinquent lease, the automatic stay </w:t>
      </w:r>
      <w:r w:rsidR="00FC0105">
        <w:rPr>
          <w:rFonts w:ascii="Avenir Next" w:hAnsi="Avenir Next"/>
          <w:color w:val="808080" w:themeColor="background1" w:themeShade="80"/>
        </w:rPr>
        <w:t xml:space="preserve">means that the landlord cannot evict Speculation </w:t>
      </w:r>
      <w:proofErr w:type="spellStart"/>
      <w:r w:rsidR="00FC0105">
        <w:rPr>
          <w:rFonts w:ascii="Avenir Next" w:hAnsi="Avenir Next"/>
          <w:color w:val="808080" w:themeColor="background1" w:themeShade="80"/>
        </w:rPr>
        <w:t>Inc</w:t>
      </w:r>
      <w:proofErr w:type="spellEnd"/>
      <w:r w:rsidR="00FC0105">
        <w:rPr>
          <w:rFonts w:ascii="Avenir Next" w:hAnsi="Avenir Next"/>
          <w:color w:val="808080" w:themeColor="background1" w:themeShade="80"/>
        </w:rPr>
        <w:t xml:space="preserve"> unless the lease has already expired by the time the Chapter 11 petition was filed.  If the lease has no</w:t>
      </w:r>
      <w:r w:rsidR="003C6097">
        <w:rPr>
          <w:rFonts w:ascii="Avenir Next" w:hAnsi="Avenir Next"/>
          <w:color w:val="808080" w:themeColor="background1" w:themeShade="80"/>
        </w:rPr>
        <w:t xml:space="preserve">t expired, the landlord is </w:t>
      </w:r>
      <w:r w:rsidR="00FC0105">
        <w:rPr>
          <w:rFonts w:ascii="Avenir Next" w:hAnsi="Avenir Next"/>
          <w:color w:val="808080" w:themeColor="background1" w:themeShade="80"/>
        </w:rPr>
        <w:t>not allowed to terminate the le</w:t>
      </w:r>
      <w:r w:rsidR="003C6097">
        <w:rPr>
          <w:rFonts w:ascii="Avenir Next" w:hAnsi="Avenir Next"/>
          <w:color w:val="808080" w:themeColor="background1" w:themeShade="80"/>
        </w:rPr>
        <w:t xml:space="preserve">ase and sue for rental arrears.  </w:t>
      </w:r>
      <w:r w:rsidR="00FC0105">
        <w:rPr>
          <w:rFonts w:ascii="Avenir Next" w:hAnsi="Avenir Next"/>
          <w:color w:val="808080" w:themeColor="background1" w:themeShade="80"/>
        </w:rPr>
        <w:t xml:space="preserve">Speculation </w:t>
      </w:r>
      <w:proofErr w:type="spellStart"/>
      <w:r w:rsidR="00FC0105">
        <w:rPr>
          <w:rFonts w:ascii="Avenir Next" w:hAnsi="Avenir Next"/>
          <w:color w:val="808080" w:themeColor="background1" w:themeShade="80"/>
        </w:rPr>
        <w:t>Inc</w:t>
      </w:r>
      <w:proofErr w:type="spellEnd"/>
      <w:r w:rsidR="00FC0105">
        <w:rPr>
          <w:rFonts w:ascii="Avenir Next" w:hAnsi="Avenir Next"/>
          <w:color w:val="808080" w:themeColor="background1" w:themeShade="80"/>
        </w:rPr>
        <w:t xml:space="preserve"> is at liberty to continue to use the leased premises, though it </w:t>
      </w:r>
      <w:r w:rsidR="003C6097">
        <w:rPr>
          <w:rFonts w:ascii="Avenir Next" w:hAnsi="Avenir Next"/>
          <w:color w:val="808080" w:themeColor="background1" w:themeShade="80"/>
        </w:rPr>
        <w:t>is</w:t>
      </w:r>
      <w:r w:rsidR="00FC0105">
        <w:rPr>
          <w:rFonts w:ascii="Avenir Next" w:hAnsi="Avenir Next"/>
          <w:color w:val="808080" w:themeColor="background1" w:themeShade="80"/>
        </w:rPr>
        <w:t xml:space="preserve"> very unlikely </w:t>
      </w:r>
      <w:r w:rsidR="003C6097">
        <w:rPr>
          <w:rFonts w:ascii="Avenir Next" w:hAnsi="Avenir Next"/>
          <w:color w:val="808080" w:themeColor="background1" w:themeShade="80"/>
        </w:rPr>
        <w:t xml:space="preserve">that Speculation </w:t>
      </w:r>
      <w:proofErr w:type="spellStart"/>
      <w:r w:rsidR="003C6097">
        <w:rPr>
          <w:rFonts w:ascii="Avenir Next" w:hAnsi="Avenir Next"/>
          <w:color w:val="808080" w:themeColor="background1" w:themeShade="80"/>
        </w:rPr>
        <w:t>Inc</w:t>
      </w:r>
      <w:proofErr w:type="spellEnd"/>
      <w:r w:rsidR="003C6097">
        <w:rPr>
          <w:rFonts w:ascii="Avenir Next" w:hAnsi="Avenir Next"/>
          <w:color w:val="808080" w:themeColor="background1" w:themeShade="80"/>
        </w:rPr>
        <w:t xml:space="preserve"> could carry on its business of trading given the DOJ investigation.  The automatic stay has no effect on the DOJ investigation.  In any case, Speculation </w:t>
      </w:r>
      <w:proofErr w:type="spellStart"/>
      <w:r w:rsidR="003C6097">
        <w:rPr>
          <w:rFonts w:ascii="Avenir Next" w:hAnsi="Avenir Next"/>
          <w:color w:val="808080" w:themeColor="background1" w:themeShade="80"/>
        </w:rPr>
        <w:t>Inc</w:t>
      </w:r>
      <w:proofErr w:type="spellEnd"/>
      <w:r w:rsidR="003C6097">
        <w:rPr>
          <w:rFonts w:ascii="Avenir Next" w:hAnsi="Avenir Next"/>
          <w:color w:val="808080" w:themeColor="background1" w:themeShade="80"/>
        </w:rPr>
        <w:t xml:space="preserve"> has to decide, within 120 days of the order for relief, whether to assume and assign or reject the lease. </w:t>
      </w:r>
      <w:r>
        <w:rPr>
          <w:rFonts w:ascii="Avenir Next" w:hAnsi="Avenir Next"/>
          <w:color w:val="808080" w:themeColor="background1" w:themeShade="80"/>
        </w:rPr>
        <w:t xml:space="preserve">This period can be extended for 90 days for cause, but any subsequent extension requires the consent of the lessor. </w:t>
      </w:r>
    </w:p>
    <w:p w14:paraId="051D4431" w14:textId="2D1D71D7" w:rsidR="00217B1A" w:rsidRDefault="00217B1A" w:rsidP="001D3BAA">
      <w:pPr>
        <w:pStyle w:val="AODocTxt"/>
        <w:spacing w:before="0" w:line="240" w:lineRule="auto"/>
        <w:rPr>
          <w:rFonts w:ascii="Avenir Next" w:hAnsi="Avenir Next"/>
          <w:color w:val="808080" w:themeColor="background1" w:themeShade="80"/>
        </w:rPr>
      </w:pPr>
    </w:p>
    <w:p w14:paraId="5DA50B76" w14:textId="725106D9" w:rsidR="00217B1A" w:rsidRDefault="00217B1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automatic stay has the effect of staying the continuation of the employment discrimination lawsuit which the former employee had already commenced against Speculation Inc. </w:t>
      </w:r>
    </w:p>
    <w:p w14:paraId="36FF1480" w14:textId="77777777" w:rsidR="0077416B" w:rsidRDefault="0077416B"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C3DB" w14:textId="77777777" w:rsidR="00CC5E67" w:rsidRDefault="00CC5E67" w:rsidP="00241B44">
      <w:r>
        <w:separator/>
      </w:r>
    </w:p>
  </w:endnote>
  <w:endnote w:type="continuationSeparator" w:id="0">
    <w:p w14:paraId="0DB89606" w14:textId="77777777" w:rsidR="00CC5E67" w:rsidRDefault="00CC5E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C0105" w:rsidRPr="00FC7B47" w:rsidRDefault="00FC010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C0105" w:rsidRPr="00FC7B47" w:rsidRDefault="00FC010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79236A3C" w:rsidR="00FC0105" w:rsidRPr="00CE0ECD" w:rsidRDefault="00FC0105" w:rsidP="00FC0105">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18362E">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329B7185" w:rsidR="00FC0105" w:rsidRPr="00494B81" w:rsidRDefault="00FC0105" w:rsidP="009B4976">
    <w:pPr>
      <w:pStyle w:val="Footer"/>
      <w:ind w:right="360"/>
      <w:rPr>
        <w:rFonts w:ascii="Avenir Next" w:hAnsi="Avenir Next" w:cs="Arial"/>
        <w:sz w:val="22"/>
        <w:szCs w:val="22"/>
        <w:lang w:val="en-GB"/>
      </w:rPr>
    </w:pPr>
    <w:r>
      <w:rPr>
        <w:rFonts w:ascii="Avenir Next" w:hAnsi="Avenir Next" w:cs="Arial"/>
        <w:sz w:val="22"/>
        <w:szCs w:val="22"/>
        <w:lang w:val="en-GB"/>
      </w:rPr>
      <w:t>FC202324-1412</w:t>
    </w:r>
    <w:r w:rsidRPr="00494B81">
      <w:rPr>
        <w:rFonts w:ascii="Avenir Next" w:hAnsi="Avenir Next" w:cs="Arial"/>
        <w:sz w:val="22"/>
        <w:szCs w:val="22"/>
        <w:lang w:val="en-GB"/>
      </w:rPr>
      <w:t>.assessment3A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4793" w14:textId="77777777" w:rsidR="00CC5E67" w:rsidRDefault="00CC5E67" w:rsidP="00241B44">
      <w:r>
        <w:separator/>
      </w:r>
    </w:p>
  </w:footnote>
  <w:footnote w:type="continuationSeparator" w:id="0">
    <w:p w14:paraId="4BA6809B" w14:textId="77777777" w:rsidR="00CC5E67" w:rsidRDefault="00CC5E67"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1D29"/>
    <w:multiLevelType w:val="hybridMultilevel"/>
    <w:tmpl w:val="85160AC8"/>
    <w:lvl w:ilvl="0" w:tplc="B8B6A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5"/>
  </w:num>
  <w:num w:numId="2">
    <w:abstractNumId w:val="28"/>
  </w:num>
  <w:num w:numId="3">
    <w:abstractNumId w:val="6"/>
  </w:num>
  <w:num w:numId="4">
    <w:abstractNumId w:val="10"/>
  </w:num>
  <w:num w:numId="5">
    <w:abstractNumId w:val="13"/>
  </w:num>
  <w:num w:numId="6">
    <w:abstractNumId w:val="31"/>
  </w:num>
  <w:num w:numId="7">
    <w:abstractNumId w:val="7"/>
  </w:num>
  <w:num w:numId="8">
    <w:abstractNumId w:val="34"/>
  </w:num>
  <w:num w:numId="9">
    <w:abstractNumId w:val="14"/>
  </w:num>
  <w:num w:numId="10">
    <w:abstractNumId w:val="27"/>
  </w:num>
  <w:num w:numId="11">
    <w:abstractNumId w:val="16"/>
  </w:num>
  <w:num w:numId="12">
    <w:abstractNumId w:val="24"/>
  </w:num>
  <w:num w:numId="13">
    <w:abstractNumId w:val="0"/>
  </w:num>
  <w:num w:numId="14">
    <w:abstractNumId w:val="12"/>
  </w:num>
  <w:num w:numId="15">
    <w:abstractNumId w:val="20"/>
  </w:num>
  <w:num w:numId="16">
    <w:abstractNumId w:val="9"/>
  </w:num>
  <w:num w:numId="17">
    <w:abstractNumId w:val="5"/>
  </w:num>
  <w:num w:numId="18">
    <w:abstractNumId w:val="3"/>
  </w:num>
  <w:num w:numId="19">
    <w:abstractNumId w:val="29"/>
  </w:num>
  <w:num w:numId="20">
    <w:abstractNumId w:val="8"/>
  </w:num>
  <w:num w:numId="21">
    <w:abstractNumId w:val="26"/>
  </w:num>
  <w:num w:numId="22">
    <w:abstractNumId w:val="36"/>
  </w:num>
  <w:num w:numId="23">
    <w:abstractNumId w:val="15"/>
  </w:num>
  <w:num w:numId="24">
    <w:abstractNumId w:val="30"/>
  </w:num>
  <w:num w:numId="25">
    <w:abstractNumId w:val="21"/>
  </w:num>
  <w:num w:numId="26">
    <w:abstractNumId w:val="22"/>
  </w:num>
  <w:num w:numId="27">
    <w:abstractNumId w:val="18"/>
  </w:num>
  <w:num w:numId="28">
    <w:abstractNumId w:val="32"/>
  </w:num>
  <w:num w:numId="29">
    <w:abstractNumId w:val="1"/>
  </w:num>
  <w:num w:numId="30">
    <w:abstractNumId w:val="19"/>
  </w:num>
  <w:num w:numId="31">
    <w:abstractNumId w:val="23"/>
  </w:num>
  <w:num w:numId="32">
    <w:abstractNumId w:val="37"/>
  </w:num>
  <w:num w:numId="33">
    <w:abstractNumId w:val="17"/>
  </w:num>
  <w:num w:numId="34">
    <w:abstractNumId w:val="2"/>
  </w:num>
  <w:num w:numId="35">
    <w:abstractNumId w:val="33"/>
  </w:num>
  <w:num w:numId="36">
    <w:abstractNumId w:val="35"/>
  </w:num>
  <w:num w:numId="37">
    <w:abstractNumId w:val="11"/>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55DD3"/>
    <w:rsid w:val="000643AB"/>
    <w:rsid w:val="00065166"/>
    <w:rsid w:val="000665CE"/>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2BF0"/>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8362E"/>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4A8A"/>
    <w:rsid w:val="001F7412"/>
    <w:rsid w:val="00202DFE"/>
    <w:rsid w:val="0020725B"/>
    <w:rsid w:val="002110F1"/>
    <w:rsid w:val="00217B1A"/>
    <w:rsid w:val="002204B8"/>
    <w:rsid w:val="00223917"/>
    <w:rsid w:val="00224888"/>
    <w:rsid w:val="00230116"/>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0760"/>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66E5"/>
    <w:rsid w:val="003B7184"/>
    <w:rsid w:val="003C0F8C"/>
    <w:rsid w:val="003C1190"/>
    <w:rsid w:val="003C3388"/>
    <w:rsid w:val="003C4471"/>
    <w:rsid w:val="003C53FE"/>
    <w:rsid w:val="003C6097"/>
    <w:rsid w:val="003D0A6D"/>
    <w:rsid w:val="003D450D"/>
    <w:rsid w:val="003E0B16"/>
    <w:rsid w:val="003E67D1"/>
    <w:rsid w:val="003F32D1"/>
    <w:rsid w:val="003F4FBF"/>
    <w:rsid w:val="003F6699"/>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5F6E60"/>
    <w:rsid w:val="00605BDE"/>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16B"/>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0B0F"/>
    <w:rsid w:val="0080454E"/>
    <w:rsid w:val="00804C32"/>
    <w:rsid w:val="00805305"/>
    <w:rsid w:val="00806302"/>
    <w:rsid w:val="00807119"/>
    <w:rsid w:val="00812EE2"/>
    <w:rsid w:val="00821F0A"/>
    <w:rsid w:val="0082483F"/>
    <w:rsid w:val="008279C0"/>
    <w:rsid w:val="00834F92"/>
    <w:rsid w:val="0083721E"/>
    <w:rsid w:val="00837A43"/>
    <w:rsid w:val="00853272"/>
    <w:rsid w:val="008541EE"/>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19C4"/>
    <w:rsid w:val="008B5333"/>
    <w:rsid w:val="008B6223"/>
    <w:rsid w:val="008C45A7"/>
    <w:rsid w:val="008C66E0"/>
    <w:rsid w:val="008D4DF6"/>
    <w:rsid w:val="008D7934"/>
    <w:rsid w:val="008E3339"/>
    <w:rsid w:val="008F0FCD"/>
    <w:rsid w:val="008F20FC"/>
    <w:rsid w:val="008F5FFE"/>
    <w:rsid w:val="00900BBE"/>
    <w:rsid w:val="009017A1"/>
    <w:rsid w:val="00902FA7"/>
    <w:rsid w:val="00904EBC"/>
    <w:rsid w:val="00905A43"/>
    <w:rsid w:val="00912C79"/>
    <w:rsid w:val="00921B8C"/>
    <w:rsid w:val="0092565E"/>
    <w:rsid w:val="0093457F"/>
    <w:rsid w:val="0093467C"/>
    <w:rsid w:val="00935386"/>
    <w:rsid w:val="00942123"/>
    <w:rsid w:val="009427E0"/>
    <w:rsid w:val="0095207B"/>
    <w:rsid w:val="00962045"/>
    <w:rsid w:val="00963D77"/>
    <w:rsid w:val="00967BE3"/>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86FC4"/>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38AD"/>
    <w:rsid w:val="00B743D6"/>
    <w:rsid w:val="00B74FBD"/>
    <w:rsid w:val="00B77B19"/>
    <w:rsid w:val="00B77F46"/>
    <w:rsid w:val="00B82586"/>
    <w:rsid w:val="00B829A3"/>
    <w:rsid w:val="00B849C5"/>
    <w:rsid w:val="00B86475"/>
    <w:rsid w:val="00B86DB1"/>
    <w:rsid w:val="00B87869"/>
    <w:rsid w:val="00B9639B"/>
    <w:rsid w:val="00BA74EF"/>
    <w:rsid w:val="00BB0F2B"/>
    <w:rsid w:val="00BC16C3"/>
    <w:rsid w:val="00BC4A0D"/>
    <w:rsid w:val="00BC71AE"/>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1FDA"/>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C5E67"/>
    <w:rsid w:val="00CD4998"/>
    <w:rsid w:val="00CE0ECD"/>
    <w:rsid w:val="00CE1035"/>
    <w:rsid w:val="00CE1472"/>
    <w:rsid w:val="00CE6E50"/>
    <w:rsid w:val="00CF12B2"/>
    <w:rsid w:val="00CF2819"/>
    <w:rsid w:val="00CF4F9D"/>
    <w:rsid w:val="00CF5C5C"/>
    <w:rsid w:val="00CF70DC"/>
    <w:rsid w:val="00D041E0"/>
    <w:rsid w:val="00D04AFE"/>
    <w:rsid w:val="00D11729"/>
    <w:rsid w:val="00D14336"/>
    <w:rsid w:val="00D148DC"/>
    <w:rsid w:val="00D17FDC"/>
    <w:rsid w:val="00D21021"/>
    <w:rsid w:val="00D21D8C"/>
    <w:rsid w:val="00D221F8"/>
    <w:rsid w:val="00D2621C"/>
    <w:rsid w:val="00D30B07"/>
    <w:rsid w:val="00D316F2"/>
    <w:rsid w:val="00D34584"/>
    <w:rsid w:val="00D53719"/>
    <w:rsid w:val="00D56495"/>
    <w:rsid w:val="00D61CC1"/>
    <w:rsid w:val="00D6273C"/>
    <w:rsid w:val="00D63EFD"/>
    <w:rsid w:val="00D7456A"/>
    <w:rsid w:val="00D84752"/>
    <w:rsid w:val="00D8522A"/>
    <w:rsid w:val="00D85559"/>
    <w:rsid w:val="00D85AF6"/>
    <w:rsid w:val="00D8664E"/>
    <w:rsid w:val="00D86B3B"/>
    <w:rsid w:val="00D8748A"/>
    <w:rsid w:val="00D93196"/>
    <w:rsid w:val="00D9565D"/>
    <w:rsid w:val="00DA0DC0"/>
    <w:rsid w:val="00DA1D45"/>
    <w:rsid w:val="00DB243C"/>
    <w:rsid w:val="00DB482A"/>
    <w:rsid w:val="00DB50FB"/>
    <w:rsid w:val="00DB56F2"/>
    <w:rsid w:val="00DB6EF5"/>
    <w:rsid w:val="00DC2B1F"/>
    <w:rsid w:val="00DC3089"/>
    <w:rsid w:val="00DC359F"/>
    <w:rsid w:val="00DC4420"/>
    <w:rsid w:val="00DC73DF"/>
    <w:rsid w:val="00DD0802"/>
    <w:rsid w:val="00DD0915"/>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3280E"/>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8508C"/>
    <w:rsid w:val="00F92140"/>
    <w:rsid w:val="00F97C5B"/>
    <w:rsid w:val="00FA3D50"/>
    <w:rsid w:val="00FB2838"/>
    <w:rsid w:val="00FB7FBD"/>
    <w:rsid w:val="00FC0105"/>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66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EC40-38DC-42E7-9FFC-68F8173C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ISS user</cp:lastModifiedBy>
  <cp:revision>25</cp:revision>
  <cp:lastPrinted>2019-08-27T05:42:00Z</cp:lastPrinted>
  <dcterms:created xsi:type="dcterms:W3CDTF">2024-03-01T08:58:00Z</dcterms:created>
  <dcterms:modified xsi:type="dcterms:W3CDTF">2024-03-01T18:39:00Z</dcterms:modified>
</cp:coreProperties>
</file>