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w:t>
      </w:r>
      <w:r w:rsidRPr="00FA0BAB">
        <w:rPr>
          <w:rFonts w:ascii="Avenir Next" w:hAnsi="Avenir Next" w:cs="Arial"/>
          <w:sz w:val="22"/>
          <w:szCs w:val="22"/>
          <w:lang w:val="en-GB"/>
        </w:rPr>
        <w:t>and mark your selection on the answer sheet</w:t>
      </w:r>
      <w:r w:rsidR="00397D3A" w:rsidRPr="00FA0BAB">
        <w:rPr>
          <w:rFonts w:ascii="Avenir Next" w:hAnsi="Avenir Next" w:cs="Arial"/>
          <w:sz w:val="22"/>
          <w:szCs w:val="22"/>
          <w:lang w:val="en-GB"/>
        </w:rPr>
        <w:t xml:space="preserve"> by highlighting the </w:t>
      </w:r>
      <w:r w:rsidR="0036565C" w:rsidRPr="00FA0BAB">
        <w:rPr>
          <w:rFonts w:ascii="Avenir Next" w:hAnsi="Avenir Next" w:cs="Arial"/>
          <w:sz w:val="22"/>
          <w:szCs w:val="22"/>
          <w:lang w:val="en-GB"/>
        </w:rPr>
        <w:t xml:space="preserve">relevant paragraph </w:t>
      </w:r>
      <w:r w:rsidR="0036565C" w:rsidRPr="00FA0BAB">
        <w:rPr>
          <w:rFonts w:ascii="Avenir Next Demi Bold" w:hAnsi="Avenir Next Demi Bold" w:cs="Arial"/>
          <w:b/>
          <w:bCs/>
          <w:sz w:val="22"/>
          <w:szCs w:val="22"/>
          <w:lang w:val="en-GB"/>
        </w:rPr>
        <w:t>in yellow</w:t>
      </w:r>
      <w:r w:rsidRPr="00FA0BAB">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4052C593" w14:textId="6DF74A60" w:rsidR="00576B7B" w:rsidRPr="000D142C" w:rsidRDefault="00382261" w:rsidP="00576B7B">
      <w:pPr>
        <w:shd w:val="clear" w:color="auto" w:fill="FDFDFD"/>
        <w:jc w:val="both"/>
        <w:rPr>
          <w:rFonts w:ascii="Segoe UI" w:hAnsi="Segoe UI" w:cs="Segoe UI"/>
          <w:color w:val="0070C0"/>
          <w:sz w:val="21"/>
          <w:szCs w:val="21"/>
          <w:lang w:eastAsia="pt-BR"/>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w:t>
      </w:r>
      <w:r w:rsidRPr="009F7ACE">
        <w:rPr>
          <w:rFonts w:ascii="Avenir Next" w:hAnsi="Avenir Next"/>
        </w:rPr>
        <w:t>involuntary petition</w:t>
      </w:r>
      <w:r w:rsidRPr="00382261">
        <w:rPr>
          <w:rFonts w:ascii="Avenir Next" w:hAnsi="Avenir Next"/>
        </w:rPr>
        <w:t xml:space="preserve"> to place Car Corp into </w:t>
      </w:r>
      <w:r w:rsidRPr="00A6313C">
        <w:rPr>
          <w:rFonts w:ascii="Avenir Next Demi Bold" w:hAnsi="Avenir Next Demi Bold"/>
          <w:u w:val="single"/>
        </w:rPr>
        <w:t>chapter 11 bankruptcy proceedings</w:t>
      </w:r>
      <w:r w:rsidRPr="00382261">
        <w:rPr>
          <w:rFonts w:ascii="Avenir Next" w:hAnsi="Avenir Next"/>
        </w:rPr>
        <w:t>?</w:t>
      </w:r>
      <w:r w:rsidR="00576B7B">
        <w:rPr>
          <w:rFonts w:ascii="Avenir Next" w:hAnsi="Avenir Next"/>
        </w:rPr>
        <w:t xml:space="preserve"> </w:t>
      </w:r>
    </w:p>
    <w:p w14:paraId="65AFD634" w14:textId="77777777" w:rsidR="00382261" w:rsidRPr="000D142C"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123FF2">
        <w:rPr>
          <w:rFonts w:ascii="Avenir Next" w:hAnsi="Avenir Next"/>
          <w:highlight w:val="yellow"/>
        </w:rPr>
        <w:t>(b)</w:t>
      </w:r>
      <w:r w:rsidRPr="00123FF2">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275675">
        <w:rPr>
          <w:rFonts w:ascii="Avenir Next" w:hAnsi="Avenir Next"/>
        </w:rPr>
        <w:t>(e)</w:t>
      </w:r>
      <w:r w:rsidRPr="00275675">
        <w:rPr>
          <w:rFonts w:ascii="Avenir Next" w:hAnsi="Avenir Next"/>
        </w:rPr>
        <w:tab/>
        <w:t>No, because Parts Inc</w:t>
      </w:r>
      <w:r w:rsidR="00A81F08" w:rsidRPr="00275675">
        <w:rPr>
          <w:rFonts w:ascii="Avenir Next" w:hAnsi="Avenir Next"/>
        </w:rPr>
        <w:t xml:space="preserve"> </w:t>
      </w:r>
      <w:r w:rsidRPr="00275675">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D536E8">
        <w:rPr>
          <w:rFonts w:ascii="Avenir Next" w:hAnsi="Avenir Next"/>
        </w:rPr>
        <w:t>(a)</w:t>
      </w:r>
      <w:r w:rsidRPr="00D536E8">
        <w:rPr>
          <w:rFonts w:ascii="Avenir Next" w:hAnsi="Avenir Next"/>
        </w:rPr>
        <w:tab/>
        <w:t>A shareholder in Parts Inc, to which Car Corp is indebted</w:t>
      </w:r>
      <w:r w:rsidR="00631394" w:rsidRPr="00D536E8">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D536E8">
        <w:rPr>
          <w:rFonts w:ascii="Avenir Next" w:hAnsi="Avenir Next"/>
        </w:rPr>
        <w:t>(c)</w:t>
      </w:r>
      <w:r w:rsidRPr="00D536E8">
        <w:rPr>
          <w:rFonts w:ascii="Avenir Next" w:hAnsi="Avenir Next"/>
        </w:rPr>
        <w:tab/>
        <w:t>A shareholder in Investment Corp, Car Corp’s parent company</w:t>
      </w:r>
      <w:r w:rsidR="00631394" w:rsidRPr="00D536E8">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820B1D">
        <w:rPr>
          <w:rFonts w:ascii="Avenir Next" w:hAnsi="Avenir Next"/>
          <w:highlight w:val="yellow"/>
        </w:rPr>
        <w:t>(d)</w:t>
      </w:r>
      <w:r w:rsidRPr="00820B1D">
        <w:rPr>
          <w:rFonts w:ascii="Avenir Next" w:hAnsi="Avenir Next"/>
          <w:highlight w:val="yellow"/>
        </w:rPr>
        <w:tab/>
        <w:t>A retired employee of Car Corp who receives payments from the company’s pension plan</w:t>
      </w:r>
      <w:r w:rsidR="00631394" w:rsidRPr="000E4A15">
        <w:rPr>
          <w:rFonts w:ascii="Avenir Next" w:hAnsi="Avenir Next"/>
          <w:highlight w:val="green"/>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232BDC01"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w:t>
      </w:r>
      <w:r w:rsidRPr="00820B1D">
        <w:rPr>
          <w:rFonts w:ascii="Avenir Next" w:hAnsi="Avenir Next"/>
        </w:rPr>
        <w:t>minimum presence requirement</w:t>
      </w:r>
      <w:r w:rsidRPr="003D450D">
        <w:rPr>
          <w:rFonts w:ascii="Avenir Next" w:hAnsi="Avenir Next"/>
        </w:rPr>
        <w:t xml:space="preserve">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820B1D">
        <w:rPr>
          <w:rFonts w:ascii="Avenir Next" w:hAnsi="Avenir Next"/>
          <w:highlight w:val="yellow"/>
        </w:rPr>
        <w:t>(d)</w:t>
      </w:r>
      <w:r w:rsidRPr="00820B1D">
        <w:rPr>
          <w:rFonts w:ascii="Avenir Next" w:hAnsi="Avenir Next"/>
          <w:highlight w:val="yellow"/>
        </w:rPr>
        <w:tab/>
      </w:r>
      <w:r w:rsidR="00B849C5" w:rsidRPr="00820B1D">
        <w:rPr>
          <w:rFonts w:ascii="Avenir Next" w:hAnsi="Avenir Next"/>
          <w:highlight w:val="yellow"/>
        </w:rPr>
        <w:t xml:space="preserve">Options (a) to (c) </w:t>
      </w:r>
      <w:r w:rsidRPr="00820B1D">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0E4A15">
        <w:rPr>
          <w:rFonts w:ascii="Avenir Next" w:hAnsi="Avenir Next"/>
        </w:rPr>
        <w:t>(e)</w:t>
      </w:r>
      <w:r w:rsidRPr="000E4A15">
        <w:rPr>
          <w:rFonts w:ascii="Avenir Next" w:hAnsi="Avenir Next"/>
        </w:rPr>
        <w:tab/>
        <w:t>None of the above</w:t>
      </w:r>
      <w:r w:rsidR="007D6135" w:rsidRPr="000E4A15">
        <w:rPr>
          <w:rFonts w:ascii="Avenir Next" w:hAnsi="Avenir Next"/>
        </w:rPr>
        <w:t xml:space="preserve"> (options (a) to (d))</w:t>
      </w:r>
      <w:r w:rsidRPr="000E4A15">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lastRenderedPageBreak/>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9D2F88">
        <w:rPr>
          <w:rFonts w:ascii="Avenir Next" w:hAnsi="Avenir Next"/>
          <w:highlight w:val="yellow"/>
        </w:rPr>
        <w:t>(e)</w:t>
      </w:r>
      <w:r w:rsidRPr="009D2F88">
        <w:rPr>
          <w:rFonts w:ascii="Avenir Next" w:hAnsi="Avenir Next"/>
          <w:highlight w:val="yellow"/>
        </w:rPr>
        <w:tab/>
        <w:t>All of the above</w:t>
      </w:r>
      <w:r w:rsidR="006A42F8" w:rsidRPr="009D2F88">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9D2F88">
        <w:rPr>
          <w:rFonts w:ascii="Avenir Next" w:hAnsi="Avenir Next"/>
          <w:highlight w:val="yellow"/>
        </w:rPr>
        <w:t>(b)</w:t>
      </w:r>
      <w:r w:rsidRPr="009D2F88">
        <w:rPr>
          <w:rFonts w:ascii="Avenir Next" w:hAnsi="Avenir Next"/>
          <w:highlight w:val="yellow"/>
        </w:rPr>
        <w:tab/>
        <w:t xml:space="preserve">Executory contracts are clearly defined by the </w:t>
      </w:r>
      <w:r w:rsidR="00ED7BF3" w:rsidRPr="009D2F88">
        <w:rPr>
          <w:rFonts w:ascii="Avenir Next" w:hAnsi="Avenir Next"/>
          <w:highlight w:val="yellow"/>
        </w:rPr>
        <w:t>B</w:t>
      </w:r>
      <w:r w:rsidRPr="009D2F88">
        <w:rPr>
          <w:rFonts w:ascii="Avenir Next" w:hAnsi="Avenir Next"/>
          <w:highlight w:val="yellow"/>
        </w:rPr>
        <w:t xml:space="preserve">ankruptcy </w:t>
      </w:r>
      <w:r w:rsidR="00ED7BF3" w:rsidRPr="009D2F88">
        <w:rPr>
          <w:rFonts w:ascii="Avenir Next" w:hAnsi="Avenir Next"/>
          <w:highlight w:val="yellow"/>
        </w:rPr>
        <w:t>C</w:t>
      </w:r>
      <w:r w:rsidRPr="009D2F88">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452371">
        <w:rPr>
          <w:rFonts w:ascii="Avenir Next" w:hAnsi="Avenir Next"/>
        </w:rPr>
        <w:t>(d)</w:t>
      </w:r>
      <w:r w:rsidRPr="00452371">
        <w:rPr>
          <w:rFonts w:ascii="Avenir Next" w:hAnsi="Avenir Next"/>
        </w:rPr>
        <w:tab/>
        <w:t xml:space="preserve">Chapter 11 debtors have greater flexibility than chapter 7 debtors on when they may assume, </w:t>
      </w:r>
      <w:proofErr w:type="gramStart"/>
      <w:r w:rsidRPr="00452371">
        <w:rPr>
          <w:rFonts w:ascii="Avenir Next" w:hAnsi="Avenir Next"/>
        </w:rPr>
        <w:t>assign</w:t>
      </w:r>
      <w:proofErr w:type="gramEnd"/>
      <w:r w:rsidRPr="00452371">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w:t>
      </w:r>
      <w:r w:rsidRPr="00585D44">
        <w:rPr>
          <w:rFonts w:ascii="Avenir Next" w:hAnsi="Avenir Next"/>
        </w:rPr>
        <w:t>confirm a “cramdown” plan</w:t>
      </w:r>
      <w:r w:rsidRPr="00B63E83">
        <w:rPr>
          <w:rFonts w:ascii="Avenir Next" w:hAnsi="Avenir Next"/>
        </w:rPr>
        <w:t>?</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7E06CE" w:rsidRDefault="000643AB" w:rsidP="00875912">
      <w:pPr>
        <w:pStyle w:val="AODocTxt"/>
        <w:numPr>
          <w:ilvl w:val="0"/>
          <w:numId w:val="24"/>
        </w:numPr>
        <w:spacing w:before="0" w:line="240" w:lineRule="auto"/>
        <w:ind w:left="426" w:hanging="426"/>
        <w:rPr>
          <w:rFonts w:ascii="Avenir Next" w:hAnsi="Avenir Next"/>
        </w:rPr>
      </w:pPr>
      <w:r w:rsidRPr="007E06CE">
        <w:rPr>
          <w:rFonts w:ascii="Avenir Next" w:hAnsi="Avenir Next"/>
        </w:rPr>
        <w:t>T</w:t>
      </w:r>
      <w:r w:rsidR="006844A8" w:rsidRPr="007E06CE">
        <w:rPr>
          <w:rFonts w:ascii="Avenir Next" w:hAnsi="Avenir Next"/>
        </w:rPr>
        <w:t>hat t</w:t>
      </w:r>
      <w:r w:rsidRPr="007E06CE">
        <w:rPr>
          <w:rFonts w:ascii="Avenir Next" w:hAnsi="Avenir Next"/>
        </w:rPr>
        <w:t>he plan is fair and equitable to dissenting classes of creditors</w:t>
      </w:r>
      <w:r w:rsidR="006844A8" w:rsidRPr="007E06CE">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452371" w:rsidRDefault="000643AB" w:rsidP="00875912">
      <w:pPr>
        <w:pStyle w:val="AODocTxt"/>
        <w:numPr>
          <w:ilvl w:val="0"/>
          <w:numId w:val="24"/>
        </w:numPr>
        <w:spacing w:before="0" w:line="240" w:lineRule="auto"/>
        <w:ind w:left="426" w:hanging="426"/>
        <w:rPr>
          <w:rFonts w:ascii="Avenir Next" w:hAnsi="Avenir Next"/>
        </w:rPr>
      </w:pPr>
      <w:r w:rsidRPr="00452371">
        <w:rPr>
          <w:rFonts w:ascii="Avenir Next" w:hAnsi="Avenir Next"/>
        </w:rPr>
        <w:t>Acceptance of the plan by at least one class of impaired, non-insider creditors</w:t>
      </w:r>
      <w:r w:rsidR="006844A8" w:rsidRPr="00452371">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585D44" w:rsidRDefault="000643AB" w:rsidP="00875912">
      <w:pPr>
        <w:pStyle w:val="AODocTxt"/>
        <w:numPr>
          <w:ilvl w:val="0"/>
          <w:numId w:val="24"/>
        </w:numPr>
        <w:spacing w:before="0" w:line="240" w:lineRule="auto"/>
        <w:ind w:left="426" w:hanging="426"/>
        <w:rPr>
          <w:rFonts w:ascii="Avenir Next" w:hAnsi="Avenir Next"/>
          <w:highlight w:val="yellow"/>
        </w:rPr>
      </w:pPr>
      <w:r w:rsidRPr="00585D44">
        <w:rPr>
          <w:rFonts w:ascii="Avenir Next" w:hAnsi="Avenir Next"/>
          <w:highlight w:val="yellow"/>
        </w:rPr>
        <w:t>Acceptance of the plan by all classes of secured creditors</w:t>
      </w:r>
      <w:r w:rsidR="006844A8" w:rsidRPr="00585D44">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Pr="00585D44" w:rsidRDefault="006844A8" w:rsidP="00875912">
      <w:pPr>
        <w:pStyle w:val="AODocTxt"/>
        <w:numPr>
          <w:ilvl w:val="0"/>
          <w:numId w:val="24"/>
        </w:numPr>
        <w:spacing w:before="0" w:line="240" w:lineRule="auto"/>
        <w:ind w:left="426" w:hanging="426"/>
        <w:rPr>
          <w:rFonts w:ascii="Avenir Next" w:hAnsi="Avenir Next"/>
        </w:rPr>
      </w:pPr>
      <w:r w:rsidRPr="00585D44">
        <w:rPr>
          <w:rFonts w:ascii="Avenir Next" w:hAnsi="Avenir Next"/>
        </w:rPr>
        <w:t>That t</w:t>
      </w:r>
      <w:r w:rsidR="000643AB" w:rsidRPr="00585D44">
        <w:rPr>
          <w:rFonts w:ascii="Avenir Next" w:hAnsi="Avenir Next"/>
        </w:rPr>
        <w:t>he plan does not discriminate unfairly against dissenting classes of creditors</w:t>
      </w:r>
      <w:r w:rsidRPr="00585D44">
        <w:rPr>
          <w:rFonts w:ascii="Avenir Next" w:hAnsi="Avenir Next"/>
        </w:rPr>
        <w:t>.</w:t>
      </w:r>
    </w:p>
    <w:p w14:paraId="7C34855F" w14:textId="77777777" w:rsidR="006844A8" w:rsidRPr="00585D44" w:rsidRDefault="006844A8" w:rsidP="00875912">
      <w:pPr>
        <w:pStyle w:val="AODocTxt"/>
        <w:spacing w:before="0" w:line="240" w:lineRule="auto"/>
        <w:ind w:hanging="426"/>
        <w:rPr>
          <w:rFonts w:ascii="Avenir Next" w:hAnsi="Avenir Next"/>
        </w:rPr>
      </w:pPr>
    </w:p>
    <w:p w14:paraId="20CE12FF" w14:textId="6E0D108D" w:rsidR="000643AB" w:rsidRPr="00585D44" w:rsidRDefault="000643AB" w:rsidP="00875912">
      <w:pPr>
        <w:pStyle w:val="AODocTxt"/>
        <w:numPr>
          <w:ilvl w:val="0"/>
          <w:numId w:val="24"/>
        </w:numPr>
        <w:spacing w:before="0" w:line="240" w:lineRule="auto"/>
        <w:ind w:left="426" w:hanging="426"/>
        <w:rPr>
          <w:rFonts w:ascii="Avenir Next" w:hAnsi="Avenir Next"/>
        </w:rPr>
      </w:pPr>
      <w:r w:rsidRPr="00585D44">
        <w:rPr>
          <w:rFonts w:ascii="Avenir Next" w:hAnsi="Avenir Next"/>
        </w:rPr>
        <w:t>T</w:t>
      </w:r>
      <w:r w:rsidR="006844A8" w:rsidRPr="00585D44">
        <w:rPr>
          <w:rFonts w:ascii="Avenir Next" w:hAnsi="Avenir Next"/>
        </w:rPr>
        <w:t>hat t</w:t>
      </w:r>
      <w:r w:rsidRPr="00585D44">
        <w:rPr>
          <w:rFonts w:ascii="Avenir Next" w:hAnsi="Avenir Next"/>
        </w:rPr>
        <w:t>he dissenting creditors receive no less than they would under a liquidation scenario</w:t>
      </w:r>
      <w:r w:rsidR="006844A8" w:rsidRPr="00585D44">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585D44">
        <w:rPr>
          <w:rFonts w:ascii="Avenir Next" w:hAnsi="Avenir Next" w:cstheme="majorHAnsi"/>
        </w:rPr>
        <w:t>Which of the following statements about “pre-packs” is</w:t>
      </w:r>
      <w:r w:rsidRPr="00352E16">
        <w:rPr>
          <w:rFonts w:ascii="Avenir Next" w:hAnsi="Avenir Next" w:cstheme="majorHAnsi"/>
        </w:rPr>
        <w:t xml:space="preserve">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Pr="00144EE1" w:rsidRDefault="00C24FAB" w:rsidP="009017A1">
      <w:pPr>
        <w:pStyle w:val="AODocTxt"/>
        <w:numPr>
          <w:ilvl w:val="0"/>
          <w:numId w:val="33"/>
        </w:numPr>
        <w:spacing w:before="0" w:line="240" w:lineRule="auto"/>
        <w:ind w:left="426" w:hanging="426"/>
        <w:rPr>
          <w:rFonts w:ascii="Avenir Next" w:hAnsi="Avenir Next"/>
        </w:rPr>
      </w:pPr>
      <w:r w:rsidRPr="00144EE1">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144EE1" w:rsidRDefault="00C24FAB" w:rsidP="009017A1">
      <w:pPr>
        <w:pStyle w:val="AODocTxt"/>
        <w:numPr>
          <w:ilvl w:val="0"/>
          <w:numId w:val="33"/>
        </w:numPr>
        <w:spacing w:before="0" w:line="240" w:lineRule="auto"/>
        <w:ind w:left="426" w:hanging="426"/>
        <w:rPr>
          <w:rFonts w:ascii="Avenir Next" w:hAnsi="Avenir Next"/>
          <w:highlight w:val="yellow"/>
        </w:rPr>
      </w:pPr>
      <w:r w:rsidRPr="00144EE1">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w:t>
      </w:r>
      <w:r w:rsidRPr="00F468A1">
        <w:rPr>
          <w:rFonts w:ascii="Avenir Next" w:hAnsi="Avenir Next"/>
        </w:rPr>
        <w:t>debtor rejects an executory trademark license agreement under</w:t>
      </w:r>
      <w:r w:rsidRPr="000B2B06">
        <w:rPr>
          <w:rFonts w:ascii="Avenir Next" w:hAnsi="Avenir Next"/>
        </w:rPr>
        <w:t xml:space="preserve">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EB1D6F" w:rsidRDefault="00853272" w:rsidP="00BA74EF">
      <w:pPr>
        <w:pStyle w:val="AODocTxt"/>
        <w:numPr>
          <w:ilvl w:val="0"/>
          <w:numId w:val="28"/>
        </w:numPr>
        <w:spacing w:before="0" w:line="240" w:lineRule="auto"/>
        <w:ind w:left="426" w:hanging="426"/>
        <w:rPr>
          <w:rFonts w:ascii="Avenir Next" w:hAnsi="Avenir Next"/>
        </w:rPr>
      </w:pPr>
      <w:r w:rsidRPr="00EB1D6F">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EB1D6F" w:rsidRDefault="00853272" w:rsidP="00BA74EF">
      <w:pPr>
        <w:pStyle w:val="AODocTxt"/>
        <w:numPr>
          <w:ilvl w:val="0"/>
          <w:numId w:val="28"/>
        </w:numPr>
        <w:spacing w:before="0" w:line="240" w:lineRule="auto"/>
        <w:ind w:left="426" w:hanging="426"/>
        <w:rPr>
          <w:rFonts w:ascii="Avenir Next" w:hAnsi="Avenir Next"/>
          <w:highlight w:val="yellow"/>
        </w:rPr>
      </w:pPr>
      <w:r w:rsidRPr="00EB1D6F">
        <w:rPr>
          <w:rFonts w:ascii="Avenir Next" w:hAnsi="Avenir Next"/>
          <w:highlight w:val="yellow"/>
        </w:rPr>
        <w:t xml:space="preserve">Both </w:t>
      </w:r>
      <w:r w:rsidR="0072569E" w:rsidRPr="00EB1D6F">
        <w:rPr>
          <w:rFonts w:ascii="Avenir Next" w:hAnsi="Avenir Next"/>
          <w:highlight w:val="yellow"/>
        </w:rPr>
        <w:t xml:space="preserve">options </w:t>
      </w:r>
      <w:r w:rsidRPr="00EB1D6F">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088B66DF"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01199796"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r w:rsidR="008740E8">
        <w:rPr>
          <w:rFonts w:ascii="Avenir Next" w:hAnsi="Avenir Next"/>
        </w:rPr>
        <w:t xml:space="preserve"> P.31</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B3095C" w:rsidRDefault="00334B98" w:rsidP="00676F12">
      <w:pPr>
        <w:pStyle w:val="AODocTxt"/>
        <w:keepNext/>
        <w:numPr>
          <w:ilvl w:val="0"/>
          <w:numId w:val="30"/>
        </w:numPr>
        <w:spacing w:before="0" w:line="240" w:lineRule="auto"/>
        <w:ind w:left="426" w:hanging="426"/>
        <w:rPr>
          <w:rFonts w:ascii="Avenir Next" w:hAnsi="Avenir Next"/>
          <w:highlight w:val="yellow"/>
        </w:rPr>
      </w:pPr>
      <w:r w:rsidRPr="00B3095C">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94929" w:rsidRDefault="00740655" w:rsidP="00DF5F7C">
      <w:pPr>
        <w:pStyle w:val="AODocTxt"/>
        <w:keepNext/>
        <w:numPr>
          <w:ilvl w:val="0"/>
          <w:numId w:val="35"/>
        </w:numPr>
        <w:spacing w:before="0" w:line="240" w:lineRule="auto"/>
        <w:ind w:left="426" w:hanging="426"/>
        <w:rPr>
          <w:rFonts w:ascii="Avenir Next" w:hAnsi="Avenir Next"/>
          <w:highlight w:val="yellow"/>
        </w:rPr>
      </w:pPr>
      <w:r w:rsidRPr="00894929">
        <w:rPr>
          <w:rFonts w:ascii="Avenir Next" w:hAnsi="Avenir Next"/>
          <w:highlight w:val="yellow"/>
        </w:rPr>
        <w:t xml:space="preserve">If a creditor can show it extended credit </w:t>
      </w:r>
      <w:proofErr w:type="gramStart"/>
      <w:r w:rsidRPr="00894929">
        <w:rPr>
          <w:rFonts w:ascii="Avenir Next" w:hAnsi="Avenir Next"/>
          <w:highlight w:val="yellow"/>
        </w:rPr>
        <w:t>on the basis of</w:t>
      </w:r>
      <w:proofErr w:type="gramEnd"/>
      <w:r w:rsidRPr="00894929">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894929" w:rsidRDefault="00740655" w:rsidP="00DF5F7C">
      <w:pPr>
        <w:pStyle w:val="AODocTxt"/>
        <w:keepNext/>
        <w:numPr>
          <w:ilvl w:val="0"/>
          <w:numId w:val="35"/>
        </w:numPr>
        <w:spacing w:before="0" w:line="240" w:lineRule="auto"/>
        <w:ind w:left="426" w:hanging="426"/>
        <w:rPr>
          <w:rFonts w:ascii="Avenir Next" w:hAnsi="Avenir Next"/>
        </w:rPr>
      </w:pPr>
      <w:r w:rsidRPr="00894929">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5D6635">
      <w:pPr>
        <w:pStyle w:val="AODocTxt"/>
        <w:spacing w:before="0"/>
        <w:rPr>
          <w:rFonts w:ascii="Avenir Next" w:hAnsi="Avenir Next"/>
        </w:rPr>
      </w:pPr>
    </w:p>
    <w:p w14:paraId="78F39490" w14:textId="1AA4566E" w:rsidR="009B4E59" w:rsidRPr="00C25AAE" w:rsidRDefault="009B4E59"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The term "setoff" typically refers to the practice of reducing or canceling out one debt or claim against another. In other words, if Party A owes money to Party B, and Party B also owes money to Party A, they might agree to offset those amounts, so that Party A pays only the net balance. This can simplify transactions and reduce the amount of actual cash exchanged.</w:t>
      </w:r>
    </w:p>
    <w:p w14:paraId="2EFB5850" w14:textId="47635F4A" w:rsidR="00323167" w:rsidRPr="009B4E59" w:rsidRDefault="009B4E59"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Setoff rights allow a creditor to offset debts it owes to the debtor against debts owed to it by the debtor, therefore it can enhance the creditor's position relative to other unsecured creditors. This is because setoff reduces the creditor's obligation to the debtor's estate by the entire amount owed by the debtor, rather than the potentially lesser amount the debtor might pay on the unsecured claim. However, due to its potential to alter the distribution of assets in a bankruptcy proceeding, setoff is restricted in several circumstances</w:t>
      </w:r>
      <w:r w:rsidR="005D6635">
        <w:rPr>
          <w:rFonts w:ascii="Avenir Next" w:hAnsi="Avenir Next"/>
          <w:color w:val="808080" w:themeColor="background1" w:themeShade="80"/>
          <w:sz w:val="22"/>
          <w:szCs w:val="22"/>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1D0704F8" w14:textId="4A4B688F" w:rsidR="00E62D1B" w:rsidRPr="00C25AAE" w:rsidRDefault="00E62D1B"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A "priming lien" refers to a type of lien that is granted to a lender who provides financing to a debtor in possession (DIP) during bankruptcy proceedings. The purpose of this lien is to ensure that the lender's claim on the debtor's assets is prioritized above existing liens or claims held by other creditors. In essence, it allows the lender to move ahead of other creditors in terms of repayment priority.</w:t>
      </w:r>
    </w:p>
    <w:p w14:paraId="31566BA5" w14:textId="77777777" w:rsidR="00E62D1B" w:rsidRPr="00C25AAE" w:rsidRDefault="00E62D1B"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For a priming lien to be granted to secure DIP financing:</w:t>
      </w:r>
    </w:p>
    <w:p w14:paraId="5B6C72B4" w14:textId="77777777" w:rsidR="00E62D1B" w:rsidRPr="00C25AAE" w:rsidRDefault="00E62D1B"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1. Court Approval: The bankruptcy court overseeing the case must approve the granting of the priming lien. This is typically done through a motion filed by the debtor seeking authorization for the financing and the priming lien.</w:t>
      </w:r>
    </w:p>
    <w:p w14:paraId="6A795475" w14:textId="77777777" w:rsidR="00E62D1B" w:rsidRPr="00C25AAE" w:rsidRDefault="00E62D1B"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2. Adequate Protection: The lender must demonstrate that the priming lien will provide adequate protection for existing creditors' interests. This means showing that the financing and the priming lien will not unduly harm the rights of existing lienholders or unsecured creditors.</w:t>
      </w:r>
    </w:p>
    <w:p w14:paraId="4BA9EA04" w14:textId="77777777" w:rsidR="00E62D1B" w:rsidRPr="00C25AAE" w:rsidRDefault="00E62D1B"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3. Good Faith and Fairness: The court will assess whether the financing arrangement and the priming lien are entered into in good faith and are fair and equitable to all parties involved, including existing creditors.</w:t>
      </w:r>
    </w:p>
    <w:p w14:paraId="3FD924BB" w14:textId="5E1F5800" w:rsidR="001D3BAA" w:rsidRPr="002B5D64" w:rsidRDefault="00E62D1B" w:rsidP="005D6635">
      <w:pPr>
        <w:pStyle w:val="AODocTxt"/>
        <w:spacing w:before="0" w:line="240" w:lineRule="auto"/>
        <w:rPr>
          <w:rFonts w:ascii="Avenir Next" w:hAnsi="Avenir Next"/>
          <w:color w:val="808080" w:themeColor="background1" w:themeShade="80"/>
        </w:rPr>
      </w:pPr>
      <w:r w:rsidRPr="00C25AAE">
        <w:rPr>
          <w:rFonts w:ascii="Avenir Next" w:hAnsi="Avenir Next"/>
          <w:color w:val="808080" w:themeColor="background1" w:themeShade="80"/>
        </w:rPr>
        <w:lastRenderedPageBreak/>
        <w:t>4. Best Interests of the Estate: The financing and the priming lien must be in the best interests of the bankruptcy estate. This involves considering factors such as the debtor's ability to reorganize successfully, the preservation of assets, and the maximization of value for creditors</w:t>
      </w:r>
      <w:r w:rsidR="005D6635">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2181AF46" w14:textId="737FDDC0" w:rsidR="006E064F" w:rsidRPr="00C25AAE" w:rsidRDefault="006E064F"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Violating the automatic stay, which is a fundamental protection granted to debtors upon filing for bankruptcy, can have serious consequences for creditors. Here are two potential consequences of violating the automatic stay:</w:t>
      </w:r>
    </w:p>
    <w:p w14:paraId="072DCA21" w14:textId="77777777" w:rsidR="006E064F" w:rsidRPr="00C25AAE" w:rsidRDefault="006E064F" w:rsidP="005D6635">
      <w:pPr>
        <w:pStyle w:val="ListParagraph"/>
        <w:numPr>
          <w:ilvl w:val="0"/>
          <w:numId w:val="38"/>
        </w:numPr>
        <w:spacing w:after="160" w:line="259" w:lineRule="auto"/>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Contempt of Court: If a creditor willfully violates the automatic stay by attempting to collect a debt, such as by continuing with foreclosure proceedings, repossessing property, or harassing the debtor for payment, the bankruptcy court may hold the creditor in contempt. Contempt of court can result in penalties, including fines or sanctions imposed by the court. In severe cases, the court may even issue an injunction against the creditor or take other punitive measures.</w:t>
      </w:r>
    </w:p>
    <w:p w14:paraId="1C23721F" w14:textId="0B6B0238" w:rsidR="001D3BAA" w:rsidRPr="002B5D64" w:rsidRDefault="006E064F" w:rsidP="005D6635">
      <w:pPr>
        <w:pStyle w:val="AODocTxt"/>
        <w:spacing w:before="0" w:line="240" w:lineRule="auto"/>
        <w:rPr>
          <w:rFonts w:ascii="Avenir Next" w:hAnsi="Avenir Next"/>
          <w:color w:val="808080" w:themeColor="background1" w:themeShade="80"/>
        </w:rPr>
      </w:pPr>
      <w:r w:rsidRPr="00C25AAE">
        <w:rPr>
          <w:rFonts w:ascii="Avenir Next" w:hAnsi="Avenir Next"/>
          <w:color w:val="808080" w:themeColor="background1" w:themeShade="80"/>
        </w:rPr>
        <w:t>Damages: Violating the automatic stay can also expose the creditor to liability for damages suffered by the debtor as a result of the violation. This could include financial losses, emotional distress, or other harm caused by the creditor's actions.</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5D6635">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5D6635">
      <w:pPr>
        <w:pStyle w:val="AODocTxt"/>
        <w:spacing w:before="0" w:line="240" w:lineRule="auto"/>
        <w:rPr>
          <w:rFonts w:ascii="Avenir Next" w:hAnsi="Avenir Next"/>
        </w:rPr>
      </w:pPr>
    </w:p>
    <w:p w14:paraId="797C88F9" w14:textId="2340CE60" w:rsidR="00E97727" w:rsidRPr="00C25AAE" w:rsidRDefault="00E97727" w:rsidP="005D6635">
      <w:pPr>
        <w:jc w:val="both"/>
        <w:rPr>
          <w:rFonts w:ascii="Avenir Next" w:hAnsi="Avenir Next"/>
          <w:color w:val="808080" w:themeColor="background1" w:themeShade="80"/>
        </w:rPr>
      </w:pPr>
      <w:r w:rsidRPr="00C25AAE">
        <w:rPr>
          <w:rFonts w:ascii="Avenir Next" w:hAnsi="Avenir Next"/>
          <w:color w:val="808080" w:themeColor="background1" w:themeShade="80"/>
        </w:rPr>
        <w:t>In bankruptcy proceedings, the voting on a plan of reorganization involves different classes of creditors, each with specific rights and requirements. Here's how it typically works:</w:t>
      </w:r>
    </w:p>
    <w:p w14:paraId="399FA5C7" w14:textId="77777777" w:rsidR="00E97727" w:rsidRPr="00C25AAE" w:rsidRDefault="00E97727" w:rsidP="005D6635">
      <w:pPr>
        <w:jc w:val="both"/>
        <w:rPr>
          <w:rFonts w:ascii="Avenir Next" w:hAnsi="Avenir Next"/>
          <w:color w:val="808080" w:themeColor="background1" w:themeShade="80"/>
        </w:rPr>
      </w:pPr>
      <w:r w:rsidRPr="00C25AAE">
        <w:rPr>
          <w:rFonts w:ascii="Avenir Next" w:hAnsi="Avenir Next"/>
          <w:color w:val="808080" w:themeColor="background1" w:themeShade="80"/>
        </w:rPr>
        <w:t>(</w:t>
      </w:r>
      <w:proofErr w:type="spellStart"/>
      <w:r w:rsidRPr="00C25AAE">
        <w:rPr>
          <w:rFonts w:ascii="Avenir Next" w:hAnsi="Avenir Next"/>
          <w:color w:val="808080" w:themeColor="background1" w:themeShade="80"/>
        </w:rPr>
        <w:t>i</w:t>
      </w:r>
      <w:proofErr w:type="spellEnd"/>
      <w:r w:rsidRPr="00C25AAE">
        <w:rPr>
          <w:rFonts w:ascii="Avenir Next" w:hAnsi="Avenir Next"/>
          <w:color w:val="808080" w:themeColor="background1" w:themeShade="80"/>
        </w:rPr>
        <w:t>) Deemed to Accept the Plan: A class of creditors is deemed to accept the plan if the plan is accepted by creditors that hold at least two-thirds in amount and more than one-half in number of the allowed claims in that class, provided that at least one impaired class votes to accept the plan.</w:t>
      </w:r>
    </w:p>
    <w:p w14:paraId="3CA79DBB" w14:textId="77777777" w:rsidR="00E97727" w:rsidRPr="00C25AAE" w:rsidRDefault="00E97727" w:rsidP="005D6635">
      <w:pPr>
        <w:jc w:val="both"/>
        <w:rPr>
          <w:rFonts w:ascii="Avenir Next" w:hAnsi="Avenir Next"/>
          <w:color w:val="808080" w:themeColor="background1" w:themeShade="80"/>
        </w:rPr>
      </w:pPr>
      <w:r w:rsidRPr="00C25AAE">
        <w:rPr>
          <w:rFonts w:ascii="Avenir Next" w:hAnsi="Avenir Next"/>
          <w:color w:val="808080" w:themeColor="background1" w:themeShade="80"/>
        </w:rPr>
        <w:t>(ii) Deemed to Reject the Plan: If a class of creditors does not meet the acceptance criteria mentioned above, it is deemed to reject the plan.</w:t>
      </w:r>
    </w:p>
    <w:p w14:paraId="055AF1FE" w14:textId="77777777" w:rsidR="00E97727" w:rsidRPr="00C25AAE" w:rsidRDefault="00E97727" w:rsidP="005D6635">
      <w:pPr>
        <w:jc w:val="both"/>
        <w:rPr>
          <w:rFonts w:ascii="Avenir Next" w:hAnsi="Avenir Next"/>
          <w:color w:val="808080" w:themeColor="background1" w:themeShade="80"/>
        </w:rPr>
      </w:pPr>
      <w:r w:rsidRPr="00C25AAE">
        <w:rPr>
          <w:rFonts w:ascii="Avenir Next" w:hAnsi="Avenir Next"/>
          <w:color w:val="808080" w:themeColor="background1" w:themeShade="80"/>
        </w:rPr>
        <w:t>(iii) Permitted to Vote on the Plan: Generally, classes of creditors that are impaired under the proposed plan have the right to vote on the plan. An impaired class is one where the legal, contractual, or substantive rights of the creditors are altered by the proposed plan.</w:t>
      </w:r>
    </w:p>
    <w:p w14:paraId="037B4B36" w14:textId="46712F58" w:rsidR="001D3BAA" w:rsidRPr="002B5D64" w:rsidRDefault="00E97727" w:rsidP="005D6635">
      <w:pPr>
        <w:pStyle w:val="AODocTxt"/>
        <w:spacing w:before="0" w:line="240" w:lineRule="auto"/>
        <w:rPr>
          <w:rFonts w:ascii="Avenir Next" w:hAnsi="Avenir Next"/>
          <w:color w:val="808080" w:themeColor="background1" w:themeShade="80"/>
        </w:rPr>
      </w:pPr>
      <w:r w:rsidRPr="00C25AAE">
        <w:rPr>
          <w:rFonts w:ascii="Avenir Next" w:hAnsi="Avenir Next"/>
          <w:color w:val="808080" w:themeColor="background1" w:themeShade="80"/>
        </w:rPr>
        <w:t xml:space="preserve">As for the vote necessary for a class of creditors to accept a plan, under the Bankruptcy Code (Chapter 11), at least two-thirds in amount and more than one-half in number of the allowed claims in a particular class must vote in favor of the plan for that class to accept it. This is a significant threshold designed to ensure that </w:t>
      </w:r>
      <w:proofErr w:type="gramStart"/>
      <w:r w:rsidRPr="00C25AAE">
        <w:rPr>
          <w:rFonts w:ascii="Avenir Next" w:hAnsi="Avenir Next"/>
          <w:color w:val="808080" w:themeColor="background1" w:themeShade="80"/>
        </w:rPr>
        <w:t>a majority of</w:t>
      </w:r>
      <w:proofErr w:type="gramEnd"/>
      <w:r w:rsidRPr="00C25AAE">
        <w:rPr>
          <w:rFonts w:ascii="Avenir Next" w:hAnsi="Avenir Next"/>
          <w:color w:val="808080" w:themeColor="background1" w:themeShade="80"/>
        </w:rPr>
        <w:t xml:space="preserve"> the affected creditors within that class support the plan.</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lastRenderedPageBreak/>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27A36453" w14:textId="7F321D54" w:rsidR="00C47A8C" w:rsidRPr="00C25AAE" w:rsidRDefault="00C47A8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Certainly, let's break down preferences, actual fraudulent conveyances, and constructive fraudulent conveyances, and address your questions:</w:t>
      </w:r>
    </w:p>
    <w:p w14:paraId="424C7AB3" w14:textId="77777777" w:rsidR="00C47A8C" w:rsidRPr="00C25AAE" w:rsidRDefault="00C47A8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(a) Cause of Action Applying only to Transfers made on Account of Antecedent Debt:</w:t>
      </w:r>
    </w:p>
    <w:p w14:paraId="0B0C07DC" w14:textId="77777777" w:rsidR="00C47A8C" w:rsidRPr="00C25AAE" w:rsidRDefault="00C47A8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 xml:space="preserve">   - This cause of action specifically applies to preferences. Preferences occur when a debtor transfers property to a creditor on account of an antecedent debt (a debt owed before the transfer was made) within a certain period before the filing of bankruptcy. The aim is to prevent creditors from favoring certain creditors over others shortly before declaring bankruptcy.</w:t>
      </w:r>
    </w:p>
    <w:p w14:paraId="67964CCD" w14:textId="77777777" w:rsidR="00C47A8C" w:rsidRPr="00C25AAE" w:rsidRDefault="00C47A8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(b) Cause of Action Requiring Proof of Insolvency at the Time of Transfer:</w:t>
      </w:r>
    </w:p>
    <w:p w14:paraId="0C0D3210" w14:textId="77777777" w:rsidR="00C47A8C" w:rsidRPr="00C25AAE" w:rsidRDefault="00C47A8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 xml:space="preserve">   - This cause of action applies to both actual fraudulent conveyances and constructive fraudulent conveyances. Both types of conveyances involve the transfer of assets with the intent to hinder, delay, or defraud creditors. However, to establish an actual fraudulent conveyance, it's necessary to prove fraudulent intent, whereas constructive fraudulent conveyances don't require proof of fraudulent intent but do require proof of insolvency at the time of the transfer.</w:t>
      </w:r>
    </w:p>
    <w:p w14:paraId="71463E44" w14:textId="77777777" w:rsidR="00C47A8C" w:rsidRPr="00C25AAE" w:rsidRDefault="00C47A8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(c) Cause of Action Requiring Proof of Intent to Frustrate Creditors' Recoveries:</w:t>
      </w:r>
    </w:p>
    <w:p w14:paraId="66393F27" w14:textId="409C21F7" w:rsidR="00E239B8" w:rsidRDefault="00C47A8C" w:rsidP="005D6635">
      <w:pPr>
        <w:pStyle w:val="AODocTxt"/>
        <w:spacing w:before="0" w:line="240" w:lineRule="auto"/>
        <w:rPr>
          <w:rFonts w:ascii="Avenir Next" w:hAnsi="Avenir Next"/>
          <w:color w:val="808080" w:themeColor="background1" w:themeShade="80"/>
        </w:rPr>
      </w:pPr>
      <w:r w:rsidRPr="00C25AAE">
        <w:rPr>
          <w:rFonts w:ascii="Avenir Next" w:hAnsi="Avenir Next"/>
          <w:color w:val="808080" w:themeColor="background1" w:themeShade="80"/>
        </w:rPr>
        <w:t xml:space="preserve">   - This cause of action specifically applies to actual fraudulent conveyances. An actual fraudulent conveyance involves a transfer of assets made with the actual intent to hinder, delay, or defraud creditors. Therefore, to establish an actual fraudulent conveyance, it's necessary to prove that the debtor had the intent to frustrate creditors' recoveries through the transfer.</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5D6635">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5D6635">
      <w:pPr>
        <w:pStyle w:val="AODocTxt"/>
        <w:spacing w:before="0" w:line="240" w:lineRule="auto"/>
        <w:rPr>
          <w:rFonts w:ascii="Avenir Next" w:hAnsi="Avenir Next"/>
          <w:color w:val="808080" w:themeColor="background1" w:themeShade="80"/>
        </w:rPr>
      </w:pPr>
    </w:p>
    <w:p w14:paraId="07E3E631" w14:textId="281FCF76" w:rsidR="00541763" w:rsidRPr="00C25AAE"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In the United States, bankruptcy courts have limited authority to enter final orders due to constitutional constraints outlined in Article III of the U.S. Constitution, which establishes the judicial branch. Bankruptcy courts are Article I courts, which are legislative courts established by Congress. As such, they do not have the full judicial power granted to Article III courts, such as district courts and appellate courts.</w:t>
      </w:r>
    </w:p>
    <w:p w14:paraId="4D029E39" w14:textId="77777777" w:rsidR="00541763" w:rsidRPr="00C25AAE"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 xml:space="preserve">Bankruptcy courts may enter final orders in certain circumstances, primarily those involving core proceedings. Core proceedings are those integral to the bankruptcy process, such as determining the </w:t>
      </w:r>
      <w:proofErr w:type="spellStart"/>
      <w:r w:rsidRPr="00C25AAE">
        <w:rPr>
          <w:rFonts w:ascii="Avenir Next" w:hAnsi="Avenir Next"/>
          <w:color w:val="808080" w:themeColor="background1" w:themeShade="80"/>
        </w:rPr>
        <w:t>dischargeability</w:t>
      </w:r>
      <w:proofErr w:type="spellEnd"/>
      <w:r w:rsidRPr="00C25AAE">
        <w:rPr>
          <w:rFonts w:ascii="Avenir Next" w:hAnsi="Avenir Next"/>
          <w:color w:val="808080" w:themeColor="background1" w:themeShade="80"/>
        </w:rPr>
        <w:t xml:space="preserve"> of debts, confirming a reorganization plan, or granting relief from the automatic stay. In these core proceedings, bankruptcy judges can issue final orders consistent with the U.S. Constitution because they </w:t>
      </w:r>
      <w:proofErr w:type="gramStart"/>
      <w:r w:rsidRPr="00C25AAE">
        <w:rPr>
          <w:rFonts w:ascii="Avenir Next" w:hAnsi="Avenir Next"/>
          <w:color w:val="808080" w:themeColor="background1" w:themeShade="80"/>
        </w:rPr>
        <w:t>are considered to be</w:t>
      </w:r>
      <w:proofErr w:type="gramEnd"/>
      <w:r w:rsidRPr="00C25AAE">
        <w:rPr>
          <w:rFonts w:ascii="Avenir Next" w:hAnsi="Avenir Next"/>
          <w:color w:val="808080" w:themeColor="background1" w:themeShade="80"/>
        </w:rPr>
        <w:t xml:space="preserve"> acting as adjuncts to Article III district courts.</w:t>
      </w:r>
    </w:p>
    <w:p w14:paraId="787CC1ED" w14:textId="77777777" w:rsidR="00541763" w:rsidRPr="00C25AAE"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However, in non-core proceedings or matters where the bankruptcy court lacks constitutional authority to enter a final order, it must issue proposed findings of fact and conclusions of law to the district court. The district court then reviews these proposals de novo (anew) and enters a final order based on its review.</w:t>
      </w:r>
    </w:p>
    <w:p w14:paraId="65289D67" w14:textId="77777777" w:rsidR="00541763" w:rsidRPr="00C25AAE"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As for appeals from bankruptcy court orders:</w:t>
      </w:r>
    </w:p>
    <w:p w14:paraId="622B5F71" w14:textId="77777777" w:rsidR="00541763" w:rsidRPr="00C25AAE"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 Appeals from final orders of bankruptcy courts are generally heard by the United States District Court in the district where the bankruptcy court is located. District courts have the authority to review these final orders and issue rulings.</w:t>
      </w:r>
    </w:p>
    <w:p w14:paraId="34F968E3" w14:textId="77777777" w:rsidR="00541763" w:rsidRPr="00C25AAE"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 Appeals from district court decisions may be made to the United States Court of Appeals for the circuit in which the district court is located. Each circuit court reviews appeals from its respective district courts.</w:t>
      </w:r>
    </w:p>
    <w:p w14:paraId="41284EC0" w14:textId="6766B58F" w:rsidR="001D3BAA" w:rsidRPr="002B5D64" w:rsidRDefault="00541763" w:rsidP="005D6635">
      <w:pPr>
        <w:jc w:val="both"/>
        <w:rPr>
          <w:rFonts w:ascii="Avenir Next" w:hAnsi="Avenir Next"/>
          <w:color w:val="808080" w:themeColor="background1" w:themeShade="80"/>
        </w:rPr>
      </w:pPr>
      <w:r w:rsidRPr="00C25AAE">
        <w:rPr>
          <w:rFonts w:ascii="Avenir Next" w:hAnsi="Avenir Next"/>
          <w:color w:val="808080" w:themeColor="background1" w:themeShade="80"/>
        </w:rPr>
        <w:t>- Ultimately, appeals from circuit court decisions may be made to the United States Supreme Court, though the Supreme Court has discretion over which cases it chooses to hear.</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lastRenderedPageBreak/>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6CA8BD1" w14:textId="6A502B07" w:rsidR="00AB070F" w:rsidRPr="00C25AAE" w:rsidRDefault="00AB070F"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In a Chapter 15 proceeding under the United States Bankruptcy Code, certain provisions may not be invoked by a foreign representative. Specifically, Sections 362 (automatic stay) and 547 (preferences) of the Bankruptcy Code are not available to foreign representatives in Chapter 15 cases.</w:t>
      </w:r>
    </w:p>
    <w:p w14:paraId="7362940F" w14:textId="77777777" w:rsidR="00AB070F" w:rsidRPr="00C25AAE" w:rsidRDefault="00AB070F"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However, despite these limitations, a foreign representative can obtain equivalent relief through alternative means. Two common ways for a foreign representative to seek equivalent relief include:</w:t>
      </w:r>
    </w:p>
    <w:p w14:paraId="27D6FA10" w14:textId="77777777" w:rsidR="00AB070F" w:rsidRPr="00C25AAE" w:rsidRDefault="00AB070F" w:rsidP="005D6635">
      <w:pPr>
        <w:pStyle w:val="ListParagraph"/>
        <w:numPr>
          <w:ilvl w:val="0"/>
          <w:numId w:val="39"/>
        </w:numPr>
        <w:spacing w:after="160" w:line="259" w:lineRule="auto"/>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 xml:space="preserve">Recognition of Foreign Proceedings: The foreign representative can seek recognition of the foreign insolvency proceeding in the U.S. bankruptcy court. Once recognized, the foreign representative gains access to the protections and remedies available under Chapter 15, including the automatic stay and avoidance powers </w:t>
      </w:r>
      <w:proofErr w:type="gramStart"/>
      <w:r w:rsidRPr="00C25AAE">
        <w:rPr>
          <w:rFonts w:ascii="Avenir Next" w:hAnsi="Avenir Next"/>
          <w:color w:val="808080" w:themeColor="background1" w:themeShade="80"/>
          <w:sz w:val="22"/>
          <w:szCs w:val="22"/>
        </w:rPr>
        <w:t>similar to</w:t>
      </w:r>
      <w:proofErr w:type="gramEnd"/>
      <w:r w:rsidRPr="00C25AAE">
        <w:rPr>
          <w:rFonts w:ascii="Avenir Next" w:hAnsi="Avenir Next"/>
          <w:color w:val="808080" w:themeColor="background1" w:themeShade="80"/>
          <w:sz w:val="22"/>
          <w:szCs w:val="22"/>
        </w:rPr>
        <w:t xml:space="preserve"> those in Sections 362 and 547 of the Bankruptcy Code.</w:t>
      </w:r>
    </w:p>
    <w:p w14:paraId="7D43FFF7" w14:textId="77777777" w:rsidR="00AB070F" w:rsidRPr="00C25AAE" w:rsidRDefault="00AB070F" w:rsidP="005D6635">
      <w:pPr>
        <w:pStyle w:val="ListParagraph"/>
        <w:numPr>
          <w:ilvl w:val="0"/>
          <w:numId w:val="39"/>
        </w:numPr>
        <w:spacing w:after="160" w:line="259" w:lineRule="auto"/>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Direct Application for Relief: Instead of invoking specific provisions of the Bankruptcy Code, the foreign representative may directly apply to the U.S. bankruptcy court for appropriate relief. This could involve seeking injunctive relief, such as a temporary restraining order or preliminary injunction, to protect the foreign debtor's assets or interests in the United States.</w:t>
      </w:r>
    </w:p>
    <w:p w14:paraId="563007FE" w14:textId="0AC6189C" w:rsidR="001D3BAA" w:rsidRPr="002B5D64" w:rsidRDefault="00AB070F" w:rsidP="005D6635">
      <w:pPr>
        <w:pStyle w:val="AODocTxt"/>
        <w:spacing w:before="0" w:line="240" w:lineRule="auto"/>
        <w:rPr>
          <w:rFonts w:ascii="Avenir Next" w:hAnsi="Avenir Next"/>
          <w:color w:val="808080" w:themeColor="background1" w:themeShade="80"/>
        </w:rPr>
      </w:pPr>
      <w:r w:rsidRPr="00C25AAE">
        <w:rPr>
          <w:rFonts w:ascii="Avenir Next" w:hAnsi="Avenir Next"/>
          <w:color w:val="808080" w:themeColor="background1" w:themeShade="80"/>
        </w:rPr>
        <w:t>By pursuing recognition of the foreign proceeding or seeking alternative relief directly from the U.S. bankruptcy court, the foreign representative can effectively address the needs of the foreign debtor and its stakeholders in the United States within the framework of Chapter 15 of the Bankruptcy Code.</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5D6635">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4E97B157" w14:textId="7CEC27F7" w:rsidR="0011134A" w:rsidRPr="00175629" w:rsidRDefault="0011134A" w:rsidP="005D6635">
      <w:pPr>
        <w:jc w:val="both"/>
        <w:rPr>
          <w:rFonts w:ascii="Avenir Next" w:hAnsi="Avenir Next"/>
          <w:color w:val="808080" w:themeColor="background1" w:themeShade="80"/>
        </w:rPr>
      </w:pPr>
      <w:r w:rsidRPr="00175629">
        <w:rPr>
          <w:rFonts w:ascii="Avenir Next" w:hAnsi="Avenir Next"/>
          <w:color w:val="808080" w:themeColor="background1" w:themeShade="80"/>
        </w:rPr>
        <w:t>When preparing a filing for a bankruptcy court in the USA in cases of cross-border insolvency, it's essential to review several rules and guidelines to ensure compliance and effectiveness. Here are some key rules and considerations to review:</w:t>
      </w:r>
    </w:p>
    <w:p w14:paraId="2C7B2D39" w14:textId="77777777" w:rsidR="0011134A" w:rsidRDefault="0011134A" w:rsidP="005D6635">
      <w:pPr>
        <w:pStyle w:val="ListParagraph"/>
        <w:numPr>
          <w:ilvl w:val="0"/>
          <w:numId w:val="40"/>
        </w:numPr>
        <w:spacing w:after="160" w:line="259" w:lineRule="auto"/>
        <w:jc w:val="both"/>
        <w:rPr>
          <w:rFonts w:ascii="Avenir Next" w:hAnsi="Avenir Next"/>
          <w:color w:val="808080" w:themeColor="background1" w:themeShade="80"/>
        </w:rPr>
      </w:pPr>
      <w:r w:rsidRPr="00CB7FA8">
        <w:rPr>
          <w:rFonts w:ascii="Avenir Next" w:hAnsi="Avenir Next"/>
          <w:color w:val="808080" w:themeColor="background1" w:themeShade="80"/>
        </w:rPr>
        <w:t>Chapter 15 of the US Bankruptcy Code: Chapter 15 specifically deals with cross-border insolvency cases in the United States. It provides the framework for the recognition of foreign proceedings, cooperation with foreign courts and representatives, and the protection of creditors' interests in cross-border insolvency cases.</w:t>
      </w:r>
    </w:p>
    <w:p w14:paraId="0C82BCA6" w14:textId="77777777" w:rsidR="0011134A" w:rsidRDefault="0011134A" w:rsidP="005D6635">
      <w:pPr>
        <w:pStyle w:val="ListParagraph"/>
        <w:numPr>
          <w:ilvl w:val="0"/>
          <w:numId w:val="40"/>
        </w:numPr>
        <w:spacing w:after="160" w:line="259" w:lineRule="auto"/>
        <w:jc w:val="both"/>
        <w:rPr>
          <w:rFonts w:ascii="Avenir Next" w:hAnsi="Avenir Next"/>
          <w:color w:val="808080" w:themeColor="background1" w:themeShade="80"/>
        </w:rPr>
      </w:pPr>
      <w:r w:rsidRPr="00CB7FA8">
        <w:rPr>
          <w:rFonts w:ascii="Avenir Next" w:hAnsi="Avenir Next"/>
          <w:color w:val="808080" w:themeColor="background1" w:themeShade="80"/>
        </w:rPr>
        <w:t>Local Bankruptcy Rules: Each bankruptcy court in the United States may have its own set of local rules that supplement the Federal Rules of Bankruptcy Procedure. These local rules may include specific requirements or procedures for filings in cross-border insolvency cases.</w:t>
      </w:r>
    </w:p>
    <w:p w14:paraId="0E8BF716" w14:textId="77777777" w:rsidR="0011134A" w:rsidRDefault="0011134A" w:rsidP="005D6635">
      <w:pPr>
        <w:pStyle w:val="ListParagraph"/>
        <w:numPr>
          <w:ilvl w:val="0"/>
          <w:numId w:val="40"/>
        </w:numPr>
        <w:spacing w:after="160" w:line="259" w:lineRule="auto"/>
        <w:jc w:val="both"/>
        <w:rPr>
          <w:rFonts w:ascii="Avenir Next" w:hAnsi="Avenir Next"/>
          <w:color w:val="808080" w:themeColor="background1" w:themeShade="80"/>
        </w:rPr>
      </w:pPr>
      <w:r w:rsidRPr="002E1208">
        <w:rPr>
          <w:rFonts w:ascii="Avenir Next" w:hAnsi="Avenir Next"/>
          <w:color w:val="808080" w:themeColor="background1" w:themeShade="80"/>
        </w:rPr>
        <w:t>Federal Rules of Bankruptcy Procedure: These rules govern the procedural aspects of bankruptcy cases in federal courts, including the filing of petitions, motions, and other pleadings. It's crucial to adhere to these rules when preparing and filing documents with the bankruptcy court.</w:t>
      </w:r>
    </w:p>
    <w:p w14:paraId="2A92C51C" w14:textId="77777777" w:rsidR="0011134A" w:rsidRDefault="0011134A" w:rsidP="005D6635">
      <w:pPr>
        <w:pStyle w:val="ListParagraph"/>
        <w:numPr>
          <w:ilvl w:val="0"/>
          <w:numId w:val="40"/>
        </w:numPr>
        <w:spacing w:after="160" w:line="259" w:lineRule="auto"/>
        <w:jc w:val="both"/>
        <w:rPr>
          <w:rFonts w:ascii="Avenir Next" w:hAnsi="Avenir Next"/>
          <w:color w:val="808080" w:themeColor="background1" w:themeShade="80"/>
        </w:rPr>
      </w:pPr>
      <w:r w:rsidRPr="002E1208">
        <w:rPr>
          <w:rFonts w:ascii="Avenir Next" w:hAnsi="Avenir Next"/>
          <w:color w:val="808080" w:themeColor="background1" w:themeShade="80"/>
        </w:rPr>
        <w:t xml:space="preserve">International Treaties and Conventions: The United States is a party to several international treaties and conventions related to cross-border insolvency, such as the UNCITRAL Model Law on Cross-Border Insolvency and the United Nations Convention on the Recognition and Enforcement of Foreign Arbitral Awards (New York Convention). </w:t>
      </w:r>
    </w:p>
    <w:p w14:paraId="5BA08CE6" w14:textId="77777777" w:rsidR="0011134A" w:rsidRDefault="0011134A" w:rsidP="005D6635">
      <w:pPr>
        <w:pStyle w:val="ListParagraph"/>
        <w:numPr>
          <w:ilvl w:val="0"/>
          <w:numId w:val="40"/>
        </w:numPr>
        <w:spacing w:after="160" w:line="259" w:lineRule="auto"/>
        <w:jc w:val="both"/>
        <w:rPr>
          <w:rFonts w:ascii="Avenir Next" w:hAnsi="Avenir Next"/>
          <w:color w:val="808080" w:themeColor="background1" w:themeShade="80"/>
        </w:rPr>
      </w:pPr>
      <w:r w:rsidRPr="00437EDC">
        <w:rPr>
          <w:rFonts w:ascii="Avenir Next" w:hAnsi="Avenir Next"/>
          <w:color w:val="808080" w:themeColor="background1" w:themeShade="80"/>
        </w:rPr>
        <w:t>Case Law: Reviewing relevant case law can provide insights into how courts have interpreted and applied bankruptcy laws and principles in cross-border insolvency cases. Understanding precedent can help anticipate potential challenges and arguments in the case.</w:t>
      </w:r>
    </w:p>
    <w:p w14:paraId="671A424A" w14:textId="59326226" w:rsidR="001D3BAA" w:rsidRPr="00611739" w:rsidRDefault="0011134A" w:rsidP="005D6635">
      <w:pPr>
        <w:pStyle w:val="ListParagraph"/>
        <w:numPr>
          <w:ilvl w:val="0"/>
          <w:numId w:val="40"/>
        </w:numPr>
        <w:spacing w:after="160" w:line="259" w:lineRule="auto"/>
        <w:jc w:val="both"/>
        <w:rPr>
          <w:rFonts w:ascii="Avenir Next" w:hAnsi="Avenir Next"/>
          <w:color w:val="808080" w:themeColor="background1" w:themeShade="80"/>
        </w:rPr>
      </w:pPr>
      <w:r w:rsidRPr="00437EDC">
        <w:rPr>
          <w:rFonts w:ascii="Avenir Next" w:hAnsi="Avenir Next"/>
          <w:color w:val="808080" w:themeColor="background1" w:themeShade="80"/>
        </w:rPr>
        <w:t xml:space="preserve">Communication and Cooperation with Foreign Representatives: In cross-border insolvency cases, effective communication and cooperation with foreign representatives, courts, and stakeholders are </w:t>
      </w:r>
      <w:proofErr w:type="spellStart"/>
      <w:r w:rsidRPr="00437EDC">
        <w:rPr>
          <w:rFonts w:ascii="Avenir Next" w:hAnsi="Avenir Next"/>
          <w:color w:val="808080" w:themeColor="background1" w:themeShade="80"/>
        </w:rPr>
        <w:t>esse</w:t>
      </w:r>
      <w:r w:rsidR="00611739">
        <w:rPr>
          <w:rFonts w:ascii="Avenir Next" w:hAnsi="Avenir Next"/>
          <w:color w:val="808080" w:themeColor="background1" w:themeShade="80"/>
        </w:rPr>
        <w:t>ncial</w:t>
      </w:r>
      <w:proofErr w:type="spellEnd"/>
      <w:r w:rsidR="00611739">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3AA3D815" w14:textId="05F6694D" w:rsidR="000E4D1C" w:rsidRPr="00C25AAE" w:rsidRDefault="000E4D1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 xml:space="preserve">Directors of Delaware corporations owe fiduciary duties, primarily consisting of the duty of care and the duty of loyalty, to the corporation and its shareholders. These duties guide directors in their decision-making processes and actions to ensure they act in the best interests of the corporation and its stakeholders. The duties are owed both in the ordinary course of business and when the corporation is potentially or </w:t>
      </w:r>
      <w:proofErr w:type="gramStart"/>
      <w:r w:rsidRPr="00C25AAE">
        <w:rPr>
          <w:rFonts w:ascii="Avenir Next" w:hAnsi="Avenir Next"/>
          <w:color w:val="808080" w:themeColor="background1" w:themeShade="80"/>
          <w:sz w:val="22"/>
          <w:szCs w:val="22"/>
        </w:rPr>
        <w:t>actually insolvent</w:t>
      </w:r>
      <w:proofErr w:type="gramEnd"/>
      <w:r w:rsidRPr="00C25AAE">
        <w:rPr>
          <w:rFonts w:ascii="Avenir Next" w:hAnsi="Avenir Next"/>
          <w:color w:val="808080" w:themeColor="background1" w:themeShade="80"/>
          <w:sz w:val="22"/>
          <w:szCs w:val="22"/>
        </w:rPr>
        <w:t>, but the focus may shift based on the company's financial condition.</w:t>
      </w:r>
    </w:p>
    <w:p w14:paraId="3AA569E8" w14:textId="77777777" w:rsidR="000E4D1C" w:rsidRPr="00C25AAE" w:rsidRDefault="000E4D1C" w:rsidP="005D6635">
      <w:pPr>
        <w:jc w:val="both"/>
        <w:rPr>
          <w:rFonts w:ascii="Avenir Next" w:hAnsi="Avenir Next"/>
          <w:color w:val="808080" w:themeColor="background1" w:themeShade="80"/>
          <w:sz w:val="22"/>
          <w:szCs w:val="22"/>
          <w:u w:val="single"/>
        </w:rPr>
      </w:pPr>
      <w:r w:rsidRPr="00C25AAE">
        <w:rPr>
          <w:rFonts w:ascii="Avenir Next" w:hAnsi="Avenir Next"/>
          <w:color w:val="808080" w:themeColor="background1" w:themeShade="80"/>
          <w:sz w:val="22"/>
          <w:szCs w:val="22"/>
          <w:u w:val="single"/>
        </w:rPr>
        <w:t>Ordinary Course of Business</w:t>
      </w:r>
    </w:p>
    <w:p w14:paraId="76DCBFAC" w14:textId="77777777" w:rsidR="000E4D1C" w:rsidRPr="00C25AAE" w:rsidRDefault="000E4D1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Duty of Care:  Directors are required to act with the same level of care and diligence that a reasonably prudent person would exercise in similar circumstances. This duty involves making informed decisions, conducting due diligence, and actively participating in corporate governance.</w:t>
      </w:r>
    </w:p>
    <w:p w14:paraId="0DB213E3" w14:textId="77777777" w:rsidR="000E4D1C" w:rsidRPr="00C25AAE" w:rsidRDefault="000E4D1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 xml:space="preserve"> Duty of Loyalty: Directors are required to act in good faith and with undivided loyalty to the corporation's interests. Directors must avoid conflicts of interest, self-dealing, and personal gain at the expense of the corporation.</w:t>
      </w:r>
    </w:p>
    <w:p w14:paraId="03B19C3F" w14:textId="77777777" w:rsidR="000E4D1C" w:rsidRPr="00C25AAE" w:rsidRDefault="000E4D1C" w:rsidP="005D6635">
      <w:pPr>
        <w:jc w:val="both"/>
        <w:rPr>
          <w:rFonts w:ascii="Avenir Next" w:hAnsi="Avenir Next"/>
          <w:color w:val="808080" w:themeColor="background1" w:themeShade="80"/>
          <w:sz w:val="22"/>
          <w:szCs w:val="22"/>
          <w:u w:val="single"/>
        </w:rPr>
      </w:pPr>
      <w:r w:rsidRPr="00C25AAE">
        <w:rPr>
          <w:rFonts w:ascii="Avenir Next" w:hAnsi="Avenir Next"/>
          <w:color w:val="808080" w:themeColor="background1" w:themeShade="80"/>
          <w:sz w:val="22"/>
          <w:szCs w:val="22"/>
          <w:u w:val="single"/>
        </w:rPr>
        <w:t>When Potentially or Actually Insolvent</w:t>
      </w:r>
    </w:p>
    <w:p w14:paraId="4FC3D9E1" w14:textId="77777777" w:rsidR="000E4D1C" w:rsidRPr="00C25AAE" w:rsidRDefault="000E4D1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Duty to Creditors: In such circumstances, directors must consider the interests of creditors alongside those of shareholders. The duty to creditors typically arises when the corporation is in the zone of insolvency, meaning it is nearing insolvency or on the brink of financial distress.</w:t>
      </w:r>
    </w:p>
    <w:p w14:paraId="278A6109" w14:textId="77777777" w:rsidR="000E4D1C" w:rsidRPr="00C25AAE" w:rsidRDefault="000E4D1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Preservation of Assets: Directors have a heightened duty to preserve the corporation's assets and maximize value for creditors when the company is insolvent or approaching insolvency. This may involve refraining from actions that could harm creditors' interests, such as preferential transfers or fraudulent conveyances.</w:t>
      </w:r>
    </w:p>
    <w:p w14:paraId="7A03B5A2" w14:textId="63671DFD" w:rsidR="001D3BAA" w:rsidRPr="000E4D1C" w:rsidRDefault="000E4D1C" w:rsidP="005D6635">
      <w:pPr>
        <w:jc w:val="both"/>
        <w:rPr>
          <w:rFonts w:ascii="Avenir Next" w:hAnsi="Avenir Next"/>
          <w:color w:val="808080" w:themeColor="background1" w:themeShade="80"/>
          <w:sz w:val="22"/>
          <w:szCs w:val="22"/>
        </w:rPr>
      </w:pPr>
      <w:r w:rsidRPr="00C25AAE">
        <w:rPr>
          <w:rFonts w:ascii="Avenir Next" w:hAnsi="Avenir Next"/>
          <w:color w:val="808080" w:themeColor="background1" w:themeShade="80"/>
          <w:sz w:val="22"/>
          <w:szCs w:val="22"/>
        </w:rPr>
        <w:t>It's important to note that while the duty of care and duty of loyalty remain constant, the emphasis on preserving shareholder versus creditor interests may vary depending on the corporation's financial condition. Directors must carefully navigate these duties and consider the broader implications of their decisions, particularly in times of financial distress or insolvency, to fulfill their obligations to the corporation and its stakeholders.</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31D76D05" w14:textId="30E52FCA" w:rsidR="001F3145" w:rsidRPr="00AC7E6D" w:rsidRDefault="001F3145" w:rsidP="005D6635">
      <w:pPr>
        <w:jc w:val="both"/>
        <w:rPr>
          <w:rFonts w:ascii="Avenir Next" w:hAnsi="Avenir Next"/>
          <w:color w:val="808080" w:themeColor="background1" w:themeShade="80"/>
        </w:rPr>
      </w:pPr>
      <w:r w:rsidRPr="00AC7E6D">
        <w:rPr>
          <w:rFonts w:ascii="Avenir Next" w:hAnsi="Avenir Next"/>
          <w:color w:val="808080" w:themeColor="background1" w:themeShade="80"/>
        </w:rPr>
        <w:t>The Bankruptcy Code provides certain protections to lessors of office space when a lessee like iWork Ltd files for bankruptcy. These protections primarily revolve around the lessor's ability to take action to protect their interests in the leased property. Here are some key protections provided by the Bankruptcy Code:</w:t>
      </w:r>
    </w:p>
    <w:p w14:paraId="307E1CB4" w14:textId="77777777" w:rsidR="001F3145" w:rsidRPr="00AC7E6D" w:rsidRDefault="001F3145" w:rsidP="005D6635">
      <w:pPr>
        <w:pStyle w:val="ListParagraph"/>
        <w:numPr>
          <w:ilvl w:val="0"/>
          <w:numId w:val="41"/>
        </w:numPr>
        <w:spacing w:after="160" w:line="259" w:lineRule="auto"/>
        <w:jc w:val="both"/>
        <w:rPr>
          <w:rFonts w:ascii="Avenir Next" w:hAnsi="Avenir Next"/>
          <w:color w:val="808080" w:themeColor="background1" w:themeShade="80"/>
        </w:rPr>
      </w:pPr>
      <w:r w:rsidRPr="00AC7E6D">
        <w:rPr>
          <w:rFonts w:ascii="Avenir Next" w:hAnsi="Avenir Next"/>
          <w:color w:val="808080" w:themeColor="background1" w:themeShade="80"/>
        </w:rPr>
        <w:t>Automatic Stay: Upon the filing of a bankruptcy petition by iWork Ltd, an automatic stay goes into effect, which halts most collection actions, including eviction proceedings, against the debtor. This gives the debtor and the bankruptcy court time to assess the situation and determine the appropriate course of action.</w:t>
      </w:r>
    </w:p>
    <w:p w14:paraId="711FEE98" w14:textId="77777777" w:rsidR="001F3145" w:rsidRPr="00AC7E6D" w:rsidRDefault="001F3145" w:rsidP="005D6635">
      <w:pPr>
        <w:pStyle w:val="ListParagraph"/>
        <w:numPr>
          <w:ilvl w:val="0"/>
          <w:numId w:val="41"/>
        </w:numPr>
        <w:spacing w:after="160" w:line="259" w:lineRule="auto"/>
        <w:jc w:val="both"/>
        <w:rPr>
          <w:rFonts w:ascii="Avenir Next" w:hAnsi="Avenir Next"/>
          <w:color w:val="808080" w:themeColor="background1" w:themeShade="80"/>
        </w:rPr>
      </w:pPr>
      <w:r w:rsidRPr="00AC7E6D">
        <w:rPr>
          <w:rFonts w:ascii="Avenir Next" w:hAnsi="Avenir Next"/>
          <w:color w:val="808080" w:themeColor="background1" w:themeShade="80"/>
        </w:rPr>
        <w:t>Assumption or Rejection of Lease: iWork Ltd, as the debtor, has the option to assume or reject its unexpired leases of office space. If iWork Ltd assumes the lease, it agrees to continue performing under the lease terms and must cure any defaults, including unpaid rent. If it rejects the lease, the lessor can treat the lease as terminated and may pursue remedies for breach of lease, including eviction.</w:t>
      </w:r>
    </w:p>
    <w:p w14:paraId="711128D0" w14:textId="77777777" w:rsidR="001F3145" w:rsidRPr="00AC7E6D" w:rsidRDefault="001F3145" w:rsidP="005D6635">
      <w:pPr>
        <w:pStyle w:val="ListParagraph"/>
        <w:numPr>
          <w:ilvl w:val="0"/>
          <w:numId w:val="41"/>
        </w:numPr>
        <w:spacing w:after="160" w:line="259" w:lineRule="auto"/>
        <w:jc w:val="both"/>
        <w:rPr>
          <w:rFonts w:ascii="Avenir Next" w:hAnsi="Avenir Next"/>
          <w:color w:val="808080" w:themeColor="background1" w:themeShade="80"/>
        </w:rPr>
      </w:pPr>
      <w:r w:rsidRPr="00AC7E6D">
        <w:rPr>
          <w:rFonts w:ascii="Avenir Next" w:hAnsi="Avenir Next"/>
          <w:color w:val="808080" w:themeColor="background1" w:themeShade="80"/>
        </w:rPr>
        <w:lastRenderedPageBreak/>
        <w:t>Payment of Pre-Petition and Post-Petition Rent: The Bankruptcy Code requires the debtor to pay pre-petition and post-petition rent for the period during which it occupies the leased property. The lessor has a claim for unpaid pre-petition rent as an administrative expense, which receives priority in payment over most other claims.</w:t>
      </w:r>
    </w:p>
    <w:p w14:paraId="3A57AD79" w14:textId="77777777" w:rsidR="001F3145" w:rsidRPr="00AC7E6D" w:rsidRDefault="001F3145" w:rsidP="005D6635">
      <w:pPr>
        <w:pStyle w:val="ListParagraph"/>
        <w:numPr>
          <w:ilvl w:val="0"/>
          <w:numId w:val="41"/>
        </w:numPr>
        <w:spacing w:after="160" w:line="259" w:lineRule="auto"/>
        <w:jc w:val="both"/>
        <w:rPr>
          <w:rFonts w:ascii="Avenir Next" w:hAnsi="Avenir Next"/>
          <w:color w:val="808080" w:themeColor="background1" w:themeShade="80"/>
        </w:rPr>
      </w:pPr>
      <w:r w:rsidRPr="00AC7E6D">
        <w:rPr>
          <w:rFonts w:ascii="Avenir Next" w:hAnsi="Avenir Next"/>
          <w:color w:val="808080" w:themeColor="background1" w:themeShade="80"/>
        </w:rPr>
        <w:t>Limitations on Assumption of Lease: The Bankruptcy Code imposes certain conditions on the assumption of leases, including the requirement that the debtor cure any monetary defaults (such as unpaid rent) and provide adequate assurance of future performance under the lease.</w:t>
      </w:r>
    </w:p>
    <w:p w14:paraId="53C2C279" w14:textId="606F8243" w:rsidR="001D3BAA" w:rsidRPr="002B5D64" w:rsidRDefault="001F3145" w:rsidP="005D6635">
      <w:pPr>
        <w:pStyle w:val="AODocTxt"/>
        <w:spacing w:before="0" w:line="240" w:lineRule="auto"/>
        <w:rPr>
          <w:rFonts w:ascii="Avenir Next" w:hAnsi="Avenir Next"/>
          <w:color w:val="808080" w:themeColor="background1" w:themeShade="80"/>
        </w:rPr>
      </w:pPr>
      <w:r w:rsidRPr="00AC7E6D">
        <w:rPr>
          <w:rFonts w:ascii="Avenir Next" w:hAnsi="Avenir Next"/>
          <w:color w:val="808080" w:themeColor="background1" w:themeShade="80"/>
        </w:rPr>
        <w:t>Ability to Seek Relief: If iWork Ltd fails to assume or reject the lease within a certain time frame set by the bankruptcy court, or if it fails to cure defaults as required, the lessor can seek relief from the automatic stay to pursue remedies outside of the bankruptcy process, such as eviction or repossessing the leased property.</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703897F" w14:textId="5E182C7C"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To determine whether the English scheme of arrangement could be granted recognition under US Chapter 15 as a foreign main or foreign non-main proceeding, we need to consider the criteria laid out in Chapter 15 of the US Bankruptcy Code.</w:t>
      </w:r>
    </w:p>
    <w:p w14:paraId="6DBEAFAA" w14:textId="77777777"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1. A foreign main proceeding is typically where the debtor's center of main interests (COMI) is located. The COMI is presumed to be the debtor's registered office or habitual residence, but it can be rebutted by evidence showing that the debtor's main interests are located elsewhere.</w:t>
      </w:r>
    </w:p>
    <w:p w14:paraId="4766077E" w14:textId="77777777"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 In the case of Skin Luxe, since it is incorporated and has its principal place of business in France, it's likely that its COMI is in France. However, if Skin Luxe's main interests are found to be in England due to its significant business operations there, it could potentially be considered a foreign main proceeding under US Chapter 15.</w:t>
      </w:r>
    </w:p>
    <w:p w14:paraId="303A34A2" w14:textId="77777777"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2. A foreign non-main proceeding is typically any foreign proceeding other than a foreign main proceeding. This could include proceedings where the debtor has an establishment, but not its COMI.</w:t>
      </w:r>
    </w:p>
    <w:p w14:paraId="4401E5BF" w14:textId="77777777"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 xml:space="preserve"> - Skin Luxe's operations in England, where it is considering using the English scheme of arrangement to restructure its bonds, could potentially constitute an establishment. If the English scheme of arrangement is being pursued in connection with Skin Luxe's operations in England, it could be considered a foreign non-main proceeding.</w:t>
      </w:r>
    </w:p>
    <w:p w14:paraId="17D7A163" w14:textId="77777777"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3. The US bankruptcy court will consider various factors to determine whether to grant recognition, including whether the foreign proceeding is collective in nature, whether it involves the debtor's assets and liabilities, and whether it provides for the distribution of assets to creditors.</w:t>
      </w:r>
    </w:p>
    <w:p w14:paraId="46571401" w14:textId="77777777" w:rsidR="00071529" w:rsidRPr="00482CE2"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 The English scheme of arrangement, if it meets these criteria and is recognized as a legitimate restructuring proceeding under English law, could potentially be granted recognition under US Chapter 15.</w:t>
      </w:r>
    </w:p>
    <w:p w14:paraId="485D4FED" w14:textId="662CC1EA" w:rsidR="001D3BAA" w:rsidRPr="00071529" w:rsidRDefault="00071529" w:rsidP="005D6635">
      <w:pPr>
        <w:jc w:val="both"/>
        <w:rPr>
          <w:rFonts w:ascii="Avenir Next" w:hAnsi="Avenir Next"/>
          <w:color w:val="808080" w:themeColor="background1" w:themeShade="80"/>
        </w:rPr>
      </w:pPr>
      <w:r w:rsidRPr="00482CE2">
        <w:rPr>
          <w:rFonts w:ascii="Avenir Next" w:hAnsi="Avenir Next"/>
          <w:color w:val="808080" w:themeColor="background1" w:themeShade="80"/>
        </w:rPr>
        <w:t>Ultimately, whether the English scheme of arrangement is recognized as a foreign main or foreign non-main proceeding under US Chapter 15 will depend on the specific circumstances of Skin Luxe's case, including the location of its COMI, its significant business operations, and the nature of the restructuring proceedings in England.</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w:t>
      </w:r>
      <w:r w:rsidRPr="00FB2838">
        <w:rPr>
          <w:rFonts w:ascii="Avenir Next" w:hAnsi="Avenir Next"/>
        </w:rPr>
        <w:lastRenderedPageBreak/>
        <w:t xml:space="preserve">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4BD5A796" w14:textId="368D4F6C" w:rsidR="000D5B7B" w:rsidRPr="002B629F" w:rsidRDefault="000D5B7B" w:rsidP="005D6635">
      <w:pPr>
        <w:jc w:val="both"/>
        <w:rPr>
          <w:rFonts w:ascii="Avenir Next" w:hAnsi="Avenir Next"/>
          <w:color w:val="808080" w:themeColor="background1" w:themeShade="80"/>
        </w:rPr>
      </w:pPr>
      <w:r w:rsidRPr="002B629F">
        <w:rPr>
          <w:rFonts w:ascii="Avenir Next" w:hAnsi="Avenir Next"/>
          <w:color w:val="808080" w:themeColor="background1" w:themeShade="80"/>
        </w:rPr>
        <w:t>Filing for Chapter 11 bankruptcy by Speculation Inc would have different effects on each of the mentioned situations:</w:t>
      </w:r>
    </w:p>
    <w:p w14:paraId="5E8B0254" w14:textId="77777777" w:rsidR="000D5B7B" w:rsidRPr="00311C2D" w:rsidRDefault="000D5B7B" w:rsidP="005D6635">
      <w:pPr>
        <w:pStyle w:val="ListParagraph"/>
        <w:numPr>
          <w:ilvl w:val="0"/>
          <w:numId w:val="42"/>
        </w:numPr>
        <w:spacing w:after="160" w:line="259" w:lineRule="auto"/>
        <w:jc w:val="both"/>
        <w:rPr>
          <w:rFonts w:ascii="Avenir Next" w:hAnsi="Avenir Next"/>
          <w:color w:val="808080" w:themeColor="background1" w:themeShade="80"/>
        </w:rPr>
      </w:pPr>
      <w:r w:rsidRPr="00311C2D">
        <w:rPr>
          <w:rFonts w:ascii="Avenir Next" w:hAnsi="Avenir Next"/>
          <w:color w:val="808080" w:themeColor="background1" w:themeShade="80"/>
        </w:rPr>
        <w:t>DOJ investigation: Filing for Chapter 11 bankruptcy would not automatically halt or affect the DOJ investigation. Criminal investigations by government agencies, such as the Department of Justice, typically continue independently of the bankruptcy process. The bankruptcy filing may, however, impact the company's ability to defend itself or resolve any potential legal issues related to the investigation.</w:t>
      </w:r>
    </w:p>
    <w:p w14:paraId="15E52C61" w14:textId="77777777" w:rsidR="000D5B7B" w:rsidRDefault="000D5B7B" w:rsidP="005D6635">
      <w:pPr>
        <w:pStyle w:val="ListParagraph"/>
        <w:numPr>
          <w:ilvl w:val="0"/>
          <w:numId w:val="42"/>
        </w:numPr>
        <w:spacing w:after="160" w:line="259" w:lineRule="auto"/>
        <w:jc w:val="both"/>
        <w:rPr>
          <w:rFonts w:ascii="Avenir Next" w:hAnsi="Avenir Next"/>
          <w:color w:val="808080" w:themeColor="background1" w:themeShade="80"/>
        </w:rPr>
      </w:pPr>
      <w:r w:rsidRPr="00311C2D">
        <w:rPr>
          <w:rFonts w:ascii="Avenir Next" w:hAnsi="Avenir Next"/>
          <w:color w:val="808080" w:themeColor="background1" w:themeShade="80"/>
        </w:rPr>
        <w:t>Margin loan defaul</w:t>
      </w:r>
      <w:r>
        <w:rPr>
          <w:rFonts w:ascii="Avenir Next" w:hAnsi="Avenir Next"/>
          <w:color w:val="808080" w:themeColor="background1" w:themeShade="80"/>
        </w:rPr>
        <w:t>t</w:t>
      </w:r>
      <w:r w:rsidRPr="00311C2D">
        <w:rPr>
          <w:rFonts w:ascii="Avenir Next" w:hAnsi="Avenir Next"/>
          <w:color w:val="808080" w:themeColor="background1" w:themeShade="80"/>
        </w:rPr>
        <w:t>:</w:t>
      </w:r>
      <w:r>
        <w:rPr>
          <w:rFonts w:ascii="Avenir Next" w:hAnsi="Avenir Next"/>
          <w:color w:val="808080" w:themeColor="background1" w:themeShade="80"/>
        </w:rPr>
        <w:t xml:space="preserve"> </w:t>
      </w:r>
      <w:r w:rsidRPr="00311C2D">
        <w:rPr>
          <w:rFonts w:ascii="Avenir Next" w:hAnsi="Avenir Next"/>
          <w:color w:val="808080" w:themeColor="background1" w:themeShade="80"/>
        </w:rPr>
        <w:t>Filing for Chapter 11 bankruptcy would trigger an automatic stay, which halts most collection actions against the debtor, including actions by creditors to enforce their claims. This would temporarily halt any actions by the broker to enforce the default on the margin loan. Speculation Inc could then use the Chapter 11 process to negotiate with the broker and potentially restructure its debts, including the margin loan.</w:t>
      </w:r>
    </w:p>
    <w:p w14:paraId="13E4533E" w14:textId="77777777" w:rsidR="000D5B7B" w:rsidRDefault="000D5B7B" w:rsidP="005D6635">
      <w:pPr>
        <w:pStyle w:val="ListParagraph"/>
        <w:numPr>
          <w:ilvl w:val="0"/>
          <w:numId w:val="42"/>
        </w:numPr>
        <w:spacing w:after="160" w:line="259" w:lineRule="auto"/>
        <w:jc w:val="both"/>
        <w:rPr>
          <w:rFonts w:ascii="Avenir Next" w:hAnsi="Avenir Next"/>
          <w:color w:val="808080" w:themeColor="background1" w:themeShade="80"/>
        </w:rPr>
      </w:pPr>
      <w:r w:rsidRPr="00311C2D">
        <w:rPr>
          <w:rFonts w:ascii="Avenir Next" w:hAnsi="Avenir Next"/>
          <w:color w:val="808080" w:themeColor="background1" w:themeShade="80"/>
        </w:rPr>
        <w:t>Delinquent lease:</w:t>
      </w:r>
      <w:r>
        <w:rPr>
          <w:rFonts w:ascii="Avenir Next" w:hAnsi="Avenir Next"/>
          <w:color w:val="808080" w:themeColor="background1" w:themeShade="80"/>
        </w:rPr>
        <w:t xml:space="preserve"> </w:t>
      </w:r>
      <w:r w:rsidRPr="00826A21">
        <w:rPr>
          <w:rFonts w:ascii="Avenir Next" w:hAnsi="Avenir Next"/>
          <w:color w:val="808080" w:themeColor="background1" w:themeShade="80"/>
        </w:rPr>
        <w:t>Similar to the margin loan default, filing for Chapter 11 bankruptcy would trigger an automatic stay, which would temporarily halt any eviction proceedings or collection actions related to the delinquent lease. Speculation Inc could use the Chapter 11 process to negotiate with the landlord and potentially restructure its lease obligations as part of its overall restructuring plan.</w:t>
      </w:r>
    </w:p>
    <w:p w14:paraId="51844BC4" w14:textId="10AF9299" w:rsidR="001D3BAA" w:rsidRPr="00094B5A" w:rsidRDefault="000D5B7B" w:rsidP="005D6635">
      <w:pPr>
        <w:pStyle w:val="ListParagraph"/>
        <w:numPr>
          <w:ilvl w:val="0"/>
          <w:numId w:val="42"/>
        </w:numPr>
        <w:spacing w:after="160" w:line="259" w:lineRule="auto"/>
        <w:jc w:val="both"/>
        <w:rPr>
          <w:rFonts w:ascii="Avenir Next" w:hAnsi="Avenir Next"/>
          <w:color w:val="808080" w:themeColor="background1" w:themeShade="80"/>
        </w:rPr>
      </w:pPr>
      <w:r w:rsidRPr="00826A21">
        <w:rPr>
          <w:rFonts w:ascii="Avenir Next" w:hAnsi="Avenir Next"/>
          <w:color w:val="808080" w:themeColor="background1" w:themeShade="80"/>
        </w:rPr>
        <w:t>Employment discrimination lawsuit</w:t>
      </w:r>
      <w:r>
        <w:rPr>
          <w:rFonts w:ascii="Avenir Next" w:hAnsi="Avenir Next"/>
          <w:color w:val="808080" w:themeColor="background1" w:themeShade="80"/>
        </w:rPr>
        <w:t xml:space="preserve">: </w:t>
      </w:r>
      <w:r w:rsidRPr="00E513A2">
        <w:rPr>
          <w:rFonts w:ascii="Avenir Next" w:hAnsi="Avenir Next"/>
          <w:color w:val="808080" w:themeColor="background1" w:themeShade="80"/>
        </w:rPr>
        <w:t>Filing for Chapter 11 bankruptcy would trigger an automatic stay, which would temporarily halt any litigation or collection actions related to the employment discrimination lawsuit. The former employee alleging gender bias would become a creditor in the bankruptcy case, and her claim would be subject to the claims resolution process in bankruptcy. The bankruptcy court would oversee the resolution of such claims as part of the overall restructuring process.</w:t>
      </w:r>
      <w:r w:rsidR="001D3BAA" w:rsidRPr="00094B5A">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EB01" w14:textId="77777777" w:rsidR="00A31918" w:rsidRDefault="00A31918" w:rsidP="00241B44">
      <w:r>
        <w:separator/>
      </w:r>
    </w:p>
  </w:endnote>
  <w:endnote w:type="continuationSeparator" w:id="0">
    <w:p w14:paraId="12AF5A7C" w14:textId="77777777" w:rsidR="00A31918" w:rsidRDefault="00A319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3DC565B" w:rsidR="00241FA3" w:rsidRPr="00494B81" w:rsidRDefault="00CB0D46" w:rsidP="009B4976">
    <w:pPr>
      <w:pStyle w:val="Footer"/>
      <w:ind w:right="360"/>
      <w:rPr>
        <w:rFonts w:ascii="Avenir Next" w:hAnsi="Avenir Next" w:cs="Arial"/>
        <w:sz w:val="22"/>
        <w:szCs w:val="22"/>
        <w:lang w:val="en-GB"/>
      </w:rPr>
    </w:pPr>
    <w:r>
      <w:rPr>
        <w:rFonts w:ascii="Calibri" w:hAnsi="Calibri" w:cs="Calibri"/>
        <w:color w:val="979797"/>
        <w:shd w:val="clear" w:color="auto" w:fill="FFFFFF"/>
      </w:rPr>
      <w:t>FC202324-1439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4CD9" w14:textId="77777777" w:rsidR="00A31918" w:rsidRDefault="00A31918" w:rsidP="00241B44">
      <w:r>
        <w:separator/>
      </w:r>
    </w:p>
  </w:footnote>
  <w:footnote w:type="continuationSeparator" w:id="0">
    <w:p w14:paraId="4B5D187F" w14:textId="77777777" w:rsidR="00A31918" w:rsidRDefault="00A319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F5425"/>
    <w:multiLevelType w:val="hybridMultilevel"/>
    <w:tmpl w:val="B5DE7510"/>
    <w:lvl w:ilvl="0" w:tplc="9C68D9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C5032"/>
    <w:multiLevelType w:val="hybridMultilevel"/>
    <w:tmpl w:val="A440B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16BFE"/>
    <w:multiLevelType w:val="hybridMultilevel"/>
    <w:tmpl w:val="A59CCA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5362C0"/>
    <w:multiLevelType w:val="hybridMultilevel"/>
    <w:tmpl w:val="FF0E5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96228"/>
    <w:multiLevelType w:val="hybridMultilevel"/>
    <w:tmpl w:val="E14CB2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31"/>
  </w:num>
  <w:num w:numId="3" w16cid:durableId="1942764495">
    <w:abstractNumId w:val="5"/>
  </w:num>
  <w:num w:numId="4" w16cid:durableId="298269076">
    <w:abstractNumId w:val="10"/>
  </w:num>
  <w:num w:numId="5" w16cid:durableId="730929724">
    <w:abstractNumId w:val="13"/>
  </w:num>
  <w:num w:numId="6" w16cid:durableId="1594360553">
    <w:abstractNumId w:val="34"/>
  </w:num>
  <w:num w:numId="7" w16cid:durableId="1661152946">
    <w:abstractNumId w:val="6"/>
  </w:num>
  <w:num w:numId="8" w16cid:durableId="45877589">
    <w:abstractNumId w:val="37"/>
  </w:num>
  <w:num w:numId="9" w16cid:durableId="876742117">
    <w:abstractNumId w:val="15"/>
  </w:num>
  <w:num w:numId="10" w16cid:durableId="1035689165">
    <w:abstractNumId w:val="30"/>
  </w:num>
  <w:num w:numId="11" w16cid:durableId="926307185">
    <w:abstractNumId w:val="17"/>
  </w:num>
  <w:num w:numId="12" w16cid:durableId="621232781">
    <w:abstractNumId w:val="25"/>
  </w:num>
  <w:num w:numId="13" w16cid:durableId="1204442417">
    <w:abstractNumId w:val="0"/>
  </w:num>
  <w:num w:numId="14" w16cid:durableId="1001467812">
    <w:abstractNumId w:val="12"/>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2"/>
  </w:num>
  <w:num w:numId="20" w16cid:durableId="1471096614">
    <w:abstractNumId w:val="8"/>
  </w:num>
  <w:num w:numId="21" w16cid:durableId="398864111">
    <w:abstractNumId w:val="29"/>
  </w:num>
  <w:num w:numId="22" w16cid:durableId="2133940203">
    <w:abstractNumId w:val="39"/>
  </w:num>
  <w:num w:numId="23" w16cid:durableId="950893894">
    <w:abstractNumId w:val="16"/>
  </w:num>
  <w:num w:numId="24" w16cid:durableId="1962497721">
    <w:abstractNumId w:val="33"/>
  </w:num>
  <w:num w:numId="25" w16cid:durableId="869756453">
    <w:abstractNumId w:val="22"/>
  </w:num>
  <w:num w:numId="26" w16cid:durableId="1092049203">
    <w:abstractNumId w:val="23"/>
  </w:num>
  <w:num w:numId="27" w16cid:durableId="1146704350">
    <w:abstractNumId w:val="19"/>
  </w:num>
  <w:num w:numId="28" w16cid:durableId="937979478">
    <w:abstractNumId w:val="35"/>
  </w:num>
  <w:num w:numId="29" w16cid:durableId="1970553734">
    <w:abstractNumId w:val="1"/>
  </w:num>
  <w:num w:numId="30" w16cid:durableId="293563849">
    <w:abstractNumId w:val="20"/>
  </w:num>
  <w:num w:numId="31" w16cid:durableId="2126381093">
    <w:abstractNumId w:val="24"/>
  </w:num>
  <w:num w:numId="32" w16cid:durableId="1605572703">
    <w:abstractNumId w:val="41"/>
  </w:num>
  <w:num w:numId="33" w16cid:durableId="1203253494">
    <w:abstractNumId w:val="18"/>
  </w:num>
  <w:num w:numId="34" w16cid:durableId="1104031608">
    <w:abstractNumId w:val="2"/>
  </w:num>
  <w:num w:numId="35" w16cid:durableId="2144806674">
    <w:abstractNumId w:val="36"/>
  </w:num>
  <w:num w:numId="36" w16cid:durableId="1673992024">
    <w:abstractNumId w:val="38"/>
  </w:num>
  <w:num w:numId="37" w16cid:durableId="2022775299">
    <w:abstractNumId w:val="11"/>
  </w:num>
  <w:num w:numId="38" w16cid:durableId="1102412499">
    <w:abstractNumId w:val="27"/>
  </w:num>
  <w:num w:numId="39" w16cid:durableId="1620840138">
    <w:abstractNumId w:val="28"/>
  </w:num>
  <w:num w:numId="40" w16cid:durableId="1565676542">
    <w:abstractNumId w:val="40"/>
  </w:num>
  <w:num w:numId="41" w16cid:durableId="922228867">
    <w:abstractNumId w:val="14"/>
  </w:num>
  <w:num w:numId="42" w16cid:durableId="11365342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1529"/>
    <w:rsid w:val="000778B1"/>
    <w:rsid w:val="000810B2"/>
    <w:rsid w:val="00082609"/>
    <w:rsid w:val="000851CC"/>
    <w:rsid w:val="00093BE8"/>
    <w:rsid w:val="00094B5A"/>
    <w:rsid w:val="000968D6"/>
    <w:rsid w:val="00097B45"/>
    <w:rsid w:val="00097D56"/>
    <w:rsid w:val="000A407B"/>
    <w:rsid w:val="000A636A"/>
    <w:rsid w:val="000A68ED"/>
    <w:rsid w:val="000A7A3D"/>
    <w:rsid w:val="000B2B06"/>
    <w:rsid w:val="000B5FF1"/>
    <w:rsid w:val="000B609F"/>
    <w:rsid w:val="000C4C5B"/>
    <w:rsid w:val="000D142C"/>
    <w:rsid w:val="000D55A8"/>
    <w:rsid w:val="000D569D"/>
    <w:rsid w:val="000D5B7B"/>
    <w:rsid w:val="000E4841"/>
    <w:rsid w:val="000E4A15"/>
    <w:rsid w:val="000E4D1C"/>
    <w:rsid w:val="000F1677"/>
    <w:rsid w:val="000F3D6C"/>
    <w:rsid w:val="000F7FC2"/>
    <w:rsid w:val="00101707"/>
    <w:rsid w:val="00102CC9"/>
    <w:rsid w:val="00106CA8"/>
    <w:rsid w:val="001109FE"/>
    <w:rsid w:val="0011134A"/>
    <w:rsid w:val="0011473D"/>
    <w:rsid w:val="00115C85"/>
    <w:rsid w:val="0012224B"/>
    <w:rsid w:val="00123855"/>
    <w:rsid w:val="00123FF2"/>
    <w:rsid w:val="00126A4D"/>
    <w:rsid w:val="0014171F"/>
    <w:rsid w:val="001437A8"/>
    <w:rsid w:val="001445EF"/>
    <w:rsid w:val="00144EE1"/>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3145"/>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75675"/>
    <w:rsid w:val="00284EBE"/>
    <w:rsid w:val="002903A7"/>
    <w:rsid w:val="00291367"/>
    <w:rsid w:val="00293112"/>
    <w:rsid w:val="0029433F"/>
    <w:rsid w:val="00294829"/>
    <w:rsid w:val="0029690F"/>
    <w:rsid w:val="00297C8A"/>
    <w:rsid w:val="002A16B3"/>
    <w:rsid w:val="002A2A60"/>
    <w:rsid w:val="002A37BB"/>
    <w:rsid w:val="002B1C45"/>
    <w:rsid w:val="002B5D64"/>
    <w:rsid w:val="002C13C8"/>
    <w:rsid w:val="002C1AC1"/>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0C03"/>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024"/>
    <w:rsid w:val="004248F6"/>
    <w:rsid w:val="004273B0"/>
    <w:rsid w:val="00430FED"/>
    <w:rsid w:val="00434A8C"/>
    <w:rsid w:val="00435733"/>
    <w:rsid w:val="00437297"/>
    <w:rsid w:val="00444284"/>
    <w:rsid w:val="00445CE6"/>
    <w:rsid w:val="00452371"/>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0F32"/>
    <w:rsid w:val="00515810"/>
    <w:rsid w:val="005177FE"/>
    <w:rsid w:val="0052263B"/>
    <w:rsid w:val="00524728"/>
    <w:rsid w:val="00524AC2"/>
    <w:rsid w:val="005331CA"/>
    <w:rsid w:val="005344F8"/>
    <w:rsid w:val="00537970"/>
    <w:rsid w:val="00540E3A"/>
    <w:rsid w:val="00541763"/>
    <w:rsid w:val="00543CCE"/>
    <w:rsid w:val="00544127"/>
    <w:rsid w:val="005463A9"/>
    <w:rsid w:val="00553EB2"/>
    <w:rsid w:val="00560534"/>
    <w:rsid w:val="0056391B"/>
    <w:rsid w:val="005650E2"/>
    <w:rsid w:val="00567AD7"/>
    <w:rsid w:val="00572340"/>
    <w:rsid w:val="00575B2D"/>
    <w:rsid w:val="00576B7B"/>
    <w:rsid w:val="00580B65"/>
    <w:rsid w:val="005833D0"/>
    <w:rsid w:val="00583D8E"/>
    <w:rsid w:val="005846F3"/>
    <w:rsid w:val="00585D44"/>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35"/>
    <w:rsid w:val="005D6642"/>
    <w:rsid w:val="005E0973"/>
    <w:rsid w:val="005E1B79"/>
    <w:rsid w:val="005E6076"/>
    <w:rsid w:val="005E7008"/>
    <w:rsid w:val="005F026D"/>
    <w:rsid w:val="005F1B2A"/>
    <w:rsid w:val="005F2AEA"/>
    <w:rsid w:val="005F2D0B"/>
    <w:rsid w:val="005F4B31"/>
    <w:rsid w:val="00610388"/>
    <w:rsid w:val="00610AC7"/>
    <w:rsid w:val="00611739"/>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064F"/>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06CE"/>
    <w:rsid w:val="007E1154"/>
    <w:rsid w:val="007E6BA4"/>
    <w:rsid w:val="007F12AB"/>
    <w:rsid w:val="007F41F8"/>
    <w:rsid w:val="007F659B"/>
    <w:rsid w:val="0080454E"/>
    <w:rsid w:val="00804C32"/>
    <w:rsid w:val="00805305"/>
    <w:rsid w:val="00806302"/>
    <w:rsid w:val="00807119"/>
    <w:rsid w:val="00820B1D"/>
    <w:rsid w:val="00821F0A"/>
    <w:rsid w:val="0082483F"/>
    <w:rsid w:val="008279C0"/>
    <w:rsid w:val="00834F92"/>
    <w:rsid w:val="0083721E"/>
    <w:rsid w:val="00837A43"/>
    <w:rsid w:val="00853272"/>
    <w:rsid w:val="00855BA7"/>
    <w:rsid w:val="00866992"/>
    <w:rsid w:val="0087116D"/>
    <w:rsid w:val="008723F3"/>
    <w:rsid w:val="00872711"/>
    <w:rsid w:val="008740E8"/>
    <w:rsid w:val="00875912"/>
    <w:rsid w:val="00881DE6"/>
    <w:rsid w:val="008837A6"/>
    <w:rsid w:val="00884643"/>
    <w:rsid w:val="0089145D"/>
    <w:rsid w:val="00894929"/>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B4E59"/>
    <w:rsid w:val="009C0B8E"/>
    <w:rsid w:val="009C1BC8"/>
    <w:rsid w:val="009C2442"/>
    <w:rsid w:val="009C5383"/>
    <w:rsid w:val="009D0811"/>
    <w:rsid w:val="009D0EE1"/>
    <w:rsid w:val="009D2F88"/>
    <w:rsid w:val="009D5B73"/>
    <w:rsid w:val="009E2AEB"/>
    <w:rsid w:val="009E2E27"/>
    <w:rsid w:val="009E45DF"/>
    <w:rsid w:val="009E4DE3"/>
    <w:rsid w:val="009F275E"/>
    <w:rsid w:val="009F7ACE"/>
    <w:rsid w:val="00A00A57"/>
    <w:rsid w:val="00A024E7"/>
    <w:rsid w:val="00A047EE"/>
    <w:rsid w:val="00A04D79"/>
    <w:rsid w:val="00A2274A"/>
    <w:rsid w:val="00A235B7"/>
    <w:rsid w:val="00A2374D"/>
    <w:rsid w:val="00A27A7A"/>
    <w:rsid w:val="00A3165E"/>
    <w:rsid w:val="00A31918"/>
    <w:rsid w:val="00A34ABE"/>
    <w:rsid w:val="00A407EF"/>
    <w:rsid w:val="00A46B4C"/>
    <w:rsid w:val="00A5117B"/>
    <w:rsid w:val="00A56D34"/>
    <w:rsid w:val="00A60074"/>
    <w:rsid w:val="00A61A8B"/>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070F"/>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095C"/>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66B3"/>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47A8C"/>
    <w:rsid w:val="00C50B31"/>
    <w:rsid w:val="00C51EA5"/>
    <w:rsid w:val="00C52796"/>
    <w:rsid w:val="00C53E2C"/>
    <w:rsid w:val="00C550C8"/>
    <w:rsid w:val="00C56B61"/>
    <w:rsid w:val="00C606C3"/>
    <w:rsid w:val="00C61256"/>
    <w:rsid w:val="00C620F4"/>
    <w:rsid w:val="00C637DC"/>
    <w:rsid w:val="00C64A3B"/>
    <w:rsid w:val="00C651D6"/>
    <w:rsid w:val="00C72848"/>
    <w:rsid w:val="00C73B97"/>
    <w:rsid w:val="00C7736C"/>
    <w:rsid w:val="00C82D87"/>
    <w:rsid w:val="00C8695A"/>
    <w:rsid w:val="00C8712A"/>
    <w:rsid w:val="00C87E0A"/>
    <w:rsid w:val="00C902C8"/>
    <w:rsid w:val="00C919D1"/>
    <w:rsid w:val="00C963D3"/>
    <w:rsid w:val="00CB0D46"/>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6E8"/>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A5AD0"/>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2D1B"/>
    <w:rsid w:val="00E6302B"/>
    <w:rsid w:val="00E6452F"/>
    <w:rsid w:val="00E64F45"/>
    <w:rsid w:val="00E6742D"/>
    <w:rsid w:val="00E71046"/>
    <w:rsid w:val="00E71CB0"/>
    <w:rsid w:val="00E77C3D"/>
    <w:rsid w:val="00E8252F"/>
    <w:rsid w:val="00E90991"/>
    <w:rsid w:val="00E909F0"/>
    <w:rsid w:val="00E90D47"/>
    <w:rsid w:val="00E91BE5"/>
    <w:rsid w:val="00E93993"/>
    <w:rsid w:val="00E9597C"/>
    <w:rsid w:val="00E97727"/>
    <w:rsid w:val="00EA0913"/>
    <w:rsid w:val="00EA5B00"/>
    <w:rsid w:val="00EA78AC"/>
    <w:rsid w:val="00EB146B"/>
    <w:rsid w:val="00EB1D6F"/>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468A1"/>
    <w:rsid w:val="00F5524B"/>
    <w:rsid w:val="00F60538"/>
    <w:rsid w:val="00F61DD2"/>
    <w:rsid w:val="00F63187"/>
    <w:rsid w:val="00F66AFF"/>
    <w:rsid w:val="00F71246"/>
    <w:rsid w:val="00F71433"/>
    <w:rsid w:val="00F92140"/>
    <w:rsid w:val="00F97C5B"/>
    <w:rsid w:val="00FA0BA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ts-alignment-element">
    <w:name w:val="ts-alignment-element"/>
    <w:basedOn w:val="DefaultParagraphFont"/>
    <w:rsid w:val="0057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81184411">
      <w:bodyDiv w:val="1"/>
      <w:marLeft w:val="0"/>
      <w:marRight w:val="0"/>
      <w:marTop w:val="0"/>
      <w:marBottom w:val="0"/>
      <w:divBdr>
        <w:top w:val="none" w:sz="0" w:space="0" w:color="auto"/>
        <w:left w:val="none" w:sz="0" w:space="0" w:color="auto"/>
        <w:bottom w:val="none" w:sz="0" w:space="0" w:color="auto"/>
        <w:right w:val="none" w:sz="0" w:space="0" w:color="auto"/>
      </w:divBdr>
      <w:divsChild>
        <w:div w:id="1016611369">
          <w:marLeft w:val="0"/>
          <w:marRight w:val="0"/>
          <w:marTop w:val="0"/>
          <w:marBottom w:val="0"/>
          <w:divBdr>
            <w:top w:val="none" w:sz="0" w:space="0" w:color="auto"/>
            <w:left w:val="none" w:sz="0" w:space="0" w:color="auto"/>
            <w:bottom w:val="none" w:sz="0" w:space="0" w:color="auto"/>
            <w:right w:val="none" w:sz="0" w:space="0" w:color="auto"/>
          </w:divBdr>
          <w:divsChild>
            <w:div w:id="1949775604">
              <w:marLeft w:val="0"/>
              <w:marRight w:val="0"/>
              <w:marTop w:val="0"/>
              <w:marBottom w:val="0"/>
              <w:divBdr>
                <w:top w:val="none" w:sz="0" w:space="0" w:color="auto"/>
                <w:left w:val="none" w:sz="0" w:space="0" w:color="auto"/>
                <w:bottom w:val="none" w:sz="0" w:space="0" w:color="auto"/>
                <w:right w:val="none" w:sz="0" w:space="0" w:color="auto"/>
              </w:divBdr>
              <w:divsChild>
                <w:div w:id="621151849">
                  <w:marLeft w:val="0"/>
                  <w:marRight w:val="0"/>
                  <w:marTop w:val="0"/>
                  <w:marBottom w:val="0"/>
                  <w:divBdr>
                    <w:top w:val="none" w:sz="0" w:space="0" w:color="auto"/>
                    <w:left w:val="none" w:sz="0" w:space="0" w:color="auto"/>
                    <w:bottom w:val="none" w:sz="0" w:space="0" w:color="auto"/>
                    <w:right w:val="none" w:sz="0" w:space="0" w:color="auto"/>
                  </w:divBdr>
                  <w:divsChild>
                    <w:div w:id="495536971">
                      <w:marLeft w:val="0"/>
                      <w:marRight w:val="0"/>
                      <w:marTop w:val="0"/>
                      <w:marBottom w:val="0"/>
                      <w:divBdr>
                        <w:top w:val="none" w:sz="0" w:space="0" w:color="auto"/>
                        <w:left w:val="none" w:sz="0" w:space="0" w:color="auto"/>
                        <w:bottom w:val="none" w:sz="0" w:space="0" w:color="auto"/>
                        <w:right w:val="none" w:sz="0" w:space="0" w:color="auto"/>
                      </w:divBdr>
                      <w:divsChild>
                        <w:div w:id="336277615">
                          <w:marLeft w:val="0"/>
                          <w:marRight w:val="0"/>
                          <w:marTop w:val="0"/>
                          <w:marBottom w:val="0"/>
                          <w:divBdr>
                            <w:top w:val="none" w:sz="0" w:space="0" w:color="auto"/>
                            <w:left w:val="none" w:sz="0" w:space="0" w:color="auto"/>
                            <w:bottom w:val="none" w:sz="0" w:space="0" w:color="auto"/>
                            <w:right w:val="none" w:sz="0" w:space="0" w:color="auto"/>
                          </w:divBdr>
                          <w:divsChild>
                            <w:div w:id="977876629">
                              <w:marLeft w:val="0"/>
                              <w:marRight w:val="0"/>
                              <w:marTop w:val="0"/>
                              <w:marBottom w:val="0"/>
                              <w:divBdr>
                                <w:top w:val="none" w:sz="0" w:space="0" w:color="auto"/>
                                <w:left w:val="none" w:sz="0" w:space="0" w:color="auto"/>
                                <w:bottom w:val="none" w:sz="0" w:space="0" w:color="auto"/>
                                <w:right w:val="none" w:sz="0" w:space="0" w:color="auto"/>
                              </w:divBdr>
                              <w:divsChild>
                                <w:div w:id="494538931">
                                  <w:marLeft w:val="0"/>
                                  <w:marRight w:val="0"/>
                                  <w:marTop w:val="0"/>
                                  <w:marBottom w:val="0"/>
                                  <w:divBdr>
                                    <w:top w:val="none" w:sz="0" w:space="0" w:color="auto"/>
                                    <w:left w:val="none" w:sz="0" w:space="0" w:color="auto"/>
                                    <w:bottom w:val="none" w:sz="0" w:space="0" w:color="auto"/>
                                    <w:right w:val="none" w:sz="0" w:space="0" w:color="auto"/>
                                  </w:divBdr>
                                  <w:divsChild>
                                    <w:div w:id="1939216223">
                                      <w:marLeft w:val="0"/>
                                      <w:marRight w:val="0"/>
                                      <w:marTop w:val="0"/>
                                      <w:marBottom w:val="0"/>
                                      <w:divBdr>
                                        <w:top w:val="none" w:sz="0" w:space="0" w:color="auto"/>
                                        <w:left w:val="none" w:sz="0" w:space="0" w:color="auto"/>
                                        <w:bottom w:val="none" w:sz="0" w:space="0" w:color="auto"/>
                                        <w:right w:val="none" w:sz="0" w:space="0" w:color="auto"/>
                                      </w:divBdr>
                                      <w:divsChild>
                                        <w:div w:id="1281838315">
                                          <w:marLeft w:val="0"/>
                                          <w:marRight w:val="0"/>
                                          <w:marTop w:val="0"/>
                                          <w:marBottom w:val="0"/>
                                          <w:divBdr>
                                            <w:top w:val="none" w:sz="0" w:space="0" w:color="auto"/>
                                            <w:left w:val="none" w:sz="0" w:space="0" w:color="auto"/>
                                            <w:bottom w:val="none" w:sz="0" w:space="0" w:color="auto"/>
                                            <w:right w:val="none" w:sz="0" w:space="0" w:color="auto"/>
                                          </w:divBdr>
                                          <w:divsChild>
                                            <w:div w:id="512034935">
                                              <w:marLeft w:val="0"/>
                                              <w:marRight w:val="0"/>
                                              <w:marTop w:val="0"/>
                                              <w:marBottom w:val="0"/>
                                              <w:divBdr>
                                                <w:top w:val="none" w:sz="0" w:space="0" w:color="auto"/>
                                                <w:left w:val="none" w:sz="0" w:space="0" w:color="auto"/>
                                                <w:bottom w:val="none" w:sz="0" w:space="0" w:color="auto"/>
                                                <w:right w:val="none" w:sz="0" w:space="0" w:color="auto"/>
                                              </w:divBdr>
                                              <w:divsChild>
                                                <w:div w:id="851647274">
                                                  <w:marLeft w:val="0"/>
                                                  <w:marRight w:val="0"/>
                                                  <w:marTop w:val="0"/>
                                                  <w:marBottom w:val="0"/>
                                                  <w:divBdr>
                                                    <w:top w:val="none" w:sz="0" w:space="0" w:color="auto"/>
                                                    <w:left w:val="none" w:sz="0" w:space="0" w:color="auto"/>
                                                    <w:bottom w:val="none" w:sz="0" w:space="0" w:color="auto"/>
                                                    <w:right w:val="none" w:sz="0" w:space="0" w:color="auto"/>
                                                  </w:divBdr>
                                                  <w:divsChild>
                                                    <w:div w:id="1551503516">
                                                      <w:marLeft w:val="0"/>
                                                      <w:marRight w:val="0"/>
                                                      <w:marTop w:val="0"/>
                                                      <w:marBottom w:val="0"/>
                                                      <w:divBdr>
                                                        <w:top w:val="none" w:sz="0" w:space="0" w:color="auto"/>
                                                        <w:left w:val="none" w:sz="0" w:space="0" w:color="auto"/>
                                                        <w:bottom w:val="none" w:sz="0" w:space="0" w:color="auto"/>
                                                        <w:right w:val="none" w:sz="0" w:space="0" w:color="auto"/>
                                                      </w:divBdr>
                                                      <w:divsChild>
                                                        <w:div w:id="291055921">
                                                          <w:marLeft w:val="0"/>
                                                          <w:marRight w:val="0"/>
                                                          <w:marTop w:val="0"/>
                                                          <w:marBottom w:val="0"/>
                                                          <w:divBdr>
                                                            <w:top w:val="none" w:sz="0" w:space="0" w:color="auto"/>
                                                            <w:left w:val="none" w:sz="0" w:space="0" w:color="auto"/>
                                                            <w:bottom w:val="none" w:sz="0" w:space="0" w:color="auto"/>
                                                            <w:right w:val="none" w:sz="0" w:space="0" w:color="auto"/>
                                                          </w:divBdr>
                                                          <w:divsChild>
                                                            <w:div w:id="3664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12</Pages>
  <Words>5329</Words>
  <Characters>28778</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Anglizey Oliveira</cp:lastModifiedBy>
  <cp:revision>50</cp:revision>
  <cp:lastPrinted>2019-08-27T05:42:00Z</cp:lastPrinted>
  <dcterms:created xsi:type="dcterms:W3CDTF">2023-06-27T10:31:00Z</dcterms:created>
  <dcterms:modified xsi:type="dcterms:W3CDTF">2024-03-01T18:30:00Z</dcterms:modified>
</cp:coreProperties>
</file>