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822341">
        <w:rPr>
          <w:rFonts w:ascii="Avenir Next" w:hAnsi="Avenir Next"/>
        </w:rPr>
        <w:t>(a)</w:t>
      </w:r>
      <w:r w:rsidRPr="00822341">
        <w:rPr>
          <w:rFonts w:ascii="Avenir Next" w:hAnsi="Avenir Next"/>
        </w:rPr>
        <w:tab/>
        <w:t>Yes</w:t>
      </w:r>
      <w:r w:rsidR="004D36D5" w:rsidRPr="00822341">
        <w:rPr>
          <w:rFonts w:ascii="Avenir Next" w:hAnsi="Avenir Next"/>
        </w:rPr>
        <w:t>,</w:t>
      </w:r>
      <w:r w:rsidR="002A16B3" w:rsidRPr="00822341">
        <w:rPr>
          <w:rFonts w:ascii="Avenir Next" w:hAnsi="Avenir Next"/>
        </w:rPr>
        <w:t xml:space="preserve"> </w:t>
      </w:r>
      <w:r w:rsidR="000968D6" w:rsidRPr="00822341">
        <w:rPr>
          <w:rFonts w:ascii="Avenir Next" w:hAnsi="Avenir Next"/>
        </w:rPr>
        <w:t>regardless</w:t>
      </w:r>
      <w:r w:rsidR="0083721E" w:rsidRPr="00822341">
        <w:rPr>
          <w:rFonts w:ascii="Avenir Next" w:hAnsi="Avenir Next"/>
        </w:rPr>
        <w:t xml:space="preserve"> of</w:t>
      </w:r>
      <w:r w:rsidR="000968D6" w:rsidRPr="00822341">
        <w:rPr>
          <w:rFonts w:ascii="Avenir Next" w:hAnsi="Avenir Next"/>
        </w:rPr>
        <w:t xml:space="preserve"> </w:t>
      </w:r>
      <w:r w:rsidR="0083721E" w:rsidRPr="00822341">
        <w:rPr>
          <w:rFonts w:ascii="Avenir Next" w:hAnsi="Avenir Next"/>
        </w:rPr>
        <w:t xml:space="preserve">the </w:t>
      </w:r>
      <w:r w:rsidR="004D36D5" w:rsidRPr="00822341">
        <w:rPr>
          <w:rFonts w:ascii="Avenir Next" w:hAnsi="Avenir Next"/>
        </w:rPr>
        <w:t>circumstances</w:t>
      </w:r>
      <w:r w:rsidRPr="00822341">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5D1456">
        <w:rPr>
          <w:rFonts w:ascii="Avenir Next" w:hAnsi="Avenir Next"/>
          <w:highlight w:val="yellow"/>
        </w:rPr>
        <w:t>(b)</w:t>
      </w:r>
      <w:r w:rsidRPr="005D1456">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5D1456">
        <w:rPr>
          <w:rFonts w:ascii="Avenir Next" w:hAnsi="Avenir Next"/>
          <w:highlight w:val="yellow"/>
        </w:rPr>
        <w:t>(d)</w:t>
      </w:r>
      <w:r w:rsidRPr="005D1456">
        <w:rPr>
          <w:rFonts w:ascii="Avenir Next" w:hAnsi="Avenir Next"/>
          <w:highlight w:val="yellow"/>
        </w:rPr>
        <w:tab/>
        <w:t>A retired employee of Car Corp who receives payments from the company’s pension plan</w:t>
      </w:r>
      <w:r w:rsidR="00631394" w:rsidRPr="005D1456">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822341">
        <w:rPr>
          <w:rFonts w:ascii="Avenir Next" w:hAnsi="Avenir Next"/>
        </w:rPr>
        <w:t>(c)</w:t>
      </w:r>
      <w:r w:rsidRPr="00822341">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5D1456">
        <w:rPr>
          <w:rFonts w:ascii="Avenir Next" w:hAnsi="Avenir Next"/>
          <w:highlight w:val="yellow"/>
        </w:rPr>
        <w:t>(d)</w:t>
      </w:r>
      <w:r w:rsidRPr="005D1456">
        <w:rPr>
          <w:rFonts w:ascii="Avenir Next" w:hAnsi="Avenir Next"/>
          <w:highlight w:val="yellow"/>
        </w:rPr>
        <w:tab/>
      </w:r>
      <w:r w:rsidR="00B849C5" w:rsidRPr="005D1456">
        <w:rPr>
          <w:rFonts w:ascii="Avenir Next" w:hAnsi="Avenir Next"/>
          <w:highlight w:val="yellow"/>
        </w:rPr>
        <w:t xml:space="preserve">Options (a) to (c) </w:t>
      </w:r>
      <w:r w:rsidRPr="005D1456">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5D1456">
        <w:rPr>
          <w:rFonts w:ascii="Avenir Next" w:hAnsi="Avenir Next"/>
        </w:rPr>
        <w:t>(e)</w:t>
      </w:r>
      <w:r w:rsidRPr="005D1456">
        <w:rPr>
          <w:rFonts w:ascii="Avenir Next" w:hAnsi="Avenir Next"/>
        </w:rPr>
        <w:tab/>
        <w:t>None of the above</w:t>
      </w:r>
      <w:r w:rsidR="007D6135" w:rsidRPr="005D1456">
        <w:rPr>
          <w:rFonts w:ascii="Avenir Next" w:hAnsi="Avenir Next"/>
        </w:rPr>
        <w:t xml:space="preserve"> (options (a) to (d))</w:t>
      </w:r>
      <w:r w:rsidRPr="005D1456">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822341">
        <w:rPr>
          <w:rFonts w:ascii="Avenir Next" w:hAnsi="Avenir Next"/>
        </w:rPr>
        <w:t>(b)</w:t>
      </w:r>
      <w:r w:rsidRPr="00822341">
        <w:rPr>
          <w:rFonts w:ascii="Avenir Next" w:hAnsi="Avenir Next"/>
        </w:rPr>
        <w:tab/>
        <w:t>The board of directors of the debtor if it is a debtor-in-possession in the foreign proceeding</w:t>
      </w:r>
      <w:r w:rsidR="0036662D" w:rsidRPr="00822341">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5D1456">
        <w:rPr>
          <w:rFonts w:ascii="Avenir Next" w:hAnsi="Avenir Next"/>
          <w:highlight w:val="yellow"/>
        </w:rPr>
        <w:t>(e)</w:t>
      </w:r>
      <w:r w:rsidRPr="005D1456">
        <w:rPr>
          <w:rFonts w:ascii="Avenir Next" w:hAnsi="Avenir Next"/>
          <w:highlight w:val="yellow"/>
        </w:rPr>
        <w:tab/>
        <w:t>All of the above</w:t>
      </w:r>
      <w:r w:rsidR="006A42F8" w:rsidRPr="005D1456">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5D1456">
        <w:rPr>
          <w:rFonts w:ascii="Avenir Next" w:hAnsi="Avenir Next"/>
          <w:highlight w:val="yellow"/>
        </w:rPr>
        <w:t>(b)</w:t>
      </w:r>
      <w:r w:rsidRPr="005D1456">
        <w:rPr>
          <w:rFonts w:ascii="Avenir Next" w:hAnsi="Avenir Next"/>
          <w:highlight w:val="yellow"/>
        </w:rPr>
        <w:tab/>
        <w:t xml:space="preserve">Executory contracts are clearly defined by the </w:t>
      </w:r>
      <w:r w:rsidR="00ED7BF3" w:rsidRPr="005D1456">
        <w:rPr>
          <w:rFonts w:ascii="Avenir Next" w:hAnsi="Avenir Next"/>
          <w:highlight w:val="yellow"/>
        </w:rPr>
        <w:t>B</w:t>
      </w:r>
      <w:r w:rsidRPr="005D1456">
        <w:rPr>
          <w:rFonts w:ascii="Avenir Next" w:hAnsi="Avenir Next"/>
          <w:highlight w:val="yellow"/>
        </w:rPr>
        <w:t xml:space="preserve">ankruptcy </w:t>
      </w:r>
      <w:r w:rsidR="00ED7BF3" w:rsidRPr="005D1456">
        <w:rPr>
          <w:rFonts w:ascii="Avenir Next" w:hAnsi="Avenir Next"/>
          <w:highlight w:val="yellow"/>
        </w:rPr>
        <w:t>C</w:t>
      </w:r>
      <w:r w:rsidRPr="005D1456">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Pr="005D1456" w:rsidRDefault="000643AB" w:rsidP="00875912">
      <w:pPr>
        <w:pStyle w:val="AODocTxt"/>
        <w:numPr>
          <w:ilvl w:val="0"/>
          <w:numId w:val="24"/>
        </w:numPr>
        <w:spacing w:before="0" w:line="240" w:lineRule="auto"/>
        <w:ind w:left="426" w:hanging="426"/>
        <w:rPr>
          <w:rFonts w:ascii="Avenir Next" w:hAnsi="Avenir Next"/>
        </w:rPr>
      </w:pPr>
      <w:r w:rsidRPr="005D1456">
        <w:rPr>
          <w:rFonts w:ascii="Avenir Next" w:hAnsi="Avenir Next"/>
        </w:rPr>
        <w:t>T</w:t>
      </w:r>
      <w:r w:rsidR="006844A8" w:rsidRPr="005D1456">
        <w:rPr>
          <w:rFonts w:ascii="Avenir Next" w:hAnsi="Avenir Next"/>
        </w:rPr>
        <w:t>hat t</w:t>
      </w:r>
      <w:r w:rsidRPr="005D1456">
        <w:rPr>
          <w:rFonts w:ascii="Avenir Next" w:hAnsi="Avenir Next"/>
        </w:rPr>
        <w:t>he plan is fair and equitable to dissenting classes of creditors</w:t>
      </w:r>
      <w:r w:rsidR="006844A8" w:rsidRPr="005D1456">
        <w:rPr>
          <w:rFonts w:ascii="Avenir Next" w:hAnsi="Avenir Next"/>
        </w:rPr>
        <w:t>.</w:t>
      </w:r>
    </w:p>
    <w:p w14:paraId="4424AEDA" w14:textId="77777777" w:rsidR="006844A8" w:rsidRPr="005D1456" w:rsidRDefault="006844A8" w:rsidP="00875912">
      <w:pPr>
        <w:pStyle w:val="AODocTxt"/>
        <w:spacing w:before="0" w:line="240" w:lineRule="auto"/>
        <w:ind w:left="426" w:hanging="426"/>
        <w:rPr>
          <w:rFonts w:ascii="Avenir Next" w:hAnsi="Avenir Next"/>
        </w:rPr>
      </w:pPr>
    </w:p>
    <w:p w14:paraId="7F490469" w14:textId="4E54C05B" w:rsidR="000643AB" w:rsidRPr="005D1456" w:rsidRDefault="000643AB" w:rsidP="00875912">
      <w:pPr>
        <w:pStyle w:val="AODocTxt"/>
        <w:numPr>
          <w:ilvl w:val="0"/>
          <w:numId w:val="24"/>
        </w:numPr>
        <w:spacing w:before="0" w:line="240" w:lineRule="auto"/>
        <w:ind w:left="426" w:hanging="426"/>
        <w:rPr>
          <w:rFonts w:ascii="Avenir Next" w:hAnsi="Avenir Next"/>
        </w:rPr>
      </w:pPr>
      <w:r w:rsidRPr="005D1456">
        <w:rPr>
          <w:rFonts w:ascii="Avenir Next" w:hAnsi="Avenir Next"/>
        </w:rPr>
        <w:t>Acceptance of the plan by at least one class of impaired, non-insider creditors</w:t>
      </w:r>
      <w:r w:rsidR="006844A8" w:rsidRPr="005D145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5D1456" w:rsidRDefault="000643AB" w:rsidP="00875912">
      <w:pPr>
        <w:pStyle w:val="AODocTxt"/>
        <w:numPr>
          <w:ilvl w:val="0"/>
          <w:numId w:val="24"/>
        </w:numPr>
        <w:spacing w:before="0" w:line="240" w:lineRule="auto"/>
        <w:ind w:left="426" w:hanging="426"/>
        <w:rPr>
          <w:rFonts w:ascii="Avenir Next" w:hAnsi="Avenir Next"/>
          <w:highlight w:val="yellow"/>
        </w:rPr>
      </w:pPr>
      <w:r w:rsidRPr="005D1456">
        <w:rPr>
          <w:rFonts w:ascii="Avenir Next" w:hAnsi="Avenir Next"/>
          <w:highlight w:val="yellow"/>
        </w:rPr>
        <w:t>Acceptance of the plan by all classes of secured creditors</w:t>
      </w:r>
      <w:r w:rsidR="006844A8" w:rsidRPr="005D1456">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5D1456" w:rsidRDefault="000643AB" w:rsidP="00875912">
      <w:pPr>
        <w:pStyle w:val="AODocTxt"/>
        <w:numPr>
          <w:ilvl w:val="0"/>
          <w:numId w:val="24"/>
        </w:numPr>
        <w:spacing w:before="0" w:line="240" w:lineRule="auto"/>
        <w:ind w:left="426" w:hanging="426"/>
        <w:rPr>
          <w:rFonts w:ascii="Avenir Next" w:hAnsi="Avenir Next"/>
        </w:rPr>
      </w:pPr>
      <w:r w:rsidRPr="005D1456">
        <w:rPr>
          <w:rFonts w:ascii="Avenir Next" w:hAnsi="Avenir Next"/>
        </w:rPr>
        <w:t>T</w:t>
      </w:r>
      <w:r w:rsidR="006844A8" w:rsidRPr="005D1456">
        <w:rPr>
          <w:rFonts w:ascii="Avenir Next" w:hAnsi="Avenir Next"/>
        </w:rPr>
        <w:t>hat t</w:t>
      </w:r>
      <w:r w:rsidRPr="005D1456">
        <w:rPr>
          <w:rFonts w:ascii="Avenir Next" w:hAnsi="Avenir Next"/>
        </w:rPr>
        <w:t>he dissenting creditors receive no less than they would under a liquidation scenario</w:t>
      </w:r>
      <w:r w:rsidR="006844A8" w:rsidRPr="005D1456">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5D1456" w:rsidRDefault="00C24FAB" w:rsidP="009017A1">
      <w:pPr>
        <w:pStyle w:val="AODocTxt"/>
        <w:numPr>
          <w:ilvl w:val="0"/>
          <w:numId w:val="33"/>
        </w:numPr>
        <w:spacing w:before="0" w:line="240" w:lineRule="auto"/>
        <w:ind w:left="426" w:hanging="426"/>
        <w:rPr>
          <w:rFonts w:ascii="Avenir Next" w:hAnsi="Avenir Next"/>
          <w:highlight w:val="yellow"/>
        </w:rPr>
      </w:pPr>
      <w:r w:rsidRPr="005D1456">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Pr="005D1456" w:rsidRDefault="00C24FAB" w:rsidP="009017A1">
      <w:pPr>
        <w:pStyle w:val="AODocTxt"/>
        <w:numPr>
          <w:ilvl w:val="0"/>
          <w:numId w:val="33"/>
        </w:numPr>
        <w:spacing w:before="0" w:line="240" w:lineRule="auto"/>
        <w:ind w:left="426" w:hanging="426"/>
        <w:rPr>
          <w:rFonts w:ascii="Avenir Next" w:hAnsi="Avenir Next"/>
        </w:rPr>
      </w:pPr>
      <w:r w:rsidRPr="005D1456">
        <w:rPr>
          <w:rFonts w:ascii="Avenir Next" w:hAnsi="Avenir Next"/>
        </w:rPr>
        <w:t xml:space="preserve">Creditors must have sufficient information about the debtor and the plan to make an informed voting decision. </w:t>
      </w:r>
    </w:p>
    <w:p w14:paraId="2BB6DAB9" w14:textId="77777777" w:rsidR="00BF1B3E" w:rsidRPr="005D1456" w:rsidRDefault="00BF1B3E" w:rsidP="009017A1">
      <w:pPr>
        <w:pStyle w:val="AODocTxt"/>
        <w:spacing w:before="0" w:line="240" w:lineRule="auto"/>
        <w:ind w:hanging="426"/>
        <w:rPr>
          <w:rFonts w:ascii="Avenir Next" w:hAnsi="Avenir Next"/>
        </w:rPr>
      </w:pPr>
    </w:p>
    <w:p w14:paraId="6403F9C4" w14:textId="498E66CE" w:rsidR="00C24FAB" w:rsidRPr="005D1456" w:rsidRDefault="00C24FAB" w:rsidP="009017A1">
      <w:pPr>
        <w:pStyle w:val="AODocTxt"/>
        <w:numPr>
          <w:ilvl w:val="0"/>
          <w:numId w:val="33"/>
        </w:numPr>
        <w:spacing w:before="0" w:line="240" w:lineRule="auto"/>
        <w:ind w:left="426" w:hanging="426"/>
        <w:rPr>
          <w:rFonts w:ascii="Avenir Next" w:hAnsi="Avenir Next"/>
        </w:rPr>
      </w:pPr>
      <w:r w:rsidRPr="005D1456">
        <w:rPr>
          <w:rFonts w:ascii="Avenir Next" w:hAnsi="Avenir Next"/>
        </w:rPr>
        <w:t xml:space="preserve">A pre-pack debtor may spend as little as a single day in bankruptcy. </w:t>
      </w:r>
    </w:p>
    <w:p w14:paraId="746BE165" w14:textId="77777777" w:rsidR="00BF1B3E" w:rsidRPr="005D1456" w:rsidRDefault="00BF1B3E" w:rsidP="009017A1">
      <w:pPr>
        <w:pStyle w:val="AODocTxt"/>
        <w:spacing w:before="0" w:line="240" w:lineRule="auto"/>
        <w:ind w:hanging="426"/>
        <w:rPr>
          <w:rFonts w:ascii="Avenir Next" w:hAnsi="Avenir Next"/>
        </w:rPr>
      </w:pPr>
    </w:p>
    <w:p w14:paraId="0791CC2B" w14:textId="06C18CED" w:rsidR="00C24FAB" w:rsidRPr="005D1456" w:rsidRDefault="00C24FAB" w:rsidP="009017A1">
      <w:pPr>
        <w:pStyle w:val="AODocTxt"/>
        <w:numPr>
          <w:ilvl w:val="0"/>
          <w:numId w:val="33"/>
        </w:numPr>
        <w:spacing w:before="0" w:line="240" w:lineRule="auto"/>
        <w:ind w:left="426" w:hanging="426"/>
        <w:rPr>
          <w:rFonts w:ascii="Avenir Next" w:hAnsi="Avenir Next"/>
        </w:rPr>
      </w:pPr>
      <w:r w:rsidRPr="005D1456">
        <w:rPr>
          <w:rFonts w:ascii="Avenir Next" w:hAnsi="Avenir Next"/>
        </w:rPr>
        <w:t xml:space="preserve">The proposed plan of reorganization is submitted to the bankruptcy court together with the voluntary petition.  </w:t>
      </w:r>
    </w:p>
    <w:p w14:paraId="7D72DC9F" w14:textId="77777777" w:rsidR="00BF1B3E" w:rsidRPr="005D1456" w:rsidRDefault="00BF1B3E" w:rsidP="009017A1">
      <w:pPr>
        <w:pStyle w:val="AODocTxt"/>
        <w:spacing w:before="0" w:line="240" w:lineRule="auto"/>
        <w:ind w:hanging="426"/>
        <w:rPr>
          <w:rFonts w:ascii="Avenir Next" w:hAnsi="Avenir Next"/>
        </w:rPr>
      </w:pPr>
    </w:p>
    <w:p w14:paraId="7F5239AD" w14:textId="6E9044F4" w:rsidR="00C24FAB" w:rsidRDefault="00C24FAB" w:rsidP="009017A1">
      <w:pPr>
        <w:pStyle w:val="AODocTxt"/>
        <w:numPr>
          <w:ilvl w:val="0"/>
          <w:numId w:val="33"/>
        </w:numPr>
        <w:spacing w:before="0" w:line="240" w:lineRule="auto"/>
        <w:ind w:left="426" w:hanging="426"/>
        <w:rPr>
          <w:rFonts w:ascii="Avenir Next" w:hAnsi="Avenir Next"/>
        </w:rPr>
      </w:pPr>
      <w:r w:rsidRPr="005D1456">
        <w:rPr>
          <w:rFonts w:ascii="Avenir Next" w:hAnsi="Avenir Next"/>
        </w:rPr>
        <w:t xml:space="preserve">Creditors’ commitment to vote in favor of the plan may be memorialized in a restructuring support agreement. </w:t>
      </w:r>
    </w:p>
    <w:p w14:paraId="3D2FCE04" w14:textId="77777777" w:rsidR="005D1456" w:rsidRPr="005D1456" w:rsidRDefault="005D1456" w:rsidP="005D1456">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lastRenderedPageBreak/>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5D1456" w:rsidRDefault="00853272" w:rsidP="00BA74EF">
      <w:pPr>
        <w:pStyle w:val="AODocTxt"/>
        <w:numPr>
          <w:ilvl w:val="0"/>
          <w:numId w:val="28"/>
        </w:numPr>
        <w:spacing w:before="0" w:line="240" w:lineRule="auto"/>
        <w:ind w:left="426" w:hanging="426"/>
        <w:rPr>
          <w:rFonts w:ascii="Avenir Next" w:hAnsi="Avenir Next"/>
          <w:highlight w:val="yellow"/>
        </w:rPr>
      </w:pPr>
      <w:r w:rsidRPr="005D1456">
        <w:rPr>
          <w:rFonts w:ascii="Avenir Next" w:hAnsi="Avenir Next"/>
          <w:highlight w:val="yellow"/>
        </w:rPr>
        <w:t>Both</w:t>
      </w:r>
      <w:r w:rsidR="0072569E" w:rsidRPr="005D1456">
        <w:rPr>
          <w:rFonts w:ascii="Avenir Next" w:hAnsi="Avenir Next"/>
          <w:highlight w:val="yellow"/>
        </w:rPr>
        <w:t xml:space="preserve"> options</w:t>
      </w:r>
      <w:r w:rsidRPr="005D1456">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5D1456" w:rsidRDefault="00334B98" w:rsidP="00676F12">
      <w:pPr>
        <w:pStyle w:val="AODocTxt"/>
        <w:keepNext/>
        <w:numPr>
          <w:ilvl w:val="0"/>
          <w:numId w:val="30"/>
        </w:numPr>
        <w:spacing w:before="0" w:line="240" w:lineRule="auto"/>
        <w:ind w:left="426" w:hanging="426"/>
        <w:rPr>
          <w:rFonts w:ascii="Avenir Next" w:hAnsi="Avenir Next"/>
          <w:highlight w:val="yellow"/>
        </w:rPr>
      </w:pPr>
      <w:r w:rsidRPr="005D1456">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Pr="005D1456" w:rsidRDefault="00740655" w:rsidP="00DF5F7C">
      <w:pPr>
        <w:pStyle w:val="AODocTxt"/>
        <w:keepNext/>
        <w:numPr>
          <w:ilvl w:val="0"/>
          <w:numId w:val="35"/>
        </w:numPr>
        <w:spacing w:before="0" w:line="240" w:lineRule="auto"/>
        <w:ind w:left="426" w:hanging="426"/>
        <w:rPr>
          <w:rFonts w:ascii="Avenir Next" w:hAnsi="Avenir Next"/>
        </w:rPr>
      </w:pPr>
      <w:r w:rsidRPr="005D1456">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8F799E" w:rsidRDefault="00740655" w:rsidP="00DF5F7C">
      <w:pPr>
        <w:pStyle w:val="AODocTxt"/>
        <w:keepNext/>
        <w:numPr>
          <w:ilvl w:val="0"/>
          <w:numId w:val="35"/>
        </w:numPr>
        <w:spacing w:before="0" w:line="240" w:lineRule="auto"/>
        <w:ind w:left="426" w:hanging="426"/>
        <w:rPr>
          <w:rFonts w:ascii="Avenir Next" w:hAnsi="Avenir Next"/>
          <w:highlight w:val="yellow"/>
        </w:rPr>
      </w:pPr>
      <w:r w:rsidRPr="008F799E">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Pr="005D1456" w:rsidRDefault="00740655" w:rsidP="00DF5F7C">
      <w:pPr>
        <w:pStyle w:val="AODocTxt"/>
        <w:keepNext/>
        <w:numPr>
          <w:ilvl w:val="0"/>
          <w:numId w:val="35"/>
        </w:numPr>
        <w:spacing w:before="0" w:line="240" w:lineRule="auto"/>
        <w:ind w:left="426" w:hanging="426"/>
        <w:rPr>
          <w:rFonts w:ascii="Avenir Next" w:hAnsi="Avenir Next"/>
        </w:rPr>
      </w:pPr>
      <w:r w:rsidRPr="005D1456">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5D1456" w:rsidRDefault="00740655" w:rsidP="00DF5F7C">
      <w:pPr>
        <w:pStyle w:val="AODocTxt"/>
        <w:keepNext/>
        <w:numPr>
          <w:ilvl w:val="0"/>
          <w:numId w:val="35"/>
        </w:numPr>
        <w:spacing w:before="0" w:line="240" w:lineRule="auto"/>
        <w:ind w:left="426" w:hanging="426"/>
        <w:rPr>
          <w:rFonts w:ascii="Avenir Next" w:hAnsi="Avenir Next"/>
        </w:rPr>
      </w:pPr>
      <w:r w:rsidRPr="005D1456">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lastRenderedPageBreak/>
        <w:t>What is setoff and why is it not permitted in many circumstances?</w:t>
      </w:r>
    </w:p>
    <w:p w14:paraId="43194FC3" w14:textId="64712AF6" w:rsidR="00600170" w:rsidRDefault="008F799E" w:rsidP="00AA0280">
      <w:pPr>
        <w:pStyle w:val="AODocTxt"/>
        <w:spacing w:before="0"/>
        <w:rPr>
          <w:rFonts w:ascii="Avenir Next" w:hAnsi="Avenir Next"/>
          <w:color w:val="808080" w:themeColor="background1" w:themeShade="80"/>
        </w:rPr>
      </w:pPr>
      <w:r w:rsidRPr="00600170">
        <w:rPr>
          <w:rFonts w:ascii="Avenir Next" w:hAnsi="Avenir Next"/>
          <w:color w:val="808080" w:themeColor="background1" w:themeShade="80"/>
        </w:rPr>
        <w:t xml:space="preserve">Set-off is </w:t>
      </w:r>
      <w:r w:rsidR="00F541BB" w:rsidRPr="00600170">
        <w:rPr>
          <w:rFonts w:ascii="Avenir Next" w:hAnsi="Avenir Next"/>
          <w:color w:val="808080" w:themeColor="background1" w:themeShade="80"/>
        </w:rPr>
        <w:t xml:space="preserve">when a creditor has </w:t>
      </w:r>
      <w:r w:rsidR="00600170" w:rsidRPr="00600170">
        <w:rPr>
          <w:rFonts w:ascii="Avenir Next" w:hAnsi="Avenir Next"/>
          <w:color w:val="808080" w:themeColor="background1" w:themeShade="80"/>
        </w:rPr>
        <w:t>the right or option to apply the full or partial amount owed by the debtor against the amount owed by the creditor to the debtor</w:t>
      </w:r>
      <w:r w:rsidR="00600170">
        <w:rPr>
          <w:rFonts w:ascii="Avenir Next" w:hAnsi="Avenir Next"/>
          <w:color w:val="808080" w:themeColor="background1" w:themeShade="80"/>
        </w:rPr>
        <w:t xml:space="preserve"> i.e., in simple terms it allows the creditor to net off the amount owed to it against the amount owed by it. (There </w:t>
      </w:r>
      <w:r w:rsidR="00533539">
        <w:rPr>
          <w:rFonts w:ascii="Avenir Next" w:hAnsi="Avenir Next"/>
          <w:color w:val="808080" w:themeColor="background1" w:themeShade="80"/>
        </w:rPr>
        <w:t xml:space="preserve">are various types of set-off including </w:t>
      </w:r>
      <w:r w:rsidR="00600170">
        <w:rPr>
          <w:rFonts w:ascii="Avenir Next" w:hAnsi="Avenir Next"/>
          <w:color w:val="808080" w:themeColor="background1" w:themeShade="80"/>
        </w:rPr>
        <w:t xml:space="preserve">contractual </w:t>
      </w:r>
      <w:r w:rsidR="00533539">
        <w:rPr>
          <w:rFonts w:ascii="Avenir Next" w:hAnsi="Avenir Next"/>
          <w:color w:val="808080" w:themeColor="background1" w:themeShade="80"/>
        </w:rPr>
        <w:t xml:space="preserve">and statutory) </w:t>
      </w:r>
    </w:p>
    <w:p w14:paraId="076FF456" w14:textId="77777777" w:rsidR="00600170" w:rsidRDefault="00600170" w:rsidP="00AA0280">
      <w:pPr>
        <w:pStyle w:val="AODocTxt"/>
        <w:spacing w:before="0"/>
        <w:rPr>
          <w:rFonts w:ascii="Avenir Next" w:hAnsi="Avenir Next"/>
          <w:color w:val="808080" w:themeColor="background1" w:themeShade="80"/>
        </w:rPr>
      </w:pPr>
    </w:p>
    <w:p w14:paraId="2152A1DB" w14:textId="0FDBAF69" w:rsidR="00533539" w:rsidRDefault="00533539" w:rsidP="00AA0280">
      <w:pPr>
        <w:pStyle w:val="AODocTxt"/>
        <w:spacing w:before="0"/>
        <w:rPr>
          <w:rFonts w:ascii="Avenir Next" w:hAnsi="Avenir Next"/>
          <w:color w:val="808080" w:themeColor="background1" w:themeShade="80"/>
        </w:rPr>
      </w:pPr>
      <w:r>
        <w:rPr>
          <w:rFonts w:ascii="Avenir Next" w:hAnsi="Avenir Next"/>
          <w:color w:val="808080" w:themeColor="background1" w:themeShade="80"/>
        </w:rPr>
        <w:t>It is note permitted in circumstances when</w:t>
      </w:r>
      <w:r w:rsidR="001A1BC1">
        <w:rPr>
          <w:rStyle w:val="FootnoteReference"/>
          <w:rFonts w:ascii="Avenir Next" w:hAnsi="Avenir Next"/>
        </w:rPr>
        <w:footnoteReference w:id="1"/>
      </w:r>
      <w:r>
        <w:rPr>
          <w:rFonts w:ascii="Avenir Next" w:hAnsi="Avenir Next"/>
          <w:color w:val="808080" w:themeColor="background1" w:themeShade="80"/>
        </w:rPr>
        <w:t xml:space="preserve">: </w:t>
      </w:r>
    </w:p>
    <w:p w14:paraId="7168771D" w14:textId="7CD3F73E" w:rsidR="00533539" w:rsidRDefault="001A1BC1" w:rsidP="001A1BC1">
      <w:pPr>
        <w:pStyle w:val="AODocTxt"/>
        <w:numPr>
          <w:ilvl w:val="0"/>
          <w:numId w:val="38"/>
        </w:numPr>
        <w:spacing w:before="0"/>
        <w:rPr>
          <w:rFonts w:ascii="Avenir Next" w:hAnsi="Avenir Next"/>
          <w:color w:val="808080" w:themeColor="background1" w:themeShade="80"/>
        </w:rPr>
      </w:pPr>
      <w:r>
        <w:rPr>
          <w:rFonts w:ascii="Avenir Next" w:hAnsi="Avenir Next"/>
          <w:color w:val="808080" w:themeColor="background1" w:themeShade="80"/>
        </w:rPr>
        <w:t>the creditor’s claim against the estate is disallowed</w:t>
      </w:r>
    </w:p>
    <w:p w14:paraId="708DD4AF" w14:textId="1ED28893" w:rsidR="001A1BC1" w:rsidRDefault="001A1BC1" w:rsidP="001A1BC1">
      <w:pPr>
        <w:pStyle w:val="AODocTxt"/>
        <w:numPr>
          <w:ilvl w:val="0"/>
          <w:numId w:val="38"/>
        </w:numPr>
        <w:spacing w:before="0"/>
        <w:rPr>
          <w:rFonts w:ascii="Avenir Next" w:hAnsi="Avenir Next"/>
          <w:color w:val="808080" w:themeColor="background1" w:themeShade="80"/>
        </w:rPr>
      </w:pPr>
      <w:r>
        <w:rPr>
          <w:rFonts w:ascii="Avenir Next" w:hAnsi="Avenir Next"/>
          <w:color w:val="808080" w:themeColor="background1" w:themeShade="80"/>
        </w:rPr>
        <w:t>the creditors’ claim against the estate was acquired post-pe</w:t>
      </w:r>
      <w:r w:rsidR="00EE5715">
        <w:rPr>
          <w:rFonts w:ascii="Avenir Next" w:hAnsi="Avenir Next"/>
          <w:color w:val="808080" w:themeColor="background1" w:themeShade="80"/>
        </w:rPr>
        <w:t xml:space="preserve">tition or in the 90 days prior to the petition when the debtor was presumed insolvent (unless rebutted by the creditor) thereby preventing the acquisition of debts or obligations by a party who has the intention of applying set-off </w:t>
      </w:r>
      <w:r>
        <w:rPr>
          <w:rFonts w:ascii="Avenir Next" w:hAnsi="Avenir Next"/>
          <w:color w:val="808080" w:themeColor="background1" w:themeShade="80"/>
        </w:rPr>
        <w:t xml:space="preserve"> </w:t>
      </w:r>
    </w:p>
    <w:p w14:paraId="52B3256E" w14:textId="40B191E2" w:rsidR="00EE5715" w:rsidRDefault="00EE5715" w:rsidP="001A1BC1">
      <w:pPr>
        <w:pStyle w:val="AODocTxt"/>
        <w:numPr>
          <w:ilvl w:val="0"/>
          <w:numId w:val="38"/>
        </w:numPr>
        <w:spacing w:before="0"/>
        <w:rPr>
          <w:rFonts w:ascii="Avenir Next" w:hAnsi="Avenir Next"/>
          <w:color w:val="808080" w:themeColor="background1" w:themeShade="80"/>
        </w:rPr>
      </w:pPr>
      <w:r>
        <w:rPr>
          <w:rFonts w:ascii="Avenir Next" w:hAnsi="Avenir Next"/>
          <w:color w:val="808080" w:themeColor="background1" w:themeShade="80"/>
        </w:rPr>
        <w:t xml:space="preserve">in the 90 days prior to the petition when it is presumed the debtor was insolvent (unless rebutted by the creditor, the creditor incurred the obligation to the debtor for the purpose of applying set-off. </w:t>
      </w:r>
    </w:p>
    <w:p w14:paraId="014A5729" w14:textId="6B375329" w:rsidR="00EE5715" w:rsidRDefault="00EE5715" w:rsidP="001A1BC1">
      <w:pPr>
        <w:pStyle w:val="AODocTxt"/>
        <w:numPr>
          <w:ilvl w:val="0"/>
          <w:numId w:val="38"/>
        </w:numPr>
        <w:spacing w:before="0"/>
        <w:rPr>
          <w:rFonts w:ascii="Avenir Next" w:hAnsi="Avenir Next"/>
          <w:color w:val="808080" w:themeColor="background1" w:themeShade="80"/>
        </w:rPr>
      </w:pPr>
      <w:r>
        <w:rPr>
          <w:rFonts w:ascii="Avenir Next" w:hAnsi="Avenir Next"/>
          <w:color w:val="808080" w:themeColor="background1" w:themeShade="80"/>
        </w:rPr>
        <w:t xml:space="preserve">the creditor who exercises </w:t>
      </w:r>
      <w:r w:rsidR="00DD2D2D">
        <w:rPr>
          <w:rFonts w:ascii="Avenir Next" w:hAnsi="Avenir Next"/>
          <w:color w:val="808080" w:themeColor="background1" w:themeShade="80"/>
        </w:rPr>
        <w:t>s</w:t>
      </w:r>
      <w:r>
        <w:rPr>
          <w:rFonts w:ascii="Avenir Next" w:hAnsi="Avenir Next"/>
          <w:color w:val="808080" w:themeColor="background1" w:themeShade="80"/>
        </w:rPr>
        <w:t xml:space="preserve">et-off </w:t>
      </w:r>
      <w:r w:rsidR="00DD2D2D">
        <w:rPr>
          <w:rFonts w:ascii="Avenir Next" w:hAnsi="Avenir Next"/>
          <w:color w:val="808080" w:themeColor="background1" w:themeShade="80"/>
        </w:rPr>
        <w:t>improves its position in a manner that would not have been the case had it set-off the amounts 90 days prior to the petition.</w:t>
      </w:r>
    </w:p>
    <w:p w14:paraId="733EFB41" w14:textId="77777777" w:rsidR="00533539" w:rsidRDefault="00533539" w:rsidP="00AA0280">
      <w:pPr>
        <w:pStyle w:val="AODocTxt"/>
        <w:spacing w:before="0"/>
        <w:rPr>
          <w:rFonts w:ascii="Avenir Next" w:hAnsi="Avenir Next"/>
          <w:color w:val="808080" w:themeColor="background1" w:themeShade="80"/>
        </w:rPr>
      </w:pPr>
    </w:p>
    <w:p w14:paraId="1541A46C" w14:textId="447E456E" w:rsidR="001A1BC1" w:rsidRPr="00DD2D2D" w:rsidRDefault="00533539" w:rsidP="00AA0280">
      <w:pPr>
        <w:pStyle w:val="AODocTxt"/>
        <w:spacing w:before="0"/>
        <w:rPr>
          <w:rFonts w:ascii="Avenir Next" w:hAnsi="Avenir Next"/>
          <w:color w:val="808080" w:themeColor="background1" w:themeShade="80"/>
        </w:rPr>
      </w:pPr>
      <w:r>
        <w:rPr>
          <w:rFonts w:ascii="Avenir Next" w:hAnsi="Avenir Next"/>
          <w:color w:val="808080" w:themeColor="background1" w:themeShade="80"/>
        </w:rPr>
        <w:t>The reasoning why i</w:t>
      </w:r>
      <w:r w:rsidR="00600170">
        <w:rPr>
          <w:rFonts w:ascii="Avenir Next" w:hAnsi="Avenir Next"/>
          <w:color w:val="808080" w:themeColor="background1" w:themeShade="80"/>
        </w:rPr>
        <w:t>t is not permitted in many circumstances</w:t>
      </w:r>
      <w:r>
        <w:rPr>
          <w:rFonts w:ascii="Avenir Next" w:hAnsi="Avenir Next"/>
          <w:color w:val="808080" w:themeColor="background1" w:themeShade="80"/>
        </w:rPr>
        <w:t xml:space="preserve"> is because it has the effect of benefitting the (unsecured) creditor who sets-off the amount it owes to the debtor potentially to the detriment of the other (unsecured) creditors. It has its claim against the debtor by the set-off but also it diminishes the assets (which may include the debt recoverable from the creditor) available for distribution to the other creditors. The debts owed to the debtor are recoverable in full whereas the claims of the creditors of the debtors are only partially settled. </w:t>
      </w:r>
      <w:r w:rsidR="00600170" w:rsidRPr="00600170">
        <w:rPr>
          <w:rFonts w:ascii="Avenir Next" w:hAnsi="Avenir Next"/>
          <w:color w:val="808080" w:themeColor="background1" w:themeShade="80"/>
        </w:rPr>
        <w:t xml:space="preserve">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5A42C373" w14:textId="76BA9A88" w:rsidR="00CE1E57" w:rsidRDefault="00DD2D2D" w:rsidP="00622C36">
      <w:pPr>
        <w:pStyle w:val="AODocTxt"/>
        <w:spacing w:before="0" w:line="240" w:lineRule="auto"/>
        <w:rPr>
          <w:rFonts w:ascii="Avenir Next" w:hAnsi="Avenir Next"/>
          <w:color w:val="808080" w:themeColor="background1" w:themeShade="80"/>
        </w:rPr>
      </w:pPr>
      <w:r w:rsidRPr="00DD2D2D">
        <w:rPr>
          <w:rFonts w:ascii="Avenir Next" w:hAnsi="Avenir Next"/>
          <w:color w:val="808080" w:themeColor="background1" w:themeShade="80"/>
        </w:rPr>
        <w:t xml:space="preserve">A priming lien </w:t>
      </w:r>
      <w:r>
        <w:rPr>
          <w:rFonts w:ascii="Avenir Next" w:hAnsi="Avenir Next"/>
          <w:color w:val="808080" w:themeColor="background1" w:themeShade="80"/>
        </w:rPr>
        <w:t xml:space="preserve">is one of the </w:t>
      </w:r>
      <w:r w:rsidR="005A5D6D">
        <w:rPr>
          <w:rFonts w:ascii="Avenir Next" w:hAnsi="Avenir Next"/>
          <w:color w:val="808080" w:themeColor="background1" w:themeShade="80"/>
        </w:rPr>
        <w:t xml:space="preserve">four </w:t>
      </w:r>
      <w:r>
        <w:rPr>
          <w:rFonts w:ascii="Avenir Next" w:hAnsi="Avenir Next"/>
          <w:color w:val="808080" w:themeColor="background1" w:themeShade="80"/>
        </w:rPr>
        <w:t xml:space="preserve">options under the Bankruptcy Code for a debtor in Chapter 11 </w:t>
      </w:r>
      <w:r w:rsidR="00ED53F9">
        <w:rPr>
          <w:rFonts w:ascii="Avenir Next" w:hAnsi="Avenir Next"/>
          <w:color w:val="808080" w:themeColor="background1" w:themeShade="80"/>
        </w:rPr>
        <w:t>bankruptcy to</w:t>
      </w:r>
      <w:r>
        <w:rPr>
          <w:rFonts w:ascii="Avenir Next" w:hAnsi="Avenir Next"/>
          <w:color w:val="808080" w:themeColor="background1" w:themeShade="80"/>
        </w:rPr>
        <w:t xml:space="preserve"> source </w:t>
      </w:r>
      <w:r w:rsidR="005A5D6D">
        <w:rPr>
          <w:rFonts w:ascii="Avenir Next" w:hAnsi="Avenir Next"/>
          <w:color w:val="808080" w:themeColor="background1" w:themeShade="80"/>
        </w:rPr>
        <w:t>debtor in possession funding (DIP Financing)</w:t>
      </w:r>
      <w:r w:rsidR="00CE1E57">
        <w:rPr>
          <w:rStyle w:val="FootnoteReference"/>
          <w:rFonts w:ascii="Avenir Next" w:hAnsi="Avenir Next"/>
          <w:color w:val="808080" w:themeColor="background1" w:themeShade="80"/>
        </w:rPr>
        <w:footnoteReference w:id="2"/>
      </w:r>
      <w:r w:rsidR="00CE1E57">
        <w:rPr>
          <w:rFonts w:ascii="Avenir Next" w:hAnsi="Avenir Next"/>
          <w:color w:val="808080" w:themeColor="background1" w:themeShade="80"/>
        </w:rPr>
        <w:t xml:space="preserve"> post-petition</w:t>
      </w:r>
      <w:r w:rsidR="005A5D6D">
        <w:rPr>
          <w:rFonts w:ascii="Avenir Next" w:hAnsi="Avenir Next"/>
          <w:color w:val="808080" w:themeColor="background1" w:themeShade="80"/>
        </w:rPr>
        <w:t xml:space="preserve">. </w:t>
      </w:r>
      <w:r w:rsidR="00CE1E57">
        <w:rPr>
          <w:rFonts w:ascii="Avenir Next" w:hAnsi="Avenir Next"/>
          <w:color w:val="808080" w:themeColor="background1" w:themeShade="80"/>
        </w:rPr>
        <w:t>It is a lien that is senior or equal to any lien over property of the estate that was in place prior to the petition.</w:t>
      </w:r>
      <w:r w:rsidR="00ED53F9">
        <w:rPr>
          <w:rFonts w:ascii="Avenir Next" w:hAnsi="Avenir Next"/>
          <w:color w:val="808080" w:themeColor="background1" w:themeShade="80"/>
        </w:rPr>
        <w:t xml:space="preserve"> DIP financing is financing for working capital for the debtor in possession under chapter 11 bankruptcy.</w:t>
      </w:r>
    </w:p>
    <w:p w14:paraId="12E56BD0" w14:textId="77777777" w:rsidR="00CE1E57" w:rsidRDefault="00CE1E57" w:rsidP="00622C36">
      <w:pPr>
        <w:pStyle w:val="AODocTxt"/>
        <w:spacing w:before="0" w:line="240" w:lineRule="auto"/>
        <w:rPr>
          <w:rFonts w:ascii="Avenir Next" w:hAnsi="Avenir Next"/>
          <w:color w:val="808080" w:themeColor="background1" w:themeShade="80"/>
        </w:rPr>
      </w:pPr>
    </w:p>
    <w:p w14:paraId="4BF8BC4F" w14:textId="311C6D6A" w:rsidR="00423479" w:rsidRDefault="00CE1E57"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 is the final option available in the event the debtor is unable to secure financing on other terms. Like other options the provision of financing with a priming lien is intended improve the chances for </w:t>
      </w:r>
      <w:r w:rsidR="005D1456">
        <w:rPr>
          <w:rFonts w:ascii="Avenir Next" w:hAnsi="Avenir Next"/>
          <w:color w:val="808080" w:themeColor="background1" w:themeShade="80"/>
        </w:rPr>
        <w:t>reorganization</w:t>
      </w:r>
      <w:r>
        <w:rPr>
          <w:rFonts w:ascii="Avenir Next" w:hAnsi="Avenir Next"/>
          <w:color w:val="808080" w:themeColor="background1" w:themeShade="80"/>
        </w:rPr>
        <w:t xml:space="preserve"> of the debtor. </w:t>
      </w:r>
      <w:r w:rsidR="00ED53F9">
        <w:rPr>
          <w:rFonts w:ascii="Avenir Next" w:hAnsi="Avenir Next"/>
          <w:color w:val="808080" w:themeColor="background1" w:themeShade="80"/>
        </w:rPr>
        <w:t xml:space="preserve"> The ability to obtain financing is normally critical to be able to successfully restructure an organization as it allows an organization to </w:t>
      </w:r>
      <w:r w:rsidR="00ED53F9">
        <w:rPr>
          <w:rFonts w:ascii="Avenir Next" w:hAnsi="Avenir Next"/>
          <w:color w:val="808080" w:themeColor="background1" w:themeShade="80"/>
        </w:rPr>
        <w:lastRenderedPageBreak/>
        <w:t>continue to operate with minimal disruption which provides confidence in the viability of the company (once restructured)</w:t>
      </w:r>
      <w:r w:rsidR="00ED53F9">
        <w:rPr>
          <w:rStyle w:val="FootnoteReference"/>
          <w:rFonts w:ascii="Avenir Next" w:hAnsi="Avenir Next"/>
          <w:color w:val="808080" w:themeColor="background1" w:themeShade="80"/>
        </w:rPr>
        <w:footnoteReference w:id="3"/>
      </w:r>
      <w:r w:rsidR="00ED53F9">
        <w:rPr>
          <w:rFonts w:ascii="Avenir Next" w:hAnsi="Avenir Next"/>
          <w:color w:val="808080" w:themeColor="background1" w:themeShade="80"/>
        </w:rPr>
        <w:t xml:space="preserve">. </w:t>
      </w:r>
      <w:r>
        <w:rPr>
          <w:rFonts w:ascii="Avenir Next" w:hAnsi="Avenir Next"/>
          <w:color w:val="808080" w:themeColor="background1" w:themeShade="80"/>
        </w:rPr>
        <w:t>There is an associated risk to the secured creditor with a pre-petition lien even though protections are afforded to the secured creditor when the court determines whether the priming lien should be granted.</w:t>
      </w:r>
    </w:p>
    <w:p w14:paraId="49CBE054" w14:textId="77777777" w:rsidR="005A5D6D" w:rsidRPr="00DD2D2D" w:rsidRDefault="005A5D6D" w:rsidP="00622C36">
      <w:pPr>
        <w:pStyle w:val="AODocTxt"/>
        <w:spacing w:before="0" w:line="240" w:lineRule="auto"/>
        <w:rPr>
          <w:rFonts w:ascii="Avenir Next" w:hAnsi="Avenir Next"/>
          <w:color w:val="808080" w:themeColor="background1" w:themeShade="80"/>
        </w:rPr>
      </w:pPr>
    </w:p>
    <w:p w14:paraId="2D6B2768" w14:textId="3799D3DA" w:rsidR="00DD2D2D" w:rsidRDefault="00F541B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requirements that must be met for a </w:t>
      </w:r>
      <w:r w:rsidR="00600170">
        <w:rPr>
          <w:rFonts w:ascii="Avenir Next" w:hAnsi="Avenir Next"/>
          <w:color w:val="808080" w:themeColor="background1" w:themeShade="80"/>
        </w:rPr>
        <w:t xml:space="preserve">priming lien to be granted </w:t>
      </w:r>
      <w:r w:rsidR="00DD2D2D">
        <w:rPr>
          <w:rFonts w:ascii="Avenir Next" w:hAnsi="Avenir Next"/>
          <w:color w:val="808080" w:themeColor="background1" w:themeShade="80"/>
        </w:rPr>
        <w:t xml:space="preserve">are </w:t>
      </w:r>
      <w:r w:rsidR="00ED53F9">
        <w:rPr>
          <w:rFonts w:ascii="Avenir Next" w:hAnsi="Avenir Next"/>
          <w:color w:val="808080" w:themeColor="background1" w:themeShade="80"/>
        </w:rPr>
        <w:t xml:space="preserve">stringent and are </w:t>
      </w:r>
      <w:r w:rsidR="00DD2D2D">
        <w:rPr>
          <w:rFonts w:ascii="Avenir Next" w:hAnsi="Avenir Next"/>
          <w:color w:val="808080" w:themeColor="background1" w:themeShade="80"/>
        </w:rPr>
        <w:t>that the debtor:</w:t>
      </w:r>
    </w:p>
    <w:p w14:paraId="511F7BC2" w14:textId="26BB6058" w:rsidR="00DD2D2D" w:rsidRDefault="00DD2D2D" w:rsidP="00DD2D2D">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must be in a Chapter 11 bankruptcy.</w:t>
      </w:r>
    </w:p>
    <w:p w14:paraId="020A4EB5" w14:textId="46673B46" w:rsidR="00DD2D2D" w:rsidRDefault="00DD2D2D" w:rsidP="00DD2D2D">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has been unable to secure financing on any other terms </w:t>
      </w:r>
      <w:r w:rsidR="005A5D6D">
        <w:rPr>
          <w:rFonts w:ascii="Avenir Next" w:hAnsi="Avenir Next"/>
          <w:color w:val="808080" w:themeColor="background1" w:themeShade="80"/>
        </w:rPr>
        <w:t xml:space="preserve">(so it has not been able to source </w:t>
      </w:r>
      <w:r w:rsidR="005A5D6D" w:rsidRPr="005A5D6D">
        <w:rPr>
          <w:rFonts w:ascii="Avenir Next" w:hAnsi="Avenir Next"/>
          <w:color w:val="808080" w:themeColor="background1" w:themeShade="80"/>
        </w:rPr>
        <w:t>unsecured debt or unsecured credit in the ordinary course of business (without court approval)</w:t>
      </w:r>
      <w:r w:rsidR="005A5D6D">
        <w:rPr>
          <w:rFonts w:ascii="Avenir Next" w:hAnsi="Avenir Next"/>
          <w:color w:val="808080" w:themeColor="background1" w:themeShade="80"/>
        </w:rPr>
        <w:t xml:space="preserve"> or </w:t>
      </w:r>
      <w:r w:rsidR="005A5D6D" w:rsidRPr="005A5D6D">
        <w:rPr>
          <w:rFonts w:ascii="Avenir Next" w:hAnsi="Avenir Next"/>
          <w:color w:val="808080" w:themeColor="background1" w:themeShade="80"/>
        </w:rPr>
        <w:t xml:space="preserve">unsecured debt or unsecured credit in the ordinary course of business (with court approval) </w:t>
      </w:r>
      <w:r w:rsidR="005A5D6D">
        <w:rPr>
          <w:rFonts w:ascii="Avenir Next" w:hAnsi="Avenir Next"/>
          <w:color w:val="808080" w:themeColor="background1" w:themeShade="80"/>
        </w:rPr>
        <w:t>or</w:t>
      </w:r>
      <w:r w:rsidR="005A5D6D" w:rsidRPr="005A5D6D">
        <w:rPr>
          <w:rFonts w:ascii="Avenir Next" w:hAnsi="Avenir Next"/>
          <w:color w:val="808080" w:themeColor="background1" w:themeShade="80"/>
        </w:rPr>
        <w:t xml:space="preserve"> </w:t>
      </w:r>
      <w:r w:rsidR="005A5D6D">
        <w:rPr>
          <w:rFonts w:ascii="Avenir Next" w:hAnsi="Avenir Next"/>
          <w:color w:val="808080" w:themeColor="background1" w:themeShade="80"/>
        </w:rPr>
        <w:t>source (</w:t>
      </w:r>
      <w:r w:rsidR="005A5D6D" w:rsidRPr="005A5D6D">
        <w:rPr>
          <w:rFonts w:ascii="Avenir Next" w:hAnsi="Avenir Next"/>
          <w:color w:val="808080" w:themeColor="background1" w:themeShade="80"/>
        </w:rPr>
        <w:t>with the authorization of the court</w:t>
      </w:r>
      <w:r w:rsidR="005A5D6D">
        <w:rPr>
          <w:rFonts w:ascii="Avenir Next" w:hAnsi="Avenir Next"/>
          <w:color w:val="808080" w:themeColor="background1" w:themeShade="80"/>
        </w:rPr>
        <w:t>)</w:t>
      </w:r>
      <w:r w:rsidR="005A5D6D" w:rsidRPr="005A5D6D">
        <w:rPr>
          <w:rFonts w:ascii="Avenir Next" w:hAnsi="Avenir Next"/>
          <w:color w:val="808080" w:themeColor="background1" w:themeShade="80"/>
        </w:rPr>
        <w:t xml:space="preserve"> unsecured debt with priority over administrative expenses/secured debt with a lien of unencumbered state property/secured debt with a junior lien on encumbered property.</w:t>
      </w:r>
    </w:p>
    <w:p w14:paraId="3FD924BB" w14:textId="7D1C6BF9" w:rsidR="001D3BAA" w:rsidRDefault="00CE1E57" w:rsidP="00DD2D2D">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demonstrates to the court granting the priming lien that there is adequate protection of the secured creditor being primed.</w:t>
      </w:r>
    </w:p>
    <w:p w14:paraId="7A750A89" w14:textId="77777777" w:rsidR="00ED53F9" w:rsidRDefault="00ED53F9" w:rsidP="00ED53F9">
      <w:pPr>
        <w:pStyle w:val="AODocTxt"/>
        <w:spacing w:before="0" w:line="240" w:lineRule="auto"/>
        <w:rPr>
          <w:rFonts w:ascii="Avenir Next" w:hAnsi="Avenir Next"/>
          <w:color w:val="808080" w:themeColor="background1" w:themeShade="80"/>
        </w:rPr>
      </w:pPr>
    </w:p>
    <w:p w14:paraId="73CB118C" w14:textId="7D44551D" w:rsidR="00ED53F9" w:rsidRPr="002B5D64" w:rsidRDefault="00ED53F9" w:rsidP="00ED53F9">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priming lien offers the highest level of security and in practice it is the majority of DIP financing</w:t>
      </w:r>
      <w:r>
        <w:rPr>
          <w:rStyle w:val="FootnoteReference"/>
          <w:rFonts w:ascii="Avenir Next" w:hAnsi="Avenir Next"/>
          <w:color w:val="808080" w:themeColor="background1" w:themeShade="80"/>
        </w:rPr>
        <w:footnoteReference w:id="4"/>
      </w:r>
      <w:r>
        <w:rPr>
          <w:rFonts w:ascii="Avenir Next" w:hAnsi="Avenir Next"/>
          <w:color w:val="808080" w:themeColor="background1" w:themeShade="80"/>
        </w:rPr>
        <w:t xml:space="preserve">. </w:t>
      </w:r>
    </w:p>
    <w:p w14:paraId="473861FC" w14:textId="77777777" w:rsidR="00435733"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426CE59D" w14:textId="411FAFD4" w:rsidR="00DD6AF7" w:rsidRDefault="00DD6AF7" w:rsidP="00855BA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Two potential consequences of a violation of the automatic stay are:</w:t>
      </w:r>
    </w:p>
    <w:p w14:paraId="6D260EAF" w14:textId="1958A6A9" w:rsidR="00DD6AF7" w:rsidRDefault="00DD6AF7" w:rsidP="00DD6AF7">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that such an action is considered to be a contempt of court and the violator may receive contempt sanctions. Contempt sanctions could include</w:t>
      </w:r>
      <w:r w:rsidR="00DC4708">
        <w:rPr>
          <w:rFonts w:ascii="Avenir Next" w:hAnsi="Avenir Next"/>
          <w:color w:val="808080" w:themeColor="background1" w:themeShade="80"/>
        </w:rPr>
        <w:t>:</w:t>
      </w:r>
    </w:p>
    <w:p w14:paraId="32A7FC30" w14:textId="2152D789" w:rsidR="00DD6AF7" w:rsidRDefault="00DD6AF7" w:rsidP="00DD6AF7">
      <w:pPr>
        <w:pStyle w:val="AODocTxt"/>
        <w:numPr>
          <w:ilvl w:val="1"/>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settlement of the attorney fees of the debtor,</w:t>
      </w:r>
    </w:p>
    <w:p w14:paraId="25426BED" w14:textId="78FE6773" w:rsidR="00DD6AF7" w:rsidRPr="00DC4708" w:rsidRDefault="00DC4708" w:rsidP="00DD6AF7">
      <w:pPr>
        <w:pStyle w:val="AODocTxt"/>
        <w:numPr>
          <w:ilvl w:val="1"/>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affirmative acts to undo the effect that have changed the </w:t>
      </w:r>
      <w:r w:rsidRPr="00DC4708">
        <w:rPr>
          <w:rFonts w:ascii="Avenir Next" w:hAnsi="Avenir Next"/>
          <w:i/>
          <w:iCs/>
          <w:color w:val="808080" w:themeColor="background1" w:themeShade="80"/>
        </w:rPr>
        <w:t>status quo</w:t>
      </w:r>
      <w:r>
        <w:rPr>
          <w:rFonts w:ascii="Avenir Next" w:hAnsi="Avenir Next"/>
          <w:i/>
          <w:iCs/>
          <w:color w:val="808080" w:themeColor="background1" w:themeShade="80"/>
        </w:rPr>
        <w:t>,</w:t>
      </w:r>
    </w:p>
    <w:p w14:paraId="1BC567DA" w14:textId="1C1B92AB" w:rsidR="00DC4708" w:rsidRPr="00DC4708" w:rsidRDefault="00DC4708" w:rsidP="00DD6AF7">
      <w:pPr>
        <w:pStyle w:val="AODocTxt"/>
        <w:numPr>
          <w:ilvl w:val="1"/>
          <w:numId w:val="41"/>
        </w:numPr>
        <w:spacing w:before="0" w:line="240" w:lineRule="auto"/>
        <w:rPr>
          <w:rFonts w:ascii="Avenir Next" w:hAnsi="Avenir Next"/>
          <w:color w:val="808080" w:themeColor="background1" w:themeShade="80"/>
        </w:rPr>
      </w:pPr>
      <w:r w:rsidRPr="00DC4708">
        <w:rPr>
          <w:rFonts w:ascii="Avenir Next" w:hAnsi="Avenir Next"/>
          <w:color w:val="808080" w:themeColor="background1" w:themeShade="80"/>
        </w:rPr>
        <w:t xml:space="preserve">daily fines imposed until the violation is rectified (coercive contempt sanctions) </w:t>
      </w:r>
    </w:p>
    <w:p w14:paraId="47C4442B" w14:textId="0D455B25" w:rsidR="00DD6AF7" w:rsidRDefault="00DD6AF7" w:rsidP="00DD6AF7">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any action may be void or voidable, whether it is void or voidable will be dependent upon the circuit in which the bankruptcy is before. </w:t>
      </w:r>
    </w:p>
    <w:p w14:paraId="6774D3B1" w14:textId="77777777" w:rsidR="00DC4708" w:rsidRDefault="00DC4708" w:rsidP="00855BA7">
      <w:pPr>
        <w:pStyle w:val="AODocTxt"/>
        <w:spacing w:before="0" w:line="240" w:lineRule="auto"/>
        <w:rPr>
          <w:rFonts w:ascii="Avenir Next" w:hAnsi="Avenir Next"/>
          <w:color w:val="808080" w:themeColor="background1" w:themeShade="80"/>
        </w:rPr>
      </w:pPr>
    </w:p>
    <w:p w14:paraId="5DCBBB85" w14:textId="7CA265D7" w:rsidR="00A907C4" w:rsidRDefault="00DD6AF7" w:rsidP="00855BA7">
      <w:pPr>
        <w:pStyle w:val="AODocTxt"/>
        <w:spacing w:before="0" w:line="240" w:lineRule="auto"/>
        <w:rPr>
          <w:rFonts w:ascii="Avenir Next" w:hAnsi="Avenir Next"/>
          <w:color w:val="808080" w:themeColor="background1" w:themeShade="80"/>
        </w:rPr>
      </w:pPr>
      <w:r w:rsidRPr="005D1456">
        <w:rPr>
          <w:rFonts w:ascii="Avenir Next" w:hAnsi="Avenir Next"/>
          <w:color w:val="808080" w:themeColor="background1" w:themeShade="80"/>
        </w:rPr>
        <w:t xml:space="preserve">The purpose of an automatic stay is to protect the property of the estate </w:t>
      </w:r>
      <w:r w:rsidR="00DC4708" w:rsidRPr="005D1456">
        <w:rPr>
          <w:rFonts w:ascii="Avenir Next" w:hAnsi="Avenir Next"/>
          <w:color w:val="808080" w:themeColor="background1" w:themeShade="80"/>
        </w:rPr>
        <w:t xml:space="preserve">to ensure the orderly conduct of the bankruptcy including the </w:t>
      </w:r>
      <w:r w:rsidR="005D1456" w:rsidRPr="005D1456">
        <w:rPr>
          <w:rFonts w:ascii="Avenir Next" w:hAnsi="Avenir Next"/>
          <w:color w:val="808080" w:themeColor="background1" w:themeShade="80"/>
        </w:rPr>
        <w:t>realization</w:t>
      </w:r>
      <w:r w:rsidR="00DC4708" w:rsidRPr="005D1456">
        <w:rPr>
          <w:rFonts w:ascii="Avenir Next" w:hAnsi="Avenir Next"/>
          <w:color w:val="808080" w:themeColor="background1" w:themeShade="80"/>
        </w:rPr>
        <w:t xml:space="preserve"> of the assets that is for the benefit of the body of creditors, not individual creditors, in order for the settlement of claims of creditors in the legislated priority in due course. </w:t>
      </w:r>
      <w:r w:rsidRPr="005D1456">
        <w:rPr>
          <w:rFonts w:ascii="Avenir Next" w:hAnsi="Avenir Next"/>
          <w:color w:val="808080" w:themeColor="background1" w:themeShade="80"/>
        </w:rPr>
        <w:t xml:space="preserve"> It prevents creditors from taking enforcement action against the debtor for claims arising prior to the petition. Further to provides “breathing space” to allow for the development of a reorganization plan as well as negotiation with creditors.</w:t>
      </w:r>
      <w:r>
        <w:rPr>
          <w:rFonts w:ascii="Avenir Next" w:hAnsi="Avenir Next"/>
          <w:color w:val="808080" w:themeColor="background1" w:themeShade="80"/>
        </w:rPr>
        <w:t xml:space="preserve">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13B97BA2" w14:textId="77777777" w:rsidR="00DC4708" w:rsidRDefault="00DC470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Class(es) of creditors </w:t>
      </w:r>
    </w:p>
    <w:p w14:paraId="7ABA9F38" w14:textId="7D29F49E" w:rsidR="00D14F11" w:rsidRDefault="00DC4708" w:rsidP="00DC4708">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Deemed to accept the plan are</w:t>
      </w:r>
      <w:r w:rsidR="005D1456">
        <w:rPr>
          <w:rFonts w:ascii="Avenir Next" w:hAnsi="Avenir Next"/>
          <w:color w:val="808080" w:themeColor="background1" w:themeShade="80"/>
        </w:rPr>
        <w:t>:</w:t>
      </w:r>
      <w:r>
        <w:rPr>
          <w:rFonts w:ascii="Avenir Next" w:hAnsi="Avenir Next"/>
          <w:color w:val="808080" w:themeColor="background1" w:themeShade="80"/>
        </w:rPr>
        <w:t xml:space="preserve"> </w:t>
      </w:r>
    </w:p>
    <w:p w14:paraId="45066052" w14:textId="54A9666C" w:rsidR="00DC4708" w:rsidRDefault="00D14F11" w:rsidP="00D14F11">
      <w:pPr>
        <w:pStyle w:val="AODocTxt"/>
        <w:numPr>
          <w:ilvl w:val="1"/>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sidR="00DC4708">
        <w:rPr>
          <w:rFonts w:ascii="Avenir Next" w:hAnsi="Avenir Next"/>
          <w:color w:val="808080" w:themeColor="background1" w:themeShade="80"/>
        </w:rPr>
        <w:t>unimpaired class</w:t>
      </w:r>
      <w:r>
        <w:rPr>
          <w:rFonts w:ascii="Avenir Next" w:hAnsi="Avenir Next"/>
          <w:color w:val="808080" w:themeColor="background1" w:themeShade="80"/>
        </w:rPr>
        <w:t xml:space="preserve">(es) i.e. those creditors in a class in which the plan does not alter their legal, equitable or contractual rights, or the class(es) of creditors deemed unimpaired i.e. those creditors whose claims are cured of monetary default and compensated for damages by the plan i.e. creditors whose acceleration of debt has been reversed.  </w:t>
      </w:r>
    </w:p>
    <w:p w14:paraId="28E8923A" w14:textId="6C4A5687" w:rsidR="00DC4708" w:rsidRDefault="00DC4708" w:rsidP="00DC4708">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Deemed to reject the plan</w:t>
      </w:r>
      <w:r w:rsidR="00D14F11">
        <w:rPr>
          <w:rFonts w:ascii="Avenir Next" w:hAnsi="Avenir Next"/>
          <w:color w:val="808080" w:themeColor="background1" w:themeShade="80"/>
        </w:rPr>
        <w:t xml:space="preserve"> is the class of creditors who will receive nothing.</w:t>
      </w:r>
    </w:p>
    <w:p w14:paraId="7264B094" w14:textId="66A56A91" w:rsidR="00DC4708" w:rsidRDefault="00DC4708" w:rsidP="00DC4708">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Permitted to vote on the plan </w:t>
      </w:r>
      <w:r w:rsidR="00D14F11">
        <w:rPr>
          <w:rFonts w:ascii="Avenir Next" w:hAnsi="Avenir Next"/>
          <w:color w:val="808080" w:themeColor="background1" w:themeShade="80"/>
        </w:rPr>
        <w:t xml:space="preserve">are the impaired class(es) i.e. those creditors who are not unimpaired or creditors whose acceleration of debt has been reversed.  </w:t>
      </w:r>
    </w:p>
    <w:p w14:paraId="2460DEF7" w14:textId="77777777" w:rsidR="00DC4708" w:rsidRDefault="00DC4708" w:rsidP="008B7808">
      <w:pPr>
        <w:pStyle w:val="AODocTxt"/>
        <w:spacing w:before="0" w:line="240" w:lineRule="auto"/>
        <w:ind w:left="1080"/>
        <w:rPr>
          <w:rFonts w:ascii="Avenir Next" w:hAnsi="Avenir Next"/>
          <w:color w:val="808080" w:themeColor="background1" w:themeShade="80"/>
        </w:rPr>
      </w:pPr>
    </w:p>
    <w:p w14:paraId="037B4B36" w14:textId="1682F5E7" w:rsidR="001D3BAA" w:rsidRPr="002B5D64" w:rsidRDefault="00DC4708" w:rsidP="00DC4708">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vote necessary for a class of creditors to accept a plan is </w:t>
      </w:r>
      <w:r w:rsidR="008B7808">
        <w:rPr>
          <w:rFonts w:ascii="Avenir Next" w:hAnsi="Avenir Next"/>
          <w:color w:val="808080" w:themeColor="background1" w:themeShade="80"/>
        </w:rPr>
        <w:t>a “simple majority of the creditors in the class and holding two thirds of the value of claims in the class”</w:t>
      </w:r>
      <w:r w:rsidR="008B7808">
        <w:rPr>
          <w:rStyle w:val="FootnoteReference"/>
          <w:rFonts w:ascii="Avenir Next" w:hAnsi="Avenir Next"/>
          <w:color w:val="808080" w:themeColor="background1" w:themeShade="80"/>
        </w:rPr>
        <w:footnoteReference w:id="5"/>
      </w:r>
      <w:r w:rsidR="008B7808">
        <w:rPr>
          <w:rFonts w:ascii="Avenir Next" w:hAnsi="Avenir Next"/>
          <w:color w:val="808080" w:themeColor="background1" w:themeShade="80"/>
        </w:rPr>
        <w:t xml:space="preserve">.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2AD89262" w14:textId="24E609FF" w:rsidR="0047681C" w:rsidRDefault="008B7808" w:rsidP="008B7808">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cause of action that applies only to transfers made on account of antecedent debt</w:t>
      </w:r>
      <w:r w:rsidR="0047681C">
        <w:rPr>
          <w:rFonts w:ascii="Avenir Next" w:hAnsi="Avenir Next"/>
          <w:color w:val="808080" w:themeColor="background1" w:themeShade="80"/>
        </w:rPr>
        <w:t xml:space="preserve"> is a preference. The requirement is that there must be a pre-existing debt with a creditor that the debtor is paying. There needs to be a time delay between the creation of the debt and the payment by the debtor (It cannot be a simultaneous exchange). </w:t>
      </w:r>
    </w:p>
    <w:p w14:paraId="7F605232" w14:textId="77777777" w:rsidR="0047681C" w:rsidRDefault="0047681C" w:rsidP="0047681C">
      <w:pPr>
        <w:pStyle w:val="AODocTxt"/>
        <w:spacing w:before="0" w:line="240" w:lineRule="auto"/>
        <w:ind w:left="720"/>
        <w:rPr>
          <w:rFonts w:ascii="Avenir Next" w:hAnsi="Avenir Next"/>
          <w:color w:val="808080" w:themeColor="background1" w:themeShade="80"/>
        </w:rPr>
      </w:pPr>
    </w:p>
    <w:p w14:paraId="1E750201" w14:textId="6657EDF0" w:rsidR="008B7808" w:rsidRDefault="0047681C" w:rsidP="0047681C">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Transfer made on account is one element of a preference under US law. The other four are transfer of an interest of the debtor in property; to or for the benefit of a </w:t>
      </w:r>
      <w:r>
        <w:rPr>
          <w:rFonts w:ascii="Avenir Next" w:hAnsi="Avenir Next"/>
          <w:color w:val="808080" w:themeColor="background1" w:themeShade="80"/>
        </w:rPr>
        <w:lastRenderedPageBreak/>
        <w:t xml:space="preserve">creditor; made while the debtor was insolvent; made during the suspect time and that enables the creditor to receive more than it would in a chapter 7 </w:t>
      </w:r>
      <w:r w:rsidR="00956F12">
        <w:rPr>
          <w:rFonts w:ascii="Avenir Next" w:hAnsi="Avenir Next"/>
          <w:color w:val="808080" w:themeColor="background1" w:themeShade="80"/>
        </w:rPr>
        <w:t>liquidation)</w:t>
      </w:r>
      <w:r>
        <w:rPr>
          <w:rStyle w:val="FootnoteReference"/>
          <w:rFonts w:ascii="Avenir Next" w:hAnsi="Avenir Next"/>
          <w:color w:val="808080" w:themeColor="background1" w:themeShade="80"/>
        </w:rPr>
        <w:footnoteReference w:id="6"/>
      </w:r>
      <w:r>
        <w:rPr>
          <w:rFonts w:ascii="Avenir Next" w:hAnsi="Avenir Next"/>
          <w:color w:val="808080" w:themeColor="background1" w:themeShade="80"/>
        </w:rPr>
        <w:t xml:space="preserve">. </w:t>
      </w:r>
    </w:p>
    <w:p w14:paraId="67A044CE" w14:textId="77777777" w:rsidR="00964A12" w:rsidRDefault="00964A12" w:rsidP="00964A12">
      <w:pPr>
        <w:pStyle w:val="AODocTxt"/>
        <w:spacing w:before="0" w:line="240" w:lineRule="auto"/>
        <w:ind w:left="720"/>
        <w:rPr>
          <w:rFonts w:ascii="Avenir Next" w:hAnsi="Avenir Next"/>
          <w:color w:val="808080" w:themeColor="background1" w:themeShade="80"/>
        </w:rPr>
      </w:pPr>
    </w:p>
    <w:p w14:paraId="623508CB" w14:textId="77777777" w:rsidR="00956F12" w:rsidRDefault="008B7808" w:rsidP="008B7808">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cause of action that </w:t>
      </w:r>
      <w:r w:rsidR="00964A12">
        <w:rPr>
          <w:rFonts w:ascii="Avenir Next" w:hAnsi="Avenir Next"/>
          <w:color w:val="808080" w:themeColor="background1" w:themeShade="80"/>
        </w:rPr>
        <w:t>requires the</w:t>
      </w:r>
      <w:r w:rsidR="00193FE2">
        <w:rPr>
          <w:rFonts w:ascii="Avenir Next" w:hAnsi="Avenir Next"/>
          <w:color w:val="808080" w:themeColor="background1" w:themeShade="80"/>
        </w:rPr>
        <w:t xml:space="preserve"> debtor be presumed or proven to have been insolvent at the time of transfer is </w:t>
      </w:r>
    </w:p>
    <w:p w14:paraId="25A33E24" w14:textId="3DCFFD10" w:rsidR="008B7808" w:rsidRDefault="0047681C" w:rsidP="00956F12">
      <w:pPr>
        <w:pStyle w:val="AODocTxt"/>
        <w:numPr>
          <w:ilvl w:val="1"/>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a preference</w:t>
      </w:r>
      <w:r w:rsidR="00956F12">
        <w:rPr>
          <w:rFonts w:ascii="Avenir Next" w:hAnsi="Avenir Next"/>
          <w:color w:val="808080" w:themeColor="background1" w:themeShade="80"/>
        </w:rPr>
        <w:t xml:space="preserve"> - n</w:t>
      </w:r>
      <w:r>
        <w:rPr>
          <w:rFonts w:ascii="Avenir Next" w:hAnsi="Avenir Next"/>
          <w:color w:val="808080" w:themeColor="background1" w:themeShade="80"/>
        </w:rPr>
        <w:t xml:space="preserve">inety days prior to the petition the debtor is presumed to insolvent for the purposes </w:t>
      </w:r>
      <w:r w:rsidR="00956F12">
        <w:rPr>
          <w:rFonts w:ascii="Avenir Next" w:hAnsi="Avenir Next"/>
          <w:color w:val="808080" w:themeColor="background1" w:themeShade="80"/>
        </w:rPr>
        <w:t>of determining</w:t>
      </w:r>
      <w:r>
        <w:rPr>
          <w:rFonts w:ascii="Avenir Next" w:hAnsi="Avenir Next"/>
          <w:color w:val="808080" w:themeColor="background1" w:themeShade="80"/>
        </w:rPr>
        <w:t xml:space="preserve"> a preference (where this is challenged by a creditor then the </w:t>
      </w:r>
      <w:r w:rsidR="00956F12">
        <w:rPr>
          <w:rFonts w:ascii="Avenir Next" w:hAnsi="Avenir Next"/>
          <w:color w:val="808080" w:themeColor="background1" w:themeShade="80"/>
        </w:rPr>
        <w:t>debtor or trustee must prove balance sheet insolvency)</w:t>
      </w:r>
      <w:r>
        <w:rPr>
          <w:rFonts w:ascii="Avenir Next" w:hAnsi="Avenir Next"/>
          <w:color w:val="808080" w:themeColor="background1" w:themeShade="80"/>
        </w:rPr>
        <w:t xml:space="preserve">. </w:t>
      </w:r>
    </w:p>
    <w:p w14:paraId="4248518D" w14:textId="3CF003CE" w:rsidR="00964A12" w:rsidRPr="00037D6A" w:rsidRDefault="00037D6A" w:rsidP="00C22C47">
      <w:pPr>
        <w:pStyle w:val="AODocTxt"/>
        <w:numPr>
          <w:ilvl w:val="1"/>
          <w:numId w:val="43"/>
        </w:numPr>
        <w:spacing w:before="0" w:line="240" w:lineRule="auto"/>
        <w:rPr>
          <w:rFonts w:ascii="Avenir Next" w:hAnsi="Avenir Next"/>
          <w:color w:val="808080" w:themeColor="background1" w:themeShade="80"/>
        </w:rPr>
      </w:pPr>
      <w:r w:rsidRPr="00037D6A">
        <w:rPr>
          <w:rFonts w:ascii="Avenir Next" w:hAnsi="Avenir Next"/>
          <w:color w:val="808080" w:themeColor="background1" w:themeShade="80"/>
        </w:rPr>
        <w:t>constructive</w:t>
      </w:r>
      <w:r w:rsidR="00956F12" w:rsidRPr="00037D6A">
        <w:rPr>
          <w:rFonts w:ascii="Avenir Next" w:hAnsi="Avenir Next"/>
          <w:color w:val="808080" w:themeColor="background1" w:themeShade="80"/>
        </w:rPr>
        <w:t xml:space="preserve"> fraudulent conveyance – if the debtor was insolvent as the time of transfer (or as a result of the transfer) there may be a cause of action for recovery</w:t>
      </w:r>
      <w:r w:rsidRPr="00037D6A">
        <w:rPr>
          <w:rFonts w:ascii="Avenir Next" w:hAnsi="Avenir Next"/>
          <w:color w:val="808080" w:themeColor="background1" w:themeShade="80"/>
        </w:rPr>
        <w:t xml:space="preserve"> if the debtor value received for the incurrence of an </w:t>
      </w:r>
      <w:r w:rsidR="005D1456" w:rsidRPr="00037D6A">
        <w:rPr>
          <w:rFonts w:ascii="Avenir Next" w:hAnsi="Avenir Next"/>
          <w:color w:val="808080" w:themeColor="background1" w:themeShade="80"/>
        </w:rPr>
        <w:t>obligation</w:t>
      </w:r>
      <w:r w:rsidRPr="00037D6A">
        <w:rPr>
          <w:rFonts w:ascii="Avenir Next" w:hAnsi="Avenir Next"/>
          <w:color w:val="808080" w:themeColor="background1" w:themeShade="80"/>
        </w:rPr>
        <w:t xml:space="preserve"> </w:t>
      </w:r>
      <w:r w:rsidR="005D1456" w:rsidRPr="00037D6A">
        <w:rPr>
          <w:rFonts w:ascii="Avenir Next" w:hAnsi="Avenir Next"/>
          <w:color w:val="808080" w:themeColor="background1" w:themeShade="80"/>
        </w:rPr>
        <w:t>to</w:t>
      </w:r>
      <w:r w:rsidRPr="00037D6A">
        <w:rPr>
          <w:rFonts w:ascii="Avenir Next" w:hAnsi="Avenir Next"/>
          <w:color w:val="808080" w:themeColor="background1" w:themeShade="80"/>
        </w:rPr>
        <w:t xml:space="preserve"> transfer of an asset was unreasonably below the value of that exchanged. </w:t>
      </w:r>
    </w:p>
    <w:p w14:paraId="62CF359A" w14:textId="77777777" w:rsidR="00964A12" w:rsidRDefault="00964A12" w:rsidP="00964A12">
      <w:pPr>
        <w:pStyle w:val="AODocTxt"/>
        <w:spacing w:before="0" w:line="240" w:lineRule="auto"/>
        <w:rPr>
          <w:rFonts w:ascii="Avenir Next" w:hAnsi="Avenir Next"/>
          <w:color w:val="808080" w:themeColor="background1" w:themeShade="80"/>
        </w:rPr>
      </w:pPr>
    </w:p>
    <w:p w14:paraId="6AD868BC" w14:textId="69337AB6" w:rsidR="00956F12" w:rsidRDefault="00193FE2" w:rsidP="008B7808">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cause of action that requires the debtor be proven to have intended to frustrate creditors’ recoveries is</w:t>
      </w:r>
      <w:r w:rsidR="00956F12">
        <w:rPr>
          <w:rFonts w:ascii="Avenir Next" w:hAnsi="Avenir Next"/>
          <w:color w:val="808080" w:themeColor="background1" w:themeShade="80"/>
        </w:rPr>
        <w:t xml:space="preserve"> </w:t>
      </w:r>
      <w:r w:rsidR="008631AD">
        <w:rPr>
          <w:rFonts w:ascii="Avenir Next" w:hAnsi="Avenir Next"/>
          <w:color w:val="808080" w:themeColor="background1" w:themeShade="80"/>
        </w:rPr>
        <w:t xml:space="preserve">an </w:t>
      </w:r>
      <w:r w:rsidR="008631AD">
        <w:rPr>
          <w:rFonts w:ascii="Avenir Next" w:hAnsi="Avenir Next"/>
          <w:color w:val="808080" w:themeColor="background1" w:themeShade="80"/>
        </w:rPr>
        <w:t>actual fraudulent conveyance</w:t>
      </w:r>
      <w:r w:rsidR="008631AD">
        <w:rPr>
          <w:rFonts w:ascii="Avenir Next" w:hAnsi="Avenir Next"/>
          <w:color w:val="808080" w:themeColor="background1" w:themeShade="80"/>
        </w:rPr>
        <w:t xml:space="preserve">. Intent may be circumstantial. The cause of action would be with respect to </w:t>
      </w:r>
      <w:r w:rsidR="008631AD" w:rsidRPr="008631AD">
        <w:rPr>
          <w:rFonts w:ascii="Avenir Next" w:hAnsi="Avenir Next"/>
          <w:i/>
          <w:iCs/>
          <w:color w:val="808080" w:themeColor="background1" w:themeShade="80"/>
        </w:rPr>
        <w:t>inter alia</w:t>
      </w:r>
      <w:r w:rsidR="008631AD">
        <w:rPr>
          <w:rStyle w:val="FootnoteReference"/>
          <w:rFonts w:ascii="Avenir Next" w:hAnsi="Avenir Next"/>
          <w:i/>
          <w:iCs/>
          <w:color w:val="808080" w:themeColor="background1" w:themeShade="80"/>
        </w:rPr>
        <w:footnoteReference w:id="7"/>
      </w:r>
      <w:r w:rsidR="008631AD">
        <w:rPr>
          <w:rFonts w:ascii="Avenir Next" w:hAnsi="Avenir Next"/>
          <w:color w:val="808080" w:themeColor="background1" w:themeShade="80"/>
        </w:rPr>
        <w:t>:</w:t>
      </w:r>
    </w:p>
    <w:p w14:paraId="63601219" w14:textId="6A9CE584"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Transfer/obligation made to an insider</w:t>
      </w:r>
    </w:p>
    <w:p w14:paraId="2653F31D" w14:textId="3C0C0131"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Retention of possession or control of the property after the transfer</w:t>
      </w:r>
    </w:p>
    <w:p w14:paraId="3066ECB6" w14:textId="1F73121B"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Transfer/obligation was disclosed or concealed</w:t>
      </w:r>
    </w:p>
    <w:p w14:paraId="02DF0807" w14:textId="27E26500"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Before the transfer was made or obligation was incurred, the debtor had been sued or threatened with a suit</w:t>
      </w:r>
    </w:p>
    <w:p w14:paraId="2391B79F" w14:textId="2F0E4D70"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Transfer of substantially all of the debtor’s assets</w:t>
      </w:r>
    </w:p>
    <w:p w14:paraId="4CB1567C" w14:textId="6357BB28"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Absconding of the debtor</w:t>
      </w:r>
    </w:p>
    <w:p w14:paraId="07F9ED6B" w14:textId="6B70C591"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Removal or concealment of the assets by the debtor</w:t>
      </w:r>
    </w:p>
    <w:p w14:paraId="316781E8" w14:textId="48503671"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Value of the consideration received by the debtor was not reasonably equivalent to the value of the asset transferred or the amount of the obligation incurred</w:t>
      </w:r>
    </w:p>
    <w:p w14:paraId="13022F0E" w14:textId="64D9ECA1"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debtor was insolvent or became insolvent shortly after the transfer was mode or obligation was incurred</w:t>
      </w:r>
    </w:p>
    <w:p w14:paraId="4B5AD21D" w14:textId="0533B55D"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transfer occurred before or shortly after a substantial debt was incurred, and </w:t>
      </w:r>
    </w:p>
    <w:p w14:paraId="33672493" w14:textId="19E2865D" w:rsidR="008631AD" w:rsidRDefault="008631AD" w:rsidP="008631AD">
      <w:pPr>
        <w:pStyle w:val="AODocTxt"/>
        <w:numPr>
          <w:ilvl w:val="0"/>
          <w:numId w:val="4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debtor transfers the essential assets of the business to a lienor that transferred the assets to an insider of the debt.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3B2FD20F" w14:textId="6379F055" w:rsidR="00193FE2" w:rsidRDefault="00193FE2" w:rsidP="00193FE2">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circumstances in which a bankruptcy court may enter a final order consistent with the US Constitution are </w:t>
      </w:r>
      <w:r w:rsidR="0049537D">
        <w:rPr>
          <w:rFonts w:ascii="Avenir Next" w:hAnsi="Avenir Next"/>
          <w:color w:val="808080" w:themeColor="background1" w:themeShade="80"/>
        </w:rPr>
        <w:t xml:space="preserve">limited and generally only on core bankruptcy issues. This is because bankruptcy courts are not created by Article III of the US Constitution so are not part of the federal system but legislatively created by powers granted to congress. Following the decisions of the US Supreme Court this </w:t>
      </w:r>
      <w:r w:rsidR="003619E6">
        <w:rPr>
          <w:rFonts w:ascii="Avenir Next" w:hAnsi="Avenir Next"/>
          <w:color w:val="808080" w:themeColor="background1" w:themeShade="80"/>
        </w:rPr>
        <w:t xml:space="preserve">prevents judges not appointed under Article III from exercising jurisdiction over matters subject to Article III. </w:t>
      </w:r>
      <w:r w:rsidR="0049537D">
        <w:rPr>
          <w:rFonts w:ascii="Avenir Next" w:hAnsi="Avenir Next"/>
          <w:color w:val="808080" w:themeColor="background1" w:themeShade="80"/>
        </w:rPr>
        <w:t>This Core bankruptcy issues</w:t>
      </w:r>
      <w:r w:rsidR="003619E6">
        <w:rPr>
          <w:rFonts w:ascii="Avenir Next" w:hAnsi="Avenir Next"/>
          <w:color w:val="808080" w:themeColor="background1" w:themeShade="80"/>
        </w:rPr>
        <w:t>, per statute 11 USC §157(b)(2),</w:t>
      </w:r>
      <w:r w:rsidR="0049537D">
        <w:rPr>
          <w:rFonts w:ascii="Avenir Next" w:hAnsi="Avenir Next"/>
          <w:color w:val="808080" w:themeColor="background1" w:themeShade="80"/>
        </w:rPr>
        <w:t xml:space="preserve"> include </w:t>
      </w:r>
      <w:r w:rsidR="0049537D" w:rsidRPr="0049537D">
        <w:rPr>
          <w:rFonts w:ascii="Avenir Next" w:hAnsi="Avenir Next"/>
          <w:i/>
          <w:iCs/>
          <w:color w:val="808080" w:themeColor="background1" w:themeShade="80"/>
        </w:rPr>
        <w:t>inter alia</w:t>
      </w:r>
      <w:r w:rsidR="0049537D">
        <w:rPr>
          <w:rFonts w:ascii="Avenir Next" w:hAnsi="Avenir Next"/>
          <w:color w:val="808080" w:themeColor="background1" w:themeShade="80"/>
        </w:rPr>
        <w:t xml:space="preserve"> </w:t>
      </w:r>
    </w:p>
    <w:p w14:paraId="3863DAAC" w14:textId="0161B3E3" w:rsidR="0049537D" w:rsidRDefault="003619E6" w:rsidP="003619E6">
      <w:pPr>
        <w:pStyle w:val="AODocTxt"/>
        <w:numPr>
          <w:ilvl w:val="3"/>
          <w:numId w:val="44"/>
        </w:numPr>
        <w:spacing w:before="0" w:line="240" w:lineRule="auto"/>
        <w:ind w:left="1985" w:hanging="567"/>
        <w:rPr>
          <w:rFonts w:ascii="Avenir Next" w:hAnsi="Avenir Next"/>
          <w:color w:val="808080" w:themeColor="background1" w:themeShade="80"/>
        </w:rPr>
      </w:pPr>
      <w:r>
        <w:rPr>
          <w:rFonts w:ascii="Avenir Next" w:hAnsi="Avenir Next"/>
          <w:color w:val="808080" w:themeColor="background1" w:themeShade="80"/>
        </w:rPr>
        <w:t>Matters concerning the administration of the estate</w:t>
      </w:r>
    </w:p>
    <w:p w14:paraId="2B83D401" w14:textId="5C0B1620" w:rsidR="003619E6" w:rsidRDefault="003619E6" w:rsidP="003619E6">
      <w:pPr>
        <w:pStyle w:val="AODocTxt"/>
        <w:numPr>
          <w:ilvl w:val="3"/>
          <w:numId w:val="44"/>
        </w:numPr>
        <w:spacing w:before="0" w:line="240" w:lineRule="auto"/>
        <w:ind w:left="1985" w:hanging="567"/>
        <w:rPr>
          <w:rFonts w:ascii="Avenir Next" w:hAnsi="Avenir Next"/>
          <w:color w:val="808080" w:themeColor="background1" w:themeShade="80"/>
        </w:rPr>
      </w:pPr>
      <w:r>
        <w:rPr>
          <w:rFonts w:ascii="Avenir Next" w:hAnsi="Avenir Next"/>
          <w:color w:val="808080" w:themeColor="background1" w:themeShade="80"/>
        </w:rPr>
        <w:t>Counterclaims by the estate against person filing claims in the estate</w:t>
      </w:r>
    </w:p>
    <w:p w14:paraId="5A9CF141" w14:textId="1E62C17C" w:rsidR="003619E6" w:rsidRDefault="003619E6" w:rsidP="003619E6">
      <w:pPr>
        <w:pStyle w:val="AODocTxt"/>
        <w:numPr>
          <w:ilvl w:val="3"/>
          <w:numId w:val="44"/>
        </w:numPr>
        <w:spacing w:before="0" w:line="240" w:lineRule="auto"/>
        <w:ind w:left="1985" w:hanging="567"/>
        <w:rPr>
          <w:rFonts w:ascii="Avenir Next" w:hAnsi="Avenir Next"/>
          <w:color w:val="808080" w:themeColor="background1" w:themeShade="80"/>
        </w:rPr>
      </w:pPr>
      <w:r>
        <w:rPr>
          <w:rFonts w:ascii="Avenir Next" w:hAnsi="Avenir Next"/>
          <w:color w:val="808080" w:themeColor="background1" w:themeShade="80"/>
        </w:rPr>
        <w:t>Orders in respect of obtaining credit</w:t>
      </w:r>
    </w:p>
    <w:p w14:paraId="60FD4BC4" w14:textId="1F4F8688" w:rsidR="003619E6" w:rsidRDefault="003619E6" w:rsidP="003619E6">
      <w:pPr>
        <w:pStyle w:val="AODocTxt"/>
        <w:numPr>
          <w:ilvl w:val="3"/>
          <w:numId w:val="44"/>
        </w:numPr>
        <w:spacing w:before="0" w:line="240" w:lineRule="auto"/>
        <w:ind w:left="1985" w:hanging="567"/>
        <w:rPr>
          <w:rFonts w:ascii="Avenir Next" w:hAnsi="Avenir Next"/>
          <w:color w:val="808080" w:themeColor="background1" w:themeShade="80"/>
        </w:rPr>
      </w:pPr>
      <w:r>
        <w:rPr>
          <w:rFonts w:ascii="Avenir Next" w:hAnsi="Avenir Next"/>
          <w:color w:val="808080" w:themeColor="background1" w:themeShade="80"/>
        </w:rPr>
        <w:t>Objections to discharges</w:t>
      </w:r>
    </w:p>
    <w:p w14:paraId="286E9CE6" w14:textId="281DC655" w:rsidR="003619E6" w:rsidRDefault="003619E6" w:rsidP="003619E6">
      <w:pPr>
        <w:pStyle w:val="AODocTxt"/>
        <w:numPr>
          <w:ilvl w:val="3"/>
          <w:numId w:val="44"/>
        </w:numPr>
        <w:spacing w:before="0" w:line="240" w:lineRule="auto"/>
        <w:ind w:left="1985" w:hanging="567"/>
        <w:rPr>
          <w:rFonts w:ascii="Avenir Next" w:hAnsi="Avenir Next"/>
          <w:color w:val="808080" w:themeColor="background1" w:themeShade="80"/>
        </w:rPr>
      </w:pPr>
      <w:r>
        <w:rPr>
          <w:rFonts w:ascii="Avenir Next" w:hAnsi="Avenir Next"/>
          <w:color w:val="808080" w:themeColor="background1" w:themeShade="80"/>
        </w:rPr>
        <w:t>Conformation of plans</w:t>
      </w:r>
    </w:p>
    <w:p w14:paraId="700AC046" w14:textId="6B5FFA25" w:rsidR="003619E6" w:rsidRDefault="003619E6" w:rsidP="003619E6">
      <w:pPr>
        <w:pStyle w:val="AODocTxt"/>
        <w:numPr>
          <w:ilvl w:val="3"/>
          <w:numId w:val="44"/>
        </w:numPr>
        <w:spacing w:before="0" w:line="240" w:lineRule="auto"/>
        <w:ind w:left="1985" w:hanging="567"/>
        <w:rPr>
          <w:rFonts w:ascii="Avenir Next" w:hAnsi="Avenir Next"/>
          <w:color w:val="808080" w:themeColor="background1" w:themeShade="80"/>
        </w:rPr>
      </w:pPr>
      <w:r>
        <w:rPr>
          <w:rFonts w:ascii="Avenir Next" w:hAnsi="Avenir Next"/>
          <w:color w:val="808080" w:themeColor="background1" w:themeShade="80"/>
        </w:rPr>
        <w:t>Determinations of the validity, extent or priority of liens</w:t>
      </w:r>
    </w:p>
    <w:p w14:paraId="57CED348" w14:textId="2732412A" w:rsidR="003619E6" w:rsidRDefault="003619E6" w:rsidP="003619E6">
      <w:pPr>
        <w:pStyle w:val="AODocTxt"/>
        <w:numPr>
          <w:ilvl w:val="3"/>
          <w:numId w:val="44"/>
        </w:numPr>
        <w:spacing w:before="0" w:line="240" w:lineRule="auto"/>
        <w:ind w:left="1985" w:hanging="567"/>
        <w:rPr>
          <w:rFonts w:ascii="Avenir Next" w:hAnsi="Avenir Next"/>
          <w:color w:val="808080" w:themeColor="background1" w:themeShade="80"/>
        </w:rPr>
      </w:pPr>
      <w:r>
        <w:rPr>
          <w:rFonts w:ascii="Avenir Next" w:hAnsi="Avenir Next"/>
          <w:color w:val="808080" w:themeColor="background1" w:themeShade="80"/>
        </w:rPr>
        <w:t xml:space="preserve">Recognition of foreign proceedings and other matters under chapter 15 of title 11. </w:t>
      </w:r>
    </w:p>
    <w:p w14:paraId="222D7333" w14:textId="77777777" w:rsidR="00053CAE" w:rsidRDefault="00053CAE" w:rsidP="00EF7209">
      <w:pPr>
        <w:pStyle w:val="AODocTxt"/>
        <w:spacing w:before="0" w:line="240" w:lineRule="auto"/>
        <w:rPr>
          <w:rFonts w:ascii="Avenir Next" w:hAnsi="Avenir Next"/>
          <w:color w:val="808080" w:themeColor="background1" w:themeShade="80"/>
        </w:rPr>
      </w:pPr>
    </w:p>
    <w:p w14:paraId="64D24C70" w14:textId="1BE51061" w:rsidR="00EF7209" w:rsidRDefault="00EF7209" w:rsidP="00222252">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It also includes the ability to issue a final order on motion challenging a petition’s validity but any final order cannot invade Article III jurisdiction</w:t>
      </w:r>
      <w:r>
        <w:rPr>
          <w:rStyle w:val="FootnoteReference"/>
          <w:rFonts w:ascii="Avenir Next" w:hAnsi="Avenir Next"/>
          <w:color w:val="808080" w:themeColor="background1" w:themeShade="80"/>
        </w:rPr>
        <w:footnoteReference w:id="8"/>
      </w:r>
      <w:r>
        <w:rPr>
          <w:rFonts w:ascii="Avenir Next" w:hAnsi="Avenir Next"/>
          <w:color w:val="808080" w:themeColor="background1" w:themeShade="80"/>
        </w:rPr>
        <w:t>. They can issue final orders with the consent of the parties</w:t>
      </w:r>
      <w:r>
        <w:rPr>
          <w:rStyle w:val="FootnoteReference"/>
          <w:rFonts w:ascii="Avenir Next" w:hAnsi="Avenir Next"/>
          <w:color w:val="808080" w:themeColor="background1" w:themeShade="80"/>
        </w:rPr>
        <w:footnoteReference w:id="9"/>
      </w:r>
      <w:r>
        <w:rPr>
          <w:rFonts w:ascii="Avenir Next" w:hAnsi="Avenir Next"/>
          <w:color w:val="808080" w:themeColor="background1" w:themeShade="80"/>
        </w:rPr>
        <w:t>.</w:t>
      </w:r>
    </w:p>
    <w:p w14:paraId="7F3538A5" w14:textId="77777777" w:rsidR="00EF7209" w:rsidRDefault="00EF7209" w:rsidP="00222252">
      <w:pPr>
        <w:pStyle w:val="AODocTxt"/>
        <w:spacing w:before="0" w:line="240" w:lineRule="auto"/>
        <w:ind w:left="1134"/>
        <w:rPr>
          <w:rFonts w:ascii="Avenir Next" w:hAnsi="Avenir Next"/>
          <w:color w:val="808080" w:themeColor="background1" w:themeShade="80"/>
        </w:rPr>
      </w:pPr>
    </w:p>
    <w:p w14:paraId="2F99E46C" w14:textId="72CB602B" w:rsidR="00222252" w:rsidRDefault="00222252" w:rsidP="00222252">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 xml:space="preserve">If the bankruptcy court hears non-core matters any proposed findings of fact and conclusions of law are submitted to the district court for a final decision (assuming interested parties do not object). </w:t>
      </w:r>
    </w:p>
    <w:p w14:paraId="3C64CD6C" w14:textId="3DDCCEC3" w:rsidR="00222252" w:rsidRDefault="00222252" w:rsidP="00222252">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 xml:space="preserve"> </w:t>
      </w:r>
    </w:p>
    <w:p w14:paraId="2B4C2965" w14:textId="77777777" w:rsidR="00053CAE" w:rsidRDefault="00193FE2" w:rsidP="00193FE2">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appeals of the bankruptcy court orders </w:t>
      </w:r>
      <w:r w:rsidR="003619E6">
        <w:rPr>
          <w:rFonts w:ascii="Avenir Next" w:hAnsi="Avenir Next"/>
          <w:color w:val="808080" w:themeColor="background1" w:themeShade="80"/>
        </w:rPr>
        <w:t>are generally reviewed by</w:t>
      </w:r>
      <w:r>
        <w:rPr>
          <w:rFonts w:ascii="Avenir Next" w:hAnsi="Avenir Next"/>
          <w:color w:val="808080" w:themeColor="background1" w:themeShade="80"/>
        </w:rPr>
        <w:t xml:space="preserve"> </w:t>
      </w:r>
      <w:r w:rsidR="003619E6">
        <w:rPr>
          <w:rFonts w:ascii="Avenir Next" w:hAnsi="Avenir Next"/>
          <w:color w:val="808080" w:themeColor="background1" w:themeShade="80"/>
        </w:rPr>
        <w:t>the district court for the district to which they sit</w:t>
      </w:r>
      <w:r w:rsidR="00053CAE">
        <w:rPr>
          <w:rFonts w:ascii="Avenir Next" w:hAnsi="Avenir Next"/>
          <w:color w:val="808080" w:themeColor="background1" w:themeShade="80"/>
        </w:rPr>
        <w:t xml:space="preserve"> and will be reviewed by a randomly assigned judge. </w:t>
      </w:r>
      <w:r w:rsidR="003619E6">
        <w:rPr>
          <w:rFonts w:ascii="Avenir Next" w:hAnsi="Avenir Next"/>
          <w:color w:val="808080" w:themeColor="background1" w:themeShade="80"/>
        </w:rPr>
        <w:t xml:space="preserve"> </w:t>
      </w:r>
    </w:p>
    <w:p w14:paraId="6A32822E" w14:textId="77777777" w:rsidR="00053CAE" w:rsidRDefault="00053CAE" w:rsidP="00053CAE">
      <w:pPr>
        <w:pStyle w:val="AODocTxt"/>
        <w:spacing w:before="0" w:line="240" w:lineRule="auto"/>
        <w:ind w:left="1080"/>
        <w:rPr>
          <w:rFonts w:ascii="Avenir Next" w:hAnsi="Avenir Next"/>
          <w:color w:val="808080" w:themeColor="background1" w:themeShade="80"/>
        </w:rPr>
      </w:pPr>
    </w:p>
    <w:p w14:paraId="2FC70942" w14:textId="60A3D2A2" w:rsidR="00193FE2" w:rsidRDefault="003619E6" w:rsidP="00053CAE">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For the First, Sixth, Eighth, Ninth and Tenth Circuits </w:t>
      </w:r>
      <w:r w:rsidR="00053CAE">
        <w:rPr>
          <w:rFonts w:ascii="Avenir Next" w:hAnsi="Avenir Next"/>
          <w:color w:val="808080" w:themeColor="background1" w:themeShade="80"/>
        </w:rPr>
        <w:t xml:space="preserve">decisions are reviewed by </w:t>
      </w:r>
      <w:r>
        <w:rPr>
          <w:rFonts w:ascii="Avenir Next" w:hAnsi="Avenir Next"/>
          <w:color w:val="808080" w:themeColor="background1" w:themeShade="80"/>
        </w:rPr>
        <w:t>a Bankruptcy Appellate Pane</w:t>
      </w:r>
      <w:r w:rsidR="00053CAE">
        <w:rPr>
          <w:rFonts w:ascii="Avenir Next" w:hAnsi="Avenir Next"/>
          <w:color w:val="808080" w:themeColor="background1" w:themeShade="80"/>
        </w:rPr>
        <w:t xml:space="preserve"> (BAP), which is a panel of bankruptcy judges within the circuit</w:t>
      </w:r>
      <w:r>
        <w:rPr>
          <w:rFonts w:ascii="Avenir Next" w:hAnsi="Avenir Next"/>
          <w:color w:val="808080" w:themeColor="background1" w:themeShade="80"/>
        </w:rPr>
        <w:t>.</w:t>
      </w:r>
      <w:r w:rsidR="00053CAE">
        <w:rPr>
          <w:rFonts w:ascii="Avenir Next" w:hAnsi="Avenir Next"/>
          <w:color w:val="808080" w:themeColor="background1" w:themeShade="80"/>
        </w:rPr>
        <w:t xml:space="preserve"> There is an option, however, in these circuits for the appeal to be heard by the district court.</w:t>
      </w:r>
    </w:p>
    <w:p w14:paraId="00439DF8" w14:textId="77777777" w:rsidR="00053CAE" w:rsidRDefault="00053CAE" w:rsidP="00053CAE">
      <w:pPr>
        <w:pStyle w:val="AODocTxt"/>
        <w:spacing w:before="0" w:line="240" w:lineRule="auto"/>
        <w:ind w:left="1080"/>
        <w:rPr>
          <w:rFonts w:ascii="Avenir Next" w:hAnsi="Avenir Next"/>
          <w:color w:val="808080" w:themeColor="background1" w:themeShade="80"/>
        </w:rPr>
      </w:pPr>
    </w:p>
    <w:p w14:paraId="6F522826" w14:textId="25E8415F" w:rsidR="00037D6A" w:rsidRDefault="00053CAE" w:rsidP="00053CAE">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In circumstances were the initial order that permitted an appeal of right the </w:t>
      </w:r>
      <w:r w:rsidRPr="00037D6A">
        <w:rPr>
          <w:rFonts w:ascii="Avenir Next" w:hAnsi="Avenir Next"/>
          <w:color w:val="808080" w:themeColor="background1" w:themeShade="80"/>
        </w:rPr>
        <w:t xml:space="preserve">further appeal of right would be to the circuit court of appeals. It is possible </w:t>
      </w:r>
      <w:r w:rsidR="00152E44" w:rsidRPr="00037D6A">
        <w:rPr>
          <w:rFonts w:ascii="Avenir Next" w:hAnsi="Avenir Next"/>
          <w:color w:val="808080" w:themeColor="background1" w:themeShade="80"/>
        </w:rPr>
        <w:t xml:space="preserve">in certain circumstances, included in where an appeal may advance the case, for the appeal to be made directly to the court of appeals but this is discretionary and not an automatic right. </w:t>
      </w:r>
      <w:r w:rsidRPr="00037D6A">
        <w:rPr>
          <w:rFonts w:ascii="Avenir Next" w:hAnsi="Avenir Next"/>
          <w:color w:val="808080" w:themeColor="background1" w:themeShade="80"/>
        </w:rPr>
        <w:t xml:space="preserve"> </w:t>
      </w:r>
      <w:r w:rsidR="00037D6A" w:rsidRPr="00037D6A">
        <w:rPr>
          <w:rFonts w:ascii="Avenir Next" w:hAnsi="Avenir Next"/>
          <w:color w:val="808080" w:themeColor="background1" w:themeShade="80"/>
        </w:rPr>
        <w:t>It is necessary in these circumstances for the</w:t>
      </w:r>
      <w:r w:rsidR="00037D6A">
        <w:rPr>
          <w:rFonts w:ascii="Avenir Next" w:hAnsi="Avenir Next"/>
          <w:color w:val="808080" w:themeColor="background1" w:themeShade="80"/>
        </w:rPr>
        <w:t xml:space="preserve"> bankruptcy court or the district court to certify one of two things</w:t>
      </w:r>
      <w:r w:rsidR="00037D6A">
        <w:rPr>
          <w:rStyle w:val="FootnoteReference"/>
          <w:rFonts w:ascii="Avenir Next" w:hAnsi="Avenir Next"/>
          <w:color w:val="808080" w:themeColor="background1" w:themeShade="80"/>
        </w:rPr>
        <w:footnoteReference w:id="10"/>
      </w:r>
      <w:r w:rsidR="00037D6A">
        <w:rPr>
          <w:rFonts w:ascii="Avenir Next" w:hAnsi="Avenir Next"/>
          <w:color w:val="808080" w:themeColor="background1" w:themeShade="80"/>
        </w:rPr>
        <w:t xml:space="preserve">: </w:t>
      </w:r>
    </w:p>
    <w:p w14:paraId="26E1F725" w14:textId="12D5A6F0" w:rsidR="00053CAE" w:rsidRDefault="00037D6A" w:rsidP="00037D6A">
      <w:pPr>
        <w:pStyle w:val="AODocTxt"/>
        <w:numPr>
          <w:ilvl w:val="0"/>
          <w:numId w:val="50"/>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the appeal raises a question of law and there is no controlling decision by the US Supreme Court or the circuit, or there are conflicting controlling decisions that need to be resolved,</w:t>
      </w:r>
    </w:p>
    <w:p w14:paraId="706499CE" w14:textId="77777777" w:rsidR="00037D6A" w:rsidRDefault="00037D6A" w:rsidP="00037D6A">
      <w:pPr>
        <w:pStyle w:val="AODocTxt"/>
        <w:spacing w:before="0" w:line="240" w:lineRule="auto"/>
        <w:ind w:left="1800"/>
        <w:rPr>
          <w:rFonts w:ascii="Avenir Next" w:hAnsi="Avenir Next"/>
          <w:color w:val="808080" w:themeColor="background1" w:themeShade="80"/>
        </w:rPr>
      </w:pPr>
    </w:p>
    <w:p w14:paraId="5A73DAC6" w14:textId="1748A7B6" w:rsidR="00037D6A" w:rsidRDefault="00037D6A" w:rsidP="00037D6A">
      <w:pPr>
        <w:pStyle w:val="AODocTxt"/>
        <w:spacing w:before="0" w:line="240" w:lineRule="auto"/>
        <w:ind w:left="1800"/>
        <w:rPr>
          <w:rFonts w:ascii="Avenir Next" w:hAnsi="Avenir Next"/>
          <w:color w:val="808080" w:themeColor="background1" w:themeShade="80"/>
        </w:rPr>
      </w:pPr>
      <w:r>
        <w:rPr>
          <w:rFonts w:ascii="Avenir Next" w:hAnsi="Avenir Next"/>
          <w:color w:val="808080" w:themeColor="background1" w:themeShade="80"/>
        </w:rPr>
        <w:t>or</w:t>
      </w:r>
    </w:p>
    <w:p w14:paraId="257CF2AA" w14:textId="77777777" w:rsidR="00037D6A" w:rsidRDefault="00037D6A" w:rsidP="00037D6A">
      <w:pPr>
        <w:pStyle w:val="AODocTxt"/>
        <w:spacing w:before="0" w:line="240" w:lineRule="auto"/>
        <w:ind w:left="1800"/>
        <w:rPr>
          <w:rFonts w:ascii="Avenir Next" w:hAnsi="Avenir Next"/>
          <w:color w:val="808080" w:themeColor="background1" w:themeShade="80"/>
        </w:rPr>
      </w:pPr>
    </w:p>
    <w:p w14:paraId="149400FA" w14:textId="786206E5" w:rsidR="00037D6A" w:rsidRDefault="00037D6A" w:rsidP="00037D6A">
      <w:pPr>
        <w:pStyle w:val="AODocTxt"/>
        <w:numPr>
          <w:ilvl w:val="0"/>
          <w:numId w:val="50"/>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by affecting an immediate appeal the case would be advanced (materially). </w:t>
      </w:r>
    </w:p>
    <w:p w14:paraId="54A91283" w14:textId="77777777" w:rsidR="00053CAE" w:rsidRDefault="00053CAE" w:rsidP="00053CAE">
      <w:pPr>
        <w:pStyle w:val="AODocTxt"/>
        <w:spacing w:before="0" w:line="240" w:lineRule="auto"/>
        <w:ind w:left="1080"/>
        <w:rPr>
          <w:rFonts w:ascii="Avenir Next" w:hAnsi="Avenir Next"/>
          <w:color w:val="808080" w:themeColor="background1" w:themeShade="80"/>
        </w:rPr>
      </w:pPr>
    </w:p>
    <w:p w14:paraId="61D031B6" w14:textId="63A392C2" w:rsidR="00193FE2" w:rsidRDefault="00193FE2" w:rsidP="00193FE2">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Order that are not constitutionally final are reviewed by </w:t>
      </w:r>
      <w:r w:rsidR="00152E44">
        <w:rPr>
          <w:rFonts w:ascii="Avenir Next" w:hAnsi="Avenir Next"/>
          <w:color w:val="808080" w:themeColor="background1" w:themeShade="80"/>
        </w:rPr>
        <w:t>the district court or BAP.</w:t>
      </w:r>
      <w:r w:rsidR="002F168D">
        <w:rPr>
          <w:rFonts w:ascii="Avenir Next" w:hAnsi="Avenir Next"/>
          <w:color w:val="808080" w:themeColor="background1" w:themeShade="80"/>
        </w:rPr>
        <w:t xml:space="preserve"> </w:t>
      </w:r>
      <w:r w:rsidR="00152E44">
        <w:rPr>
          <w:rFonts w:ascii="Avenir Next" w:hAnsi="Avenir Next"/>
          <w:color w:val="808080" w:themeColor="background1" w:themeShade="80"/>
        </w:rPr>
        <w:t xml:space="preserve">This is a </w:t>
      </w:r>
      <w:r w:rsidR="00152E44" w:rsidRPr="00152E44">
        <w:rPr>
          <w:rFonts w:ascii="Avenir Next" w:hAnsi="Avenir Next"/>
          <w:i/>
          <w:iCs/>
          <w:color w:val="808080" w:themeColor="background1" w:themeShade="80"/>
        </w:rPr>
        <w:t>de novo</w:t>
      </w:r>
      <w:r w:rsidR="00152E44">
        <w:rPr>
          <w:rFonts w:ascii="Avenir Next" w:hAnsi="Avenir Next"/>
          <w:color w:val="808080" w:themeColor="background1" w:themeShade="80"/>
        </w:rPr>
        <w:t xml:space="preserve"> review of all conclusions of law and findings of fact that have been objected to. </w:t>
      </w:r>
    </w:p>
    <w:p w14:paraId="218A30F5" w14:textId="77777777" w:rsidR="002F168D" w:rsidRDefault="002F168D" w:rsidP="002F168D">
      <w:pPr>
        <w:pStyle w:val="AODocTxt"/>
        <w:spacing w:before="0" w:line="240" w:lineRule="auto"/>
        <w:rPr>
          <w:rFonts w:ascii="Avenir Next" w:hAnsi="Avenir Next"/>
          <w:color w:val="808080" w:themeColor="background1" w:themeShade="80"/>
        </w:rPr>
      </w:pPr>
    </w:p>
    <w:p w14:paraId="005C08B7" w14:textId="44F30E13" w:rsidR="002F168D" w:rsidRDefault="002F168D" w:rsidP="002F168D">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Interlocutory orders (i.e. orders that only partially resolve the issues or claims) may only be appealed with the leave of the appellate court.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1942D23D" w14:textId="6E249384" w:rsidR="00053CAE" w:rsidRDefault="00053CA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provision of the Bankruptcy Code that may not be invoked by a foreign representative in a chapter proceeding are</w:t>
      </w:r>
      <w:r w:rsidR="008367FC">
        <w:rPr>
          <w:rFonts w:ascii="Avenir Next" w:hAnsi="Avenir Next"/>
          <w:color w:val="808080" w:themeColor="background1" w:themeShade="80"/>
        </w:rPr>
        <w:t xml:space="preserve"> the use of the avoidance powers with respect to preferences and fraudulent conveyances.</w:t>
      </w:r>
    </w:p>
    <w:p w14:paraId="096AF149" w14:textId="77777777" w:rsidR="00053CAE" w:rsidRDefault="00053CAE" w:rsidP="001D3BAA">
      <w:pPr>
        <w:pStyle w:val="AODocTxt"/>
        <w:spacing w:before="0" w:line="240" w:lineRule="auto"/>
        <w:rPr>
          <w:rFonts w:ascii="Avenir Next" w:hAnsi="Avenir Next"/>
          <w:color w:val="808080" w:themeColor="background1" w:themeShade="80"/>
        </w:rPr>
      </w:pPr>
    </w:p>
    <w:p w14:paraId="43F81218" w14:textId="77777777" w:rsidR="008B19C8" w:rsidRDefault="00053CA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two ways a foreign representative can obtain equivalent relief are</w:t>
      </w:r>
      <w:r w:rsidR="000E7B49">
        <w:rPr>
          <w:rFonts w:ascii="Avenir Next" w:hAnsi="Avenir Next"/>
          <w:color w:val="808080" w:themeColor="background1" w:themeShade="80"/>
        </w:rPr>
        <w:t xml:space="preserve"> to</w:t>
      </w:r>
      <w:r w:rsidR="008B19C8">
        <w:rPr>
          <w:rFonts w:ascii="Avenir Next" w:hAnsi="Avenir Next"/>
          <w:color w:val="808080" w:themeColor="background1" w:themeShade="80"/>
        </w:rPr>
        <w:t>:</w:t>
      </w:r>
    </w:p>
    <w:p w14:paraId="7BA23B3B" w14:textId="765B8556" w:rsidR="00053CAE" w:rsidRDefault="000E7B49" w:rsidP="008B19C8">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invoke the Bankruptcy Code avoidance powers in a plenary proceeding. </w:t>
      </w:r>
      <w:r w:rsidR="001B236E">
        <w:rPr>
          <w:rFonts w:ascii="Avenir Next" w:hAnsi="Avenir Next"/>
          <w:color w:val="808080" w:themeColor="background1" w:themeShade="80"/>
        </w:rPr>
        <w:t xml:space="preserve">A foreign representative may commence an involuntary chapter 7 or chapter 11 petition against the debtor. </w:t>
      </w:r>
      <w:r>
        <w:rPr>
          <w:rFonts w:ascii="Avenir Next" w:hAnsi="Avenir Next"/>
          <w:color w:val="808080" w:themeColor="background1" w:themeShade="80"/>
        </w:rPr>
        <w:t>This would be under chapter 7 or chapter 11 of the Bankruptcy Code</w:t>
      </w:r>
      <w:r w:rsidR="008B19C8">
        <w:rPr>
          <w:rFonts w:ascii="Avenir Next" w:hAnsi="Avenir Next"/>
          <w:color w:val="808080" w:themeColor="background1" w:themeShade="80"/>
        </w:rPr>
        <w:t xml:space="preserve">. </w:t>
      </w:r>
      <w:r w:rsidR="001B236E">
        <w:rPr>
          <w:rFonts w:ascii="Avenir Next" w:hAnsi="Avenir Next"/>
          <w:color w:val="808080" w:themeColor="background1" w:themeShade="80"/>
        </w:rPr>
        <w:t xml:space="preserve">Both of these codes grant avoidance </w:t>
      </w:r>
      <w:r w:rsidR="00222252">
        <w:rPr>
          <w:rFonts w:ascii="Avenir Next" w:hAnsi="Avenir Next"/>
          <w:color w:val="808080" w:themeColor="background1" w:themeShade="80"/>
        </w:rPr>
        <w:t>powers</w:t>
      </w:r>
      <w:r w:rsidR="001B236E">
        <w:rPr>
          <w:rFonts w:ascii="Avenir Next" w:hAnsi="Avenir Next"/>
          <w:color w:val="808080" w:themeColor="background1" w:themeShade="80"/>
        </w:rPr>
        <w:t xml:space="preserve"> with respect to preferences and fraudulent conveyances. </w:t>
      </w:r>
    </w:p>
    <w:p w14:paraId="000D477F" w14:textId="1994235B" w:rsidR="001B236E" w:rsidRPr="00281946" w:rsidRDefault="008B19C8" w:rsidP="000778B1">
      <w:pPr>
        <w:pStyle w:val="AODocTxt"/>
        <w:numPr>
          <w:ilvl w:val="0"/>
          <w:numId w:val="45"/>
        </w:numPr>
        <w:spacing w:before="0" w:line="240" w:lineRule="auto"/>
        <w:rPr>
          <w:rFonts w:ascii="Avenir Next" w:hAnsi="Avenir Next"/>
          <w:color w:val="808080" w:themeColor="background1" w:themeShade="80"/>
        </w:rPr>
      </w:pPr>
      <w:r w:rsidRPr="008B19C8">
        <w:rPr>
          <w:rFonts w:ascii="Avenir Next" w:hAnsi="Avenir Next"/>
          <w:color w:val="808080" w:themeColor="background1" w:themeShade="80"/>
        </w:rPr>
        <w:t>avoid pre-petition transactions under other applicable foreign or US law</w:t>
      </w:r>
      <w:r w:rsidR="00B94634">
        <w:rPr>
          <w:rStyle w:val="FootnoteReference"/>
          <w:rFonts w:ascii="Avenir Next" w:hAnsi="Avenir Next"/>
          <w:color w:val="808080" w:themeColor="background1" w:themeShade="80"/>
        </w:rPr>
        <w:footnoteReference w:id="11"/>
      </w:r>
      <w:r w:rsidRPr="008B19C8">
        <w:rPr>
          <w:rFonts w:ascii="Avenir Next" w:hAnsi="Avenir Next"/>
          <w:color w:val="808080" w:themeColor="background1" w:themeShade="80"/>
        </w:rPr>
        <w:t xml:space="preserve">. </w:t>
      </w:r>
    </w:p>
    <w:p w14:paraId="79C4038B" w14:textId="77777777" w:rsidR="001B236E" w:rsidRPr="00E01803" w:rsidRDefault="001B236E"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321DA4B8" w14:textId="77777777" w:rsidR="00B532DF" w:rsidRDefault="00B532DF" w:rsidP="000778B1">
      <w:pPr>
        <w:pStyle w:val="AODocTxt"/>
        <w:spacing w:before="0" w:line="240" w:lineRule="auto"/>
        <w:rPr>
          <w:rFonts w:ascii="Avenir Next" w:hAnsi="Avenir Next"/>
        </w:rPr>
      </w:pPr>
    </w:p>
    <w:p w14:paraId="6FB07462" w14:textId="77777777" w:rsidR="008367FC" w:rsidRDefault="008367F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rules that should be reviewed when preparing a filing for a bankruptcy court include </w:t>
      </w:r>
    </w:p>
    <w:p w14:paraId="2255C99C" w14:textId="5D5885B3" w:rsidR="00146CA9" w:rsidRDefault="00146CA9" w:rsidP="008367FC">
      <w:pPr>
        <w:pStyle w:val="AODocTxt"/>
        <w:numPr>
          <w:ilvl w:val="0"/>
          <w:numId w:val="46"/>
        </w:numPr>
        <w:spacing w:before="0" w:line="240" w:lineRule="auto"/>
        <w:rPr>
          <w:rFonts w:ascii="Avenir Next" w:hAnsi="Avenir Next"/>
          <w:color w:val="808080" w:themeColor="background1" w:themeShade="80"/>
        </w:rPr>
      </w:pPr>
      <w:r>
        <w:rPr>
          <w:rFonts w:ascii="Avenir Next" w:hAnsi="Avenir Next"/>
          <w:color w:val="808080" w:themeColor="background1" w:themeShade="80"/>
        </w:rPr>
        <w:t>US Bankruptcy Code</w:t>
      </w:r>
      <w:r w:rsidR="00B532DF">
        <w:rPr>
          <w:rFonts w:ascii="Avenir Next" w:hAnsi="Avenir Next"/>
          <w:color w:val="808080" w:themeColor="background1" w:themeShade="80"/>
        </w:rPr>
        <w:t xml:space="preserve"> (title 11 of the United States Code)</w:t>
      </w:r>
    </w:p>
    <w:p w14:paraId="4CC516CD" w14:textId="6DBDB857" w:rsidR="008367FC" w:rsidRDefault="008367FC" w:rsidP="008367FC">
      <w:pPr>
        <w:pStyle w:val="AODocTxt"/>
        <w:numPr>
          <w:ilvl w:val="0"/>
          <w:numId w:val="46"/>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Federal Rules of Bankruptcy Procedure (Bankruptcy Rules), </w:t>
      </w:r>
    </w:p>
    <w:p w14:paraId="7E69497D" w14:textId="77777777" w:rsidR="00146CA9" w:rsidRDefault="008367FC" w:rsidP="00146CA9">
      <w:pPr>
        <w:pStyle w:val="AODocTxt"/>
        <w:numPr>
          <w:ilvl w:val="0"/>
          <w:numId w:val="46"/>
        </w:numPr>
        <w:spacing w:before="0" w:line="240" w:lineRule="auto"/>
        <w:rPr>
          <w:rFonts w:ascii="Avenir Next" w:hAnsi="Avenir Next"/>
          <w:color w:val="808080" w:themeColor="background1" w:themeShade="80"/>
        </w:rPr>
      </w:pPr>
      <w:r>
        <w:rPr>
          <w:rFonts w:ascii="Avenir Next" w:hAnsi="Avenir Next"/>
          <w:color w:val="808080" w:themeColor="background1" w:themeShade="80"/>
        </w:rPr>
        <w:t>Federal Rules of Civil Procedure</w:t>
      </w:r>
      <w:r w:rsidR="00146CA9" w:rsidRPr="00146CA9">
        <w:rPr>
          <w:rFonts w:ascii="Avenir Next" w:hAnsi="Avenir Next"/>
          <w:color w:val="808080" w:themeColor="background1" w:themeShade="80"/>
        </w:rPr>
        <w:t xml:space="preserve"> </w:t>
      </w:r>
    </w:p>
    <w:p w14:paraId="461F576E" w14:textId="582F674E" w:rsidR="00146CA9" w:rsidRDefault="00146CA9" w:rsidP="00146CA9">
      <w:pPr>
        <w:pStyle w:val="AODocTxt"/>
        <w:numPr>
          <w:ilvl w:val="0"/>
          <w:numId w:val="46"/>
        </w:numPr>
        <w:spacing w:before="0" w:line="240" w:lineRule="auto"/>
        <w:rPr>
          <w:rFonts w:ascii="Avenir Next" w:hAnsi="Avenir Next"/>
          <w:color w:val="808080" w:themeColor="background1" w:themeShade="80"/>
        </w:rPr>
      </w:pPr>
      <w:r>
        <w:rPr>
          <w:rFonts w:ascii="Avenir Next" w:hAnsi="Avenir Next"/>
          <w:color w:val="808080" w:themeColor="background1" w:themeShade="80"/>
        </w:rPr>
        <w:t>Bankruptcy court local rules or procedure</w:t>
      </w:r>
    </w:p>
    <w:p w14:paraId="2F79F177" w14:textId="2E404F8C" w:rsidR="00146CA9" w:rsidRDefault="00146CA9" w:rsidP="00146CA9">
      <w:pPr>
        <w:pStyle w:val="AODocTxt"/>
        <w:numPr>
          <w:ilvl w:val="0"/>
          <w:numId w:val="46"/>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Most recent update of the judge’s personal practices (available on the website of the bankruptcy court) paying attention to the deadlines (including for filing and responding to pleadings). </w:t>
      </w:r>
    </w:p>
    <w:p w14:paraId="2C2668F4" w14:textId="77777777" w:rsidR="008367FC" w:rsidRPr="00146CA9" w:rsidRDefault="008367FC" w:rsidP="00146CA9">
      <w:pPr>
        <w:pStyle w:val="AODocTxt"/>
        <w:spacing w:before="0" w:line="240" w:lineRule="auto"/>
        <w:rPr>
          <w:rFonts w:ascii="Avenir Next" w:hAnsi="Avenir Next"/>
          <w:color w:val="808080" w:themeColor="background1" w:themeShade="80"/>
        </w:rPr>
      </w:pPr>
    </w:p>
    <w:p w14:paraId="3F3AD801" w14:textId="77777777" w:rsidR="00B532DF" w:rsidRDefault="00146CA9" w:rsidP="008367F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One should also check if there is a form for the bankruptcy filing that necessarily needs to be used (</w:t>
      </w:r>
      <w:hyperlink r:id="rId9" w:history="1">
        <w:r w:rsidR="00090581" w:rsidRPr="00326631">
          <w:rPr>
            <w:rStyle w:val="Hyperlink"/>
            <w:rFonts w:ascii="Avenir Next" w:hAnsi="Avenir Next"/>
          </w:rPr>
          <w:t>http://www.uscourts.gov/forms/bankruptcy-forms</w:t>
        </w:r>
      </w:hyperlink>
      <w:r>
        <w:rPr>
          <w:rFonts w:ascii="Avenir Next" w:hAnsi="Avenir Next"/>
          <w:color w:val="808080" w:themeColor="background1" w:themeShade="80"/>
        </w:rPr>
        <w:t>).</w:t>
      </w:r>
      <w:r w:rsidR="00090581">
        <w:rPr>
          <w:rFonts w:ascii="Avenir Next" w:hAnsi="Avenir Next"/>
          <w:color w:val="808080" w:themeColor="background1" w:themeShade="80"/>
        </w:rPr>
        <w:t xml:space="preserve"> </w:t>
      </w:r>
    </w:p>
    <w:p w14:paraId="6C354672" w14:textId="77777777" w:rsidR="004C5D8B" w:rsidRDefault="004C5D8B" w:rsidP="008367FC">
      <w:pPr>
        <w:pStyle w:val="AODocTxt"/>
        <w:spacing w:before="0" w:line="240" w:lineRule="auto"/>
        <w:rPr>
          <w:rFonts w:ascii="Avenir Next" w:hAnsi="Avenir Next"/>
          <w:color w:val="808080" w:themeColor="background1" w:themeShade="80"/>
        </w:rPr>
      </w:pPr>
    </w:p>
    <w:p w14:paraId="6CF20156" w14:textId="6975B4BB" w:rsidR="004C5D8B" w:rsidRDefault="004C5D8B" w:rsidP="008367F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local court rules should be considered carefully if there is a choice of forum option as interpretation of the Bankruptcy Code differs by circuit</w:t>
      </w:r>
      <w:r>
        <w:rPr>
          <w:rStyle w:val="FootnoteReference"/>
          <w:rFonts w:ascii="Avenir Next" w:hAnsi="Avenir Next"/>
          <w:color w:val="808080" w:themeColor="background1" w:themeShade="80"/>
        </w:rPr>
        <w:footnoteReference w:id="12"/>
      </w:r>
      <w:r>
        <w:rPr>
          <w:rFonts w:ascii="Avenir Next" w:hAnsi="Avenir Next"/>
          <w:color w:val="808080" w:themeColor="background1" w:themeShade="80"/>
        </w:rPr>
        <w:t xml:space="preserve">. </w:t>
      </w:r>
    </w:p>
    <w:p w14:paraId="1D61DE94" w14:textId="77777777" w:rsidR="00B532DF" w:rsidRDefault="00B532DF" w:rsidP="008367FC">
      <w:pPr>
        <w:pStyle w:val="AODocTxt"/>
        <w:spacing w:before="0" w:line="240" w:lineRule="auto"/>
        <w:rPr>
          <w:rFonts w:ascii="Avenir Next" w:hAnsi="Avenir Next"/>
          <w:color w:val="808080" w:themeColor="background1" w:themeShade="80"/>
        </w:rPr>
      </w:pPr>
    </w:p>
    <w:p w14:paraId="270FE94A" w14:textId="4F7D84F1" w:rsidR="00146CA9" w:rsidRDefault="00090581" w:rsidP="008367F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For a corporate debtor under chapter 7 or 11 the list of schedules that necessarily need to be filed includes details of real and personal property, secured creditors, unsecured creditors, executory contracts and unexpired leases and co-debtors. A chapter 11 case should also include the list of the 20 largest non-insider creditors. </w:t>
      </w:r>
    </w:p>
    <w:p w14:paraId="78C485DF" w14:textId="7AE56906" w:rsidR="008367FC" w:rsidRDefault="008367FC" w:rsidP="008367FC">
      <w:pPr>
        <w:pStyle w:val="AODocTxt"/>
        <w:spacing w:before="0" w:line="240" w:lineRule="auto"/>
        <w:rPr>
          <w:rFonts w:ascii="Avenir Next" w:hAnsi="Avenir Next"/>
          <w:color w:val="808080" w:themeColor="background1" w:themeShade="80"/>
        </w:rPr>
      </w:pPr>
    </w:p>
    <w:p w14:paraId="6C23885B" w14:textId="1A384EA8" w:rsidR="008367FC" w:rsidRDefault="008367FC" w:rsidP="008367F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It would be sensible also to gain an understanding of local practice by consulting</w:t>
      </w:r>
      <w:r w:rsidR="00102377">
        <w:rPr>
          <w:rFonts w:ascii="Avenir Next" w:hAnsi="Avenir Next"/>
          <w:color w:val="808080" w:themeColor="background1" w:themeShade="80"/>
        </w:rPr>
        <w:t xml:space="preserve"> (and likely engaging)</w:t>
      </w:r>
      <w:r>
        <w:rPr>
          <w:rFonts w:ascii="Avenir Next" w:hAnsi="Avenir Next"/>
          <w:color w:val="808080" w:themeColor="background1" w:themeShade="80"/>
        </w:rPr>
        <w:t xml:space="preserve"> a local practitioner</w:t>
      </w:r>
      <w:r w:rsidR="00146CA9">
        <w:rPr>
          <w:rFonts w:ascii="Avenir Next" w:hAnsi="Avenir Next"/>
          <w:color w:val="808080" w:themeColor="background1" w:themeShade="80"/>
        </w:rPr>
        <w:t xml:space="preserve">. </w:t>
      </w:r>
    </w:p>
    <w:p w14:paraId="1D127717" w14:textId="77777777" w:rsidR="00B532DF" w:rsidRDefault="00B532DF" w:rsidP="008367FC">
      <w:pPr>
        <w:pStyle w:val="AODocTxt"/>
        <w:spacing w:before="0" w:line="240" w:lineRule="auto"/>
        <w:rPr>
          <w:rFonts w:ascii="Avenir Next" w:hAnsi="Avenir Next"/>
          <w:color w:val="808080" w:themeColor="background1" w:themeShade="80"/>
        </w:rPr>
      </w:pPr>
    </w:p>
    <w:p w14:paraId="7571DD8C" w14:textId="58471504" w:rsidR="00D54F9C" w:rsidRDefault="00B532DF" w:rsidP="008367F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US case law should also be reviewed</w:t>
      </w:r>
      <w:r w:rsidR="00D54F9C">
        <w:rPr>
          <w:rFonts w:ascii="Avenir Next" w:hAnsi="Avenir Next"/>
          <w:color w:val="808080" w:themeColor="background1" w:themeShade="80"/>
        </w:rPr>
        <w:t xml:space="preserve"> both with respect to the US Bankruptcy Code</w:t>
      </w:r>
      <w:r w:rsidR="004C5D8B">
        <w:rPr>
          <w:rFonts w:ascii="Avenir Next" w:hAnsi="Avenir Next"/>
          <w:color w:val="808080" w:themeColor="background1" w:themeShade="80"/>
        </w:rPr>
        <w:t xml:space="preserve">, in the circuit in which the intended filing will be made but also potentially leading judgements in other circuits (which are </w:t>
      </w:r>
      <w:r w:rsidR="00281946">
        <w:rPr>
          <w:rFonts w:ascii="Avenir Next" w:hAnsi="Avenir Next"/>
          <w:color w:val="808080" w:themeColor="background1" w:themeShade="80"/>
        </w:rPr>
        <w:t>persuasive</w:t>
      </w:r>
      <w:r w:rsidR="004C5D8B">
        <w:rPr>
          <w:rFonts w:ascii="Avenir Next" w:hAnsi="Avenir Next"/>
          <w:color w:val="808080" w:themeColor="background1" w:themeShade="80"/>
        </w:rPr>
        <w:t xml:space="preserve">) for contentious matters. </w:t>
      </w:r>
      <w:r w:rsidR="00D54F9C">
        <w:rPr>
          <w:rFonts w:ascii="Avenir Next" w:hAnsi="Avenir Next"/>
          <w:color w:val="808080" w:themeColor="background1" w:themeShade="80"/>
        </w:rPr>
        <w:t xml:space="preserve"> </w:t>
      </w:r>
      <w:r w:rsidR="004C5D8B">
        <w:rPr>
          <w:rFonts w:ascii="Avenir Next" w:hAnsi="Avenir Next"/>
          <w:color w:val="808080" w:themeColor="background1" w:themeShade="80"/>
        </w:rPr>
        <w:t>A</w:t>
      </w:r>
      <w:r w:rsidR="00D54F9C">
        <w:rPr>
          <w:rFonts w:ascii="Avenir Next" w:hAnsi="Avenir Next"/>
          <w:color w:val="808080" w:themeColor="background1" w:themeShade="80"/>
        </w:rPr>
        <w:t>lso cases relating to non-bankruptcy matters that may be affected by the filing</w:t>
      </w:r>
      <w:r w:rsidR="004C5D8B">
        <w:rPr>
          <w:rFonts w:ascii="Avenir Next" w:hAnsi="Avenir Next"/>
          <w:color w:val="808080" w:themeColor="background1" w:themeShade="80"/>
        </w:rPr>
        <w:t xml:space="preserve"> should be reviewed</w:t>
      </w:r>
      <w:r>
        <w:rPr>
          <w:rFonts w:ascii="Avenir Next" w:hAnsi="Avenir Next"/>
          <w:color w:val="808080" w:themeColor="background1" w:themeShade="80"/>
        </w:rPr>
        <w:t xml:space="preserve">. </w:t>
      </w:r>
    </w:p>
    <w:p w14:paraId="2C60FE2A" w14:textId="77777777" w:rsidR="00D54F9C" w:rsidRDefault="00D54F9C" w:rsidP="008367FC">
      <w:pPr>
        <w:pStyle w:val="AODocTxt"/>
        <w:spacing w:before="0" w:line="240" w:lineRule="auto"/>
        <w:rPr>
          <w:rFonts w:ascii="Avenir Next" w:hAnsi="Avenir Next"/>
          <w:color w:val="808080" w:themeColor="background1" w:themeShade="80"/>
        </w:rPr>
      </w:pPr>
    </w:p>
    <w:p w14:paraId="140ADB3E" w14:textId="2C4D4BC8" w:rsidR="00B532DF" w:rsidRPr="002B5D64" w:rsidRDefault="00B532DF" w:rsidP="008367F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relation to a chapter 15 proceeding the case law applicable to the Model Law of Cross Border Insolvency.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4CF0E7A1" w14:textId="4E4F453A" w:rsidR="00146CA9" w:rsidRDefault="00146CA9" w:rsidP="00146CA9">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fiduciary duties of directors of Delaware corporations is more limited than in the other states in the US (and in other countries). Directors of Delaware corporations owe a fiduciary duty “of loyalty to the corporation’s best interest” and “of care in educated decision making”</w:t>
      </w:r>
      <w:r>
        <w:rPr>
          <w:rStyle w:val="FootnoteReference"/>
          <w:rFonts w:ascii="Avenir Next" w:hAnsi="Avenir Next"/>
          <w:color w:val="808080" w:themeColor="background1" w:themeShade="80"/>
        </w:rPr>
        <w:footnoteReference w:id="13"/>
      </w:r>
      <w:r>
        <w:rPr>
          <w:rFonts w:ascii="Avenir Next" w:hAnsi="Avenir Next"/>
          <w:color w:val="808080" w:themeColor="background1" w:themeShade="80"/>
        </w:rPr>
        <w:t xml:space="preserve">. </w:t>
      </w:r>
      <w:r w:rsidR="00193F71">
        <w:rPr>
          <w:rFonts w:ascii="Avenir Next" w:hAnsi="Avenir Next"/>
          <w:color w:val="808080" w:themeColor="background1" w:themeShade="80"/>
        </w:rPr>
        <w:t xml:space="preserve">They are protected by error of judgement by the business judgement rule (i.e. the board has acted in good faith on the basis of reasonable information). </w:t>
      </w:r>
    </w:p>
    <w:p w14:paraId="23342141" w14:textId="77777777" w:rsidR="00146CA9" w:rsidRDefault="00146CA9" w:rsidP="00146CA9">
      <w:pPr>
        <w:pStyle w:val="AODocTxt"/>
        <w:spacing w:before="0" w:line="240" w:lineRule="auto"/>
        <w:rPr>
          <w:rFonts w:ascii="Avenir Next" w:hAnsi="Avenir Next"/>
          <w:color w:val="808080" w:themeColor="background1" w:themeShade="80"/>
        </w:rPr>
      </w:pPr>
    </w:p>
    <w:p w14:paraId="3D120D55" w14:textId="36493C98" w:rsidR="00193F71" w:rsidRDefault="00146CA9" w:rsidP="00146CA9">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the ordinary course of business </w:t>
      </w:r>
      <w:r w:rsidR="00193F71">
        <w:rPr>
          <w:rFonts w:ascii="Avenir Next" w:hAnsi="Avenir Next"/>
          <w:color w:val="808080" w:themeColor="background1" w:themeShade="80"/>
        </w:rPr>
        <w:t xml:space="preserve">the duties are owed to corporation and to the shareholders of the corporation. This remains the case even when the company is potentially insolvent or actually </w:t>
      </w:r>
      <w:r w:rsidR="008C7171">
        <w:rPr>
          <w:rFonts w:ascii="Avenir Next" w:hAnsi="Avenir Next"/>
          <w:color w:val="808080" w:themeColor="background1" w:themeShade="80"/>
        </w:rPr>
        <w:t>insolvent.</w:t>
      </w:r>
      <w:r w:rsidR="00193F71">
        <w:rPr>
          <w:rFonts w:ascii="Avenir Next" w:hAnsi="Avenir Next"/>
          <w:color w:val="808080" w:themeColor="background1" w:themeShade="80"/>
        </w:rPr>
        <w:t xml:space="preserve"> </w:t>
      </w:r>
    </w:p>
    <w:p w14:paraId="369778E2" w14:textId="77777777" w:rsidR="00193F71" w:rsidRDefault="00193F71" w:rsidP="00146CA9">
      <w:pPr>
        <w:pStyle w:val="AODocTxt"/>
        <w:spacing w:before="0" w:line="240" w:lineRule="auto"/>
        <w:rPr>
          <w:rFonts w:ascii="Avenir Next" w:hAnsi="Avenir Next"/>
          <w:color w:val="808080" w:themeColor="background1" w:themeShade="80"/>
        </w:rPr>
      </w:pPr>
    </w:p>
    <w:p w14:paraId="693980E8" w14:textId="6D86DF4C" w:rsidR="00193F71" w:rsidRDefault="00193F71" w:rsidP="00146CA9">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Per </w:t>
      </w:r>
      <w:r w:rsidRPr="00193F71">
        <w:rPr>
          <w:rFonts w:ascii="Avenir Next" w:hAnsi="Avenir Next"/>
          <w:i/>
          <w:iCs/>
          <w:color w:val="808080" w:themeColor="background1" w:themeShade="80"/>
        </w:rPr>
        <w:t>Trenwich Am Litig Trust v Ernst &amp; Young, LLP 906 A.2d 168 (Del Ch 2006)</w:t>
      </w:r>
    </w:p>
    <w:p w14:paraId="03CF107C" w14:textId="77777777" w:rsidR="00193F71" w:rsidRDefault="00193F71" w:rsidP="00146CA9">
      <w:pPr>
        <w:pStyle w:val="AODocTxt"/>
        <w:spacing w:before="0" w:line="240" w:lineRule="auto"/>
        <w:rPr>
          <w:rFonts w:ascii="Avenir Next" w:hAnsi="Avenir Next"/>
          <w:color w:val="808080" w:themeColor="background1" w:themeShade="80"/>
        </w:rPr>
      </w:pPr>
    </w:p>
    <w:p w14:paraId="08FCFADD" w14:textId="45F3CBEB" w:rsidR="00146CA9" w:rsidRDefault="00193F71" w:rsidP="00193F71">
      <w:pPr>
        <w:pStyle w:val="AODocTxt"/>
        <w:spacing w:before="0" w:line="240" w:lineRule="auto"/>
        <w:ind w:left="720" w:right="662"/>
        <w:rPr>
          <w:rFonts w:ascii="Avenir Next" w:hAnsi="Avenir Next"/>
          <w:i/>
          <w:iCs/>
          <w:color w:val="808080" w:themeColor="background1" w:themeShade="80"/>
        </w:rPr>
      </w:pPr>
      <w:r w:rsidRPr="00193F71">
        <w:rPr>
          <w:rFonts w:ascii="Avenir Next" w:hAnsi="Avenir Next"/>
          <w:i/>
          <w:iCs/>
          <w:color w:val="808080" w:themeColor="background1" w:themeShade="80"/>
        </w:rPr>
        <w:t>“Delaware law imposes no absolute obligation on the board of a company that is unable to pay its bills to cease operations and to liquidate</w:t>
      </w:r>
      <w:r>
        <w:rPr>
          <w:rFonts w:ascii="Avenir Next" w:hAnsi="Avenir Next"/>
          <w:i/>
          <w:iCs/>
          <w:color w:val="808080" w:themeColor="background1" w:themeShade="80"/>
        </w:rPr>
        <w:t xml:space="preserve">. Even when the company is insolvent, the board may pursue, in good faith the strategies to </w:t>
      </w:r>
      <w:r w:rsidR="008C7171">
        <w:rPr>
          <w:rFonts w:ascii="Avenir Next" w:hAnsi="Avenir Next"/>
          <w:i/>
          <w:iCs/>
          <w:color w:val="808080" w:themeColor="background1" w:themeShade="80"/>
        </w:rPr>
        <w:t>maximize</w:t>
      </w:r>
      <w:r>
        <w:rPr>
          <w:rFonts w:ascii="Avenir Next" w:hAnsi="Avenir Next"/>
          <w:i/>
          <w:iCs/>
          <w:color w:val="808080" w:themeColor="background1" w:themeShade="80"/>
        </w:rPr>
        <w:t xml:space="preserve"> the values of the firm”. </w:t>
      </w:r>
    </w:p>
    <w:p w14:paraId="092E7876" w14:textId="19D356A1" w:rsidR="00193F71" w:rsidRPr="00193F71" w:rsidRDefault="00193F71" w:rsidP="00193F71">
      <w:pPr>
        <w:pStyle w:val="AODocTxt"/>
        <w:spacing w:before="0" w:line="240" w:lineRule="auto"/>
        <w:ind w:left="720" w:right="662"/>
        <w:rPr>
          <w:rFonts w:ascii="Avenir Next" w:hAnsi="Avenir Next"/>
          <w:i/>
          <w:iCs/>
          <w:color w:val="808080" w:themeColor="background1" w:themeShade="80"/>
        </w:rPr>
      </w:pPr>
    </w:p>
    <w:p w14:paraId="38EE9B49" w14:textId="5B890FB3" w:rsidR="00146CA9" w:rsidRDefault="00193F71"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directors to not have a fiduciary duty to the creditors in these circumstances (contrary to other jurisdictions which allow for claims against directors for wrongful or reckless trading).</w:t>
      </w:r>
    </w:p>
    <w:p w14:paraId="79CCC3BF" w14:textId="77777777" w:rsidR="00146CA9" w:rsidRDefault="00146CA9" w:rsidP="000778B1">
      <w:pPr>
        <w:pStyle w:val="AODocTxt"/>
        <w:spacing w:before="0" w:line="240" w:lineRule="auto"/>
        <w:rPr>
          <w:rFonts w:ascii="Avenir Next" w:hAnsi="Avenir Next"/>
          <w:color w:val="808080" w:themeColor="background1" w:themeShade="80"/>
        </w:rPr>
      </w:pPr>
    </w:p>
    <w:p w14:paraId="202AA725" w14:textId="71AA3982" w:rsidR="00193F71" w:rsidRDefault="00193F71"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Per </w:t>
      </w:r>
      <w:r w:rsidRPr="00193F71">
        <w:rPr>
          <w:rFonts w:ascii="Avenir Next" w:hAnsi="Avenir Next"/>
          <w:i/>
          <w:iCs/>
          <w:color w:val="808080" w:themeColor="background1" w:themeShade="80"/>
        </w:rPr>
        <w:t>North AM Catholic Educational Programming Foundation Inc v Gheewalla, 930 A.2d 92, 103 (del 2007)</w:t>
      </w:r>
      <w:r>
        <w:rPr>
          <w:rFonts w:ascii="Avenir Next" w:hAnsi="Avenir Next"/>
          <w:color w:val="808080" w:themeColor="background1" w:themeShade="80"/>
        </w:rPr>
        <w:t xml:space="preserve"> </w:t>
      </w:r>
    </w:p>
    <w:p w14:paraId="3683A4C4" w14:textId="02331D0B" w:rsidR="00193F71" w:rsidRPr="00B979E9" w:rsidRDefault="00B979E9" w:rsidP="00B979E9">
      <w:pPr>
        <w:pStyle w:val="AODocTxt"/>
        <w:spacing w:before="0" w:line="240" w:lineRule="auto"/>
        <w:ind w:left="720"/>
        <w:rPr>
          <w:rFonts w:ascii="Avenir Next" w:hAnsi="Avenir Next"/>
          <w:i/>
          <w:iCs/>
          <w:color w:val="808080" w:themeColor="background1" w:themeShade="80"/>
        </w:rPr>
      </w:pPr>
      <w:r w:rsidRPr="00B979E9">
        <w:rPr>
          <w:rFonts w:ascii="Avenir Next" w:hAnsi="Avenir Next"/>
          <w:i/>
          <w:iCs/>
          <w:color w:val="808080" w:themeColor="background1" w:themeShade="80"/>
        </w:rPr>
        <w:t xml:space="preserve">“(I)ndividual creditors of an insolvent corporation have no right to assert direct claims for breach of fiduciary duty against corporate directors. Creditors may nonetheless protect their interest by bringing derivative claims on behalf of the insolvent corporation…” </w:t>
      </w:r>
    </w:p>
    <w:p w14:paraId="2A9B7BE8" w14:textId="77777777" w:rsidR="00B979E9" w:rsidRPr="00E01803" w:rsidRDefault="00B979E9"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3B23CAF5" w14:textId="253218E3" w:rsidR="00FD5AFB" w:rsidRDefault="00FD5AF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protections afforded to the lessor vary according to the which Chapter iWorks Limited may be placed in. For those leases that are still in effect when the bankruptcy order is made, so would be determined to be executory contracts, the Bankruptcy Code offers certainty as to the time period that the trustee or debtor has to make the decision with respect to executory contract. If iWorks is placed under chapter 7 then the decision must be made to assume or assign or reject the contract within 60 days from the date of the petition. </w:t>
      </w:r>
    </w:p>
    <w:p w14:paraId="5340218C" w14:textId="77777777" w:rsidR="00FD5AFB" w:rsidRDefault="00FD5AFB" w:rsidP="001D3BAA">
      <w:pPr>
        <w:pStyle w:val="AODocTxt"/>
        <w:spacing w:before="0" w:line="240" w:lineRule="auto"/>
        <w:rPr>
          <w:rFonts w:ascii="Avenir Next" w:hAnsi="Avenir Next"/>
          <w:color w:val="808080" w:themeColor="background1" w:themeShade="80"/>
        </w:rPr>
      </w:pPr>
    </w:p>
    <w:p w14:paraId="723F4F21" w14:textId="147E8EBF" w:rsidR="00D46841" w:rsidRDefault="00FD5AFB" w:rsidP="00051968">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terms of </w:t>
      </w:r>
      <w:r w:rsidR="006D6DBA">
        <w:rPr>
          <w:rFonts w:ascii="Avenir Next" w:hAnsi="Avenir Next"/>
          <w:color w:val="808080" w:themeColor="background1" w:themeShade="80"/>
        </w:rPr>
        <w:t>c</w:t>
      </w:r>
      <w:r>
        <w:rPr>
          <w:rFonts w:ascii="Avenir Next" w:hAnsi="Avenir Next"/>
          <w:color w:val="808080" w:themeColor="background1" w:themeShade="80"/>
        </w:rPr>
        <w:t>hapter 11 a decision would need to be made with respect to any unexpired leases of the office spaces (which are non-residential property) within 120 days of the order for relief</w:t>
      </w:r>
      <w:r>
        <w:rPr>
          <w:rStyle w:val="FootnoteReference"/>
          <w:rFonts w:ascii="Avenir Next" w:hAnsi="Avenir Next"/>
          <w:color w:val="808080" w:themeColor="background1" w:themeShade="80"/>
        </w:rPr>
        <w:footnoteReference w:id="14"/>
      </w:r>
      <w:r>
        <w:rPr>
          <w:rFonts w:ascii="Avenir Next" w:hAnsi="Avenir Next"/>
          <w:color w:val="808080" w:themeColor="background1" w:themeShade="80"/>
        </w:rPr>
        <w:t xml:space="preserve">. An extension (to 90 days for cause) can be granted but the lessor needs to provide consent. </w:t>
      </w:r>
      <w:r w:rsidR="00051968">
        <w:rPr>
          <w:rFonts w:ascii="Avenir Next" w:hAnsi="Avenir Next"/>
          <w:color w:val="808080" w:themeColor="background1" w:themeShade="80"/>
        </w:rPr>
        <w:t xml:space="preserve">In chapter 11 while iWorks may continue to lease the offices it could only sell the lease with court approval. </w:t>
      </w:r>
    </w:p>
    <w:p w14:paraId="7ACF8E84" w14:textId="77777777" w:rsidR="00D46841" w:rsidRDefault="00D46841" w:rsidP="00051968">
      <w:pPr>
        <w:pStyle w:val="AODocTxt"/>
        <w:spacing w:before="0" w:line="240" w:lineRule="auto"/>
        <w:rPr>
          <w:rFonts w:ascii="Avenir Next" w:hAnsi="Avenir Next"/>
          <w:color w:val="808080" w:themeColor="background1" w:themeShade="80"/>
        </w:rPr>
      </w:pPr>
    </w:p>
    <w:p w14:paraId="27171FBA" w14:textId="77777777" w:rsidR="00D46841" w:rsidRDefault="001B0979" w:rsidP="00D4684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the lease are rejected then iWorks would be </w:t>
      </w:r>
      <w:r w:rsidR="00F6466C">
        <w:rPr>
          <w:rFonts w:ascii="Avenir Next" w:hAnsi="Avenir Next"/>
          <w:color w:val="808080" w:themeColor="background1" w:themeShade="80"/>
        </w:rPr>
        <w:t>deemed</w:t>
      </w:r>
      <w:r>
        <w:rPr>
          <w:rFonts w:ascii="Avenir Next" w:hAnsi="Avenir Next"/>
          <w:color w:val="808080" w:themeColor="background1" w:themeShade="80"/>
        </w:rPr>
        <w:t xml:space="preserve"> to have breached the contract and the lessor has an unsecure claim for pre-petition damages. If iWorks continues with it and then </w:t>
      </w:r>
      <w:r w:rsidR="000A7574">
        <w:rPr>
          <w:rFonts w:ascii="Avenir Next" w:hAnsi="Avenir Next"/>
          <w:color w:val="808080" w:themeColor="background1" w:themeShade="80"/>
        </w:rPr>
        <w:t>later</w:t>
      </w:r>
      <w:r>
        <w:rPr>
          <w:rFonts w:ascii="Avenir Next" w:hAnsi="Avenir Next"/>
          <w:color w:val="808080" w:themeColor="background1" w:themeShade="80"/>
        </w:rPr>
        <w:t xml:space="preserve"> rejects it the claim for damages would be a cost of administration. If the contract </w:t>
      </w:r>
      <w:r>
        <w:rPr>
          <w:rFonts w:ascii="Avenir Next" w:hAnsi="Avenir Next"/>
          <w:color w:val="808080" w:themeColor="background1" w:themeShade="80"/>
        </w:rPr>
        <w:lastRenderedPageBreak/>
        <w:t xml:space="preserve">is assigned then the Lessor will have a new (hopefully) better tenant. </w:t>
      </w:r>
      <w:r w:rsidR="00F6466C">
        <w:rPr>
          <w:rFonts w:ascii="Avenir Next" w:hAnsi="Avenir Next"/>
          <w:color w:val="808080" w:themeColor="background1" w:themeShade="80"/>
        </w:rPr>
        <w:t xml:space="preserve">Although the lease may be assigned without the Lessor approval (notwithstanding any provisions in the contract to that effect). </w:t>
      </w:r>
      <w:r w:rsidR="00D46841">
        <w:rPr>
          <w:rFonts w:ascii="Avenir Next" w:hAnsi="Avenir Next"/>
          <w:color w:val="808080" w:themeColor="background1" w:themeShade="80"/>
        </w:rPr>
        <w:t>If the lease continues the rent is paid as a cost of administration.</w:t>
      </w:r>
    </w:p>
    <w:p w14:paraId="430AC55E" w14:textId="77777777" w:rsidR="007921A0" w:rsidRDefault="007921A0" w:rsidP="00051968">
      <w:pPr>
        <w:pStyle w:val="AODocTxt"/>
        <w:spacing w:before="0" w:line="240" w:lineRule="auto"/>
        <w:rPr>
          <w:rFonts w:ascii="Avenir Next" w:hAnsi="Avenir Next"/>
          <w:color w:val="808080" w:themeColor="background1" w:themeShade="80"/>
        </w:rPr>
      </w:pPr>
    </w:p>
    <w:p w14:paraId="04474800" w14:textId="797F6373" w:rsidR="007921A0" w:rsidRDefault="007921A0" w:rsidP="00051968">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Should there be an intention to sell the leases as part of a reorganization under chapter 11 in the ordinary course of business then it would be necessary to consider the “vertical” and “horizontal” dimension tests to see if it such a sale would be considered to be in the ordinary course (the vertical test being the expectations of a hypothetical creditor of the debtor and the vertical being </w:t>
      </w:r>
      <w:r w:rsidR="00D46841">
        <w:rPr>
          <w:rFonts w:ascii="Avenir Next" w:hAnsi="Avenir Next"/>
          <w:color w:val="808080" w:themeColor="background1" w:themeShade="80"/>
        </w:rPr>
        <w:t>how businesses</w:t>
      </w:r>
      <w:r>
        <w:rPr>
          <w:rFonts w:ascii="Avenir Next" w:hAnsi="Avenir Next"/>
          <w:color w:val="808080" w:themeColor="background1" w:themeShade="80"/>
        </w:rPr>
        <w:t xml:space="preserve"> are conducted by other companies similar to iWorks</w:t>
      </w:r>
      <w:r>
        <w:rPr>
          <w:rStyle w:val="FootnoteReference"/>
          <w:rFonts w:ascii="Avenir Next" w:hAnsi="Avenir Next"/>
          <w:color w:val="808080" w:themeColor="background1" w:themeShade="80"/>
        </w:rPr>
        <w:footnoteReference w:id="15"/>
      </w:r>
      <w:r>
        <w:rPr>
          <w:rFonts w:ascii="Avenir Next" w:hAnsi="Avenir Next"/>
          <w:color w:val="808080" w:themeColor="background1" w:themeShade="80"/>
        </w:rPr>
        <w:t xml:space="preserve">). </w:t>
      </w:r>
    </w:p>
    <w:p w14:paraId="16D1187C" w14:textId="77777777" w:rsidR="006D6DBA" w:rsidRDefault="006D6DBA" w:rsidP="001D3BAA">
      <w:pPr>
        <w:pStyle w:val="AODocTxt"/>
        <w:spacing w:before="0" w:line="240" w:lineRule="auto"/>
        <w:rPr>
          <w:rFonts w:ascii="Avenir Next" w:hAnsi="Avenir Next"/>
          <w:color w:val="808080" w:themeColor="background1" w:themeShade="80"/>
        </w:rPr>
      </w:pPr>
    </w:p>
    <w:p w14:paraId="4E731F6D" w14:textId="2C50A04C" w:rsidR="006D6DBA" w:rsidRDefault="006D6DB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 any expired leases, the lessor would be able to evict iWorks where it has not paid its rent because the automatic stay is excepted</w:t>
      </w:r>
      <w:r>
        <w:rPr>
          <w:rStyle w:val="FootnoteReference"/>
          <w:rFonts w:ascii="Avenir Next" w:hAnsi="Avenir Next"/>
          <w:color w:val="808080" w:themeColor="background1" w:themeShade="80"/>
        </w:rPr>
        <w:footnoteReference w:id="16"/>
      </w:r>
      <w:r>
        <w:rPr>
          <w:rFonts w:ascii="Avenir Next" w:hAnsi="Avenir Next"/>
          <w:color w:val="808080" w:themeColor="background1" w:themeShade="80"/>
        </w:rPr>
        <w:t xml:space="preserve">. </w:t>
      </w:r>
    </w:p>
    <w:p w14:paraId="6BD5E0C2" w14:textId="77777777" w:rsidR="00090581" w:rsidRDefault="00090581" w:rsidP="001D3BAA">
      <w:pPr>
        <w:pStyle w:val="AODocTxt"/>
        <w:spacing w:before="0" w:line="240" w:lineRule="auto"/>
        <w:rPr>
          <w:rFonts w:ascii="Avenir Next" w:hAnsi="Avenir Next"/>
          <w:color w:val="808080" w:themeColor="background1" w:themeShade="80"/>
        </w:rPr>
      </w:pPr>
    </w:p>
    <w:p w14:paraId="65941AFB" w14:textId="3868690D" w:rsidR="00090581" w:rsidRDefault="0009058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lessors have further protection under the 2005 Bankruptcy Abuse Prevention and Consumer Protection Act (BAPCPA). BAPCPA prescribes deadlines for assuming or rejecting </w:t>
      </w:r>
      <w:r w:rsidR="00047904">
        <w:rPr>
          <w:rFonts w:ascii="Avenir Next" w:hAnsi="Avenir Next"/>
          <w:color w:val="808080" w:themeColor="background1" w:themeShade="80"/>
        </w:rPr>
        <w:t>commercial l</w:t>
      </w:r>
      <w:r>
        <w:rPr>
          <w:rFonts w:ascii="Avenir Next" w:hAnsi="Avenir Next"/>
          <w:color w:val="808080" w:themeColor="background1" w:themeShade="80"/>
        </w:rPr>
        <w:t>eases</w:t>
      </w:r>
      <w:r w:rsidR="00047904">
        <w:rPr>
          <w:rFonts w:ascii="Avenir Next" w:hAnsi="Avenir Next"/>
          <w:color w:val="808080" w:themeColor="background1" w:themeShade="80"/>
        </w:rPr>
        <w:t>.</w:t>
      </w:r>
      <w:r>
        <w:rPr>
          <w:rFonts w:ascii="Avenir Next" w:hAnsi="Avenir Next"/>
          <w:color w:val="808080" w:themeColor="background1" w:themeShade="80"/>
        </w:rPr>
        <w:t xml:space="preserve"> </w:t>
      </w:r>
    </w:p>
    <w:p w14:paraId="64640CCF" w14:textId="77777777" w:rsidR="00090581" w:rsidRDefault="00090581" w:rsidP="001D3BAA">
      <w:pPr>
        <w:pStyle w:val="AODocTxt"/>
        <w:spacing w:before="0" w:line="240" w:lineRule="auto"/>
        <w:rPr>
          <w:rFonts w:ascii="Avenir Next" w:hAnsi="Avenir Next"/>
          <w:color w:val="808080" w:themeColor="background1" w:themeShade="80"/>
        </w:rPr>
      </w:pPr>
    </w:p>
    <w:p w14:paraId="2552E8D3" w14:textId="32A6651E" w:rsidR="00090581" w:rsidRDefault="0009058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One protection, should iWorks Limited make a voluntary petition</w:t>
      </w:r>
      <w:r w:rsidR="008C7171">
        <w:rPr>
          <w:rFonts w:ascii="Avenir Next" w:hAnsi="Avenir Next"/>
          <w:color w:val="808080" w:themeColor="background1" w:themeShade="80"/>
        </w:rPr>
        <w:t>,</w:t>
      </w:r>
      <w:r>
        <w:rPr>
          <w:rFonts w:ascii="Avenir Next" w:hAnsi="Avenir Next"/>
          <w:color w:val="808080" w:themeColor="background1" w:themeShade="80"/>
        </w:rPr>
        <w:t xml:space="preserve"> is that the details of unexpired leases must be included in the petition</w:t>
      </w:r>
      <w:r w:rsidR="00051968">
        <w:rPr>
          <w:rFonts w:ascii="Avenir Next" w:hAnsi="Avenir Next"/>
          <w:color w:val="808080" w:themeColor="background1" w:themeShade="80"/>
        </w:rPr>
        <w:t xml:space="preserve"> and are therefore known.</w:t>
      </w:r>
    </w:p>
    <w:p w14:paraId="76FC169D" w14:textId="77777777" w:rsidR="00FD5AFB" w:rsidRDefault="00FD5AFB" w:rsidP="001D3BAA">
      <w:pPr>
        <w:pStyle w:val="AODocTxt"/>
        <w:spacing w:before="0" w:line="240" w:lineRule="auto"/>
        <w:rPr>
          <w:rFonts w:ascii="Avenir Next" w:hAnsi="Avenir Next"/>
          <w:color w:val="808080" w:themeColor="background1" w:themeShade="80"/>
        </w:rPr>
      </w:pPr>
    </w:p>
    <w:p w14:paraId="319E6815" w14:textId="4C95E727" w:rsidR="00051968" w:rsidRDefault="00051968" w:rsidP="0073587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iWorks enters chapter 7 bankruptcy the deposit amount payable as an unsecure claim is capped.</w:t>
      </w:r>
      <w:r w:rsidR="001B0979">
        <w:rPr>
          <w:rFonts w:ascii="Avenir Next" w:hAnsi="Avenir Next"/>
          <w:color w:val="808080" w:themeColor="background1" w:themeShade="80"/>
        </w:rPr>
        <w:t xml:space="preserve"> Any rental due for offices still occupied by the debtor after the petition should be paid as an administrative expense. </w:t>
      </w:r>
    </w:p>
    <w:p w14:paraId="62A75396" w14:textId="77777777" w:rsidR="00051968" w:rsidRDefault="00051968" w:rsidP="00735877">
      <w:pPr>
        <w:pStyle w:val="AODocTxt"/>
        <w:spacing w:before="0" w:line="240" w:lineRule="auto"/>
        <w:rPr>
          <w:rFonts w:ascii="Avenir Next" w:hAnsi="Avenir Next"/>
          <w:color w:val="808080" w:themeColor="background1" w:themeShade="80"/>
        </w:rPr>
      </w:pPr>
    </w:p>
    <w:p w14:paraId="2705E78E" w14:textId="2E71D893" w:rsidR="00F6466C" w:rsidRDefault="00F6466C" w:rsidP="0073587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 purposes of this answer it is assumed that the covid pandemic is over</w:t>
      </w:r>
      <w:r w:rsidR="00B94634">
        <w:rPr>
          <w:rFonts w:ascii="Avenir Next" w:hAnsi="Avenir Next"/>
          <w:color w:val="808080" w:themeColor="background1" w:themeShade="80"/>
        </w:rPr>
        <w:t xml:space="preserve"> and the covid provisions introduced with respect to leases do not apply.</w:t>
      </w:r>
      <w:r>
        <w:rPr>
          <w:rFonts w:ascii="Avenir Next" w:hAnsi="Avenir Next"/>
          <w:color w:val="808080" w:themeColor="background1" w:themeShade="80"/>
        </w:rPr>
        <w:t xml:space="preserve">.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6F09FBCC" w14:textId="720A7E18" w:rsidR="00D822CA" w:rsidRDefault="003E357C"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English scheme of arrangement </w:t>
      </w:r>
      <w:r w:rsidR="00521C34">
        <w:rPr>
          <w:rFonts w:ascii="Avenir Next" w:hAnsi="Avenir Next"/>
          <w:color w:val="808080" w:themeColor="background1" w:themeShade="80"/>
        </w:rPr>
        <w:t xml:space="preserve">would meet the definition of a foreign proceeding as defined by the Bankruptcy Code (“a collective judicial or administrative proceeding in in a foreign country … under a law relating to insolvency or adjustment of debt in which </w:t>
      </w:r>
      <w:r w:rsidR="00521C34">
        <w:rPr>
          <w:rFonts w:ascii="Avenir Next" w:hAnsi="Avenir Next"/>
          <w:color w:val="808080" w:themeColor="background1" w:themeShade="80"/>
        </w:rPr>
        <w:lastRenderedPageBreak/>
        <w:t>proceeding the assets and affairs of the debto</w:t>
      </w:r>
      <w:r w:rsidR="00D822CA">
        <w:rPr>
          <w:rFonts w:ascii="Avenir Next" w:hAnsi="Avenir Next"/>
          <w:color w:val="808080" w:themeColor="background1" w:themeShade="80"/>
        </w:rPr>
        <w:t>r</w:t>
      </w:r>
      <w:r w:rsidR="00521C34">
        <w:rPr>
          <w:rFonts w:ascii="Avenir Next" w:hAnsi="Avenir Next"/>
          <w:color w:val="808080" w:themeColor="background1" w:themeShade="80"/>
        </w:rPr>
        <w:t xml:space="preserve"> are submit</w:t>
      </w:r>
      <w:r w:rsidR="00D822CA">
        <w:rPr>
          <w:rFonts w:ascii="Avenir Next" w:hAnsi="Avenir Next"/>
          <w:color w:val="808080" w:themeColor="background1" w:themeShade="80"/>
        </w:rPr>
        <w:t>t</w:t>
      </w:r>
      <w:r w:rsidR="00521C34">
        <w:rPr>
          <w:rFonts w:ascii="Avenir Next" w:hAnsi="Avenir Next"/>
          <w:color w:val="808080" w:themeColor="background1" w:themeShade="80"/>
        </w:rPr>
        <w:t>e</w:t>
      </w:r>
      <w:r w:rsidR="00D822CA">
        <w:rPr>
          <w:rFonts w:ascii="Avenir Next" w:hAnsi="Avenir Next"/>
          <w:color w:val="808080" w:themeColor="background1" w:themeShade="80"/>
        </w:rPr>
        <w:t xml:space="preserve">d </w:t>
      </w:r>
      <w:r w:rsidR="00521C34">
        <w:rPr>
          <w:rFonts w:ascii="Avenir Next" w:hAnsi="Avenir Next"/>
          <w:color w:val="808080" w:themeColor="background1" w:themeShade="80"/>
        </w:rPr>
        <w:t>to control or supervision by a foreign court</w:t>
      </w:r>
      <w:r w:rsidR="00D822CA">
        <w:rPr>
          <w:rFonts w:ascii="Avenir Next" w:hAnsi="Avenir Next"/>
          <w:color w:val="808080" w:themeColor="background1" w:themeShade="80"/>
        </w:rPr>
        <w:t>,</w:t>
      </w:r>
      <w:r>
        <w:rPr>
          <w:rFonts w:ascii="Avenir Next" w:hAnsi="Avenir Next"/>
          <w:color w:val="808080" w:themeColor="background1" w:themeShade="80"/>
        </w:rPr>
        <w:t xml:space="preserve"> </w:t>
      </w:r>
      <w:r w:rsidR="00D822CA">
        <w:rPr>
          <w:rFonts w:ascii="Avenir Next" w:hAnsi="Avenir Next"/>
          <w:color w:val="808080" w:themeColor="background1" w:themeShade="80"/>
        </w:rPr>
        <w:t>for the purpose of reorganization or liquidation</w:t>
      </w:r>
      <w:r w:rsidR="00D822CA">
        <w:rPr>
          <w:rStyle w:val="FootnoteReference"/>
          <w:rFonts w:ascii="Avenir Next" w:hAnsi="Avenir Next"/>
          <w:color w:val="808080" w:themeColor="background1" w:themeShade="80"/>
        </w:rPr>
        <w:footnoteReference w:id="17"/>
      </w:r>
      <w:r w:rsidR="00102377">
        <w:rPr>
          <w:rFonts w:ascii="Avenir Next" w:hAnsi="Avenir Next"/>
          <w:color w:val="808080" w:themeColor="background1" w:themeShade="80"/>
        </w:rPr>
        <w:t>)</w:t>
      </w:r>
      <w:r w:rsidR="00D822CA">
        <w:rPr>
          <w:rFonts w:ascii="Avenir Next" w:hAnsi="Avenir Next"/>
          <w:color w:val="808080" w:themeColor="background1" w:themeShade="80"/>
        </w:rPr>
        <w:t xml:space="preserve">”. </w:t>
      </w:r>
    </w:p>
    <w:p w14:paraId="3FD598D1" w14:textId="77777777" w:rsidR="00D822CA" w:rsidRDefault="00D822CA" w:rsidP="000778B1">
      <w:pPr>
        <w:pStyle w:val="AODocTxt"/>
        <w:spacing w:before="0" w:line="240" w:lineRule="auto"/>
        <w:rPr>
          <w:rFonts w:ascii="Avenir Next" w:hAnsi="Avenir Next"/>
          <w:color w:val="808080" w:themeColor="background1" w:themeShade="80"/>
        </w:rPr>
      </w:pPr>
    </w:p>
    <w:p w14:paraId="73586D07" w14:textId="70573BD8" w:rsidR="00D822CA" w:rsidRDefault="00D822CA"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foreign representative of Skin Luxe would need to file a petition under chapter 15</w:t>
      </w:r>
      <w:r w:rsidR="00102377">
        <w:rPr>
          <w:rFonts w:ascii="Avenir Next" w:hAnsi="Avenir Next"/>
          <w:color w:val="808080" w:themeColor="background1" w:themeShade="80"/>
        </w:rPr>
        <w:t xml:space="preserve"> for recognition</w:t>
      </w:r>
      <w:r>
        <w:rPr>
          <w:rFonts w:ascii="Avenir Next" w:hAnsi="Avenir Next"/>
          <w:color w:val="808080" w:themeColor="background1" w:themeShade="80"/>
        </w:rPr>
        <w:t>.</w:t>
      </w:r>
    </w:p>
    <w:p w14:paraId="62641DD9" w14:textId="77777777" w:rsidR="00D822CA" w:rsidRDefault="00D822CA" w:rsidP="000778B1">
      <w:pPr>
        <w:pStyle w:val="AODocTxt"/>
        <w:spacing w:before="0" w:line="240" w:lineRule="auto"/>
        <w:rPr>
          <w:rFonts w:ascii="Avenir Next" w:hAnsi="Avenir Next"/>
          <w:color w:val="808080" w:themeColor="background1" w:themeShade="80"/>
        </w:rPr>
      </w:pPr>
    </w:p>
    <w:p w14:paraId="26F04A03" w14:textId="70158341" w:rsidR="003E357C" w:rsidRDefault="00D822CA"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order to grant recognition it would be necessary for the foreign representative to present evidence that the scheme of arrangement is pending and that the foreign representative is empowered to act. </w:t>
      </w:r>
      <w:r w:rsidR="00735877">
        <w:rPr>
          <w:rFonts w:ascii="Avenir Next" w:hAnsi="Avenir Next"/>
          <w:color w:val="808080" w:themeColor="background1" w:themeShade="80"/>
        </w:rPr>
        <w:t xml:space="preserve">(A foreign representative would need to be appointed </w:t>
      </w:r>
      <w:r w:rsidR="00B0121A">
        <w:rPr>
          <w:rFonts w:ascii="Avenir Next" w:hAnsi="Avenir Next"/>
          <w:color w:val="808080" w:themeColor="background1" w:themeShade="80"/>
        </w:rPr>
        <w:t>in terms of the scheme)</w:t>
      </w:r>
      <w:r w:rsidR="00102377">
        <w:rPr>
          <w:rFonts w:ascii="Avenir Next" w:hAnsi="Avenir Next"/>
          <w:color w:val="808080" w:themeColor="background1" w:themeShade="80"/>
        </w:rPr>
        <w:t>.</w:t>
      </w:r>
    </w:p>
    <w:p w14:paraId="62ECE8E7" w14:textId="77777777" w:rsidR="00D822CA" w:rsidRDefault="00D822CA" w:rsidP="000778B1">
      <w:pPr>
        <w:pStyle w:val="AODocTxt"/>
        <w:spacing w:before="0" w:line="240" w:lineRule="auto"/>
        <w:rPr>
          <w:rFonts w:ascii="Avenir Next" w:hAnsi="Avenir Next"/>
          <w:color w:val="808080" w:themeColor="background1" w:themeShade="80"/>
        </w:rPr>
      </w:pPr>
    </w:p>
    <w:p w14:paraId="7BA73E18" w14:textId="5B2AEB76" w:rsidR="00102377" w:rsidRPr="00102377" w:rsidRDefault="00D822CA" w:rsidP="00102377">
      <w:pPr>
        <w:jc w:val="both"/>
        <w:rPr>
          <w:rFonts w:ascii="Avenir Next" w:hAnsi="Avenir Next" w:cs="Arial"/>
          <w:color w:val="808080" w:themeColor="background1" w:themeShade="80"/>
          <w:sz w:val="22"/>
          <w:szCs w:val="22"/>
          <w:lang w:val="en-GB"/>
        </w:rPr>
      </w:pPr>
      <w:r w:rsidRPr="00102377">
        <w:rPr>
          <w:rFonts w:ascii="Avenir Next" w:hAnsi="Avenir Next"/>
          <w:color w:val="808080" w:themeColor="background1" w:themeShade="80"/>
          <w:sz w:val="22"/>
          <w:szCs w:val="22"/>
        </w:rPr>
        <w:t xml:space="preserve">The scheme of arrangement is likely to be granted as a foreign non-main proceeding. </w:t>
      </w:r>
      <w:r w:rsidR="00102377" w:rsidRPr="00102377">
        <w:rPr>
          <w:rFonts w:ascii="Avenir Next" w:hAnsi="Avenir Next" w:cs="Arial"/>
          <w:color w:val="808080" w:themeColor="background1" w:themeShade="80"/>
          <w:sz w:val="22"/>
          <w:szCs w:val="22"/>
          <w:lang w:val="en-GB"/>
        </w:rPr>
        <w:t xml:space="preserve">Foreign non-main proceedings can only be opened where there is an establishment. Under Article 2(e) an establishment is “any place of operations where the debtor carries out non-transitory economic activity with human means and assets or </w:t>
      </w:r>
      <w:proofErr w:type="gramStart"/>
      <w:r w:rsidR="00102377" w:rsidRPr="00102377">
        <w:rPr>
          <w:rFonts w:ascii="Avenir Next" w:hAnsi="Avenir Next" w:cs="Arial"/>
          <w:color w:val="808080" w:themeColor="background1" w:themeShade="80"/>
          <w:sz w:val="22"/>
          <w:szCs w:val="22"/>
          <w:lang w:val="en-GB"/>
        </w:rPr>
        <w:t>services’</w:t>
      </w:r>
      <w:proofErr w:type="gramEnd"/>
      <w:r w:rsidR="00102377" w:rsidRPr="00102377">
        <w:rPr>
          <w:rFonts w:ascii="Avenir Next" w:hAnsi="Avenir Next" w:cs="Arial"/>
          <w:color w:val="808080" w:themeColor="background1" w:themeShade="80"/>
          <w:sz w:val="22"/>
          <w:szCs w:val="22"/>
          <w:lang w:val="en-GB"/>
        </w:rPr>
        <w:t xml:space="preserve">. </w:t>
      </w:r>
      <w:r w:rsidR="00102377" w:rsidRPr="00102377">
        <w:rPr>
          <w:rFonts w:ascii="Avenir Next" w:hAnsi="Avenir Next"/>
          <w:color w:val="808080" w:themeColor="background1" w:themeShade="80"/>
          <w:sz w:val="22"/>
          <w:szCs w:val="22"/>
        </w:rPr>
        <w:t>A boutique would meet the requirements for an establishment</w:t>
      </w:r>
      <w:r w:rsidR="00102377" w:rsidRPr="00102377">
        <w:rPr>
          <w:rStyle w:val="FootnoteReference"/>
          <w:rFonts w:ascii="Avenir Next" w:hAnsi="Avenir Next"/>
          <w:color w:val="808080" w:themeColor="background1" w:themeShade="80"/>
          <w:sz w:val="22"/>
          <w:szCs w:val="22"/>
        </w:rPr>
        <w:footnoteReference w:id="18"/>
      </w:r>
      <w:r w:rsidR="00102377" w:rsidRPr="00102377">
        <w:rPr>
          <w:rFonts w:ascii="Avenir Next" w:hAnsi="Avenir Next"/>
          <w:color w:val="808080" w:themeColor="background1" w:themeShade="80"/>
          <w:sz w:val="22"/>
          <w:szCs w:val="22"/>
        </w:rPr>
        <w:t xml:space="preserve"> as it is a place where non-transitory economic activity is carried out. The premises are presumably owned by Skin Luxe or at least leased and it has employees selling the products.</w:t>
      </w:r>
    </w:p>
    <w:p w14:paraId="5A061D6C" w14:textId="77777777" w:rsidR="00102377" w:rsidRPr="00102377" w:rsidRDefault="00102377" w:rsidP="00102377">
      <w:pPr>
        <w:pStyle w:val="AODocTxt"/>
        <w:spacing w:before="0" w:line="240" w:lineRule="auto"/>
        <w:rPr>
          <w:rFonts w:ascii="Avenir Next" w:hAnsi="Avenir Next"/>
          <w:color w:val="808080" w:themeColor="background1" w:themeShade="80"/>
        </w:rPr>
      </w:pPr>
    </w:p>
    <w:p w14:paraId="74477E5D" w14:textId="484DC63E" w:rsidR="00102377" w:rsidRDefault="00102377" w:rsidP="00102377">
      <w:pPr>
        <w:jc w:val="both"/>
        <w:rPr>
          <w:rFonts w:ascii="Avenir Next" w:hAnsi="Avenir Next" w:cs="Arial"/>
          <w:color w:val="808080" w:themeColor="background1" w:themeShade="80"/>
          <w:sz w:val="22"/>
          <w:szCs w:val="22"/>
          <w:lang w:val="en-GB"/>
        </w:rPr>
      </w:pPr>
      <w:r w:rsidRPr="00102377">
        <w:rPr>
          <w:rFonts w:ascii="Avenir Next" w:hAnsi="Avenir Next"/>
          <w:color w:val="808080" w:themeColor="background1" w:themeShade="80"/>
          <w:sz w:val="22"/>
          <w:szCs w:val="22"/>
        </w:rPr>
        <w:t xml:space="preserve">A foreign main proceeding would be those proceedings commenced in Skin Luxe’s center of main interest (COMI). </w:t>
      </w:r>
      <w:r w:rsidRPr="00102377">
        <w:rPr>
          <w:rFonts w:ascii="Avenir Next" w:hAnsi="Avenir Next" w:cs="Arial"/>
          <w:color w:val="808080" w:themeColor="background1" w:themeShade="80"/>
          <w:sz w:val="22"/>
          <w:szCs w:val="22"/>
          <w:lang w:val="en-GB"/>
        </w:rPr>
        <w:t>While the US (Chapter 15) does not explicitly incorporate the concept of the COMI it is guided by it</w:t>
      </w:r>
      <w:r w:rsidRPr="00102377">
        <w:rPr>
          <w:rStyle w:val="FootnoteReference"/>
          <w:rFonts w:ascii="Avenir Next" w:hAnsi="Avenir Next" w:cs="Arial"/>
          <w:color w:val="808080" w:themeColor="background1" w:themeShade="80"/>
          <w:sz w:val="22"/>
          <w:szCs w:val="22"/>
          <w:lang w:val="en-GB"/>
        </w:rPr>
        <w:footnoteReference w:id="19"/>
      </w:r>
      <w:r w:rsidRPr="00102377">
        <w:rPr>
          <w:rFonts w:ascii="Avenir Next" w:hAnsi="Avenir Next" w:cs="Arial"/>
          <w:color w:val="808080" w:themeColor="background1" w:themeShade="80"/>
          <w:sz w:val="22"/>
          <w:szCs w:val="22"/>
          <w:lang w:val="en-GB"/>
        </w:rPr>
        <w:t xml:space="preserve"> and there is corresponding case law</w:t>
      </w:r>
      <w:r w:rsidRPr="00102377">
        <w:rPr>
          <w:rStyle w:val="FootnoteReference"/>
          <w:rFonts w:ascii="Avenir Next" w:hAnsi="Avenir Next" w:cs="Arial"/>
          <w:color w:val="808080" w:themeColor="background1" w:themeShade="80"/>
          <w:sz w:val="22"/>
          <w:szCs w:val="22"/>
          <w:lang w:val="en-GB"/>
        </w:rPr>
        <w:footnoteReference w:id="20"/>
      </w:r>
      <w:r w:rsidRPr="00102377">
        <w:rPr>
          <w:rFonts w:ascii="Avenir Next" w:hAnsi="Avenir Next" w:cs="Arial"/>
          <w:color w:val="808080" w:themeColor="background1" w:themeShade="80"/>
          <w:sz w:val="22"/>
          <w:szCs w:val="22"/>
          <w:lang w:val="en-GB"/>
        </w:rPr>
        <w:t>.  It generally presumed to</w:t>
      </w:r>
      <w:r>
        <w:rPr>
          <w:rFonts w:ascii="Avenir Next" w:hAnsi="Avenir Next" w:cs="Arial"/>
          <w:color w:val="808080" w:themeColor="background1" w:themeShade="80"/>
          <w:sz w:val="22"/>
          <w:szCs w:val="22"/>
          <w:lang w:val="en-GB"/>
        </w:rPr>
        <w:t xml:space="preserve"> be the place of incorporation in the US as these meet the criteria that determine the COMI under Model </w:t>
      </w:r>
      <w:r>
        <w:rPr>
          <w:rFonts w:ascii="Avenir Next" w:hAnsi="Avenir Next" w:cs="Arial"/>
          <w:color w:val="808080" w:themeColor="background1" w:themeShade="80"/>
          <w:sz w:val="22"/>
          <w:szCs w:val="22"/>
          <w:lang w:val="en-GB"/>
        </w:rPr>
        <w:t xml:space="preserve">Law </w:t>
      </w:r>
      <w:r>
        <w:rPr>
          <w:rFonts w:ascii="Avenir Next" w:hAnsi="Avenir Next" w:cs="Arial"/>
          <w:color w:val="808080" w:themeColor="background1" w:themeShade="80"/>
          <w:sz w:val="22"/>
          <w:szCs w:val="22"/>
          <w:lang w:val="en-GB"/>
        </w:rPr>
        <w:t xml:space="preserve">which are it is the central place of administration and creditors can ascertain same. </w:t>
      </w:r>
    </w:p>
    <w:p w14:paraId="5942164F" w14:textId="75C7AB32" w:rsidR="00102377" w:rsidRDefault="00102377" w:rsidP="00102377">
      <w:pPr>
        <w:pStyle w:val="AODocTxt"/>
        <w:spacing w:before="0" w:line="240" w:lineRule="auto"/>
        <w:rPr>
          <w:rFonts w:ascii="Avenir Next" w:hAnsi="Avenir Next"/>
          <w:color w:val="808080" w:themeColor="background1" w:themeShade="80"/>
        </w:rPr>
      </w:pPr>
    </w:p>
    <w:p w14:paraId="2EAF7639" w14:textId="3819A9FB" w:rsidR="00102377" w:rsidRDefault="00102377" w:rsidP="0010237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Given t</w:t>
      </w:r>
      <w:r>
        <w:rPr>
          <w:rFonts w:ascii="Avenir Next" w:hAnsi="Avenir Next"/>
          <w:color w:val="808080" w:themeColor="background1" w:themeShade="80"/>
        </w:rPr>
        <w:t xml:space="preserve">he presumption is that this is the place of its incorporation i.e. France and therefore the English scheme of arrangement would be the non-main proceeding as the boutique in London would be considered an establishment. </w:t>
      </w:r>
    </w:p>
    <w:p w14:paraId="7579AFC0" w14:textId="37A39812" w:rsidR="00102377" w:rsidRDefault="00102377" w:rsidP="00102377">
      <w:pPr>
        <w:jc w:val="both"/>
        <w:rPr>
          <w:rFonts w:ascii="Avenir Next" w:hAnsi="Avenir Next"/>
          <w:color w:val="808080" w:themeColor="background1" w:themeShade="80"/>
          <w:sz w:val="22"/>
          <w:szCs w:val="22"/>
        </w:rPr>
      </w:pPr>
    </w:p>
    <w:p w14:paraId="46B79FA1" w14:textId="6FC8F72E" w:rsidR="00102377" w:rsidRDefault="0063223F"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w:t>
      </w:r>
      <w:r w:rsidR="00364328">
        <w:rPr>
          <w:rFonts w:ascii="Avenir Next" w:hAnsi="Avenir Next"/>
          <w:color w:val="808080" w:themeColor="background1" w:themeShade="80"/>
        </w:rPr>
        <w:t>his presumption</w:t>
      </w:r>
      <w:r w:rsidR="00102377">
        <w:rPr>
          <w:rFonts w:ascii="Avenir Next" w:hAnsi="Avenir Next"/>
          <w:color w:val="808080" w:themeColor="background1" w:themeShade="80"/>
        </w:rPr>
        <w:t>, however,</w:t>
      </w:r>
      <w:r w:rsidR="00364328">
        <w:rPr>
          <w:rFonts w:ascii="Avenir Next" w:hAnsi="Avenir Next"/>
          <w:color w:val="808080" w:themeColor="background1" w:themeShade="80"/>
        </w:rPr>
        <w:t xml:space="preserve"> </w:t>
      </w:r>
      <w:r>
        <w:rPr>
          <w:rFonts w:ascii="Avenir Next" w:hAnsi="Avenir Next"/>
          <w:color w:val="808080" w:themeColor="background1" w:themeShade="80"/>
        </w:rPr>
        <w:t>may be rebuttable and a case may be made that England is the COMI. The bonds are governed by English law and the scheme of arrangement is under English law as such the laws of England are the laws applicable to any disputes arising in terms of the notes. However, this may not be sufficient as other factors also determine the COMI – location of headquarters, management, primary assets and majority of creditors (including those affected by the scheme)</w:t>
      </w:r>
      <w:r>
        <w:rPr>
          <w:rStyle w:val="FootnoteReference"/>
          <w:rFonts w:ascii="Avenir Next" w:hAnsi="Avenir Next"/>
          <w:color w:val="808080" w:themeColor="background1" w:themeShade="80"/>
        </w:rPr>
        <w:footnoteReference w:id="21"/>
      </w:r>
      <w:r>
        <w:rPr>
          <w:rFonts w:ascii="Avenir Next" w:hAnsi="Avenir Next"/>
          <w:color w:val="808080" w:themeColor="background1" w:themeShade="80"/>
        </w:rPr>
        <w:t xml:space="preserve">. Given the </w:t>
      </w:r>
      <w:r w:rsidR="008C7171">
        <w:rPr>
          <w:rFonts w:ascii="Avenir Next" w:hAnsi="Avenir Next"/>
          <w:color w:val="808080" w:themeColor="background1" w:themeShade="80"/>
        </w:rPr>
        <w:t>principal</w:t>
      </w:r>
      <w:r>
        <w:rPr>
          <w:rFonts w:ascii="Avenir Next" w:hAnsi="Avenir Next"/>
          <w:color w:val="808080" w:themeColor="background1" w:themeShade="80"/>
        </w:rPr>
        <w:t xml:space="preserve"> place of business is France and the skin products are manufactured there it is assumed that the headquarters, </w:t>
      </w:r>
      <w:r w:rsidR="008C7171">
        <w:rPr>
          <w:rFonts w:ascii="Avenir Next" w:hAnsi="Avenir Next"/>
          <w:color w:val="808080" w:themeColor="background1" w:themeShade="80"/>
        </w:rPr>
        <w:t>management,</w:t>
      </w:r>
      <w:r>
        <w:rPr>
          <w:rFonts w:ascii="Avenir Next" w:hAnsi="Avenir Next"/>
          <w:color w:val="808080" w:themeColor="background1" w:themeShade="80"/>
        </w:rPr>
        <w:t xml:space="preserve"> and primary assets are in France. There is insufficient information provided to determine where the majority of creditors are located</w:t>
      </w:r>
      <w:r w:rsidR="00102377">
        <w:rPr>
          <w:rFonts w:ascii="Avenir Next" w:hAnsi="Avenir Next"/>
          <w:color w:val="808080" w:themeColor="background1" w:themeShade="80"/>
        </w:rPr>
        <w:t xml:space="preserve"> but given it is bonds being restructured there is </w:t>
      </w:r>
      <w:r w:rsidR="00774453">
        <w:rPr>
          <w:rFonts w:ascii="Avenir Next" w:hAnsi="Avenir Next"/>
          <w:color w:val="808080" w:themeColor="background1" w:themeShade="80"/>
        </w:rPr>
        <w:t>s</w:t>
      </w:r>
      <w:r w:rsidR="00102377">
        <w:rPr>
          <w:rFonts w:ascii="Avenir Next" w:hAnsi="Avenir Next"/>
          <w:color w:val="808080" w:themeColor="background1" w:themeShade="80"/>
        </w:rPr>
        <w:t xml:space="preserve">ome evidence that the debt of those creditors is governed by English Law.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60D4A2AE" w14:textId="2B9AB339" w:rsidR="00864C1D" w:rsidRDefault="00963C0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chapter 11 petition being filed by Speculation would be voluntary filing. Upon filing the petition Speculation obtains an automatic </w:t>
      </w:r>
      <w:r w:rsidR="00774453">
        <w:rPr>
          <w:rFonts w:ascii="Avenir Next" w:hAnsi="Avenir Next"/>
          <w:color w:val="808080" w:themeColor="background1" w:themeShade="80"/>
        </w:rPr>
        <w:t xml:space="preserve">(worldwide) </w:t>
      </w:r>
      <w:r>
        <w:rPr>
          <w:rFonts w:ascii="Avenir Next" w:hAnsi="Avenir Next"/>
          <w:color w:val="808080" w:themeColor="background1" w:themeShade="80"/>
        </w:rPr>
        <w:t xml:space="preserve">stay protecting it from creditors’ individual debt-collection action.  </w:t>
      </w:r>
      <w:r w:rsidR="00F429F2">
        <w:rPr>
          <w:rFonts w:ascii="Avenir Next" w:hAnsi="Avenir Next"/>
          <w:color w:val="808080" w:themeColor="background1" w:themeShade="80"/>
        </w:rPr>
        <w:t xml:space="preserve">Following the filing of the petition the Debtor in Possession (DIP) has 120 days of exclusivity to propose a reorganization plan. After that time or if the DIP plan is not accepted then a party in interest can file a plan.  </w:t>
      </w:r>
    </w:p>
    <w:p w14:paraId="7FFB48DC" w14:textId="77777777" w:rsidR="00963C03" w:rsidRDefault="00963C03" w:rsidP="001D3BAA">
      <w:pPr>
        <w:pStyle w:val="AODocTxt"/>
        <w:spacing w:before="0" w:line="240" w:lineRule="auto"/>
        <w:rPr>
          <w:rFonts w:ascii="Avenir Next" w:hAnsi="Avenir Next"/>
          <w:color w:val="808080" w:themeColor="background1" w:themeShade="80"/>
        </w:rPr>
      </w:pPr>
    </w:p>
    <w:p w14:paraId="6292E007" w14:textId="44D379DE" w:rsidR="0063223F" w:rsidRDefault="0063223F" w:rsidP="0063223F">
      <w:pPr>
        <w:pStyle w:val="AODocTxt"/>
        <w:numPr>
          <w:ilvl w:val="0"/>
          <w:numId w:val="48"/>
        </w:numPr>
        <w:spacing w:before="0" w:line="240" w:lineRule="auto"/>
        <w:rPr>
          <w:rFonts w:ascii="Avenir Next" w:hAnsi="Avenir Next"/>
          <w:color w:val="808080" w:themeColor="background1" w:themeShade="80"/>
        </w:rPr>
      </w:pPr>
      <w:r>
        <w:rPr>
          <w:rFonts w:ascii="Avenir Next" w:hAnsi="Avenir Next"/>
          <w:color w:val="808080" w:themeColor="background1" w:themeShade="80"/>
        </w:rPr>
        <w:t>DOJ investigation</w:t>
      </w:r>
    </w:p>
    <w:p w14:paraId="47C8F260" w14:textId="42DB33D5" w:rsidR="00864C1D" w:rsidRDefault="00864C1D" w:rsidP="00864C1D">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Effect of chapter 11 petition would be Speculation Inc would be an automatic stay however this would not </w:t>
      </w:r>
      <w:r w:rsidR="008C7171">
        <w:rPr>
          <w:rFonts w:ascii="Avenir Next" w:hAnsi="Avenir Next"/>
          <w:color w:val="808080" w:themeColor="background1" w:themeShade="80"/>
        </w:rPr>
        <w:t>affect</w:t>
      </w:r>
      <w:r>
        <w:rPr>
          <w:rFonts w:ascii="Avenir Next" w:hAnsi="Avenir Next"/>
          <w:color w:val="808080" w:themeColor="background1" w:themeShade="80"/>
        </w:rPr>
        <w:t xml:space="preserve"> the DOJ investigation as it would be classified as a regulatory investigation</w:t>
      </w:r>
      <w:r>
        <w:rPr>
          <w:rStyle w:val="FootnoteReference"/>
          <w:rFonts w:ascii="Avenir Next" w:hAnsi="Avenir Next"/>
          <w:color w:val="808080" w:themeColor="background1" w:themeShade="80"/>
        </w:rPr>
        <w:footnoteReference w:id="22"/>
      </w:r>
      <w:r>
        <w:rPr>
          <w:rFonts w:ascii="Avenir Next" w:hAnsi="Avenir Next"/>
          <w:color w:val="808080" w:themeColor="background1" w:themeShade="80"/>
        </w:rPr>
        <w:t>.</w:t>
      </w:r>
    </w:p>
    <w:p w14:paraId="440C3CB1" w14:textId="77777777" w:rsidR="003B6E6F" w:rsidRDefault="003B6E6F" w:rsidP="00864C1D">
      <w:pPr>
        <w:pStyle w:val="AODocTxt"/>
        <w:spacing w:before="0" w:line="240" w:lineRule="auto"/>
        <w:ind w:left="1080"/>
        <w:rPr>
          <w:rFonts w:ascii="Avenir Next" w:hAnsi="Avenir Next"/>
          <w:color w:val="808080" w:themeColor="background1" w:themeShade="80"/>
        </w:rPr>
      </w:pPr>
    </w:p>
    <w:p w14:paraId="0A19F7AB" w14:textId="62AF3E15" w:rsidR="003B6E6F" w:rsidRDefault="00963C03" w:rsidP="00864C1D">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The DoJ would be considered a party in interest. </w:t>
      </w:r>
      <w:r w:rsidR="003B6E6F">
        <w:rPr>
          <w:rFonts w:ascii="Avenir Next" w:hAnsi="Avenir Next"/>
          <w:color w:val="808080" w:themeColor="background1" w:themeShade="80"/>
        </w:rPr>
        <w:t xml:space="preserve">Given the nature of the business, which is high risk, and </w:t>
      </w:r>
      <w:r w:rsidR="00051968">
        <w:rPr>
          <w:rFonts w:ascii="Avenir Next" w:hAnsi="Avenir Next"/>
          <w:color w:val="808080" w:themeColor="background1" w:themeShade="80"/>
        </w:rPr>
        <w:t>the suggestion of insider trading it may be that the that the</w:t>
      </w:r>
      <w:r>
        <w:rPr>
          <w:rFonts w:ascii="Avenir Next" w:hAnsi="Avenir Next"/>
          <w:color w:val="808080" w:themeColor="background1" w:themeShade="80"/>
        </w:rPr>
        <w:t xml:space="preserve"> DOJ, as a party in interest may seek</w:t>
      </w:r>
      <w:r w:rsidR="00051968">
        <w:rPr>
          <w:rFonts w:ascii="Avenir Next" w:hAnsi="Avenir Next"/>
          <w:color w:val="808080" w:themeColor="background1" w:themeShade="80"/>
        </w:rPr>
        <w:t xml:space="preserve"> to appoint a trustee.</w:t>
      </w:r>
      <w:r>
        <w:rPr>
          <w:rFonts w:ascii="Avenir Next" w:hAnsi="Avenir Next"/>
          <w:color w:val="808080" w:themeColor="background1" w:themeShade="80"/>
        </w:rPr>
        <w:t xml:space="preserve"> Although to appoint a part in interest there is a high bar to establish it is necessary. </w:t>
      </w:r>
      <w:r w:rsidR="00051968">
        <w:rPr>
          <w:rFonts w:ascii="Avenir Next" w:hAnsi="Avenir Next"/>
          <w:color w:val="808080" w:themeColor="background1" w:themeShade="80"/>
        </w:rPr>
        <w:t xml:space="preserve"> </w:t>
      </w:r>
      <w:r>
        <w:rPr>
          <w:rFonts w:ascii="Avenir Next" w:hAnsi="Avenir Next"/>
          <w:color w:val="808080" w:themeColor="background1" w:themeShade="80"/>
        </w:rPr>
        <w:t xml:space="preserve">If a trustee is appointed as opposed to the Debtor in Possession the trustee is afforded investigative powers. </w:t>
      </w:r>
    </w:p>
    <w:p w14:paraId="02A77415" w14:textId="77777777" w:rsidR="0063223F" w:rsidRDefault="0063223F" w:rsidP="0063223F">
      <w:pPr>
        <w:pStyle w:val="AODocTxt"/>
        <w:spacing w:before="0" w:line="240" w:lineRule="auto"/>
        <w:ind w:left="1080"/>
        <w:rPr>
          <w:rFonts w:ascii="Avenir Next" w:hAnsi="Avenir Next"/>
          <w:color w:val="808080" w:themeColor="background1" w:themeShade="80"/>
        </w:rPr>
      </w:pPr>
    </w:p>
    <w:p w14:paraId="46BBBCAD" w14:textId="453C45D2" w:rsidR="0063223F" w:rsidRDefault="0063223F" w:rsidP="0063223F">
      <w:pPr>
        <w:pStyle w:val="AODocTxt"/>
        <w:numPr>
          <w:ilvl w:val="0"/>
          <w:numId w:val="48"/>
        </w:numPr>
        <w:spacing w:before="0" w:line="240" w:lineRule="auto"/>
        <w:rPr>
          <w:rFonts w:ascii="Avenir Next" w:hAnsi="Avenir Next"/>
          <w:color w:val="808080" w:themeColor="background1" w:themeShade="80"/>
        </w:rPr>
      </w:pPr>
      <w:r>
        <w:rPr>
          <w:rFonts w:ascii="Avenir Next" w:hAnsi="Avenir Next"/>
          <w:color w:val="808080" w:themeColor="background1" w:themeShade="80"/>
        </w:rPr>
        <w:t>Margin loan default</w:t>
      </w:r>
    </w:p>
    <w:p w14:paraId="6F41181B" w14:textId="79D3F687" w:rsidR="00F429F2" w:rsidRDefault="00735877" w:rsidP="0063223F">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Effect of chapter 11 petition would be Speculation Inc would be an automatic stay</w:t>
      </w:r>
      <w:r w:rsidR="00B0121A">
        <w:rPr>
          <w:rFonts w:ascii="Avenir Next" w:hAnsi="Avenir Next"/>
          <w:color w:val="808080" w:themeColor="background1" w:themeShade="80"/>
        </w:rPr>
        <w:t>.</w:t>
      </w:r>
      <w:r w:rsidR="00F429F2">
        <w:rPr>
          <w:rFonts w:ascii="Avenir Next" w:hAnsi="Avenir Next"/>
          <w:color w:val="808080" w:themeColor="background1" w:themeShade="80"/>
        </w:rPr>
        <w:t xml:space="preserve"> It would need to be determined what are the security arrangements in place with the broker. The interests of secured creditors are safeguarded under chapter 11 by constraining DIP to sell, use of lease estate property to provide adequate protection of the secured creditor’s interest. </w:t>
      </w:r>
    </w:p>
    <w:p w14:paraId="4889FC75" w14:textId="77777777" w:rsidR="00F429F2" w:rsidRDefault="00F429F2" w:rsidP="0063223F">
      <w:pPr>
        <w:pStyle w:val="AODocTxt"/>
        <w:spacing w:before="0" w:line="240" w:lineRule="auto"/>
        <w:ind w:left="1080"/>
        <w:rPr>
          <w:rFonts w:ascii="Avenir Next" w:hAnsi="Avenir Next"/>
          <w:color w:val="808080" w:themeColor="background1" w:themeShade="80"/>
        </w:rPr>
      </w:pPr>
    </w:p>
    <w:p w14:paraId="133414CB" w14:textId="77777777" w:rsidR="00F429F2" w:rsidRDefault="00B0121A" w:rsidP="0063223F">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The scope of the stay would prohibit the enforcement of any lien on the shares purchased by the broker on the margin loan.</w:t>
      </w:r>
      <w:r w:rsidR="001D26F3">
        <w:rPr>
          <w:rFonts w:ascii="Avenir Next" w:hAnsi="Avenir Next"/>
          <w:color w:val="808080" w:themeColor="background1" w:themeShade="80"/>
        </w:rPr>
        <w:t xml:space="preserve"> </w:t>
      </w:r>
    </w:p>
    <w:p w14:paraId="4D308B43" w14:textId="77777777" w:rsidR="001D26F3" w:rsidRDefault="001D26F3" w:rsidP="00F429F2">
      <w:pPr>
        <w:pStyle w:val="AODocTxt"/>
        <w:spacing w:before="0" w:line="240" w:lineRule="auto"/>
        <w:rPr>
          <w:rFonts w:ascii="Avenir Next" w:hAnsi="Avenir Next"/>
          <w:color w:val="808080" w:themeColor="background1" w:themeShade="80"/>
        </w:rPr>
      </w:pPr>
    </w:p>
    <w:p w14:paraId="014E927D" w14:textId="5374D172" w:rsidR="001D26F3" w:rsidRDefault="001D26F3" w:rsidP="0063223F">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lastRenderedPageBreak/>
        <w:t xml:space="preserve">However, </w:t>
      </w:r>
      <w:r w:rsidR="003B6E6F">
        <w:rPr>
          <w:rFonts w:ascii="Avenir Next" w:hAnsi="Avenir Next"/>
          <w:color w:val="808080" w:themeColor="background1" w:themeShade="80"/>
        </w:rPr>
        <w:t xml:space="preserve">the stay with respect to the trading of the shares may be exempted by virtue of being a forward contract as such by freezing the trading of the shares would prevent Speculation Inc being able to trade during the period when the development plan is being developed.  </w:t>
      </w:r>
    </w:p>
    <w:p w14:paraId="116BF5B5" w14:textId="77777777" w:rsidR="00F429F2" w:rsidRDefault="00F429F2" w:rsidP="0063223F">
      <w:pPr>
        <w:pStyle w:val="AODocTxt"/>
        <w:spacing w:before="0" w:line="240" w:lineRule="auto"/>
        <w:ind w:left="1080"/>
        <w:rPr>
          <w:rFonts w:ascii="Avenir Next" w:hAnsi="Avenir Next"/>
          <w:color w:val="808080" w:themeColor="background1" w:themeShade="80"/>
        </w:rPr>
      </w:pPr>
    </w:p>
    <w:p w14:paraId="0D6FB986" w14:textId="5117E528" w:rsidR="00F429F2" w:rsidRDefault="00F429F2" w:rsidP="00F73CAC">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Given the questions arising with respect to insider trading any amount due in respect of the margin loan may be avoided as a preferential or fraudulent transfer. </w:t>
      </w:r>
    </w:p>
    <w:p w14:paraId="575B6D65" w14:textId="77777777" w:rsidR="00735877" w:rsidRDefault="00735877" w:rsidP="0063223F">
      <w:pPr>
        <w:pStyle w:val="AODocTxt"/>
        <w:spacing w:before="0" w:line="240" w:lineRule="auto"/>
        <w:ind w:left="1080"/>
        <w:rPr>
          <w:rFonts w:ascii="Avenir Next" w:hAnsi="Avenir Next"/>
          <w:color w:val="808080" w:themeColor="background1" w:themeShade="80"/>
        </w:rPr>
      </w:pPr>
    </w:p>
    <w:p w14:paraId="57529084" w14:textId="063D9DD5" w:rsidR="0063223F" w:rsidRDefault="0063223F" w:rsidP="0063223F">
      <w:pPr>
        <w:pStyle w:val="AODocTxt"/>
        <w:numPr>
          <w:ilvl w:val="0"/>
          <w:numId w:val="48"/>
        </w:numPr>
        <w:spacing w:before="0" w:line="240" w:lineRule="auto"/>
        <w:rPr>
          <w:rFonts w:ascii="Avenir Next" w:hAnsi="Avenir Next"/>
          <w:color w:val="808080" w:themeColor="background1" w:themeShade="80"/>
        </w:rPr>
      </w:pPr>
      <w:r>
        <w:rPr>
          <w:rFonts w:ascii="Avenir Next" w:hAnsi="Avenir Next"/>
          <w:color w:val="808080" w:themeColor="background1" w:themeShade="80"/>
        </w:rPr>
        <w:t>Delinquent lease</w:t>
      </w:r>
    </w:p>
    <w:p w14:paraId="322347E0" w14:textId="62E0DAFD" w:rsidR="001700A9" w:rsidRDefault="00B67DA6" w:rsidP="00051968">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Speculation, being the </w:t>
      </w:r>
      <w:r w:rsidR="00963C03">
        <w:rPr>
          <w:rFonts w:ascii="Avenir Next" w:hAnsi="Avenir Next"/>
          <w:color w:val="808080" w:themeColor="background1" w:themeShade="80"/>
        </w:rPr>
        <w:t>DIP</w:t>
      </w:r>
      <w:r>
        <w:rPr>
          <w:rFonts w:ascii="Avenir Next" w:hAnsi="Avenir Next"/>
          <w:color w:val="808080" w:themeColor="background1" w:themeShade="80"/>
        </w:rPr>
        <w:t>, is entitled to continue with the lease in the ordinary course of business</w:t>
      </w:r>
      <w:r w:rsidR="00963C03">
        <w:rPr>
          <w:rFonts w:ascii="Avenir Next" w:hAnsi="Avenir Next"/>
          <w:color w:val="808080" w:themeColor="background1" w:themeShade="80"/>
        </w:rPr>
        <w:t xml:space="preserve">. </w:t>
      </w:r>
    </w:p>
    <w:p w14:paraId="0E2B05E4" w14:textId="77777777" w:rsidR="00B67DA6" w:rsidRDefault="00B67DA6" w:rsidP="00051968">
      <w:pPr>
        <w:pStyle w:val="AODocTxt"/>
        <w:spacing w:before="0" w:line="240" w:lineRule="auto"/>
        <w:ind w:left="1080"/>
        <w:rPr>
          <w:rFonts w:ascii="Avenir Next" w:hAnsi="Avenir Next"/>
          <w:color w:val="808080" w:themeColor="background1" w:themeShade="80"/>
        </w:rPr>
      </w:pPr>
    </w:p>
    <w:p w14:paraId="1BBB44A0" w14:textId="7EC6F7F4" w:rsidR="006D6DBA" w:rsidRDefault="006D6DBA" w:rsidP="00051968">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Assuming the lease has not expired then a decision would need to be made with respect to any unexpired leases of the office spaces (which are non-residential property) within 120 days of the order for relief</w:t>
      </w:r>
      <w:r>
        <w:rPr>
          <w:rStyle w:val="FootnoteReference"/>
          <w:rFonts w:ascii="Avenir Next" w:hAnsi="Avenir Next"/>
          <w:color w:val="808080" w:themeColor="background1" w:themeShade="80"/>
        </w:rPr>
        <w:footnoteReference w:id="23"/>
      </w:r>
      <w:r>
        <w:rPr>
          <w:rFonts w:ascii="Avenir Next" w:hAnsi="Avenir Next"/>
          <w:color w:val="808080" w:themeColor="background1" w:themeShade="80"/>
        </w:rPr>
        <w:t>. An extension (to 90 days for cause) can be granted but the lessor needs to provide consent.</w:t>
      </w:r>
    </w:p>
    <w:p w14:paraId="445BF6FA" w14:textId="77777777" w:rsidR="00E709F9" w:rsidRDefault="00E709F9" w:rsidP="00051968">
      <w:pPr>
        <w:pStyle w:val="AODocTxt"/>
        <w:spacing w:before="0" w:line="240" w:lineRule="auto"/>
        <w:ind w:left="1080"/>
        <w:rPr>
          <w:rFonts w:ascii="Avenir Next" w:hAnsi="Avenir Next"/>
          <w:color w:val="808080" w:themeColor="background1" w:themeShade="80"/>
        </w:rPr>
      </w:pPr>
    </w:p>
    <w:p w14:paraId="3BF85527" w14:textId="04D6E81A" w:rsidR="004B67B9" w:rsidRDefault="00E709F9" w:rsidP="000A7574">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Should </w:t>
      </w:r>
      <w:r w:rsidR="008C7171">
        <w:rPr>
          <w:rFonts w:ascii="Avenir Next" w:hAnsi="Avenir Next"/>
          <w:color w:val="808080" w:themeColor="background1" w:themeShade="80"/>
        </w:rPr>
        <w:t>DIP</w:t>
      </w:r>
      <w:r w:rsidR="000A7574">
        <w:rPr>
          <w:rFonts w:ascii="Avenir Next" w:hAnsi="Avenir Next"/>
          <w:color w:val="808080" w:themeColor="background1" w:themeShade="80"/>
        </w:rPr>
        <w:t xml:space="preserve"> </w:t>
      </w:r>
      <w:r w:rsidR="000A7574">
        <w:rPr>
          <w:rFonts w:ascii="Avenir Next" w:hAnsi="Avenir Next"/>
          <w:color w:val="808080" w:themeColor="background1" w:themeShade="80"/>
        </w:rPr>
        <w:t xml:space="preserve">continue to lease the offices it could only sell the lease </w:t>
      </w:r>
      <w:r w:rsidR="004B67B9">
        <w:rPr>
          <w:rFonts w:ascii="Avenir Next" w:hAnsi="Avenir Next"/>
          <w:color w:val="808080" w:themeColor="background1" w:themeShade="80"/>
        </w:rPr>
        <w:t xml:space="preserve">as part of the reorganization </w:t>
      </w:r>
      <w:r w:rsidR="000A7574">
        <w:rPr>
          <w:rFonts w:ascii="Avenir Next" w:hAnsi="Avenir Next"/>
          <w:color w:val="808080" w:themeColor="background1" w:themeShade="80"/>
        </w:rPr>
        <w:t xml:space="preserve">with court approval. </w:t>
      </w:r>
    </w:p>
    <w:p w14:paraId="0B874D5D" w14:textId="77777777" w:rsidR="004B67B9" w:rsidRDefault="004B67B9" w:rsidP="000A7574">
      <w:pPr>
        <w:pStyle w:val="AODocTxt"/>
        <w:spacing w:before="0" w:line="240" w:lineRule="auto"/>
        <w:ind w:left="1080"/>
        <w:rPr>
          <w:rFonts w:ascii="Avenir Next" w:hAnsi="Avenir Next"/>
          <w:color w:val="808080" w:themeColor="background1" w:themeShade="80"/>
        </w:rPr>
      </w:pPr>
    </w:p>
    <w:p w14:paraId="113DFB69" w14:textId="623EA931" w:rsidR="000A7574" w:rsidRDefault="000A7574" w:rsidP="000A7574">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If </w:t>
      </w:r>
      <w:r w:rsidR="008C7171">
        <w:rPr>
          <w:rFonts w:ascii="Avenir Next" w:hAnsi="Avenir Next"/>
          <w:color w:val="808080" w:themeColor="background1" w:themeShade="80"/>
        </w:rPr>
        <w:t>DIP</w:t>
      </w:r>
      <w:r>
        <w:rPr>
          <w:rFonts w:ascii="Avenir Next" w:hAnsi="Avenir Next"/>
          <w:color w:val="808080" w:themeColor="background1" w:themeShade="80"/>
        </w:rPr>
        <w:t xml:space="preserve"> reject</w:t>
      </w:r>
      <w:r w:rsidR="004B67B9">
        <w:rPr>
          <w:rFonts w:ascii="Avenir Next" w:hAnsi="Avenir Next"/>
          <w:color w:val="808080" w:themeColor="background1" w:themeShade="80"/>
        </w:rPr>
        <w:t xml:space="preserve">s the lease it would need incur </w:t>
      </w:r>
      <w:r>
        <w:rPr>
          <w:rFonts w:ascii="Avenir Next" w:hAnsi="Avenir Next"/>
          <w:color w:val="808080" w:themeColor="background1" w:themeShade="80"/>
        </w:rPr>
        <w:t>an unsecure</w:t>
      </w:r>
      <w:r w:rsidR="004B67B9">
        <w:rPr>
          <w:rFonts w:ascii="Avenir Next" w:hAnsi="Avenir Next"/>
          <w:color w:val="808080" w:themeColor="background1" w:themeShade="80"/>
        </w:rPr>
        <w:t>d</w:t>
      </w:r>
      <w:r>
        <w:rPr>
          <w:rFonts w:ascii="Avenir Next" w:hAnsi="Avenir Next"/>
          <w:color w:val="808080" w:themeColor="background1" w:themeShade="80"/>
        </w:rPr>
        <w:t xml:space="preserve"> claim for pre-petition damages. If </w:t>
      </w:r>
      <w:r w:rsidR="004B67B9">
        <w:rPr>
          <w:rFonts w:ascii="Avenir Next" w:hAnsi="Avenir Next"/>
          <w:color w:val="808080" w:themeColor="background1" w:themeShade="80"/>
        </w:rPr>
        <w:t>Speculation</w:t>
      </w:r>
      <w:r>
        <w:rPr>
          <w:rFonts w:ascii="Avenir Next" w:hAnsi="Avenir Next"/>
          <w:color w:val="808080" w:themeColor="background1" w:themeShade="80"/>
        </w:rPr>
        <w:t xml:space="preserve"> continues with it and then </w:t>
      </w:r>
      <w:r w:rsidR="004B67B9">
        <w:rPr>
          <w:rFonts w:ascii="Avenir Next" w:hAnsi="Avenir Next"/>
          <w:color w:val="808080" w:themeColor="background1" w:themeShade="80"/>
        </w:rPr>
        <w:t xml:space="preserve">it would need to pay the rental and if it </w:t>
      </w:r>
      <w:r>
        <w:rPr>
          <w:rFonts w:ascii="Avenir Next" w:hAnsi="Avenir Next"/>
          <w:color w:val="808080" w:themeColor="background1" w:themeShade="80"/>
        </w:rPr>
        <w:t xml:space="preserve">later rejects it the claim for damages would be a cost of administration. </w:t>
      </w:r>
      <w:r w:rsidR="004B67B9">
        <w:rPr>
          <w:rFonts w:ascii="Avenir Next" w:hAnsi="Avenir Next"/>
          <w:color w:val="808080" w:themeColor="background1" w:themeShade="80"/>
        </w:rPr>
        <w:t>Speculation does have the option to assign</w:t>
      </w:r>
      <w:r>
        <w:rPr>
          <w:rFonts w:ascii="Avenir Next" w:hAnsi="Avenir Next"/>
          <w:color w:val="808080" w:themeColor="background1" w:themeShade="80"/>
        </w:rPr>
        <w:t xml:space="preserve"> the </w:t>
      </w:r>
      <w:r w:rsidR="004B67B9">
        <w:rPr>
          <w:rFonts w:ascii="Avenir Next" w:hAnsi="Avenir Next"/>
          <w:color w:val="808080" w:themeColor="background1" w:themeShade="80"/>
        </w:rPr>
        <w:t>lease.</w:t>
      </w:r>
      <w:r w:rsidR="00D46841">
        <w:rPr>
          <w:rFonts w:ascii="Avenir Next" w:hAnsi="Avenir Next"/>
          <w:color w:val="808080" w:themeColor="background1" w:themeShade="80"/>
        </w:rPr>
        <w:t xml:space="preserve"> </w:t>
      </w:r>
    </w:p>
    <w:p w14:paraId="33CAC77B" w14:textId="77777777" w:rsidR="00B67DA6" w:rsidRDefault="00B67DA6" w:rsidP="000A7574">
      <w:pPr>
        <w:pStyle w:val="AODocTxt"/>
        <w:spacing w:before="0" w:line="240" w:lineRule="auto"/>
        <w:ind w:left="1080"/>
        <w:rPr>
          <w:rFonts w:ascii="Avenir Next" w:hAnsi="Avenir Next"/>
          <w:color w:val="808080" w:themeColor="background1" w:themeShade="80"/>
        </w:rPr>
      </w:pPr>
    </w:p>
    <w:p w14:paraId="6FE54927" w14:textId="0BE5ECE2" w:rsidR="00B67DA6" w:rsidRDefault="00B67DA6" w:rsidP="000A7574">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Should a 363 sale be undertaken in due course the lease could be transferred and the liability arising from the unpaid rental would not be transferred. </w:t>
      </w:r>
    </w:p>
    <w:p w14:paraId="3F5FC0A4" w14:textId="77777777" w:rsidR="004B67B9" w:rsidRDefault="004B67B9" w:rsidP="007921A0">
      <w:pPr>
        <w:pStyle w:val="AODocTxt"/>
        <w:spacing w:before="0" w:line="240" w:lineRule="auto"/>
        <w:rPr>
          <w:rFonts w:ascii="Avenir Next" w:hAnsi="Avenir Next"/>
          <w:color w:val="808080" w:themeColor="background1" w:themeShade="80"/>
        </w:rPr>
      </w:pPr>
    </w:p>
    <w:p w14:paraId="2017AE9F" w14:textId="6C332FCD" w:rsidR="0063223F" w:rsidRDefault="0063223F" w:rsidP="0063223F">
      <w:pPr>
        <w:pStyle w:val="AODocTxt"/>
        <w:numPr>
          <w:ilvl w:val="0"/>
          <w:numId w:val="4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Employment discrimination lawsuit </w:t>
      </w:r>
    </w:p>
    <w:p w14:paraId="580E58D6" w14:textId="77777777" w:rsidR="00F429F2" w:rsidRDefault="00B0121A" w:rsidP="006D6DBA">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Effect of chapter 11 petition would be Speculation Inc would be an automatic stay</w:t>
      </w:r>
      <w:r>
        <w:rPr>
          <w:rFonts w:ascii="Avenir Next" w:hAnsi="Avenir Next"/>
          <w:color w:val="808080" w:themeColor="background1" w:themeShade="80"/>
        </w:rPr>
        <w:t xml:space="preserve"> and this affect pre-petition lawsuit</w:t>
      </w:r>
      <w:r w:rsidR="00F429F2">
        <w:rPr>
          <w:rFonts w:ascii="Avenir Next" w:hAnsi="Avenir Next"/>
          <w:color w:val="808080" w:themeColor="background1" w:themeShade="80"/>
        </w:rPr>
        <w:t>s. However, depending on the relevant US legislation, if the employment discrimination lawsuit falls outside of the of the bankruptcy court which it is assumed a lawsuit</w:t>
      </w:r>
      <w:r>
        <w:rPr>
          <w:rFonts w:ascii="Avenir Next" w:hAnsi="Avenir Next"/>
          <w:color w:val="808080" w:themeColor="background1" w:themeShade="80"/>
        </w:rPr>
        <w:t xml:space="preserve"> by the former employee due to gender discrimination</w:t>
      </w:r>
      <w:r w:rsidR="00F429F2">
        <w:rPr>
          <w:rFonts w:ascii="Avenir Next" w:hAnsi="Avenir Next"/>
          <w:color w:val="808080" w:themeColor="background1" w:themeShade="80"/>
        </w:rPr>
        <w:t xml:space="preserve"> would be then the lawsuit may proceed.</w:t>
      </w:r>
    </w:p>
    <w:p w14:paraId="0A2C7ECD" w14:textId="77777777" w:rsidR="00F429F2" w:rsidRDefault="00F429F2" w:rsidP="006D6DBA">
      <w:pPr>
        <w:pStyle w:val="AODocTxt"/>
        <w:spacing w:before="0" w:line="240" w:lineRule="auto"/>
        <w:ind w:left="1080"/>
        <w:rPr>
          <w:rFonts w:ascii="Avenir Next" w:hAnsi="Avenir Next"/>
          <w:color w:val="808080" w:themeColor="background1" w:themeShade="80"/>
        </w:rPr>
      </w:pPr>
    </w:p>
    <w:p w14:paraId="7D34C021" w14:textId="07B818BA" w:rsidR="00F429F2" w:rsidRDefault="00F429F2" w:rsidP="006D6DBA">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The former employee would still be able to</w:t>
      </w:r>
      <w:r w:rsidR="00051968">
        <w:rPr>
          <w:rFonts w:ascii="Avenir Next" w:hAnsi="Avenir Next"/>
          <w:color w:val="808080" w:themeColor="background1" w:themeShade="80"/>
        </w:rPr>
        <w:t xml:space="preserve"> submit a claim in the bankruptcy proceedings.</w:t>
      </w:r>
      <w:r>
        <w:rPr>
          <w:rFonts w:ascii="Avenir Next" w:hAnsi="Avenir Next"/>
          <w:color w:val="808080" w:themeColor="background1" w:themeShade="80"/>
        </w:rPr>
        <w:t xml:space="preserve"> </w:t>
      </w:r>
    </w:p>
    <w:p w14:paraId="1BFD5B7A" w14:textId="77777777" w:rsidR="00F429F2" w:rsidRDefault="00F429F2" w:rsidP="006D6DBA">
      <w:pPr>
        <w:pStyle w:val="AODocTxt"/>
        <w:spacing w:before="0" w:line="240" w:lineRule="auto"/>
        <w:ind w:left="1080"/>
        <w:rPr>
          <w:rFonts w:ascii="Avenir Next" w:hAnsi="Avenir Next"/>
          <w:color w:val="808080" w:themeColor="background1" w:themeShade="80"/>
        </w:rPr>
      </w:pPr>
    </w:p>
    <w:p w14:paraId="70C6A8B6" w14:textId="631D0FA1"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1C4787">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BD34" w14:textId="77777777" w:rsidR="001C4787" w:rsidRDefault="001C4787" w:rsidP="00241B44">
      <w:r>
        <w:separator/>
      </w:r>
    </w:p>
  </w:endnote>
  <w:endnote w:type="continuationSeparator" w:id="0">
    <w:p w14:paraId="6D97DDF1" w14:textId="77777777" w:rsidR="001C4787" w:rsidRDefault="001C478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5BE1D5BB" w:rsidR="00241FA3" w:rsidRPr="00494B81" w:rsidRDefault="0096489B" w:rsidP="009B4976">
    <w:pPr>
      <w:pStyle w:val="Footer"/>
      <w:ind w:right="360"/>
      <w:rPr>
        <w:rFonts w:ascii="Avenir Next" w:hAnsi="Avenir Next" w:cs="Arial"/>
        <w:sz w:val="22"/>
        <w:szCs w:val="22"/>
        <w:lang w:val="en-GB"/>
      </w:rPr>
    </w:pPr>
    <w:r w:rsidRPr="005D7A54">
      <w:rPr>
        <w:rFonts w:ascii="Calibri" w:hAnsi="Calibri" w:cs="Calibri"/>
        <w:color w:val="000000" w:themeColor="text1"/>
        <w:shd w:val="clear" w:color="auto" w:fill="FFFFFF"/>
      </w:rPr>
      <w:t>202324-1395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CAB3" w14:textId="77777777" w:rsidR="001C4787" w:rsidRDefault="001C4787" w:rsidP="00241B44">
      <w:r>
        <w:separator/>
      </w:r>
    </w:p>
  </w:footnote>
  <w:footnote w:type="continuationSeparator" w:id="0">
    <w:p w14:paraId="29137C1A" w14:textId="77777777" w:rsidR="001C4787" w:rsidRDefault="001C4787" w:rsidP="00241B44">
      <w:r>
        <w:continuationSeparator/>
      </w:r>
    </w:p>
  </w:footnote>
  <w:footnote w:id="1">
    <w:p w14:paraId="66B648DD" w14:textId="63B90761" w:rsidR="001A1BC1" w:rsidRDefault="001A1BC1" w:rsidP="001A1BC1">
      <w:pPr>
        <w:pStyle w:val="FootnoteText"/>
      </w:pPr>
      <w:r>
        <w:rPr>
          <w:rStyle w:val="FootnoteReference"/>
        </w:rPr>
        <w:footnoteRef/>
      </w:r>
      <w:r>
        <w:t xml:space="preserve"> Foundation Certificate in International Insolvency Law, “Module 3A Guidance Text Insolvency System of the United States 2023/2024” (INSOL) pg. 59</w:t>
      </w:r>
    </w:p>
  </w:footnote>
  <w:footnote w:id="2">
    <w:p w14:paraId="274892C8" w14:textId="655A8817" w:rsidR="00CE1E57" w:rsidRDefault="00CE1E57">
      <w:pPr>
        <w:pStyle w:val="FootnoteText"/>
      </w:pPr>
      <w:r>
        <w:rPr>
          <w:rStyle w:val="FootnoteReference"/>
        </w:rPr>
        <w:footnoteRef/>
      </w:r>
      <w:r>
        <w:t xml:space="preserve"> </w:t>
      </w:r>
      <w:r w:rsidRPr="00CE1E57">
        <w:t>DIP financing is an incentive for lenders and counterparties to provide extension of credit to a debtor in Chapter 11 bankruptcy under the Bankruptcy Code. The rationale is that it enables the debtor to finance the bankruptcy process and thereby improve the chances of the reorganization.</w:t>
      </w:r>
    </w:p>
  </w:footnote>
  <w:footnote w:id="3">
    <w:p w14:paraId="2A9E3761" w14:textId="3AF1554A" w:rsidR="00ED53F9" w:rsidRDefault="00ED53F9">
      <w:pPr>
        <w:pStyle w:val="FootnoteText"/>
      </w:pPr>
      <w:r>
        <w:rPr>
          <w:rStyle w:val="FootnoteReference"/>
        </w:rPr>
        <w:footnoteRef/>
      </w:r>
      <w:r>
        <w:t xml:space="preserve"> Bo </w:t>
      </w:r>
      <w:proofErr w:type="spellStart"/>
      <w:r>
        <w:t>Xie</w:t>
      </w:r>
      <w:proofErr w:type="spellEnd"/>
      <w:r>
        <w:t xml:space="preserve">, ‘Comparative Insolvency Law” The Pre-Pack Approach in Corporate Rescue’, Edward Elgar (2016) </w:t>
      </w:r>
      <w:proofErr w:type="spellStart"/>
      <w:r>
        <w:t>pg</w:t>
      </w:r>
      <w:proofErr w:type="spellEnd"/>
      <w:r>
        <w:t xml:space="preserve"> 197</w:t>
      </w:r>
    </w:p>
  </w:footnote>
  <w:footnote w:id="4">
    <w:p w14:paraId="4B396D78" w14:textId="5B9468C8" w:rsidR="00ED53F9" w:rsidRDefault="00ED53F9">
      <w:pPr>
        <w:pStyle w:val="FootnoteText"/>
      </w:pPr>
      <w:r>
        <w:rPr>
          <w:rStyle w:val="FootnoteReference"/>
        </w:rPr>
        <w:footnoteRef/>
      </w:r>
      <w:r>
        <w:t xml:space="preserve"> </w:t>
      </w:r>
      <w:r w:rsidRPr="00ED53F9">
        <w:rPr>
          <w:i/>
          <w:iCs/>
        </w:rPr>
        <w:t>Ibid</w:t>
      </w:r>
      <w:r>
        <w:t xml:space="preserve">, </w:t>
      </w:r>
      <w:proofErr w:type="spellStart"/>
      <w:r>
        <w:t>pg</w:t>
      </w:r>
      <w:proofErr w:type="spellEnd"/>
      <w:r>
        <w:t xml:space="preserve"> 199</w:t>
      </w:r>
    </w:p>
  </w:footnote>
  <w:footnote w:id="5">
    <w:p w14:paraId="7EEA0556" w14:textId="2800F727" w:rsidR="008B7808" w:rsidRDefault="008B7808" w:rsidP="008B7808">
      <w:pPr>
        <w:pStyle w:val="FootnoteText"/>
      </w:pPr>
      <w:r>
        <w:rPr>
          <w:rStyle w:val="FootnoteReference"/>
        </w:rPr>
        <w:footnoteRef/>
      </w:r>
      <w:r>
        <w:t xml:space="preserve"> Foundation Certificate in International Insolvency Law, “Module 3A Guidance Text Insolvency System of the United States 2023/2024” (INSOL) pg. 40</w:t>
      </w:r>
    </w:p>
    <w:p w14:paraId="39205FE2" w14:textId="72DB9EA3" w:rsidR="008B7808" w:rsidRDefault="008B7808">
      <w:pPr>
        <w:pStyle w:val="FootnoteText"/>
      </w:pPr>
    </w:p>
  </w:footnote>
  <w:footnote w:id="6">
    <w:p w14:paraId="35DF3F42" w14:textId="0DF556A0" w:rsidR="0047681C" w:rsidRDefault="0047681C">
      <w:pPr>
        <w:pStyle w:val="FootnoteText"/>
      </w:pPr>
      <w:r>
        <w:rPr>
          <w:rStyle w:val="FootnoteReference"/>
        </w:rPr>
        <w:footnoteRef/>
      </w:r>
      <w:r>
        <w:t xml:space="preserve"> </w:t>
      </w:r>
      <w:r>
        <w:t xml:space="preserve">Foundation Certificate in International Insolvency Law, “Module 3A Guidance Text Insolvency System of the United States 2023/2024” (INSOL) pg. </w:t>
      </w:r>
      <w:r>
        <w:t>51-53</w:t>
      </w:r>
    </w:p>
  </w:footnote>
  <w:footnote w:id="7">
    <w:p w14:paraId="76F77DF1" w14:textId="38549DDE" w:rsidR="008631AD" w:rsidRDefault="008631AD">
      <w:pPr>
        <w:pStyle w:val="FootnoteText"/>
      </w:pPr>
      <w:r>
        <w:rPr>
          <w:rStyle w:val="FootnoteReference"/>
        </w:rPr>
        <w:footnoteRef/>
      </w:r>
      <w:r>
        <w:t xml:space="preserve"> </w:t>
      </w:r>
      <w:r>
        <w:t>Foundation Certificate in International Insolvency Law, “Module 3A Guidance Text Insolvency System of the United States 2023/2024” (INSOL) pg. 5</w:t>
      </w:r>
      <w:r>
        <w:t>7-58</w:t>
      </w:r>
    </w:p>
  </w:footnote>
  <w:footnote w:id="8">
    <w:p w14:paraId="06BBB43F" w14:textId="0B95E5CA" w:rsidR="00EF7209" w:rsidRDefault="00EF7209">
      <w:pPr>
        <w:pStyle w:val="FootnoteText"/>
      </w:pPr>
      <w:r>
        <w:rPr>
          <w:rStyle w:val="FootnoteReference"/>
        </w:rPr>
        <w:footnoteRef/>
      </w:r>
      <w:r>
        <w:t xml:space="preserve"> Following </w:t>
      </w:r>
      <w:r w:rsidRPr="00EF7209">
        <w:rPr>
          <w:i/>
          <w:iCs/>
        </w:rPr>
        <w:t>Stern v Marshall</w:t>
      </w:r>
      <w:r>
        <w:t xml:space="preserve"> 564 US 463 (2011). </w:t>
      </w:r>
    </w:p>
  </w:footnote>
  <w:footnote w:id="9">
    <w:p w14:paraId="3DB22358" w14:textId="6718D56F" w:rsidR="00EF7209" w:rsidRDefault="00EF7209">
      <w:pPr>
        <w:pStyle w:val="FootnoteText"/>
      </w:pPr>
      <w:r>
        <w:rPr>
          <w:rStyle w:val="FootnoteReference"/>
        </w:rPr>
        <w:footnoteRef/>
      </w:r>
      <w:r>
        <w:t xml:space="preserve"> </w:t>
      </w:r>
      <w:r w:rsidRPr="00EF7209">
        <w:rPr>
          <w:i/>
          <w:iCs/>
        </w:rPr>
        <w:t>Wellness Int’l Network Ltd. V Sharif</w:t>
      </w:r>
      <w:r>
        <w:t xml:space="preserve">, 135 S Ct 1932 (2015). </w:t>
      </w:r>
    </w:p>
  </w:footnote>
  <w:footnote w:id="10">
    <w:p w14:paraId="5A20A5DD" w14:textId="21A0B3A6" w:rsidR="00037D6A" w:rsidRDefault="00037D6A">
      <w:pPr>
        <w:pStyle w:val="FootnoteText"/>
      </w:pPr>
      <w:r>
        <w:rPr>
          <w:rStyle w:val="FootnoteReference"/>
        </w:rPr>
        <w:footnoteRef/>
      </w:r>
      <w:r>
        <w:t xml:space="preserve"> </w:t>
      </w:r>
      <w:r>
        <w:t xml:space="preserve">Foundation Certificate in International Insolvency Law, “Module 3A Guidance Text Insolvency System of the United States 2023/2024” (INSOL) pg. </w:t>
      </w:r>
      <w:r>
        <w:t>20</w:t>
      </w:r>
    </w:p>
  </w:footnote>
  <w:footnote w:id="11">
    <w:p w14:paraId="3EF7AA38" w14:textId="1A41CF99" w:rsidR="00B94634" w:rsidRDefault="00B94634">
      <w:pPr>
        <w:pStyle w:val="FootnoteText"/>
      </w:pPr>
      <w:r>
        <w:rPr>
          <w:rStyle w:val="FootnoteReference"/>
        </w:rPr>
        <w:footnoteRef/>
      </w:r>
      <w:r>
        <w:t xml:space="preserve"> </w:t>
      </w:r>
      <w:r w:rsidRPr="00B94634">
        <w:rPr>
          <w:i/>
          <w:iCs/>
        </w:rPr>
        <w:t>In re Condor Ins Ltd</w:t>
      </w:r>
      <w:r>
        <w:t xml:space="preserve"> 601 F.3d 319 (5</w:t>
      </w:r>
      <w:r w:rsidRPr="00B94634">
        <w:rPr>
          <w:vertAlign w:val="superscript"/>
        </w:rPr>
        <w:t>th</w:t>
      </w:r>
      <w:r>
        <w:t xml:space="preserve"> Cir 2010). </w:t>
      </w:r>
    </w:p>
  </w:footnote>
  <w:footnote w:id="12">
    <w:p w14:paraId="63A36B8F" w14:textId="32C284D1" w:rsidR="004C5D8B" w:rsidRDefault="004C5D8B">
      <w:pPr>
        <w:pStyle w:val="FootnoteText"/>
      </w:pPr>
      <w:r>
        <w:rPr>
          <w:rStyle w:val="FootnoteReference"/>
        </w:rPr>
        <w:footnoteRef/>
      </w:r>
      <w:r>
        <w:t xml:space="preserve"> </w:t>
      </w:r>
      <w:r>
        <w:t xml:space="preserve">Foundation Certificate in International Insolvency Law, “Module 3A Guidance Text Insolvency System of the United States 2023/2024” (INSOL) pg. </w:t>
      </w:r>
      <w:r>
        <w:t>14</w:t>
      </w:r>
    </w:p>
  </w:footnote>
  <w:footnote w:id="13">
    <w:p w14:paraId="14D7DC36" w14:textId="77777777" w:rsidR="00146CA9" w:rsidRDefault="00146CA9" w:rsidP="00146CA9">
      <w:pPr>
        <w:pStyle w:val="FootnoteText"/>
      </w:pPr>
      <w:r>
        <w:rPr>
          <w:rStyle w:val="FootnoteReference"/>
        </w:rPr>
        <w:footnoteRef/>
      </w:r>
      <w:r>
        <w:t xml:space="preserve"> Foundation Certificate in International Insolvency Law, “Module 3A Guidance Text Insolvency System of the United States 2023/2024” (INSOL) pg. 60</w:t>
      </w:r>
    </w:p>
  </w:footnote>
  <w:footnote w:id="14">
    <w:p w14:paraId="3DD6ED30" w14:textId="72DF119E" w:rsidR="00FD5AFB" w:rsidRDefault="00FD5AFB">
      <w:pPr>
        <w:pStyle w:val="FootnoteText"/>
      </w:pPr>
      <w:r>
        <w:rPr>
          <w:rStyle w:val="FootnoteReference"/>
        </w:rPr>
        <w:footnoteRef/>
      </w:r>
      <w:r>
        <w:t xml:space="preserve"> 11 USC, </w:t>
      </w:r>
      <w:r>
        <w:rPr>
          <w:rFonts w:ascii="Calibri" w:hAnsi="Calibri" w:cs="Calibri"/>
        </w:rPr>
        <w:t>§</w:t>
      </w:r>
      <w:r>
        <w:t xml:space="preserve"> 365(d)(4). </w:t>
      </w:r>
    </w:p>
  </w:footnote>
  <w:footnote w:id="15">
    <w:p w14:paraId="16E11B00" w14:textId="279358AB" w:rsidR="007921A0" w:rsidRDefault="007921A0">
      <w:pPr>
        <w:pStyle w:val="FootnoteText"/>
      </w:pPr>
      <w:r>
        <w:rPr>
          <w:rStyle w:val="FootnoteReference"/>
        </w:rPr>
        <w:footnoteRef/>
      </w:r>
      <w:r>
        <w:t xml:space="preserve"> </w:t>
      </w:r>
      <w:r>
        <w:t xml:space="preserve">Foundation Certificate in International Insolvency Law, “Module 3A Guidance Text Insolvency System of the United States 2023/2024” (INSOL) pg. </w:t>
      </w:r>
      <w:r>
        <w:t>27</w:t>
      </w:r>
    </w:p>
  </w:footnote>
  <w:footnote w:id="16">
    <w:p w14:paraId="2C225AD4" w14:textId="7305973B" w:rsidR="006D6DBA" w:rsidRDefault="006D6DBA">
      <w:pPr>
        <w:pStyle w:val="FootnoteText"/>
      </w:pPr>
      <w:r>
        <w:rPr>
          <w:rStyle w:val="FootnoteReference"/>
        </w:rPr>
        <w:footnoteRef/>
      </w:r>
      <w:r>
        <w:t xml:space="preserve"> 11 USC, </w:t>
      </w:r>
      <w:r>
        <w:rPr>
          <w:rFonts w:ascii="Calibri" w:hAnsi="Calibri" w:cs="Calibri"/>
        </w:rPr>
        <w:t>§</w:t>
      </w:r>
      <w:r>
        <w:t xml:space="preserve"> 362(b)</w:t>
      </w:r>
    </w:p>
  </w:footnote>
  <w:footnote w:id="17">
    <w:p w14:paraId="0F338486" w14:textId="5498CBC0" w:rsidR="00D822CA" w:rsidRDefault="00D822CA">
      <w:pPr>
        <w:pStyle w:val="FootnoteText"/>
      </w:pPr>
      <w:r>
        <w:rPr>
          <w:rStyle w:val="FootnoteReference"/>
        </w:rPr>
        <w:footnoteRef/>
      </w:r>
      <w:r>
        <w:t xml:space="preserve"> 11 USC, </w:t>
      </w:r>
      <w:r>
        <w:rPr>
          <w:rFonts w:ascii="Calibri" w:hAnsi="Calibri" w:cs="Calibri"/>
        </w:rPr>
        <w:t>§101(23)</w:t>
      </w:r>
    </w:p>
  </w:footnote>
  <w:footnote w:id="18">
    <w:p w14:paraId="1897F379" w14:textId="77777777" w:rsidR="00102377" w:rsidRDefault="00102377" w:rsidP="00102377">
      <w:pPr>
        <w:pStyle w:val="FootnoteText"/>
      </w:pPr>
      <w:r>
        <w:rPr>
          <w:rStyle w:val="FootnoteReference"/>
        </w:rPr>
        <w:footnoteRef/>
      </w:r>
      <w:r>
        <w:t xml:space="preserve"> 11 USC, </w:t>
      </w:r>
      <w:r>
        <w:rPr>
          <w:rFonts w:ascii="Calibri" w:hAnsi="Calibri" w:cs="Calibri"/>
        </w:rPr>
        <w:t>§1502(2)</w:t>
      </w:r>
    </w:p>
  </w:footnote>
  <w:footnote w:id="19">
    <w:p w14:paraId="07FF8F49" w14:textId="77777777" w:rsidR="00102377" w:rsidRDefault="00102377" w:rsidP="00102377">
      <w:pPr>
        <w:pStyle w:val="FootnoteText"/>
      </w:pPr>
      <w:r>
        <w:rPr>
          <w:rStyle w:val="FootnoteReference"/>
        </w:rPr>
        <w:footnoteRef/>
      </w:r>
      <w:r>
        <w:t xml:space="preserve"> See LC Ho ‘Proving COMI: Seeking Recognition Under Ch 15 of the US Bankruptcy Code’ (2007) 22 JIBFL 636.</w:t>
      </w:r>
    </w:p>
  </w:footnote>
  <w:footnote w:id="20">
    <w:p w14:paraId="72288935" w14:textId="77777777" w:rsidR="00102377" w:rsidRDefault="00102377" w:rsidP="00102377">
      <w:pPr>
        <w:pStyle w:val="FootnoteText"/>
      </w:pPr>
      <w:r>
        <w:rPr>
          <w:rStyle w:val="FootnoteReference"/>
        </w:rPr>
        <w:footnoteRef/>
      </w:r>
      <w:r>
        <w:t xml:space="preserve"> </w:t>
      </w:r>
      <w:r w:rsidRPr="00F06586">
        <w:rPr>
          <w:i/>
          <w:iCs/>
        </w:rPr>
        <w:t>In re Sphinx</w:t>
      </w:r>
      <w:r>
        <w:t xml:space="preserve"> (SDNY Case No 06-11760) </w:t>
      </w:r>
    </w:p>
  </w:footnote>
  <w:footnote w:id="21">
    <w:p w14:paraId="6C8DCEC3" w14:textId="025D6783" w:rsidR="0063223F" w:rsidRDefault="0063223F">
      <w:pPr>
        <w:pStyle w:val="FootnoteText"/>
      </w:pPr>
      <w:r>
        <w:rPr>
          <w:rStyle w:val="FootnoteReference"/>
        </w:rPr>
        <w:footnoteRef/>
      </w:r>
      <w:r>
        <w:t xml:space="preserve"> </w:t>
      </w:r>
      <w:r w:rsidRPr="0063223F">
        <w:rPr>
          <w:i/>
          <w:iCs/>
        </w:rPr>
        <w:t xml:space="preserve">In re </w:t>
      </w:r>
      <w:proofErr w:type="spellStart"/>
      <w:r w:rsidRPr="0063223F">
        <w:rPr>
          <w:i/>
          <w:iCs/>
        </w:rPr>
        <w:t>SPinX</w:t>
      </w:r>
      <w:proofErr w:type="spellEnd"/>
      <w:r w:rsidRPr="0063223F">
        <w:rPr>
          <w:i/>
          <w:iCs/>
        </w:rPr>
        <w:t>, Ltd</w:t>
      </w:r>
      <w:r>
        <w:t>, 351 BR 103, 117 (Bankr SDNY 2006)</w:t>
      </w:r>
    </w:p>
  </w:footnote>
  <w:footnote w:id="22">
    <w:p w14:paraId="4E128C64" w14:textId="39CEF1FC" w:rsidR="00864C1D" w:rsidRDefault="00864C1D">
      <w:pPr>
        <w:pStyle w:val="FootnoteText"/>
      </w:pPr>
      <w:r>
        <w:rPr>
          <w:rStyle w:val="FootnoteReference"/>
        </w:rPr>
        <w:footnoteRef/>
      </w:r>
      <w:r>
        <w:t xml:space="preserve"> 11 USC, </w:t>
      </w:r>
      <w:r>
        <w:rPr>
          <w:rFonts w:ascii="Calibri" w:hAnsi="Calibri" w:cs="Calibri"/>
        </w:rPr>
        <w:t>§</w:t>
      </w:r>
      <w:r>
        <w:t xml:space="preserve"> 362(b)</w:t>
      </w:r>
    </w:p>
  </w:footnote>
  <w:footnote w:id="23">
    <w:p w14:paraId="762A7789" w14:textId="77777777" w:rsidR="006D6DBA" w:rsidRDefault="006D6DBA" w:rsidP="006D6DBA">
      <w:pPr>
        <w:pStyle w:val="FootnoteText"/>
      </w:pPr>
      <w:r>
        <w:rPr>
          <w:rStyle w:val="FootnoteReference"/>
        </w:rPr>
        <w:footnoteRef/>
      </w:r>
      <w:r>
        <w:t xml:space="preserve"> 11 USC, </w:t>
      </w:r>
      <w:r>
        <w:rPr>
          <w:rFonts w:ascii="Calibri" w:hAnsi="Calibri" w:cs="Calibri"/>
        </w:rPr>
        <w:t>§</w:t>
      </w:r>
      <w:r>
        <w:t xml:space="preserve"> 365(d)(4).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B128D"/>
    <w:multiLevelType w:val="hybridMultilevel"/>
    <w:tmpl w:val="A422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A7A50"/>
    <w:multiLevelType w:val="hybridMultilevel"/>
    <w:tmpl w:val="66CE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51007A"/>
    <w:multiLevelType w:val="hybridMultilevel"/>
    <w:tmpl w:val="03649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5847FF"/>
    <w:multiLevelType w:val="hybridMultilevel"/>
    <w:tmpl w:val="4D261368"/>
    <w:lvl w:ilvl="0" w:tplc="383A6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A93E20"/>
    <w:multiLevelType w:val="hybridMultilevel"/>
    <w:tmpl w:val="BEB4B4EA"/>
    <w:lvl w:ilvl="0" w:tplc="C1E61DC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720" w:hanging="360"/>
      </w:pPr>
      <w:rPr>
        <w:rFonts w:ascii="Symbol" w:hAnsi="Symbol" w:hint="default"/>
      </w:rPr>
    </w:lvl>
    <w:lvl w:ilvl="3" w:tplc="08090001">
      <w:start w:val="1"/>
      <w:numFmt w:val="bullet"/>
      <w:lvlText w:val=""/>
      <w:lvlJc w:val="left"/>
      <w:pPr>
        <w:ind w:left="72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016722"/>
    <w:multiLevelType w:val="hybridMultilevel"/>
    <w:tmpl w:val="AEAEE44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6"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94326A"/>
    <w:multiLevelType w:val="hybridMultilevel"/>
    <w:tmpl w:val="9252CAEC"/>
    <w:lvl w:ilvl="0" w:tplc="F9165F6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6F16D8"/>
    <w:multiLevelType w:val="hybridMultilevel"/>
    <w:tmpl w:val="1BA01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43033"/>
    <w:multiLevelType w:val="hybridMultilevel"/>
    <w:tmpl w:val="D40E9F06"/>
    <w:lvl w:ilvl="0" w:tplc="52D8B078">
      <w:start w:val="1"/>
      <w:numFmt w:val="lowerLetter"/>
      <w:lvlText w:val="(%1)"/>
      <w:lvlJc w:val="left"/>
      <w:pPr>
        <w:ind w:left="1800" w:hanging="360"/>
      </w:pPr>
      <w:rPr>
        <w:rFonts w:ascii="Arial" w:hAnsi="Arial"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DB1051"/>
    <w:multiLevelType w:val="hybridMultilevel"/>
    <w:tmpl w:val="A7D89DD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592838"/>
    <w:multiLevelType w:val="hybridMultilevel"/>
    <w:tmpl w:val="E73C782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60345F"/>
    <w:multiLevelType w:val="hybridMultilevel"/>
    <w:tmpl w:val="BBFE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abstractNum w:abstractNumId="49" w15:restartNumberingAfterBreak="0">
    <w:nsid w:val="7F1053D5"/>
    <w:multiLevelType w:val="hybridMultilevel"/>
    <w:tmpl w:val="917A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33938">
    <w:abstractNumId w:val="32"/>
  </w:num>
  <w:num w:numId="2" w16cid:durableId="1783306908">
    <w:abstractNumId w:val="37"/>
  </w:num>
  <w:num w:numId="3" w16cid:durableId="1942764495">
    <w:abstractNumId w:val="7"/>
  </w:num>
  <w:num w:numId="4" w16cid:durableId="298269076">
    <w:abstractNumId w:val="11"/>
  </w:num>
  <w:num w:numId="5" w16cid:durableId="730929724">
    <w:abstractNumId w:val="14"/>
  </w:num>
  <w:num w:numId="6" w16cid:durableId="1594360553">
    <w:abstractNumId w:val="41"/>
  </w:num>
  <w:num w:numId="7" w16cid:durableId="1661152946">
    <w:abstractNumId w:val="8"/>
  </w:num>
  <w:num w:numId="8" w16cid:durableId="45877589">
    <w:abstractNumId w:val="45"/>
  </w:num>
  <w:num w:numId="9" w16cid:durableId="876742117">
    <w:abstractNumId w:val="15"/>
  </w:num>
  <w:num w:numId="10" w16cid:durableId="1035689165">
    <w:abstractNumId w:val="36"/>
  </w:num>
  <w:num w:numId="11" w16cid:durableId="926307185">
    <w:abstractNumId w:val="17"/>
  </w:num>
  <w:num w:numId="12" w16cid:durableId="621232781">
    <w:abstractNumId w:val="30"/>
  </w:num>
  <w:num w:numId="13" w16cid:durableId="1204442417">
    <w:abstractNumId w:val="0"/>
  </w:num>
  <w:num w:numId="14" w16cid:durableId="1001467812">
    <w:abstractNumId w:val="13"/>
  </w:num>
  <w:num w:numId="15" w16cid:durableId="189758179">
    <w:abstractNumId w:val="23"/>
  </w:num>
  <w:num w:numId="16" w16cid:durableId="1491479825">
    <w:abstractNumId w:val="10"/>
  </w:num>
  <w:num w:numId="17" w16cid:durableId="882793158">
    <w:abstractNumId w:val="6"/>
  </w:num>
  <w:num w:numId="18" w16cid:durableId="777675833">
    <w:abstractNumId w:val="4"/>
  </w:num>
  <w:num w:numId="19" w16cid:durableId="1129937292">
    <w:abstractNumId w:val="38"/>
  </w:num>
  <w:num w:numId="20" w16cid:durableId="1471096614">
    <w:abstractNumId w:val="9"/>
  </w:num>
  <w:num w:numId="21" w16cid:durableId="398864111">
    <w:abstractNumId w:val="34"/>
  </w:num>
  <w:num w:numId="22" w16cid:durableId="2133940203">
    <w:abstractNumId w:val="47"/>
  </w:num>
  <w:num w:numId="23" w16cid:durableId="950893894">
    <w:abstractNumId w:val="16"/>
  </w:num>
  <w:num w:numId="24" w16cid:durableId="1962497721">
    <w:abstractNumId w:val="39"/>
  </w:num>
  <w:num w:numId="25" w16cid:durableId="869756453">
    <w:abstractNumId w:val="26"/>
  </w:num>
  <w:num w:numId="26" w16cid:durableId="1092049203">
    <w:abstractNumId w:val="28"/>
  </w:num>
  <w:num w:numId="27" w16cid:durableId="1146704350">
    <w:abstractNumId w:val="19"/>
  </w:num>
  <w:num w:numId="28" w16cid:durableId="937979478">
    <w:abstractNumId w:val="43"/>
  </w:num>
  <w:num w:numId="29" w16cid:durableId="1970553734">
    <w:abstractNumId w:val="2"/>
  </w:num>
  <w:num w:numId="30" w16cid:durableId="293563849">
    <w:abstractNumId w:val="22"/>
  </w:num>
  <w:num w:numId="31" w16cid:durableId="2126381093">
    <w:abstractNumId w:val="29"/>
  </w:num>
  <w:num w:numId="32" w16cid:durableId="1605572703">
    <w:abstractNumId w:val="48"/>
  </w:num>
  <w:num w:numId="33" w16cid:durableId="1203253494">
    <w:abstractNumId w:val="18"/>
  </w:num>
  <w:num w:numId="34" w16cid:durableId="1104031608">
    <w:abstractNumId w:val="3"/>
  </w:num>
  <w:num w:numId="35" w16cid:durableId="2144806674">
    <w:abstractNumId w:val="44"/>
  </w:num>
  <w:num w:numId="36" w16cid:durableId="1673992024">
    <w:abstractNumId w:val="46"/>
  </w:num>
  <w:num w:numId="37" w16cid:durableId="2022775299">
    <w:abstractNumId w:val="12"/>
  </w:num>
  <w:num w:numId="38" w16cid:durableId="521895370">
    <w:abstractNumId w:val="1"/>
  </w:num>
  <w:num w:numId="39" w16cid:durableId="649528656">
    <w:abstractNumId w:val="49"/>
  </w:num>
  <w:num w:numId="40" w16cid:durableId="1184437658">
    <w:abstractNumId w:val="42"/>
  </w:num>
  <w:num w:numId="41" w16cid:durableId="496769571">
    <w:abstractNumId w:val="40"/>
  </w:num>
  <w:num w:numId="42" w16cid:durableId="433093309">
    <w:abstractNumId w:val="27"/>
  </w:num>
  <w:num w:numId="43" w16cid:durableId="738670093">
    <w:abstractNumId w:val="35"/>
  </w:num>
  <w:num w:numId="44" w16cid:durableId="1170945002">
    <w:abstractNumId w:val="24"/>
  </w:num>
  <w:num w:numId="45" w16cid:durableId="844319745">
    <w:abstractNumId w:val="31"/>
  </w:num>
  <w:num w:numId="46" w16cid:durableId="2064325580">
    <w:abstractNumId w:val="5"/>
  </w:num>
  <w:num w:numId="47" w16cid:durableId="328757353">
    <w:abstractNumId w:val="25"/>
  </w:num>
  <w:num w:numId="48" w16cid:durableId="520624993">
    <w:abstractNumId w:val="21"/>
  </w:num>
  <w:num w:numId="49" w16cid:durableId="623971649">
    <w:abstractNumId w:val="20"/>
  </w:num>
  <w:num w:numId="50" w16cid:durableId="82343799">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37D6A"/>
    <w:rsid w:val="00044D46"/>
    <w:rsid w:val="00045088"/>
    <w:rsid w:val="00045904"/>
    <w:rsid w:val="00047904"/>
    <w:rsid w:val="000502FD"/>
    <w:rsid w:val="00051968"/>
    <w:rsid w:val="00053CAE"/>
    <w:rsid w:val="000643AB"/>
    <w:rsid w:val="00065166"/>
    <w:rsid w:val="000778B1"/>
    <w:rsid w:val="000810B2"/>
    <w:rsid w:val="00082609"/>
    <w:rsid w:val="000851CC"/>
    <w:rsid w:val="00090581"/>
    <w:rsid w:val="00093BE8"/>
    <w:rsid w:val="000968D6"/>
    <w:rsid w:val="00097B45"/>
    <w:rsid w:val="00097D56"/>
    <w:rsid w:val="000A407B"/>
    <w:rsid w:val="000A636A"/>
    <w:rsid w:val="000A68ED"/>
    <w:rsid w:val="000A7574"/>
    <w:rsid w:val="000A7A3D"/>
    <w:rsid w:val="000B2B06"/>
    <w:rsid w:val="000B5FF1"/>
    <w:rsid w:val="000B609F"/>
    <w:rsid w:val="000C4C5B"/>
    <w:rsid w:val="000D55A8"/>
    <w:rsid w:val="000D569D"/>
    <w:rsid w:val="000E4841"/>
    <w:rsid w:val="000E7B49"/>
    <w:rsid w:val="000F1677"/>
    <w:rsid w:val="000F3D6C"/>
    <w:rsid w:val="000F7FC2"/>
    <w:rsid w:val="00101707"/>
    <w:rsid w:val="00102377"/>
    <w:rsid w:val="00102CC9"/>
    <w:rsid w:val="00106CA8"/>
    <w:rsid w:val="001109FE"/>
    <w:rsid w:val="0011473D"/>
    <w:rsid w:val="00115C85"/>
    <w:rsid w:val="0012224B"/>
    <w:rsid w:val="00123855"/>
    <w:rsid w:val="00126A4D"/>
    <w:rsid w:val="0014171F"/>
    <w:rsid w:val="001437A8"/>
    <w:rsid w:val="001445EF"/>
    <w:rsid w:val="0014622C"/>
    <w:rsid w:val="00146CA9"/>
    <w:rsid w:val="00152348"/>
    <w:rsid w:val="00152E44"/>
    <w:rsid w:val="0015456D"/>
    <w:rsid w:val="00155FA2"/>
    <w:rsid w:val="00160679"/>
    <w:rsid w:val="00161F1B"/>
    <w:rsid w:val="00162829"/>
    <w:rsid w:val="001647AD"/>
    <w:rsid w:val="001700A9"/>
    <w:rsid w:val="00180548"/>
    <w:rsid w:val="00180AC4"/>
    <w:rsid w:val="00180CCE"/>
    <w:rsid w:val="0018267A"/>
    <w:rsid w:val="00182779"/>
    <w:rsid w:val="001830DF"/>
    <w:rsid w:val="00193F71"/>
    <w:rsid w:val="00193FE2"/>
    <w:rsid w:val="00194962"/>
    <w:rsid w:val="001966D9"/>
    <w:rsid w:val="00197E4B"/>
    <w:rsid w:val="001A1BC1"/>
    <w:rsid w:val="001A7E9A"/>
    <w:rsid w:val="001B0979"/>
    <w:rsid w:val="001B0F70"/>
    <w:rsid w:val="001B1763"/>
    <w:rsid w:val="001B236E"/>
    <w:rsid w:val="001B33F5"/>
    <w:rsid w:val="001B5016"/>
    <w:rsid w:val="001C45FC"/>
    <w:rsid w:val="001C4787"/>
    <w:rsid w:val="001D0469"/>
    <w:rsid w:val="001D26F3"/>
    <w:rsid w:val="001D3BAA"/>
    <w:rsid w:val="001D4862"/>
    <w:rsid w:val="001E25B9"/>
    <w:rsid w:val="001E49E0"/>
    <w:rsid w:val="001E7B5A"/>
    <w:rsid w:val="001F7412"/>
    <w:rsid w:val="00202DFE"/>
    <w:rsid w:val="0020725B"/>
    <w:rsid w:val="002110F1"/>
    <w:rsid w:val="002204B8"/>
    <w:rsid w:val="00222252"/>
    <w:rsid w:val="00223917"/>
    <w:rsid w:val="00224888"/>
    <w:rsid w:val="0024116D"/>
    <w:rsid w:val="00241B44"/>
    <w:rsid w:val="00241FA3"/>
    <w:rsid w:val="00245EFB"/>
    <w:rsid w:val="0025386E"/>
    <w:rsid w:val="00256B74"/>
    <w:rsid w:val="002638B0"/>
    <w:rsid w:val="0026647A"/>
    <w:rsid w:val="002668D3"/>
    <w:rsid w:val="0027299F"/>
    <w:rsid w:val="00274119"/>
    <w:rsid w:val="00281946"/>
    <w:rsid w:val="00284EBE"/>
    <w:rsid w:val="002903A7"/>
    <w:rsid w:val="00291367"/>
    <w:rsid w:val="0029433F"/>
    <w:rsid w:val="00294829"/>
    <w:rsid w:val="0029690F"/>
    <w:rsid w:val="00297C8A"/>
    <w:rsid w:val="002A16B3"/>
    <w:rsid w:val="002A2A60"/>
    <w:rsid w:val="002A37BB"/>
    <w:rsid w:val="002B14D4"/>
    <w:rsid w:val="002B1C45"/>
    <w:rsid w:val="002B5D64"/>
    <w:rsid w:val="002C13C8"/>
    <w:rsid w:val="002C3547"/>
    <w:rsid w:val="002D0021"/>
    <w:rsid w:val="002D2149"/>
    <w:rsid w:val="002D299D"/>
    <w:rsid w:val="002D3473"/>
    <w:rsid w:val="002D6789"/>
    <w:rsid w:val="002D78C5"/>
    <w:rsid w:val="002F168D"/>
    <w:rsid w:val="002F1956"/>
    <w:rsid w:val="002F3440"/>
    <w:rsid w:val="002F75A3"/>
    <w:rsid w:val="00301D2B"/>
    <w:rsid w:val="00302AF3"/>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9E6"/>
    <w:rsid w:val="00361A0A"/>
    <w:rsid w:val="00364328"/>
    <w:rsid w:val="00364836"/>
    <w:rsid w:val="0036565C"/>
    <w:rsid w:val="0036625E"/>
    <w:rsid w:val="0036662D"/>
    <w:rsid w:val="00367374"/>
    <w:rsid w:val="0037465A"/>
    <w:rsid w:val="00380ED3"/>
    <w:rsid w:val="003818CF"/>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6E6F"/>
    <w:rsid w:val="003B7184"/>
    <w:rsid w:val="003C0F8C"/>
    <w:rsid w:val="003C1190"/>
    <w:rsid w:val="003C3388"/>
    <w:rsid w:val="003C4471"/>
    <w:rsid w:val="003C53FE"/>
    <w:rsid w:val="003D0A6D"/>
    <w:rsid w:val="003D450D"/>
    <w:rsid w:val="003E0B16"/>
    <w:rsid w:val="003E357C"/>
    <w:rsid w:val="003E67D1"/>
    <w:rsid w:val="00404329"/>
    <w:rsid w:val="00405DC1"/>
    <w:rsid w:val="00415F1F"/>
    <w:rsid w:val="004172DA"/>
    <w:rsid w:val="0042108F"/>
    <w:rsid w:val="00423479"/>
    <w:rsid w:val="004248F6"/>
    <w:rsid w:val="004273B0"/>
    <w:rsid w:val="00430FED"/>
    <w:rsid w:val="00434A8C"/>
    <w:rsid w:val="00435733"/>
    <w:rsid w:val="00437297"/>
    <w:rsid w:val="00444284"/>
    <w:rsid w:val="00445CE6"/>
    <w:rsid w:val="004534C2"/>
    <w:rsid w:val="0045446F"/>
    <w:rsid w:val="00455018"/>
    <w:rsid w:val="0045683E"/>
    <w:rsid w:val="0047681C"/>
    <w:rsid w:val="00477C72"/>
    <w:rsid w:val="004830F8"/>
    <w:rsid w:val="00484B73"/>
    <w:rsid w:val="00491675"/>
    <w:rsid w:val="00493855"/>
    <w:rsid w:val="00494B81"/>
    <w:rsid w:val="0049537D"/>
    <w:rsid w:val="00495E79"/>
    <w:rsid w:val="004A57DD"/>
    <w:rsid w:val="004A7B51"/>
    <w:rsid w:val="004A7D71"/>
    <w:rsid w:val="004A7EF3"/>
    <w:rsid w:val="004B11FD"/>
    <w:rsid w:val="004B23A2"/>
    <w:rsid w:val="004B67B9"/>
    <w:rsid w:val="004C5D8B"/>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1C34"/>
    <w:rsid w:val="0052263B"/>
    <w:rsid w:val="00524728"/>
    <w:rsid w:val="00524AC2"/>
    <w:rsid w:val="005331CA"/>
    <w:rsid w:val="00533539"/>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93660"/>
    <w:rsid w:val="005A0CCA"/>
    <w:rsid w:val="005A5D6D"/>
    <w:rsid w:val="005A6FF2"/>
    <w:rsid w:val="005A726D"/>
    <w:rsid w:val="005B0010"/>
    <w:rsid w:val="005B67AC"/>
    <w:rsid w:val="005B79F4"/>
    <w:rsid w:val="005C1C1C"/>
    <w:rsid w:val="005D1293"/>
    <w:rsid w:val="005D1456"/>
    <w:rsid w:val="005D27A5"/>
    <w:rsid w:val="005D4357"/>
    <w:rsid w:val="005D43E0"/>
    <w:rsid w:val="005D58A3"/>
    <w:rsid w:val="005D6642"/>
    <w:rsid w:val="005E1B79"/>
    <w:rsid w:val="005E6076"/>
    <w:rsid w:val="005E7008"/>
    <w:rsid w:val="005F026D"/>
    <w:rsid w:val="005F1B2A"/>
    <w:rsid w:val="005F2AEA"/>
    <w:rsid w:val="005F2D0B"/>
    <w:rsid w:val="005F4B31"/>
    <w:rsid w:val="00600170"/>
    <w:rsid w:val="00607B5C"/>
    <w:rsid w:val="00610388"/>
    <w:rsid w:val="00610AC7"/>
    <w:rsid w:val="00612CA5"/>
    <w:rsid w:val="006153EC"/>
    <w:rsid w:val="00621A17"/>
    <w:rsid w:val="00622C36"/>
    <w:rsid w:val="006245E3"/>
    <w:rsid w:val="00627CC9"/>
    <w:rsid w:val="00627E7B"/>
    <w:rsid w:val="00630542"/>
    <w:rsid w:val="00631394"/>
    <w:rsid w:val="0063223F"/>
    <w:rsid w:val="00632E44"/>
    <w:rsid w:val="00634622"/>
    <w:rsid w:val="00635ACC"/>
    <w:rsid w:val="00636808"/>
    <w:rsid w:val="006400D0"/>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D6DBA"/>
    <w:rsid w:val="006E481A"/>
    <w:rsid w:val="006E5298"/>
    <w:rsid w:val="006F4A78"/>
    <w:rsid w:val="006F734A"/>
    <w:rsid w:val="00700D83"/>
    <w:rsid w:val="00704852"/>
    <w:rsid w:val="007074E9"/>
    <w:rsid w:val="00713DA4"/>
    <w:rsid w:val="00714BF1"/>
    <w:rsid w:val="00716CEE"/>
    <w:rsid w:val="00717C2C"/>
    <w:rsid w:val="00721383"/>
    <w:rsid w:val="0072569E"/>
    <w:rsid w:val="00730B0A"/>
    <w:rsid w:val="0073158B"/>
    <w:rsid w:val="007333CC"/>
    <w:rsid w:val="0073399A"/>
    <w:rsid w:val="00735877"/>
    <w:rsid w:val="00740655"/>
    <w:rsid w:val="00741CBF"/>
    <w:rsid w:val="007603F5"/>
    <w:rsid w:val="00764DB0"/>
    <w:rsid w:val="0076764D"/>
    <w:rsid w:val="00767C70"/>
    <w:rsid w:val="00774453"/>
    <w:rsid w:val="0077498C"/>
    <w:rsid w:val="00776E08"/>
    <w:rsid w:val="00777C53"/>
    <w:rsid w:val="007809BC"/>
    <w:rsid w:val="00784128"/>
    <w:rsid w:val="00787BCC"/>
    <w:rsid w:val="007921A0"/>
    <w:rsid w:val="00793173"/>
    <w:rsid w:val="007A2A33"/>
    <w:rsid w:val="007B0809"/>
    <w:rsid w:val="007B5C89"/>
    <w:rsid w:val="007C1FCC"/>
    <w:rsid w:val="007C6201"/>
    <w:rsid w:val="007C690E"/>
    <w:rsid w:val="007D0192"/>
    <w:rsid w:val="007D23F3"/>
    <w:rsid w:val="007D6135"/>
    <w:rsid w:val="007D7C92"/>
    <w:rsid w:val="007E1154"/>
    <w:rsid w:val="007E3C03"/>
    <w:rsid w:val="007E6BA4"/>
    <w:rsid w:val="007F12AB"/>
    <w:rsid w:val="007F3A48"/>
    <w:rsid w:val="007F41F8"/>
    <w:rsid w:val="007F659B"/>
    <w:rsid w:val="0080454E"/>
    <w:rsid w:val="00804C32"/>
    <w:rsid w:val="00805305"/>
    <w:rsid w:val="00806302"/>
    <w:rsid w:val="00807119"/>
    <w:rsid w:val="00821F0A"/>
    <w:rsid w:val="00822341"/>
    <w:rsid w:val="0082483F"/>
    <w:rsid w:val="008279C0"/>
    <w:rsid w:val="00834F92"/>
    <w:rsid w:val="008367FC"/>
    <w:rsid w:val="0083721E"/>
    <w:rsid w:val="00837A43"/>
    <w:rsid w:val="00853272"/>
    <w:rsid w:val="00855BA7"/>
    <w:rsid w:val="008631AD"/>
    <w:rsid w:val="00864C1D"/>
    <w:rsid w:val="0087116D"/>
    <w:rsid w:val="008723F3"/>
    <w:rsid w:val="00872711"/>
    <w:rsid w:val="00875912"/>
    <w:rsid w:val="00881DE6"/>
    <w:rsid w:val="008837A6"/>
    <w:rsid w:val="00884643"/>
    <w:rsid w:val="0089145D"/>
    <w:rsid w:val="0089582E"/>
    <w:rsid w:val="00895EF1"/>
    <w:rsid w:val="008A4DF2"/>
    <w:rsid w:val="008A6CFE"/>
    <w:rsid w:val="008A771D"/>
    <w:rsid w:val="008B19C8"/>
    <w:rsid w:val="008B5333"/>
    <w:rsid w:val="008B6223"/>
    <w:rsid w:val="008B7808"/>
    <w:rsid w:val="008C45A7"/>
    <w:rsid w:val="008C66E0"/>
    <w:rsid w:val="008C7171"/>
    <w:rsid w:val="008D7934"/>
    <w:rsid w:val="008E3339"/>
    <w:rsid w:val="008F0FCD"/>
    <w:rsid w:val="008F1FBE"/>
    <w:rsid w:val="008F20FC"/>
    <w:rsid w:val="008F5FFE"/>
    <w:rsid w:val="008F799E"/>
    <w:rsid w:val="00900BBE"/>
    <w:rsid w:val="009017A1"/>
    <w:rsid w:val="00902FA7"/>
    <w:rsid w:val="00905A43"/>
    <w:rsid w:val="00912C79"/>
    <w:rsid w:val="00921B8C"/>
    <w:rsid w:val="0092565E"/>
    <w:rsid w:val="0093467C"/>
    <w:rsid w:val="00935386"/>
    <w:rsid w:val="00942123"/>
    <w:rsid w:val="009427E0"/>
    <w:rsid w:val="0095207B"/>
    <w:rsid w:val="00956F12"/>
    <w:rsid w:val="00962045"/>
    <w:rsid w:val="00963C03"/>
    <w:rsid w:val="00963D77"/>
    <w:rsid w:val="0096489B"/>
    <w:rsid w:val="00964A12"/>
    <w:rsid w:val="0096590C"/>
    <w:rsid w:val="009662FF"/>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1702"/>
    <w:rsid w:val="00A024E7"/>
    <w:rsid w:val="00A047EE"/>
    <w:rsid w:val="00A04D79"/>
    <w:rsid w:val="00A2274A"/>
    <w:rsid w:val="00A235B7"/>
    <w:rsid w:val="00A27A7A"/>
    <w:rsid w:val="00A3165E"/>
    <w:rsid w:val="00A34ABE"/>
    <w:rsid w:val="00A36EF7"/>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07C4"/>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21A"/>
    <w:rsid w:val="00B016A8"/>
    <w:rsid w:val="00B01E81"/>
    <w:rsid w:val="00B10961"/>
    <w:rsid w:val="00B14819"/>
    <w:rsid w:val="00B15E2F"/>
    <w:rsid w:val="00B17AA9"/>
    <w:rsid w:val="00B27E6E"/>
    <w:rsid w:val="00B44713"/>
    <w:rsid w:val="00B532DF"/>
    <w:rsid w:val="00B56103"/>
    <w:rsid w:val="00B63E83"/>
    <w:rsid w:val="00B64929"/>
    <w:rsid w:val="00B67DA6"/>
    <w:rsid w:val="00B736DF"/>
    <w:rsid w:val="00B743D6"/>
    <w:rsid w:val="00B74FBD"/>
    <w:rsid w:val="00B77B19"/>
    <w:rsid w:val="00B77F46"/>
    <w:rsid w:val="00B82586"/>
    <w:rsid w:val="00B829A3"/>
    <w:rsid w:val="00B849C5"/>
    <w:rsid w:val="00B85B62"/>
    <w:rsid w:val="00B86DB1"/>
    <w:rsid w:val="00B87869"/>
    <w:rsid w:val="00B94634"/>
    <w:rsid w:val="00B9639B"/>
    <w:rsid w:val="00B979E9"/>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1E57"/>
    <w:rsid w:val="00CE6E50"/>
    <w:rsid w:val="00CF12B2"/>
    <w:rsid w:val="00CF2819"/>
    <w:rsid w:val="00CF4F9D"/>
    <w:rsid w:val="00CF70DC"/>
    <w:rsid w:val="00D041E0"/>
    <w:rsid w:val="00D04AFE"/>
    <w:rsid w:val="00D11729"/>
    <w:rsid w:val="00D14336"/>
    <w:rsid w:val="00D148DC"/>
    <w:rsid w:val="00D14F11"/>
    <w:rsid w:val="00D17FDC"/>
    <w:rsid w:val="00D21021"/>
    <w:rsid w:val="00D21D8C"/>
    <w:rsid w:val="00D221F8"/>
    <w:rsid w:val="00D2621C"/>
    <w:rsid w:val="00D316F2"/>
    <w:rsid w:val="00D34584"/>
    <w:rsid w:val="00D46841"/>
    <w:rsid w:val="00D53719"/>
    <w:rsid w:val="00D54F9C"/>
    <w:rsid w:val="00D61CC1"/>
    <w:rsid w:val="00D6273C"/>
    <w:rsid w:val="00D63EFD"/>
    <w:rsid w:val="00D7456A"/>
    <w:rsid w:val="00D822CA"/>
    <w:rsid w:val="00D84752"/>
    <w:rsid w:val="00D85559"/>
    <w:rsid w:val="00D85AF6"/>
    <w:rsid w:val="00D86B3B"/>
    <w:rsid w:val="00D8748A"/>
    <w:rsid w:val="00D93196"/>
    <w:rsid w:val="00D9383A"/>
    <w:rsid w:val="00D9565D"/>
    <w:rsid w:val="00DA0DC0"/>
    <w:rsid w:val="00DA1D45"/>
    <w:rsid w:val="00DB243C"/>
    <w:rsid w:val="00DB482A"/>
    <w:rsid w:val="00DB50FB"/>
    <w:rsid w:val="00DB56F2"/>
    <w:rsid w:val="00DB6EF5"/>
    <w:rsid w:val="00DC3089"/>
    <w:rsid w:val="00DC359F"/>
    <w:rsid w:val="00DC4420"/>
    <w:rsid w:val="00DC4708"/>
    <w:rsid w:val="00DC73DF"/>
    <w:rsid w:val="00DD0802"/>
    <w:rsid w:val="00DD2D2D"/>
    <w:rsid w:val="00DD2E11"/>
    <w:rsid w:val="00DD6AF7"/>
    <w:rsid w:val="00DE03AF"/>
    <w:rsid w:val="00DE121C"/>
    <w:rsid w:val="00DE5357"/>
    <w:rsid w:val="00DE6633"/>
    <w:rsid w:val="00DE7E9B"/>
    <w:rsid w:val="00DF158F"/>
    <w:rsid w:val="00DF5F7C"/>
    <w:rsid w:val="00DF75F8"/>
    <w:rsid w:val="00DF7A3A"/>
    <w:rsid w:val="00E00C00"/>
    <w:rsid w:val="00E01803"/>
    <w:rsid w:val="00E06E57"/>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09F9"/>
    <w:rsid w:val="00E71CB0"/>
    <w:rsid w:val="00E77C3D"/>
    <w:rsid w:val="00E90991"/>
    <w:rsid w:val="00E909F0"/>
    <w:rsid w:val="00E90D47"/>
    <w:rsid w:val="00E91BE5"/>
    <w:rsid w:val="00E931F6"/>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53F9"/>
    <w:rsid w:val="00ED738F"/>
    <w:rsid w:val="00ED74BC"/>
    <w:rsid w:val="00ED7BF3"/>
    <w:rsid w:val="00EE4971"/>
    <w:rsid w:val="00EE5715"/>
    <w:rsid w:val="00EF090E"/>
    <w:rsid w:val="00EF37CB"/>
    <w:rsid w:val="00EF5572"/>
    <w:rsid w:val="00EF7209"/>
    <w:rsid w:val="00F033DA"/>
    <w:rsid w:val="00F13691"/>
    <w:rsid w:val="00F13FB1"/>
    <w:rsid w:val="00F27CD8"/>
    <w:rsid w:val="00F30351"/>
    <w:rsid w:val="00F3323E"/>
    <w:rsid w:val="00F341F4"/>
    <w:rsid w:val="00F34F9D"/>
    <w:rsid w:val="00F35CCE"/>
    <w:rsid w:val="00F418CA"/>
    <w:rsid w:val="00F429F2"/>
    <w:rsid w:val="00F541BB"/>
    <w:rsid w:val="00F5524B"/>
    <w:rsid w:val="00F60538"/>
    <w:rsid w:val="00F61DD2"/>
    <w:rsid w:val="00F63187"/>
    <w:rsid w:val="00F6466C"/>
    <w:rsid w:val="00F66AFF"/>
    <w:rsid w:val="00F71246"/>
    <w:rsid w:val="00F71433"/>
    <w:rsid w:val="00F73CAC"/>
    <w:rsid w:val="00F92140"/>
    <w:rsid w:val="00F97C5B"/>
    <w:rsid w:val="00FA3D50"/>
    <w:rsid w:val="00FB2838"/>
    <w:rsid w:val="00FB7FBD"/>
    <w:rsid w:val="00FC374A"/>
    <w:rsid w:val="00FC43EC"/>
    <w:rsid w:val="00FC7AC7"/>
    <w:rsid w:val="00FC7B47"/>
    <w:rsid w:val="00FD035C"/>
    <w:rsid w:val="00FD1A35"/>
    <w:rsid w:val="00FD2EA4"/>
    <w:rsid w:val="00FD36C5"/>
    <w:rsid w:val="00FD5AFB"/>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styleId="UnresolvedMention">
    <w:name w:val="Unresolved Mention"/>
    <w:basedOn w:val="DefaultParagraphFont"/>
    <w:uiPriority w:val="99"/>
    <w:semiHidden/>
    <w:unhideWhenUsed/>
    <w:rsid w:val="0009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ourts.gov/forms/bankruptcy-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18</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Piper</cp:lastModifiedBy>
  <cp:revision>40</cp:revision>
  <cp:lastPrinted>2019-08-27T05:42:00Z</cp:lastPrinted>
  <dcterms:created xsi:type="dcterms:W3CDTF">2024-02-24T12:28:00Z</dcterms:created>
  <dcterms:modified xsi:type="dcterms:W3CDTF">2024-03-01T17:53:00Z</dcterms:modified>
</cp:coreProperties>
</file>