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EB69C7">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C17BA3"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C17BA3">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Internationalisation.</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8A6323" w:rsidRDefault="00AD0E59" w:rsidP="00AD0E59">
      <w:pPr>
        <w:pStyle w:val="ListParagraph"/>
        <w:numPr>
          <w:ilvl w:val="0"/>
          <w:numId w:val="50"/>
        </w:numPr>
        <w:ind w:left="426" w:hanging="426"/>
        <w:jc w:val="both"/>
        <w:rPr>
          <w:rFonts w:ascii="Avenir Next" w:hAnsi="Avenir Next" w:cs="Arial"/>
          <w:sz w:val="22"/>
          <w:szCs w:val="22"/>
          <w:lang w:val="en-GB"/>
        </w:rPr>
      </w:pPr>
      <w:r w:rsidRPr="008A6323">
        <w:rPr>
          <w:rFonts w:ascii="Avenir Next" w:hAnsi="Avenir Next" w:cs="Arial"/>
          <w:sz w:val="22"/>
          <w:szCs w:val="22"/>
          <w:lang w:val="en-GB"/>
        </w:rPr>
        <w:lastRenderedPageBreak/>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4255B0" w:rsidRDefault="00AD0E59" w:rsidP="00AD0E59">
      <w:pPr>
        <w:pStyle w:val="ListParagraph"/>
        <w:numPr>
          <w:ilvl w:val="0"/>
          <w:numId w:val="50"/>
        </w:numPr>
        <w:ind w:left="426" w:hanging="426"/>
        <w:jc w:val="both"/>
        <w:rPr>
          <w:rFonts w:ascii="Avenir Next" w:hAnsi="Avenir Next" w:cs="Arial"/>
          <w:sz w:val="22"/>
          <w:szCs w:val="22"/>
          <w:lang w:val="en-GB"/>
        </w:rPr>
      </w:pPr>
      <w:r w:rsidRPr="004255B0">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8A6323" w:rsidRDefault="00AD0E59" w:rsidP="00AD0E59">
      <w:pPr>
        <w:pStyle w:val="ListParagraph"/>
        <w:numPr>
          <w:ilvl w:val="0"/>
          <w:numId w:val="50"/>
        </w:numPr>
        <w:ind w:left="426" w:hanging="426"/>
        <w:jc w:val="both"/>
        <w:rPr>
          <w:rFonts w:ascii="Avenir Next" w:hAnsi="Avenir Next" w:cs="Arial"/>
          <w:sz w:val="22"/>
          <w:szCs w:val="22"/>
          <w:highlight w:val="yellow"/>
          <w:lang w:val="en-GB"/>
        </w:rPr>
      </w:pPr>
      <w:r w:rsidRPr="008A6323">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A6323" w:rsidRDefault="00893A03" w:rsidP="00893A03">
      <w:pPr>
        <w:pStyle w:val="ListParagraph"/>
        <w:numPr>
          <w:ilvl w:val="0"/>
          <w:numId w:val="16"/>
        </w:numPr>
        <w:ind w:left="426" w:hanging="426"/>
        <w:jc w:val="both"/>
        <w:rPr>
          <w:rFonts w:ascii="Avenir Next" w:hAnsi="Avenir Next" w:cs="Arial"/>
          <w:sz w:val="22"/>
          <w:szCs w:val="22"/>
          <w:highlight w:val="yellow"/>
          <w:lang w:val="en-GB"/>
        </w:rPr>
      </w:pPr>
      <w:r w:rsidRPr="008A6323">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8A6323"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8A6323">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5338AF" w:rsidRDefault="003220BA" w:rsidP="00C00111">
      <w:pPr>
        <w:pStyle w:val="ListParagraph"/>
        <w:numPr>
          <w:ilvl w:val="0"/>
          <w:numId w:val="20"/>
        </w:numPr>
        <w:ind w:left="426" w:hanging="426"/>
        <w:jc w:val="both"/>
        <w:rPr>
          <w:rFonts w:ascii="Avenir Next" w:hAnsi="Avenir Next" w:cs="Arial"/>
          <w:sz w:val="22"/>
          <w:szCs w:val="22"/>
          <w:lang w:val="en-GB"/>
        </w:rPr>
      </w:pPr>
      <w:r w:rsidRPr="005338AF">
        <w:rPr>
          <w:rFonts w:ascii="Avenir Next" w:hAnsi="Avenir Next" w:cs="Arial"/>
          <w:sz w:val="22"/>
          <w:szCs w:val="22"/>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8A6323"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8A6323">
        <w:rPr>
          <w:rFonts w:ascii="Avenir Next" w:hAnsi="Avenir Next" w:cs="Arial"/>
          <w:sz w:val="22"/>
          <w:szCs w:val="22"/>
          <w:highlight w:val="yellow"/>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w:t>
      </w:r>
      <w:r w:rsidRPr="00935FB2">
        <w:rPr>
          <w:rFonts w:ascii="Avenir Next" w:hAnsi="Avenir Next"/>
          <w:sz w:val="22"/>
          <w:szCs w:val="28"/>
          <w:lang w:val="en-GB"/>
        </w:rPr>
        <w:lastRenderedPageBreak/>
        <w:t xml:space="preserve">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C00111">
      <w:pPr>
        <w:pStyle w:val="ListParagraph"/>
        <w:numPr>
          <w:ilvl w:val="0"/>
          <w:numId w:val="26"/>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8A6323"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8A6323">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8A6323"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8A6323">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lastRenderedPageBreak/>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5741AC8B" w:rsidR="0097337E" w:rsidRPr="00AC1322" w:rsidRDefault="0097337E" w:rsidP="0097337E">
      <w:pPr>
        <w:pStyle w:val="ListParagraph"/>
        <w:numPr>
          <w:ilvl w:val="0"/>
          <w:numId w:val="28"/>
        </w:numPr>
        <w:ind w:left="426" w:hanging="426"/>
        <w:jc w:val="both"/>
        <w:rPr>
          <w:rFonts w:ascii="Avenir Next" w:hAnsi="Avenir Next" w:cs="Arial"/>
          <w:sz w:val="22"/>
          <w:szCs w:val="22"/>
          <w:highlight w:val="yellow"/>
          <w:lang w:val="en-GB"/>
        </w:rPr>
      </w:pPr>
      <w:r w:rsidRPr="00AC1322">
        <w:rPr>
          <w:rFonts w:ascii="Avenir Next" w:hAnsi="Avenir Next" w:cs="Arial"/>
          <w:sz w:val="22"/>
          <w:szCs w:val="22"/>
          <w:highlight w:val="yellow"/>
          <w:lang w:val="en-GB"/>
        </w:rPr>
        <w:t>Options (</w:t>
      </w:r>
      <w:proofErr w:type="spellStart"/>
      <w:r w:rsidRPr="00AC1322">
        <w:rPr>
          <w:rFonts w:ascii="Avenir Next" w:hAnsi="Avenir Next" w:cs="Arial"/>
          <w:sz w:val="22"/>
          <w:szCs w:val="22"/>
          <w:highlight w:val="yellow"/>
          <w:lang w:val="en-GB"/>
        </w:rPr>
        <w:t>i</w:t>
      </w:r>
      <w:proofErr w:type="spellEnd"/>
      <w:r w:rsidRPr="00AC1322">
        <w:rPr>
          <w:rFonts w:ascii="Avenir Next" w:hAnsi="Avenir Next" w:cs="Arial"/>
          <w:sz w:val="22"/>
          <w:szCs w:val="22"/>
          <w:highlight w:val="yellow"/>
          <w:lang w:val="en-GB"/>
        </w:rPr>
        <w:t>), (ii) and (iii).</w:t>
      </w:r>
      <w:r w:rsidR="00AC1322">
        <w:rPr>
          <w:rFonts w:ascii="Avenir Next" w:hAnsi="Avenir Next" w:cs="Arial"/>
          <w:sz w:val="22"/>
          <w:szCs w:val="22"/>
          <w:highlight w:val="yellow"/>
          <w:lang w:val="en-GB"/>
        </w:rPr>
        <w:t xml:space="preserve"> NB iii) is </w:t>
      </w:r>
      <w:proofErr w:type="gramStart"/>
      <w:r w:rsidR="00AC1322">
        <w:rPr>
          <w:rFonts w:ascii="Avenir Next" w:hAnsi="Avenir Next" w:cs="Arial"/>
          <w:sz w:val="22"/>
          <w:szCs w:val="22"/>
          <w:highlight w:val="yellow"/>
          <w:lang w:val="en-GB"/>
        </w:rPr>
        <w:t>correct</w:t>
      </w:r>
      <w:proofErr w:type="gramEnd"/>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2A3F82" w:rsidRDefault="0097337E" w:rsidP="0097337E">
      <w:pPr>
        <w:pStyle w:val="ListParagraph"/>
        <w:numPr>
          <w:ilvl w:val="0"/>
          <w:numId w:val="28"/>
        </w:numPr>
        <w:ind w:left="426" w:hanging="426"/>
        <w:jc w:val="both"/>
        <w:rPr>
          <w:rFonts w:ascii="Avenir Next" w:hAnsi="Avenir Next" w:cs="Arial"/>
          <w:sz w:val="22"/>
          <w:szCs w:val="22"/>
          <w:lang w:val="en-GB"/>
        </w:rPr>
      </w:pPr>
      <w:r w:rsidRPr="002A3F82">
        <w:rPr>
          <w:rFonts w:ascii="Avenir Next" w:hAnsi="Avenir Next" w:cs="Arial"/>
          <w:sz w:val="22"/>
          <w:szCs w:val="22"/>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Default="00622586" w:rsidP="00707FC8">
      <w:pPr>
        <w:spacing w:line="276" w:lineRule="auto"/>
        <w:jc w:val="both"/>
        <w:rPr>
          <w:rFonts w:ascii="Avenir Next" w:eastAsiaTheme="minorHAnsi" w:hAnsi="Avenir Next" w:cs="Arial"/>
          <w:sz w:val="22"/>
          <w:szCs w:val="22"/>
          <w:lang w:val="en-GB"/>
        </w:rPr>
      </w:pPr>
    </w:p>
    <w:p w14:paraId="67DCEB02" w14:textId="4FA8B514" w:rsidR="002A3F82" w:rsidRPr="002A3F82" w:rsidRDefault="002A3F82" w:rsidP="002A3F82">
      <w:pPr>
        <w:spacing w:line="276" w:lineRule="auto"/>
        <w:jc w:val="both"/>
        <w:rPr>
          <w:rFonts w:ascii="Avenir Next" w:eastAsiaTheme="minorHAnsi" w:hAnsi="Avenir Next" w:cs="Arial"/>
          <w:sz w:val="22"/>
          <w:szCs w:val="22"/>
          <w:lang w:val="en-GB"/>
        </w:rPr>
      </w:pPr>
      <w:proofErr w:type="spellStart"/>
      <w:r w:rsidRPr="002A3F82">
        <w:rPr>
          <w:rFonts w:ascii="Avenir Next" w:eastAsiaTheme="minorHAnsi" w:hAnsi="Avenir Next" w:cs="Arial"/>
          <w:sz w:val="22"/>
          <w:szCs w:val="22"/>
          <w:highlight w:val="green"/>
          <w:lang w:val="en-GB"/>
        </w:rPr>
        <w:t>i</w:t>
      </w:r>
      <w:proofErr w:type="spellEnd"/>
      <w:r w:rsidRPr="002A3F82">
        <w:rPr>
          <w:rFonts w:ascii="Avenir Next" w:eastAsiaTheme="minorHAnsi" w:hAnsi="Avenir Next" w:cs="Arial"/>
          <w:sz w:val="22"/>
          <w:szCs w:val="22"/>
          <w:highlight w:val="green"/>
          <w:lang w:val="en-GB"/>
        </w:rPr>
        <w:t xml:space="preserve">) and ii) are incorrect. iii) </w:t>
      </w:r>
      <w:r>
        <w:rPr>
          <w:rFonts w:ascii="Avenir Next" w:eastAsiaTheme="minorHAnsi" w:hAnsi="Avenir Next" w:cs="Arial"/>
          <w:sz w:val="22"/>
          <w:szCs w:val="22"/>
          <w:highlight w:val="green"/>
          <w:lang w:val="en-GB"/>
        </w:rPr>
        <w:t xml:space="preserve">and iv) </w:t>
      </w:r>
      <w:r w:rsidRPr="002A3F82">
        <w:rPr>
          <w:rFonts w:ascii="Avenir Next" w:eastAsiaTheme="minorHAnsi" w:hAnsi="Avenir Next" w:cs="Arial"/>
          <w:sz w:val="22"/>
          <w:szCs w:val="22"/>
          <w:highlight w:val="green"/>
          <w:lang w:val="en-GB"/>
        </w:rPr>
        <w:t>is correct.</w:t>
      </w:r>
      <w:r w:rsidRPr="002A3F82">
        <w:rPr>
          <w:rFonts w:ascii="Avenir Next" w:eastAsiaTheme="minorHAnsi" w:hAnsi="Avenir Next" w:cs="Arial"/>
          <w:sz w:val="22"/>
          <w:szCs w:val="22"/>
          <w:lang w:val="en-GB"/>
        </w:rPr>
        <w:t xml:space="preserve"> </w:t>
      </w:r>
    </w:p>
    <w:p w14:paraId="634EFA7C" w14:textId="77777777" w:rsidR="002A3F82" w:rsidRPr="00E2622D" w:rsidRDefault="002A3F82"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8A6323"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8A6323">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8A6323" w:rsidRDefault="009A58D1" w:rsidP="009A58D1">
      <w:pPr>
        <w:pStyle w:val="ListParagraph"/>
        <w:numPr>
          <w:ilvl w:val="0"/>
          <w:numId w:val="29"/>
        </w:numPr>
        <w:ind w:left="426" w:hanging="426"/>
        <w:jc w:val="both"/>
        <w:rPr>
          <w:rFonts w:ascii="Avenir Next" w:hAnsi="Avenir Next" w:cs="Arial"/>
          <w:sz w:val="22"/>
          <w:szCs w:val="22"/>
          <w:lang w:val="en-GB"/>
        </w:rPr>
      </w:pPr>
      <w:r w:rsidRPr="008A6323">
        <w:rPr>
          <w:rFonts w:ascii="Avenir Next" w:hAnsi="Avenir Next" w:cs="Arial"/>
          <w:sz w:val="22"/>
          <w:szCs w:val="22"/>
          <w:lang w:val="en-GB"/>
        </w:rPr>
        <w:t>Options (iii), (ii) and then (i).</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lastRenderedPageBreak/>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8A6323"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8A6323">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Default="009B07AD" w:rsidP="00707FC8">
      <w:pPr>
        <w:jc w:val="both"/>
        <w:rPr>
          <w:rFonts w:ascii="Avenir Next" w:hAnsi="Avenir Next" w:cs="Arial"/>
          <w:sz w:val="22"/>
          <w:szCs w:val="22"/>
          <w:lang w:val="en-GB"/>
        </w:rPr>
      </w:pPr>
    </w:p>
    <w:p w14:paraId="06A5C32B" w14:textId="45B58632" w:rsidR="00224386" w:rsidRDefault="00224386" w:rsidP="0022438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distinction between the application of the MLCBI and European Union (EU) Regulation on insolvency proceedings is the MLCBI is not binding. It is a matter for States to decide whether they adopt it and the States are entitled to modify it to suit own law</w:t>
      </w:r>
      <w:r w:rsidR="0048595E">
        <w:rPr>
          <w:rFonts w:ascii="Avenir Next" w:hAnsi="Avenir Next" w:cs="Arial"/>
          <w:color w:val="808080" w:themeColor="background1" w:themeShade="80"/>
          <w:sz w:val="22"/>
          <w:szCs w:val="22"/>
          <w:lang w:val="en-GB"/>
        </w:rPr>
        <w:t xml:space="preserve">. </w:t>
      </w:r>
      <w:r w:rsidR="0048595E">
        <w:rPr>
          <w:rFonts w:ascii="Avenir Next" w:hAnsi="Avenir Next" w:cs="Arial"/>
          <w:color w:val="808080" w:themeColor="background1" w:themeShade="80"/>
          <w:sz w:val="22"/>
          <w:szCs w:val="22"/>
          <w:lang w:val="en-GB"/>
        </w:rPr>
        <w:t>The MLCBI does not provide substantive law</w:t>
      </w:r>
      <w:r>
        <w:rPr>
          <w:rStyle w:val="FootnoteReference"/>
          <w:rFonts w:ascii="Avenir Next" w:hAnsi="Avenir Next" w:cs="Arial"/>
          <w:color w:val="808080" w:themeColor="background1" w:themeShade="80"/>
          <w:sz w:val="22"/>
          <w:szCs w:val="22"/>
          <w:lang w:val="en-GB"/>
        </w:rPr>
        <w:footnoteReference w:id="1"/>
      </w:r>
      <w:r>
        <w:rPr>
          <w:rFonts w:ascii="Avenir Next" w:hAnsi="Avenir Next" w:cs="Arial"/>
          <w:color w:val="808080" w:themeColor="background1" w:themeShade="80"/>
          <w:sz w:val="22"/>
          <w:szCs w:val="22"/>
          <w:lang w:val="en-GB"/>
        </w:rPr>
        <w:t xml:space="preserve">. </w:t>
      </w:r>
      <w:r w:rsidR="0048595E">
        <w:rPr>
          <w:rFonts w:ascii="Avenir Next" w:hAnsi="Avenir Next" w:cs="Arial"/>
          <w:color w:val="808080" w:themeColor="background1" w:themeShade="80"/>
          <w:sz w:val="22"/>
          <w:szCs w:val="22"/>
          <w:lang w:val="en-GB"/>
        </w:rPr>
        <w:t>As s</w:t>
      </w:r>
      <w:r w:rsidR="00413114">
        <w:rPr>
          <w:rFonts w:ascii="Avenir Next" w:hAnsi="Avenir Next" w:cs="Arial"/>
          <w:color w:val="808080" w:themeColor="background1" w:themeShade="80"/>
          <w:sz w:val="22"/>
          <w:szCs w:val="22"/>
          <w:lang w:val="en-GB"/>
        </w:rPr>
        <w:t xml:space="preserve">uch the EU Regulation has impacts on the sovereignty of nations whereas the MLCBI does not. </w:t>
      </w:r>
      <w:r w:rsidR="00D5658B">
        <w:rPr>
          <w:rFonts w:ascii="Avenir Next" w:hAnsi="Avenir Next" w:cs="Arial"/>
          <w:color w:val="808080" w:themeColor="background1" w:themeShade="80"/>
          <w:sz w:val="22"/>
          <w:szCs w:val="22"/>
          <w:lang w:val="en-GB"/>
        </w:rPr>
        <w:t xml:space="preserve">The EU Regulation is binding upon member states (although there is an option to opt out – Denmark has done so). </w:t>
      </w:r>
    </w:p>
    <w:p w14:paraId="372536B4" w14:textId="77777777" w:rsidR="00224386" w:rsidRDefault="00224386" w:rsidP="00224386">
      <w:pPr>
        <w:jc w:val="both"/>
        <w:rPr>
          <w:rFonts w:ascii="Avenir Next" w:hAnsi="Avenir Next" w:cs="Arial"/>
          <w:color w:val="808080" w:themeColor="background1" w:themeShade="80"/>
          <w:sz w:val="22"/>
          <w:szCs w:val="22"/>
          <w:lang w:val="en-GB"/>
        </w:rPr>
      </w:pPr>
    </w:p>
    <w:p w14:paraId="75CBF968" w14:textId="7B99666A" w:rsidR="0048595E" w:rsidRPr="0048595E" w:rsidRDefault="0048595E" w:rsidP="0048595E">
      <w:pPr>
        <w:jc w:val="both"/>
        <w:rPr>
          <w:rFonts w:ascii="Avenir Next" w:hAnsi="Avenir Next" w:cs="Arial"/>
          <w:b/>
          <w:bCs/>
          <w:color w:val="808080" w:themeColor="background1" w:themeShade="80"/>
          <w:sz w:val="22"/>
          <w:szCs w:val="22"/>
          <w:lang w:val="en-GB"/>
        </w:rPr>
      </w:pPr>
      <w:r w:rsidRPr="0048595E">
        <w:rPr>
          <w:rFonts w:ascii="Avenir Next" w:hAnsi="Avenir Next" w:cs="Arial"/>
          <w:b/>
          <w:bCs/>
          <w:color w:val="808080" w:themeColor="background1" w:themeShade="80"/>
          <w:sz w:val="22"/>
          <w:szCs w:val="22"/>
          <w:lang w:val="en-GB"/>
        </w:rPr>
        <w:t xml:space="preserve">Benefit </w:t>
      </w:r>
    </w:p>
    <w:p w14:paraId="482C0998" w14:textId="473744F5" w:rsidR="0048595E" w:rsidRPr="0048595E" w:rsidRDefault="0048595E" w:rsidP="0048595E">
      <w:pPr>
        <w:pStyle w:val="ListParagraph"/>
        <w:numPr>
          <w:ilvl w:val="0"/>
          <w:numId w:val="60"/>
        </w:numPr>
        <w:jc w:val="both"/>
        <w:rPr>
          <w:rFonts w:ascii="Avenir Next" w:hAnsi="Avenir Next" w:cs="Arial"/>
          <w:color w:val="808080" w:themeColor="background1" w:themeShade="80"/>
          <w:sz w:val="22"/>
          <w:szCs w:val="22"/>
          <w:lang w:val="en-GB"/>
        </w:rPr>
      </w:pPr>
      <w:r w:rsidRPr="0048595E">
        <w:rPr>
          <w:rFonts w:ascii="Avenir Next" w:hAnsi="Avenir Next" w:cs="Arial"/>
          <w:color w:val="808080" w:themeColor="background1" w:themeShade="80"/>
          <w:sz w:val="22"/>
          <w:szCs w:val="22"/>
          <w:lang w:val="en-GB"/>
        </w:rPr>
        <w:t xml:space="preserve">MLCBI </w:t>
      </w:r>
    </w:p>
    <w:p w14:paraId="20E758E3" w14:textId="7E3AE35D" w:rsidR="00415ED2" w:rsidRDefault="00415ED2" w:rsidP="0022438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224386" w:rsidRPr="0048595E">
        <w:rPr>
          <w:rFonts w:ascii="Avenir Next" w:hAnsi="Avenir Next" w:cs="Arial"/>
          <w:color w:val="808080" w:themeColor="background1" w:themeShade="80"/>
          <w:sz w:val="22"/>
          <w:szCs w:val="22"/>
          <w:lang w:val="en-GB"/>
        </w:rPr>
        <w:t xml:space="preserve"> foundational principle</w:t>
      </w:r>
      <w:r>
        <w:rPr>
          <w:rFonts w:ascii="Avenir Next" w:hAnsi="Avenir Next" w:cs="Arial"/>
          <w:color w:val="808080" w:themeColor="background1" w:themeShade="80"/>
          <w:sz w:val="22"/>
          <w:szCs w:val="22"/>
          <w:lang w:val="en-GB"/>
        </w:rPr>
        <w:t xml:space="preserve"> of the </w:t>
      </w:r>
      <w:r w:rsidR="00D034FD">
        <w:rPr>
          <w:rFonts w:ascii="Avenir Next" w:hAnsi="Avenir Next" w:cs="Arial"/>
          <w:color w:val="808080" w:themeColor="background1" w:themeShade="80"/>
          <w:sz w:val="22"/>
          <w:szCs w:val="22"/>
          <w:lang w:val="en-GB"/>
        </w:rPr>
        <w:t xml:space="preserve">MLCBI </w:t>
      </w:r>
      <w:r w:rsidR="00D034FD" w:rsidRPr="0048595E">
        <w:rPr>
          <w:rFonts w:ascii="Avenir Next" w:hAnsi="Avenir Next" w:cs="Arial"/>
          <w:color w:val="808080" w:themeColor="background1" w:themeShade="80"/>
          <w:sz w:val="22"/>
          <w:szCs w:val="22"/>
          <w:lang w:val="en-GB"/>
        </w:rPr>
        <w:t>is</w:t>
      </w:r>
      <w:r w:rsidR="00224386" w:rsidRPr="0048595E">
        <w:rPr>
          <w:rFonts w:ascii="Avenir Next" w:hAnsi="Avenir Next" w:cs="Arial"/>
          <w:color w:val="808080" w:themeColor="background1" w:themeShade="80"/>
          <w:sz w:val="22"/>
          <w:szCs w:val="22"/>
          <w:lang w:val="en-GB"/>
        </w:rPr>
        <w:t xml:space="preserve"> </w:t>
      </w:r>
      <w:r w:rsidR="0048595E" w:rsidRPr="0048595E">
        <w:rPr>
          <w:rFonts w:ascii="Avenir Next" w:hAnsi="Avenir Next" w:cs="Arial"/>
          <w:color w:val="808080" w:themeColor="background1" w:themeShade="80"/>
          <w:sz w:val="22"/>
          <w:szCs w:val="22"/>
          <w:lang w:val="en-GB"/>
        </w:rPr>
        <w:t xml:space="preserve">its attempt to find a solution to resolving the disparate nature of insolvency law worldwide and to bridge the gap between territorialism and universalism. </w:t>
      </w:r>
    </w:p>
    <w:p w14:paraId="36C6C181" w14:textId="77777777" w:rsidR="00415ED2" w:rsidRDefault="00415ED2" w:rsidP="00224386">
      <w:pPr>
        <w:jc w:val="both"/>
        <w:rPr>
          <w:rFonts w:ascii="Avenir Next" w:hAnsi="Avenir Next" w:cs="Arial"/>
          <w:color w:val="808080" w:themeColor="background1" w:themeShade="80"/>
          <w:sz w:val="22"/>
          <w:szCs w:val="22"/>
          <w:lang w:val="en-GB"/>
        </w:rPr>
      </w:pPr>
    </w:p>
    <w:p w14:paraId="4F346679" w14:textId="26F904F1" w:rsidR="00415ED2" w:rsidRDefault="00415ED2" w:rsidP="0022438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Its key benefit, therefore, is that “it is intended to expediate and simplify the process required to recognise foreign proceedings and to provide a clear framework for recognition</w:t>
      </w:r>
      <w:r>
        <w:rPr>
          <w:rStyle w:val="FootnoteReference"/>
          <w:rFonts w:ascii="Avenir Next" w:hAnsi="Avenir Next" w:cs="Arial"/>
          <w:color w:val="808080" w:themeColor="background1" w:themeShade="80"/>
          <w:sz w:val="22"/>
          <w:szCs w:val="22"/>
          <w:lang w:val="en-GB"/>
        </w:rPr>
        <w:footnoteReference w:id="2"/>
      </w:r>
      <w:r>
        <w:rPr>
          <w:rFonts w:ascii="Avenir Next" w:hAnsi="Avenir Next" w:cs="Arial"/>
          <w:color w:val="808080" w:themeColor="background1" w:themeShade="80"/>
          <w:sz w:val="22"/>
          <w:szCs w:val="22"/>
          <w:lang w:val="en-GB"/>
        </w:rPr>
        <w:t>.”</w:t>
      </w:r>
    </w:p>
    <w:p w14:paraId="12E00E12" w14:textId="77777777" w:rsidR="00415ED2" w:rsidRDefault="00415ED2" w:rsidP="00224386">
      <w:pPr>
        <w:jc w:val="both"/>
        <w:rPr>
          <w:rFonts w:ascii="Avenir Next" w:hAnsi="Avenir Next" w:cs="Arial"/>
          <w:color w:val="808080" w:themeColor="background1" w:themeShade="80"/>
          <w:sz w:val="22"/>
          <w:szCs w:val="22"/>
          <w:lang w:val="en-GB"/>
        </w:rPr>
      </w:pPr>
    </w:p>
    <w:p w14:paraId="672CF592" w14:textId="65E46178" w:rsidR="00415ED2" w:rsidRDefault="00415ED2" w:rsidP="0022438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process is prescriptive and straightforward. The conditions for recognition are clearly stated and are not difficult to be met. </w:t>
      </w:r>
    </w:p>
    <w:p w14:paraId="0629437D" w14:textId="77777777" w:rsidR="00415ED2" w:rsidRDefault="00415ED2" w:rsidP="00224386">
      <w:pPr>
        <w:jc w:val="both"/>
        <w:rPr>
          <w:rFonts w:ascii="Avenir Next" w:hAnsi="Avenir Next" w:cs="Arial"/>
          <w:color w:val="808080" w:themeColor="background1" w:themeShade="80"/>
          <w:sz w:val="22"/>
          <w:szCs w:val="22"/>
          <w:lang w:val="en-GB"/>
        </w:rPr>
      </w:pPr>
    </w:p>
    <w:p w14:paraId="5C24609B" w14:textId="77777777" w:rsidR="00415ED2" w:rsidRDefault="00415ED2" w:rsidP="0022438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Adoption of the MLCBI by the enacting state has the benefit of limiting the number of proceedings that need to be opened (therefore reducing cost and complexity) – opening proceedings in the Enacting state are not needed if proceedings have been opened in a foreign state. </w:t>
      </w:r>
    </w:p>
    <w:p w14:paraId="285847AA" w14:textId="77777777" w:rsidR="00415ED2" w:rsidRDefault="00415ED2" w:rsidP="00224386">
      <w:pPr>
        <w:jc w:val="both"/>
        <w:rPr>
          <w:rFonts w:ascii="Avenir Next" w:hAnsi="Avenir Next" w:cs="Arial"/>
          <w:color w:val="808080" w:themeColor="background1" w:themeShade="80"/>
          <w:sz w:val="22"/>
          <w:szCs w:val="22"/>
          <w:lang w:val="en-GB"/>
        </w:rPr>
      </w:pPr>
    </w:p>
    <w:p w14:paraId="69998955" w14:textId="23022E9F" w:rsidR="00415ED2" w:rsidRDefault="00415ED2" w:rsidP="0022438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the foreign representative the benefit is that the recognition makes available the protections and tools that would be afforded a local insolvency representative (e.g. examining witnesses to trace assets to potentially “claw back” for the benefit of the creditors) or to make claims against the directors.  </w:t>
      </w:r>
    </w:p>
    <w:p w14:paraId="0AA48BD1" w14:textId="77777777" w:rsidR="00415ED2" w:rsidRDefault="00415ED2" w:rsidP="00224386">
      <w:pPr>
        <w:jc w:val="both"/>
        <w:rPr>
          <w:rFonts w:ascii="Avenir Next" w:hAnsi="Avenir Next" w:cs="Arial"/>
          <w:color w:val="808080" w:themeColor="background1" w:themeShade="80"/>
          <w:sz w:val="22"/>
          <w:szCs w:val="22"/>
          <w:lang w:val="en-GB"/>
        </w:rPr>
      </w:pPr>
    </w:p>
    <w:p w14:paraId="78ADC5B1" w14:textId="284C1A95" w:rsidR="00224386" w:rsidRDefault="0048595E" w:rsidP="00224386">
      <w:pPr>
        <w:jc w:val="both"/>
        <w:rPr>
          <w:rFonts w:ascii="Avenir Next" w:hAnsi="Avenir Next" w:cs="Arial"/>
          <w:color w:val="808080" w:themeColor="background1" w:themeShade="80"/>
          <w:sz w:val="22"/>
          <w:szCs w:val="22"/>
          <w:lang w:val="en-GB"/>
        </w:rPr>
      </w:pPr>
      <w:r w:rsidRPr="0048595E">
        <w:rPr>
          <w:rFonts w:ascii="Avenir Next" w:hAnsi="Avenir Next" w:cs="Arial"/>
          <w:color w:val="808080" w:themeColor="background1" w:themeShade="80"/>
          <w:sz w:val="22"/>
          <w:szCs w:val="22"/>
          <w:lang w:val="en-GB"/>
        </w:rPr>
        <w:t xml:space="preserve">It has a broader geographic effect than the </w:t>
      </w:r>
      <w:r w:rsidRPr="0048595E">
        <w:rPr>
          <w:rFonts w:ascii="Avenir Next" w:hAnsi="Avenir Next" w:cs="Arial"/>
          <w:color w:val="808080" w:themeColor="background1" w:themeShade="80"/>
          <w:sz w:val="22"/>
          <w:szCs w:val="22"/>
          <w:lang w:val="en-GB"/>
        </w:rPr>
        <w:t>EU Regulation</w:t>
      </w:r>
      <w:r w:rsidRPr="0048595E">
        <w:rPr>
          <w:rFonts w:ascii="Avenir Next" w:hAnsi="Avenir Next" w:cs="Arial"/>
          <w:color w:val="808080" w:themeColor="background1" w:themeShade="80"/>
          <w:sz w:val="22"/>
          <w:szCs w:val="22"/>
          <w:lang w:val="en-GB"/>
        </w:rPr>
        <w:t>.</w:t>
      </w:r>
      <w:r w:rsidR="0003778D">
        <w:rPr>
          <w:rFonts w:ascii="Avenir Next" w:hAnsi="Avenir Next" w:cs="Arial"/>
          <w:color w:val="808080" w:themeColor="background1" w:themeShade="80"/>
          <w:sz w:val="22"/>
          <w:szCs w:val="22"/>
          <w:lang w:val="en-GB"/>
        </w:rPr>
        <w:t xml:space="preserve"> The MLCBI does not impose the requirement for reciprocity which allows for a foreign representative to seek recognition from a country that has not incorporated the model law may still seek recognition.</w:t>
      </w:r>
    </w:p>
    <w:p w14:paraId="40AA5AF3" w14:textId="77777777" w:rsidR="00224386" w:rsidRDefault="00224386" w:rsidP="00224386">
      <w:pPr>
        <w:jc w:val="both"/>
        <w:rPr>
          <w:rFonts w:ascii="Avenir Next" w:hAnsi="Avenir Next" w:cs="Arial"/>
          <w:color w:val="808080" w:themeColor="background1" w:themeShade="80"/>
          <w:sz w:val="22"/>
          <w:szCs w:val="22"/>
          <w:lang w:val="en-GB"/>
        </w:rPr>
      </w:pPr>
    </w:p>
    <w:p w14:paraId="4568B18E" w14:textId="599DE545" w:rsidR="0048595E" w:rsidRDefault="0048595E" w:rsidP="0048595E">
      <w:pPr>
        <w:pStyle w:val="ListParagraph"/>
        <w:numPr>
          <w:ilvl w:val="0"/>
          <w:numId w:val="6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EU Regulation</w:t>
      </w:r>
    </w:p>
    <w:p w14:paraId="26A6B4BC" w14:textId="77777777" w:rsidR="007A3B00" w:rsidRDefault="00224386" w:rsidP="0048595E">
      <w:pPr>
        <w:jc w:val="both"/>
        <w:rPr>
          <w:rFonts w:ascii="Avenir Next" w:hAnsi="Avenir Next" w:cs="Arial"/>
          <w:color w:val="808080" w:themeColor="background1" w:themeShade="80"/>
          <w:sz w:val="22"/>
          <w:szCs w:val="22"/>
          <w:lang w:val="en-GB"/>
        </w:rPr>
      </w:pPr>
      <w:r w:rsidRPr="0048595E">
        <w:rPr>
          <w:rFonts w:ascii="Avenir Next" w:hAnsi="Avenir Next" w:cs="Arial"/>
          <w:color w:val="808080" w:themeColor="background1" w:themeShade="80"/>
          <w:sz w:val="22"/>
          <w:szCs w:val="22"/>
          <w:lang w:val="en-GB"/>
        </w:rPr>
        <w:t>The key benefit of the EU Regulation</w:t>
      </w:r>
      <w:r w:rsidR="0048595E" w:rsidRPr="0048595E">
        <w:rPr>
          <w:rFonts w:ascii="Avenir Next" w:hAnsi="Avenir Next" w:cs="Arial"/>
          <w:color w:val="808080" w:themeColor="background1" w:themeShade="80"/>
          <w:sz w:val="22"/>
          <w:szCs w:val="22"/>
          <w:lang w:val="en-GB"/>
        </w:rPr>
        <w:t xml:space="preserve"> is</w:t>
      </w:r>
      <w:r w:rsidRPr="0048595E">
        <w:rPr>
          <w:rFonts w:ascii="Avenir Next" w:hAnsi="Avenir Next" w:cs="Arial"/>
          <w:color w:val="808080" w:themeColor="background1" w:themeShade="80"/>
          <w:sz w:val="22"/>
          <w:szCs w:val="22"/>
          <w:lang w:val="en-GB"/>
        </w:rPr>
        <w:t xml:space="preserve"> it does provide substantive law</w:t>
      </w:r>
      <w:r w:rsidR="0048595E" w:rsidRPr="0048595E">
        <w:rPr>
          <w:rFonts w:ascii="Avenir Next" w:hAnsi="Avenir Next" w:cs="Arial"/>
          <w:color w:val="808080" w:themeColor="background1" w:themeShade="80"/>
          <w:sz w:val="22"/>
          <w:szCs w:val="22"/>
          <w:lang w:val="en-GB"/>
        </w:rPr>
        <w:t xml:space="preserve"> (for those states </w:t>
      </w:r>
      <w:r w:rsidR="00D034FD" w:rsidRPr="0048595E">
        <w:rPr>
          <w:rFonts w:ascii="Avenir Next" w:hAnsi="Avenir Next" w:cs="Arial"/>
          <w:color w:val="808080" w:themeColor="background1" w:themeShade="80"/>
          <w:sz w:val="22"/>
          <w:szCs w:val="22"/>
          <w:lang w:val="en-GB"/>
        </w:rPr>
        <w:t>within</w:t>
      </w:r>
      <w:r w:rsidR="0048595E" w:rsidRPr="0048595E">
        <w:rPr>
          <w:rFonts w:ascii="Avenir Next" w:hAnsi="Avenir Next" w:cs="Arial"/>
          <w:color w:val="808080" w:themeColor="background1" w:themeShade="80"/>
          <w:sz w:val="22"/>
          <w:szCs w:val="22"/>
          <w:lang w:val="en-GB"/>
        </w:rPr>
        <w:t xml:space="preserve"> the EU)</w:t>
      </w:r>
      <w:r w:rsidRPr="0048595E">
        <w:rPr>
          <w:rFonts w:ascii="Avenir Next" w:hAnsi="Avenir Next" w:cs="Arial"/>
          <w:color w:val="808080" w:themeColor="background1" w:themeShade="80"/>
          <w:sz w:val="22"/>
          <w:szCs w:val="22"/>
          <w:lang w:val="en-GB"/>
        </w:rPr>
        <w:t xml:space="preserve"> </w:t>
      </w:r>
      <w:r w:rsidR="0048595E" w:rsidRPr="0048595E">
        <w:rPr>
          <w:rFonts w:ascii="Avenir Next" w:hAnsi="Avenir Next" w:cs="Arial"/>
          <w:color w:val="808080" w:themeColor="background1" w:themeShade="80"/>
          <w:sz w:val="22"/>
          <w:szCs w:val="22"/>
          <w:lang w:val="en-GB"/>
        </w:rPr>
        <w:t>u</w:t>
      </w:r>
      <w:r w:rsidRPr="0048595E">
        <w:rPr>
          <w:rFonts w:ascii="Avenir Next" w:hAnsi="Avenir Next" w:cs="Arial"/>
          <w:color w:val="808080" w:themeColor="background1" w:themeShade="80"/>
          <w:sz w:val="22"/>
          <w:szCs w:val="22"/>
          <w:lang w:val="en-GB"/>
        </w:rPr>
        <w:t xml:space="preserve">nlike the MLCBI. As such it provides greater certainty not only to those affected by insolvency but also to investors, creditors etc who operate in the EU. It provides conflict of law rules (unlike the MLCBI which only provides for recognition of </w:t>
      </w:r>
      <w:r w:rsidR="0048595E" w:rsidRPr="0048595E">
        <w:rPr>
          <w:rFonts w:ascii="Avenir Next" w:hAnsi="Avenir Next" w:cs="Arial"/>
          <w:color w:val="808080" w:themeColor="background1" w:themeShade="80"/>
          <w:sz w:val="22"/>
          <w:szCs w:val="22"/>
          <w:lang w:val="en-GB"/>
        </w:rPr>
        <w:t>proceedings</w:t>
      </w:r>
      <w:r w:rsidRPr="0048595E">
        <w:rPr>
          <w:rFonts w:ascii="Avenir Next" w:hAnsi="Avenir Next" w:cs="Arial"/>
          <w:color w:val="808080" w:themeColor="background1" w:themeShade="80"/>
          <w:sz w:val="22"/>
          <w:szCs w:val="22"/>
          <w:lang w:val="en-GB"/>
        </w:rPr>
        <w:t xml:space="preserve">). </w:t>
      </w:r>
      <w:r w:rsidR="0048595E">
        <w:rPr>
          <w:rFonts w:ascii="Avenir Next" w:hAnsi="Avenir Next" w:cs="Arial"/>
          <w:color w:val="808080" w:themeColor="background1" w:themeShade="80"/>
          <w:sz w:val="22"/>
          <w:szCs w:val="22"/>
          <w:lang w:val="en-GB"/>
        </w:rPr>
        <w:t xml:space="preserve">It does provide more </w:t>
      </w:r>
      <w:r w:rsidR="00413114">
        <w:rPr>
          <w:rFonts w:ascii="Avenir Next" w:hAnsi="Avenir Next" w:cs="Arial"/>
          <w:color w:val="808080" w:themeColor="background1" w:themeShade="80"/>
          <w:sz w:val="22"/>
          <w:szCs w:val="22"/>
          <w:lang w:val="en-GB"/>
        </w:rPr>
        <w:t>certainty</w:t>
      </w:r>
      <w:r w:rsidR="0048595E">
        <w:rPr>
          <w:rFonts w:ascii="Avenir Next" w:hAnsi="Avenir Next" w:cs="Arial"/>
          <w:color w:val="808080" w:themeColor="background1" w:themeShade="80"/>
          <w:sz w:val="22"/>
          <w:szCs w:val="22"/>
          <w:lang w:val="en-GB"/>
        </w:rPr>
        <w:t xml:space="preserve"> as to the </w:t>
      </w:r>
      <w:r w:rsidR="00413114">
        <w:rPr>
          <w:rFonts w:ascii="Avenir Next" w:hAnsi="Avenir Next" w:cs="Arial"/>
          <w:color w:val="808080" w:themeColor="background1" w:themeShade="80"/>
          <w:sz w:val="22"/>
          <w:szCs w:val="22"/>
          <w:lang w:val="en-GB"/>
        </w:rPr>
        <w:t>insolvency</w:t>
      </w:r>
      <w:r w:rsidR="0048595E">
        <w:rPr>
          <w:rFonts w:ascii="Avenir Next" w:hAnsi="Avenir Next" w:cs="Arial"/>
          <w:color w:val="808080" w:themeColor="background1" w:themeShade="80"/>
          <w:sz w:val="22"/>
          <w:szCs w:val="22"/>
          <w:lang w:val="en-GB"/>
        </w:rPr>
        <w:t xml:space="preserve"> law </w:t>
      </w:r>
      <w:r w:rsidR="00413114">
        <w:rPr>
          <w:rFonts w:ascii="Avenir Next" w:hAnsi="Avenir Next" w:cs="Arial"/>
          <w:color w:val="808080" w:themeColor="background1" w:themeShade="80"/>
          <w:sz w:val="22"/>
          <w:szCs w:val="22"/>
          <w:lang w:val="en-GB"/>
        </w:rPr>
        <w:t>that will apply to the proceedings.</w:t>
      </w:r>
      <w:r w:rsidR="0003778D">
        <w:rPr>
          <w:rFonts w:ascii="Avenir Next" w:hAnsi="Avenir Next" w:cs="Arial"/>
          <w:color w:val="808080" w:themeColor="background1" w:themeShade="80"/>
          <w:sz w:val="22"/>
          <w:szCs w:val="22"/>
          <w:lang w:val="en-GB"/>
        </w:rPr>
        <w:t xml:space="preserve"> The EC Regulations provide for automatic recognition of insolvency proceedings that are opened in an EU country (under MLCBI this is not automatic). </w:t>
      </w:r>
      <w:r w:rsidR="0048595E">
        <w:rPr>
          <w:rFonts w:ascii="Avenir Next" w:hAnsi="Avenir Next" w:cs="Arial"/>
          <w:color w:val="808080" w:themeColor="background1" w:themeShade="80"/>
          <w:sz w:val="22"/>
          <w:szCs w:val="22"/>
          <w:lang w:val="en-GB"/>
        </w:rPr>
        <w:t xml:space="preserve"> </w:t>
      </w:r>
      <w:r w:rsidR="00EB2A6F">
        <w:rPr>
          <w:rFonts w:ascii="Avenir Next" w:hAnsi="Avenir Next" w:cs="Arial"/>
          <w:color w:val="808080" w:themeColor="background1" w:themeShade="80"/>
          <w:sz w:val="22"/>
          <w:szCs w:val="22"/>
          <w:lang w:val="en-GB"/>
        </w:rPr>
        <w:t>The law that applies to insolvency proceeding is the law of the State where the proceeding that take place</w:t>
      </w:r>
      <w:r w:rsidR="007A3B00">
        <w:rPr>
          <w:rFonts w:ascii="Avenir Next" w:hAnsi="Avenir Next" w:cs="Arial"/>
          <w:color w:val="808080" w:themeColor="background1" w:themeShade="80"/>
          <w:sz w:val="22"/>
          <w:szCs w:val="22"/>
          <w:lang w:val="en-GB"/>
        </w:rPr>
        <w:t xml:space="preserve"> (unless provided by regulation). Jurisdictional competence </w:t>
      </w:r>
      <w:proofErr w:type="gramStart"/>
      <w:r w:rsidR="007A3B00">
        <w:rPr>
          <w:rFonts w:ascii="Avenir Next" w:hAnsi="Avenir Next" w:cs="Arial"/>
          <w:color w:val="808080" w:themeColor="background1" w:themeShade="80"/>
          <w:sz w:val="22"/>
          <w:szCs w:val="22"/>
          <w:lang w:val="en-GB"/>
        </w:rPr>
        <w:t xml:space="preserve">is </w:t>
      </w:r>
      <w:proofErr w:type="spellStart"/>
      <w:r w:rsidR="007A3B00">
        <w:rPr>
          <w:rFonts w:ascii="Avenir Next" w:hAnsi="Avenir Next" w:cs="Arial"/>
          <w:color w:val="808080" w:themeColor="background1" w:themeShade="80"/>
          <w:sz w:val="22"/>
          <w:szCs w:val="22"/>
          <w:lang w:val="en-GB"/>
        </w:rPr>
        <w:t>were</w:t>
      </w:r>
      <w:proofErr w:type="spellEnd"/>
      <w:proofErr w:type="gramEnd"/>
      <w:r w:rsidR="007A3B00">
        <w:rPr>
          <w:rFonts w:ascii="Avenir Next" w:hAnsi="Avenir Next" w:cs="Arial"/>
          <w:color w:val="808080" w:themeColor="background1" w:themeShade="80"/>
          <w:sz w:val="22"/>
          <w:szCs w:val="22"/>
          <w:lang w:val="en-GB"/>
        </w:rPr>
        <w:t xml:space="preserve"> the centre of main interest (COMI) is. </w:t>
      </w:r>
    </w:p>
    <w:p w14:paraId="42E788F6" w14:textId="77777777" w:rsidR="007A3B00" w:rsidRDefault="007A3B00" w:rsidP="0048595E">
      <w:pPr>
        <w:jc w:val="both"/>
        <w:rPr>
          <w:rFonts w:ascii="Avenir Next" w:hAnsi="Avenir Next" w:cs="Arial"/>
          <w:color w:val="808080" w:themeColor="background1" w:themeShade="80"/>
          <w:sz w:val="22"/>
          <w:szCs w:val="22"/>
          <w:lang w:val="en-GB"/>
        </w:rPr>
      </w:pPr>
    </w:p>
    <w:p w14:paraId="3D744C15" w14:textId="43BC291B" w:rsidR="00224386" w:rsidRPr="0048595E" w:rsidRDefault="007A3B00" w:rsidP="0048595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potential benefit that extends beyond Europe</w:t>
      </w:r>
      <w:r w:rsidR="00EB2A6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and to the Model Law itself is the influence of the notion of COMI on determining foreign main proceedings. </w:t>
      </w:r>
    </w:p>
    <w:p w14:paraId="5C3EB82B" w14:textId="77777777" w:rsidR="00224386" w:rsidRDefault="00224386" w:rsidP="00707FC8">
      <w:pPr>
        <w:ind w:left="720" w:hanging="720"/>
        <w:jc w:val="both"/>
        <w:rPr>
          <w:rFonts w:ascii="Avenir Next" w:hAnsi="Avenir Next" w:cs="Arial"/>
          <w:color w:val="808080" w:themeColor="background1" w:themeShade="80"/>
          <w:sz w:val="22"/>
          <w:szCs w:val="22"/>
          <w:lang w:val="en-GB"/>
        </w:rPr>
      </w:pPr>
    </w:p>
    <w:p w14:paraId="21FB7E0D" w14:textId="633E5542" w:rsidR="0048595E" w:rsidRDefault="0048595E" w:rsidP="00707FC8">
      <w:pPr>
        <w:ind w:left="720" w:hanging="720"/>
        <w:jc w:val="both"/>
        <w:rPr>
          <w:rFonts w:ascii="Avenir Next" w:hAnsi="Avenir Next" w:cs="Arial"/>
          <w:b/>
          <w:bCs/>
          <w:color w:val="808080" w:themeColor="background1" w:themeShade="80"/>
          <w:sz w:val="22"/>
          <w:szCs w:val="22"/>
          <w:lang w:val="en-GB"/>
        </w:rPr>
      </w:pPr>
      <w:r w:rsidRPr="0048595E">
        <w:rPr>
          <w:rFonts w:ascii="Avenir Next" w:hAnsi="Avenir Next" w:cs="Arial"/>
          <w:b/>
          <w:bCs/>
          <w:color w:val="808080" w:themeColor="background1" w:themeShade="80"/>
          <w:sz w:val="22"/>
          <w:szCs w:val="22"/>
          <w:lang w:val="en-GB"/>
        </w:rPr>
        <w:t>Disadvantage</w:t>
      </w:r>
    </w:p>
    <w:p w14:paraId="205101E5" w14:textId="64B79A55" w:rsidR="0048595E" w:rsidRDefault="0048595E" w:rsidP="0048595E">
      <w:pPr>
        <w:pStyle w:val="ListParagraph"/>
        <w:numPr>
          <w:ilvl w:val="0"/>
          <w:numId w:val="61"/>
        </w:numPr>
        <w:jc w:val="both"/>
        <w:rPr>
          <w:rFonts w:ascii="Avenir Next" w:hAnsi="Avenir Next" w:cs="Arial"/>
          <w:color w:val="808080" w:themeColor="background1" w:themeShade="80"/>
          <w:sz w:val="22"/>
          <w:szCs w:val="22"/>
          <w:lang w:val="en-GB"/>
        </w:rPr>
      </w:pPr>
      <w:r w:rsidRPr="0048595E">
        <w:rPr>
          <w:rFonts w:ascii="Avenir Next" w:hAnsi="Avenir Next" w:cs="Arial"/>
          <w:color w:val="808080" w:themeColor="background1" w:themeShade="80"/>
          <w:sz w:val="22"/>
          <w:szCs w:val="22"/>
          <w:lang w:val="en-GB"/>
        </w:rPr>
        <w:t xml:space="preserve">MLCBI </w:t>
      </w:r>
    </w:p>
    <w:p w14:paraId="0854A90A" w14:textId="77777777" w:rsidR="00EB2A6F" w:rsidRDefault="00413114" w:rsidP="0041311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disadvantage of the MLCBI is that it relies on nations to adopt it and given that some large economies have not done so (for example Germany, France and China) means that it is still limited in scope and is only of partial effectiveness in its objective. </w:t>
      </w:r>
    </w:p>
    <w:p w14:paraId="2DE0D225" w14:textId="77777777" w:rsidR="00EB2A6F" w:rsidRDefault="00EB2A6F" w:rsidP="00413114">
      <w:pPr>
        <w:jc w:val="both"/>
        <w:rPr>
          <w:rFonts w:ascii="Avenir Next" w:hAnsi="Avenir Next" w:cs="Arial"/>
          <w:color w:val="808080" w:themeColor="background1" w:themeShade="80"/>
          <w:sz w:val="22"/>
          <w:szCs w:val="22"/>
          <w:lang w:val="en-GB"/>
        </w:rPr>
      </w:pPr>
    </w:p>
    <w:p w14:paraId="3C03ED9E" w14:textId="1F9211EC" w:rsidR="00413114" w:rsidRDefault="00EB2A6F" w:rsidP="0041311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no certainty as to choice of law. </w:t>
      </w:r>
    </w:p>
    <w:p w14:paraId="4D246B35" w14:textId="77777777" w:rsidR="00413114" w:rsidRPr="00413114" w:rsidRDefault="00413114" w:rsidP="00413114">
      <w:pPr>
        <w:jc w:val="both"/>
        <w:rPr>
          <w:rFonts w:ascii="Avenir Next" w:hAnsi="Avenir Next" w:cs="Arial"/>
          <w:color w:val="808080" w:themeColor="background1" w:themeShade="80"/>
          <w:sz w:val="22"/>
          <w:szCs w:val="22"/>
          <w:lang w:val="en-GB"/>
        </w:rPr>
      </w:pPr>
    </w:p>
    <w:p w14:paraId="0D070443" w14:textId="77777777" w:rsidR="0048595E" w:rsidRDefault="0048595E" w:rsidP="0048595E">
      <w:pPr>
        <w:pStyle w:val="ListParagraph"/>
        <w:numPr>
          <w:ilvl w:val="0"/>
          <w:numId w:val="6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EU Regulation</w:t>
      </w:r>
    </w:p>
    <w:p w14:paraId="3AF2BB44" w14:textId="09DEF2CB" w:rsidR="0048595E" w:rsidRPr="0048595E" w:rsidRDefault="0048595E" w:rsidP="0048595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does not extend beyond the EU (and those with their centre of main interest in the EU)</w:t>
      </w:r>
      <w:r w:rsidR="0003778D">
        <w:rPr>
          <w:rFonts w:ascii="Avenir Next" w:hAnsi="Avenir Next" w:cs="Arial"/>
          <w:color w:val="808080" w:themeColor="background1" w:themeShade="80"/>
          <w:sz w:val="22"/>
          <w:szCs w:val="22"/>
          <w:lang w:val="en-GB"/>
        </w:rPr>
        <w:t>.</w:t>
      </w:r>
      <w:r w:rsidR="007A3B00">
        <w:rPr>
          <w:rFonts w:ascii="Avenir Next" w:hAnsi="Avenir Next" w:cs="Arial"/>
          <w:color w:val="808080" w:themeColor="background1" w:themeShade="80"/>
          <w:sz w:val="22"/>
          <w:szCs w:val="22"/>
          <w:lang w:val="en-GB"/>
        </w:rPr>
        <w:t xml:space="preserve"> The EU regulation has also failed to address the issue of group companies (the Model Law has developed this but it has yet to be adopted by any State).  The regime that is in place is voluntary and does not enforce group co-operation. </w:t>
      </w:r>
    </w:p>
    <w:p w14:paraId="2E6AE6E2" w14:textId="77777777" w:rsidR="0048595E" w:rsidRPr="00E2622D" w:rsidRDefault="0048595E"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9ED5686" w14:textId="77777777" w:rsidR="00D5658B" w:rsidRDefault="00D5658B" w:rsidP="00843204">
      <w:pPr>
        <w:jc w:val="both"/>
        <w:rPr>
          <w:rFonts w:ascii="Avenir Next" w:hAnsi="Avenir Next" w:cs="Arial"/>
          <w:iCs/>
          <w:sz w:val="22"/>
          <w:szCs w:val="22"/>
        </w:rPr>
      </w:pPr>
    </w:p>
    <w:p w14:paraId="01417BB5" w14:textId="77777777" w:rsidR="00D5658B" w:rsidRDefault="00843204" w:rsidP="008432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should primarily consider</w:t>
      </w:r>
      <w:r w:rsidR="00D5658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when using its </w:t>
      </w:r>
      <w:r w:rsidR="00083C69">
        <w:rPr>
          <w:rFonts w:ascii="Avenir Next" w:hAnsi="Avenir Next" w:cs="Arial"/>
          <w:color w:val="808080" w:themeColor="background1" w:themeShade="80"/>
          <w:sz w:val="22"/>
          <w:szCs w:val="22"/>
          <w:lang w:val="en-GB"/>
        </w:rPr>
        <w:t>discretionary</w:t>
      </w:r>
      <w:r>
        <w:rPr>
          <w:rFonts w:ascii="Avenir Next" w:hAnsi="Avenir Next" w:cs="Arial"/>
          <w:color w:val="808080" w:themeColor="background1" w:themeShade="80"/>
          <w:sz w:val="22"/>
          <w:szCs w:val="22"/>
          <w:lang w:val="en-GB"/>
        </w:rPr>
        <w:t xml:space="preserve"> power to grant post recognition relief under Article 21 of the MLCB is</w:t>
      </w:r>
      <w:r w:rsidR="00083C69">
        <w:rPr>
          <w:rFonts w:ascii="Avenir Next" w:hAnsi="Avenir Next" w:cs="Arial"/>
          <w:color w:val="808080" w:themeColor="background1" w:themeShade="80"/>
          <w:sz w:val="22"/>
          <w:szCs w:val="22"/>
          <w:lang w:val="en-GB"/>
        </w:rPr>
        <w:t xml:space="preserve"> whether</w:t>
      </w:r>
      <w:r w:rsidR="00D5658B">
        <w:rPr>
          <w:rFonts w:ascii="Avenir Next" w:hAnsi="Avenir Next" w:cs="Arial"/>
          <w:color w:val="808080" w:themeColor="background1" w:themeShade="80"/>
          <w:sz w:val="22"/>
          <w:szCs w:val="22"/>
          <w:lang w:val="en-GB"/>
        </w:rPr>
        <w:t xml:space="preserve"> the request for relief is made by the foreign representative </w:t>
      </w:r>
      <w:r w:rsidR="00083C69">
        <w:rPr>
          <w:rFonts w:ascii="Avenir Next" w:hAnsi="Avenir Next" w:cs="Arial"/>
          <w:color w:val="808080" w:themeColor="background1" w:themeShade="80"/>
          <w:sz w:val="22"/>
          <w:szCs w:val="22"/>
          <w:lang w:val="en-GB"/>
        </w:rPr>
        <w:t xml:space="preserve">is necessary to protect the assts of the debtor or interests of the creditors. </w:t>
      </w:r>
      <w:r w:rsidR="00D5658B">
        <w:rPr>
          <w:rFonts w:ascii="Avenir Next" w:hAnsi="Avenir Next" w:cs="Arial"/>
          <w:color w:val="808080" w:themeColor="background1" w:themeShade="80"/>
          <w:sz w:val="22"/>
          <w:szCs w:val="22"/>
          <w:lang w:val="en-GB"/>
        </w:rPr>
        <w:t xml:space="preserve">It does not need to consider whether the proceedings are main or non-main. </w:t>
      </w:r>
    </w:p>
    <w:p w14:paraId="799F540C" w14:textId="77777777" w:rsidR="00D5658B" w:rsidRDefault="00D5658B" w:rsidP="00843204">
      <w:pPr>
        <w:jc w:val="both"/>
        <w:rPr>
          <w:rFonts w:ascii="Avenir Next" w:hAnsi="Avenir Next" w:cs="Arial"/>
          <w:color w:val="808080" w:themeColor="background1" w:themeShade="80"/>
          <w:sz w:val="22"/>
          <w:szCs w:val="22"/>
          <w:lang w:val="en-GB"/>
        </w:rPr>
      </w:pPr>
    </w:p>
    <w:p w14:paraId="019E0869" w14:textId="17E21900" w:rsidR="00083C69" w:rsidRDefault="00D5658B" w:rsidP="00D5658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It needs to consider what is “appropriate” relief. </w:t>
      </w:r>
      <w:r w:rsidR="00083C69">
        <w:rPr>
          <w:rFonts w:ascii="Avenir Next" w:hAnsi="Avenir Next" w:cs="Arial"/>
          <w:color w:val="808080" w:themeColor="background1" w:themeShade="80"/>
          <w:sz w:val="22"/>
          <w:szCs w:val="22"/>
          <w:lang w:val="en-GB"/>
        </w:rPr>
        <w:t xml:space="preserve">Following the English court decision in </w:t>
      </w:r>
      <w:r>
        <w:rPr>
          <w:rFonts w:ascii="Avenir Next" w:hAnsi="Avenir Next" w:cs="Arial"/>
          <w:color w:val="808080" w:themeColor="background1" w:themeShade="80"/>
          <w:sz w:val="22"/>
          <w:szCs w:val="22"/>
          <w:lang w:val="en-GB"/>
        </w:rPr>
        <w:t xml:space="preserve">Re </w:t>
      </w:r>
      <w:r w:rsidRPr="00D5658B">
        <w:rPr>
          <w:rFonts w:ascii="Avenir Next" w:hAnsi="Avenir Next" w:cs="Arial"/>
          <w:i/>
          <w:iCs/>
          <w:color w:val="808080" w:themeColor="background1" w:themeShade="80"/>
          <w:sz w:val="22"/>
          <w:szCs w:val="22"/>
          <w:lang w:val="en-GB"/>
        </w:rPr>
        <w:t>Pan Ocean Co Lt</w:t>
      </w:r>
      <w:r w:rsidR="0099789D">
        <w:rPr>
          <w:rFonts w:ascii="Avenir Next" w:hAnsi="Avenir Next" w:cs="Arial"/>
          <w:i/>
          <w:iCs/>
          <w:color w:val="808080" w:themeColor="background1" w:themeShade="80"/>
          <w:sz w:val="22"/>
          <w:szCs w:val="22"/>
          <w:lang w:val="en-GB"/>
        </w:rPr>
        <w:t>d</w:t>
      </w:r>
      <w:r>
        <w:rPr>
          <w:rFonts w:ascii="Avenir Next" w:hAnsi="Avenir Next" w:cs="Arial"/>
          <w:i/>
          <w:iCs/>
          <w:color w:val="808080" w:themeColor="background1" w:themeShade="80"/>
          <w:sz w:val="22"/>
          <w:szCs w:val="22"/>
          <w:lang w:val="en-GB"/>
        </w:rPr>
        <w:t xml:space="preserve"> (Pan Ocean))</w:t>
      </w:r>
      <w:r>
        <w:rPr>
          <w:rStyle w:val="FootnoteReference"/>
          <w:rFonts w:ascii="Avenir Next" w:hAnsi="Avenir Next" w:cs="Arial"/>
          <w:i/>
          <w:iCs/>
          <w:color w:val="808080" w:themeColor="background1" w:themeShade="80"/>
          <w:sz w:val="22"/>
          <w:szCs w:val="22"/>
          <w:lang w:val="en-GB"/>
        </w:rPr>
        <w:footnoteReference w:id="3"/>
      </w:r>
      <w:r w:rsidR="00083C69" w:rsidRPr="00D5658B">
        <w:rPr>
          <w:rFonts w:ascii="Avenir Next" w:hAnsi="Avenir Next" w:cs="Arial"/>
          <w:color w:val="808080" w:themeColor="background1" w:themeShade="80"/>
          <w:sz w:val="22"/>
          <w:szCs w:val="22"/>
          <w:lang w:val="en-GB"/>
        </w:rPr>
        <w:t xml:space="preserve"> </w:t>
      </w:r>
      <w:r w:rsidR="00083C69">
        <w:rPr>
          <w:rFonts w:ascii="Avenir Next" w:hAnsi="Avenir Next" w:cs="Arial"/>
          <w:color w:val="808080" w:themeColor="background1" w:themeShade="80"/>
          <w:sz w:val="22"/>
          <w:szCs w:val="22"/>
          <w:lang w:val="en-GB"/>
        </w:rPr>
        <w:t xml:space="preserve">it may wish to consider if the relief sought would go beyond relief it would grant in a domestic insolvency. </w:t>
      </w:r>
      <w:r>
        <w:rPr>
          <w:rFonts w:ascii="Avenir Next" w:hAnsi="Avenir Next" w:cs="Arial"/>
          <w:color w:val="808080" w:themeColor="background1" w:themeShade="80"/>
          <w:sz w:val="22"/>
          <w:szCs w:val="22"/>
          <w:lang w:val="en-GB"/>
        </w:rPr>
        <w:t xml:space="preserve">In Pan Ocean it was decided that appropriate relief did </w:t>
      </w:r>
      <w:r w:rsidR="00D034FD">
        <w:rPr>
          <w:rFonts w:ascii="Avenir Next" w:hAnsi="Avenir Next" w:cs="Arial"/>
          <w:color w:val="808080" w:themeColor="background1" w:themeShade="80"/>
          <w:sz w:val="22"/>
          <w:szCs w:val="22"/>
          <w:lang w:val="en-GB"/>
        </w:rPr>
        <w:t>not</w:t>
      </w:r>
      <w:r>
        <w:rPr>
          <w:rFonts w:ascii="Avenir Next" w:hAnsi="Avenir Next" w:cs="Arial"/>
          <w:color w:val="808080" w:themeColor="background1" w:themeShade="80"/>
          <w:sz w:val="22"/>
          <w:szCs w:val="22"/>
          <w:lang w:val="en-GB"/>
        </w:rPr>
        <w:t xml:space="preserve"> extend to relief that would not be available in domestic insolvency. </w:t>
      </w:r>
    </w:p>
    <w:p w14:paraId="2858F3E6" w14:textId="77777777" w:rsidR="00D5658B" w:rsidRDefault="00D5658B" w:rsidP="00D5658B">
      <w:pPr>
        <w:jc w:val="both"/>
        <w:rPr>
          <w:rFonts w:ascii="Avenir Next" w:hAnsi="Avenir Next" w:cs="Arial"/>
          <w:color w:val="808080" w:themeColor="background1" w:themeShade="80"/>
          <w:sz w:val="22"/>
          <w:szCs w:val="22"/>
          <w:lang w:val="en-GB"/>
        </w:rPr>
      </w:pPr>
    </w:p>
    <w:p w14:paraId="24F26A80" w14:textId="3B3A056F" w:rsidR="00D5658B" w:rsidRDefault="00D5658B" w:rsidP="00D5658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may under Article 21 need to consider questions of both jurisdiction and discretion</w:t>
      </w:r>
      <w:r w:rsidR="00EB2A6F">
        <w:rPr>
          <w:rStyle w:val="FootnoteReference"/>
          <w:rFonts w:ascii="Avenir Next" w:hAnsi="Avenir Next" w:cs="Arial"/>
          <w:color w:val="808080" w:themeColor="background1" w:themeShade="80"/>
          <w:sz w:val="22"/>
          <w:szCs w:val="22"/>
          <w:lang w:val="en-GB"/>
        </w:rPr>
        <w:footnoteReference w:id="4"/>
      </w:r>
      <w:r w:rsidR="00EB2A6F">
        <w:rPr>
          <w:rFonts w:ascii="Avenir Next" w:hAnsi="Avenir Next" w:cs="Arial"/>
          <w:color w:val="808080" w:themeColor="background1" w:themeShade="80"/>
          <w:sz w:val="22"/>
          <w:szCs w:val="22"/>
          <w:lang w:val="en-GB"/>
        </w:rPr>
        <w:t>. The court needs to determine if it is a matter that it is within its discretion and what issues it needs to take into account of domestic insolvency law as if the application had been bought by a local representative</w:t>
      </w:r>
      <w:r w:rsidR="00EB2A6F">
        <w:rPr>
          <w:rStyle w:val="FootnoteReference"/>
          <w:rFonts w:ascii="Avenir Next" w:hAnsi="Avenir Next" w:cs="Arial"/>
          <w:color w:val="808080" w:themeColor="background1" w:themeShade="80"/>
          <w:sz w:val="22"/>
          <w:szCs w:val="22"/>
          <w:lang w:val="en-GB"/>
        </w:rPr>
        <w:footnoteReference w:id="5"/>
      </w:r>
      <w:r w:rsidR="00EB2A6F">
        <w:rPr>
          <w:rFonts w:ascii="Avenir Next" w:hAnsi="Avenir Next" w:cs="Arial"/>
          <w:color w:val="808080" w:themeColor="background1" w:themeShade="80"/>
          <w:sz w:val="22"/>
          <w:szCs w:val="22"/>
          <w:lang w:val="en-GB"/>
        </w:rPr>
        <w:t xml:space="preserve">. </w:t>
      </w:r>
    </w:p>
    <w:p w14:paraId="6D9DEBAA" w14:textId="77777777" w:rsidR="00EB2A6F" w:rsidRDefault="00EB2A6F" w:rsidP="00D5658B">
      <w:pPr>
        <w:jc w:val="both"/>
        <w:rPr>
          <w:rFonts w:ascii="Avenir Next" w:hAnsi="Avenir Next" w:cs="Arial"/>
          <w:color w:val="808080" w:themeColor="background1" w:themeShade="80"/>
          <w:sz w:val="22"/>
          <w:szCs w:val="22"/>
          <w:lang w:val="en-GB"/>
        </w:rPr>
      </w:pPr>
    </w:p>
    <w:p w14:paraId="2A816869" w14:textId="64F90393" w:rsidR="00EB2A6F" w:rsidRDefault="00EB2A6F" w:rsidP="00D5658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a non-main proceeding the court must be satisfied that the relief relates to assets that under local law should be administered in the foreign non-main proceeding (Article 21(3)).</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Default="00100E8F" w:rsidP="00100E8F">
      <w:pPr>
        <w:jc w:val="both"/>
        <w:rPr>
          <w:rFonts w:ascii="Avenir Next" w:hAnsi="Avenir Next" w:cs="Arial"/>
          <w:sz w:val="22"/>
          <w:szCs w:val="28"/>
          <w:lang w:val="en-GB"/>
        </w:rPr>
      </w:pPr>
    </w:p>
    <w:p w14:paraId="79B9729C" w14:textId="77777777" w:rsidR="00EB2A6F" w:rsidRDefault="00083C69" w:rsidP="00EB2A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protections granted to creditors in a foreign proceeding under Article 13 of the MLCBI are that foreign creditors have the same rights as the domiciled creditors in the enacting State with respect to</w:t>
      </w:r>
      <w:r w:rsidR="00EB2A6F">
        <w:rPr>
          <w:rFonts w:ascii="Avenir Next" w:hAnsi="Avenir Next" w:cs="Arial"/>
          <w:color w:val="808080" w:themeColor="background1" w:themeShade="80"/>
          <w:sz w:val="22"/>
          <w:szCs w:val="22"/>
          <w:lang w:val="en-GB"/>
        </w:rPr>
        <w:t xml:space="preserve"> </w:t>
      </w:r>
    </w:p>
    <w:p w14:paraId="4AB6873F" w14:textId="77777777" w:rsidR="00EB2A6F" w:rsidRDefault="00EB2A6F" w:rsidP="00EB2A6F">
      <w:pPr>
        <w:pStyle w:val="ListParagraph"/>
        <w:numPr>
          <w:ilvl w:val="0"/>
          <w:numId w:val="62"/>
        </w:numPr>
        <w:jc w:val="both"/>
        <w:rPr>
          <w:rFonts w:ascii="Avenir Next" w:hAnsi="Avenir Next" w:cs="Arial"/>
          <w:color w:val="808080" w:themeColor="background1" w:themeShade="80"/>
          <w:sz w:val="22"/>
          <w:szCs w:val="22"/>
          <w:lang w:val="en-GB"/>
        </w:rPr>
      </w:pPr>
      <w:r w:rsidRPr="00EB2A6F">
        <w:rPr>
          <w:rFonts w:ascii="Avenir Next" w:hAnsi="Avenir Next" w:cs="Arial"/>
          <w:color w:val="808080" w:themeColor="background1" w:themeShade="80"/>
          <w:sz w:val="22"/>
          <w:szCs w:val="22"/>
          <w:lang w:val="en-GB"/>
        </w:rPr>
        <w:t>c</w:t>
      </w:r>
      <w:r w:rsidR="00083C69" w:rsidRPr="00EB2A6F">
        <w:rPr>
          <w:rFonts w:ascii="Avenir Next" w:hAnsi="Avenir Next" w:cs="Arial"/>
          <w:color w:val="808080" w:themeColor="background1" w:themeShade="80"/>
          <w:sz w:val="22"/>
          <w:szCs w:val="22"/>
          <w:lang w:val="en-GB"/>
        </w:rPr>
        <w:t>ommencement of local proceedings</w:t>
      </w:r>
      <w:r w:rsidR="00E6155D" w:rsidRPr="00EB2A6F">
        <w:rPr>
          <w:rFonts w:ascii="Avenir Next" w:hAnsi="Avenir Next" w:cs="Arial"/>
          <w:color w:val="808080" w:themeColor="background1" w:themeShade="80"/>
          <w:sz w:val="22"/>
          <w:szCs w:val="22"/>
          <w:lang w:val="en-GB"/>
        </w:rPr>
        <w:t xml:space="preserve"> </w:t>
      </w:r>
      <w:r w:rsidRPr="00EB2A6F">
        <w:rPr>
          <w:rFonts w:ascii="Avenir Next" w:hAnsi="Avenir Next" w:cs="Arial"/>
          <w:color w:val="808080" w:themeColor="background1" w:themeShade="80"/>
          <w:sz w:val="22"/>
          <w:szCs w:val="22"/>
          <w:lang w:val="en-GB"/>
        </w:rPr>
        <w:t xml:space="preserve">and </w:t>
      </w:r>
    </w:p>
    <w:p w14:paraId="193784B8" w14:textId="046C52F1" w:rsidR="00083C69" w:rsidRDefault="00EB2A6F" w:rsidP="00EB2A6F">
      <w:pPr>
        <w:pStyle w:val="ListParagraph"/>
        <w:numPr>
          <w:ilvl w:val="0"/>
          <w:numId w:val="62"/>
        </w:numPr>
        <w:jc w:val="both"/>
        <w:rPr>
          <w:rFonts w:ascii="Avenir Next" w:hAnsi="Avenir Next" w:cs="Arial"/>
          <w:color w:val="808080" w:themeColor="background1" w:themeShade="80"/>
          <w:sz w:val="22"/>
          <w:szCs w:val="22"/>
          <w:lang w:val="en-GB"/>
        </w:rPr>
      </w:pPr>
      <w:r w:rsidRPr="00EB2A6F">
        <w:rPr>
          <w:rFonts w:ascii="Avenir Next" w:hAnsi="Avenir Next" w:cs="Arial"/>
          <w:color w:val="808080" w:themeColor="background1" w:themeShade="80"/>
          <w:sz w:val="22"/>
          <w:szCs w:val="22"/>
          <w:lang w:val="en-GB"/>
        </w:rPr>
        <w:t>participation in local proceedings</w:t>
      </w:r>
    </w:p>
    <w:p w14:paraId="64443D3C" w14:textId="40E10200" w:rsidR="00EB2A6F" w:rsidRDefault="00EB2A6F" w:rsidP="00EB2A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local creditors (Article 13.1). </w:t>
      </w:r>
    </w:p>
    <w:p w14:paraId="637A790D" w14:textId="77777777" w:rsidR="00EB2A6F" w:rsidRDefault="00EB2A6F" w:rsidP="00EB2A6F">
      <w:pPr>
        <w:jc w:val="both"/>
        <w:rPr>
          <w:rFonts w:ascii="Avenir Next" w:hAnsi="Avenir Next" w:cs="Arial"/>
          <w:color w:val="808080" w:themeColor="background1" w:themeShade="80"/>
          <w:sz w:val="22"/>
          <w:szCs w:val="22"/>
          <w:lang w:val="en-GB"/>
        </w:rPr>
      </w:pPr>
    </w:p>
    <w:p w14:paraId="4C6A1261" w14:textId="40ED5AB7" w:rsidR="00C34EFE" w:rsidRDefault="00C34EFE" w:rsidP="00EB2A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creditors rights in terms of ranking of claims are not prejudiced in an insolvency proceeding in an Enacting State. The claim of a foreign creditor will be rank lower than a general unsecured claim i.e. the foreign creditor is not prejudiced because it is foreign</w:t>
      </w:r>
      <w:r>
        <w:rPr>
          <w:rStyle w:val="FootnoteReference"/>
          <w:rFonts w:ascii="Avenir Next" w:hAnsi="Avenir Next" w:cs="Arial"/>
          <w:color w:val="808080" w:themeColor="background1" w:themeShade="80"/>
          <w:sz w:val="22"/>
          <w:szCs w:val="22"/>
          <w:lang w:val="en-GB"/>
        </w:rPr>
        <w:footnoteReference w:id="6"/>
      </w:r>
      <w:r>
        <w:rPr>
          <w:rFonts w:ascii="Avenir Next" w:hAnsi="Avenir Next" w:cs="Arial"/>
          <w:color w:val="808080" w:themeColor="background1" w:themeShade="80"/>
          <w:sz w:val="22"/>
          <w:szCs w:val="22"/>
          <w:lang w:val="en-GB"/>
        </w:rPr>
        <w:t xml:space="preserve">.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2833515A" w14:textId="77777777" w:rsidR="00D0383D" w:rsidRDefault="00D0383D" w:rsidP="00E6155D">
      <w:pPr>
        <w:jc w:val="both"/>
        <w:rPr>
          <w:rFonts w:ascii="Avenir Next" w:hAnsi="Avenir Next" w:cs="Arial"/>
          <w:color w:val="808080" w:themeColor="background1" w:themeShade="80"/>
          <w:sz w:val="22"/>
          <w:szCs w:val="22"/>
          <w:lang w:val="en-GB"/>
        </w:rPr>
      </w:pPr>
    </w:p>
    <w:p w14:paraId="4522386E" w14:textId="7CFDBD16" w:rsidR="0099789D" w:rsidRDefault="009F0CF4" w:rsidP="009978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w:t>
      </w:r>
      <w:r w:rsidRPr="0053051D">
        <w:rPr>
          <w:rFonts w:ascii="Avenir Next" w:hAnsi="Avenir Next" w:cs="Arial"/>
          <w:color w:val="808080" w:themeColor="background1" w:themeShade="80"/>
          <w:sz w:val="22"/>
          <w:szCs w:val="22"/>
          <w:lang w:val="en-GB"/>
        </w:rPr>
        <w:t>ecognition granted for a foreign main proceeding</w:t>
      </w:r>
      <w:r>
        <w:rPr>
          <w:rFonts w:ascii="Avenir Next" w:hAnsi="Avenir Next" w:cs="Arial"/>
          <w:color w:val="808080" w:themeColor="background1" w:themeShade="80"/>
          <w:sz w:val="22"/>
          <w:szCs w:val="22"/>
          <w:lang w:val="en-GB"/>
        </w:rPr>
        <w:t xml:space="preserve"> has the effect that</w:t>
      </w:r>
      <w:r w:rsidRPr="0053051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w:t>
      </w:r>
      <w:r w:rsidRPr="0053051D">
        <w:rPr>
          <w:rFonts w:ascii="Avenir Next" w:hAnsi="Avenir Next" w:cs="Arial"/>
          <w:color w:val="808080" w:themeColor="background1" w:themeShade="80"/>
          <w:sz w:val="22"/>
          <w:szCs w:val="22"/>
          <w:lang w:val="en-GB"/>
        </w:rPr>
        <w:t xml:space="preserve"> stay is automatic</w:t>
      </w:r>
      <w:r>
        <w:rPr>
          <w:rFonts w:ascii="Avenir Next" w:hAnsi="Avenir Next" w:cs="Arial"/>
          <w:color w:val="808080" w:themeColor="background1" w:themeShade="80"/>
          <w:sz w:val="22"/>
          <w:szCs w:val="22"/>
          <w:lang w:val="en-GB"/>
        </w:rPr>
        <w:t xml:space="preserve">. </w:t>
      </w:r>
      <w:r w:rsidR="0099789D">
        <w:rPr>
          <w:rFonts w:ascii="Avenir Next" w:hAnsi="Avenir Next" w:cs="Arial"/>
          <w:color w:val="808080" w:themeColor="background1" w:themeShade="80"/>
          <w:sz w:val="22"/>
          <w:szCs w:val="22"/>
          <w:lang w:val="en-GB"/>
        </w:rPr>
        <w:t>As result f</w:t>
      </w:r>
      <w:r w:rsidR="0099789D">
        <w:rPr>
          <w:rFonts w:ascii="Avenir Next" w:hAnsi="Avenir Next" w:cs="Arial"/>
          <w:color w:val="808080" w:themeColor="background1" w:themeShade="80"/>
          <w:sz w:val="22"/>
          <w:szCs w:val="22"/>
          <w:lang w:val="en-GB"/>
        </w:rPr>
        <w:t xml:space="preserve">or foreign main proceedings there is no need for a specific application as the relief is automatic. In terms of Articles 20(1) once the order is made </w:t>
      </w:r>
    </w:p>
    <w:p w14:paraId="4CDBA914" w14:textId="77777777" w:rsidR="0099789D" w:rsidRDefault="0099789D" w:rsidP="0099789D">
      <w:pPr>
        <w:pStyle w:val="ListParagraph"/>
        <w:numPr>
          <w:ilvl w:val="0"/>
          <w:numId w:val="63"/>
        </w:numPr>
        <w:jc w:val="both"/>
        <w:rPr>
          <w:rFonts w:ascii="Avenir Next" w:hAnsi="Avenir Next" w:cs="Arial"/>
          <w:color w:val="808080" w:themeColor="background1" w:themeShade="80"/>
          <w:sz w:val="22"/>
          <w:szCs w:val="22"/>
          <w:lang w:val="en-GB"/>
        </w:rPr>
      </w:pPr>
      <w:r w:rsidRPr="0053051D">
        <w:rPr>
          <w:rFonts w:ascii="Avenir Next" w:hAnsi="Avenir Next" w:cs="Arial"/>
          <w:color w:val="808080" w:themeColor="background1" w:themeShade="80"/>
          <w:sz w:val="22"/>
          <w:szCs w:val="22"/>
          <w:lang w:val="en-GB"/>
        </w:rPr>
        <w:t>the commencement or continuation of individual actions or proceedings is staye</w:t>
      </w:r>
      <w:r>
        <w:rPr>
          <w:rFonts w:ascii="Avenir Next" w:hAnsi="Avenir Next" w:cs="Arial"/>
          <w:color w:val="808080" w:themeColor="background1" w:themeShade="80"/>
          <w:sz w:val="22"/>
          <w:szCs w:val="22"/>
          <w:lang w:val="en-GB"/>
        </w:rPr>
        <w:t>d</w:t>
      </w:r>
    </w:p>
    <w:p w14:paraId="21F24B4B" w14:textId="77777777" w:rsidR="0099789D" w:rsidRDefault="0099789D" w:rsidP="0099789D">
      <w:pPr>
        <w:pStyle w:val="ListParagraph"/>
        <w:numPr>
          <w:ilvl w:val="0"/>
          <w:numId w:val="6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execution against the company’s assets is stayed</w:t>
      </w:r>
    </w:p>
    <w:p w14:paraId="673F4CB8" w14:textId="38AE9C5D" w:rsidR="0099789D" w:rsidRPr="0053051D" w:rsidRDefault="0099789D" w:rsidP="0099789D">
      <w:pPr>
        <w:pStyle w:val="ListParagraph"/>
        <w:numPr>
          <w:ilvl w:val="0"/>
          <w:numId w:val="6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right to transfer, encumber or otherwise dispose of any assets is suspended</w:t>
      </w:r>
      <w:r>
        <w:rPr>
          <w:rFonts w:ascii="Avenir Next" w:hAnsi="Avenir Next" w:cs="Arial"/>
          <w:color w:val="808080" w:themeColor="background1" w:themeShade="80"/>
          <w:sz w:val="22"/>
          <w:szCs w:val="22"/>
          <w:lang w:val="en-GB"/>
        </w:rPr>
        <w:t>.</w:t>
      </w:r>
    </w:p>
    <w:p w14:paraId="31007DA5" w14:textId="026F0BD5" w:rsidR="0099789D" w:rsidRDefault="0099789D" w:rsidP="00E6155D">
      <w:pPr>
        <w:jc w:val="both"/>
        <w:rPr>
          <w:rFonts w:ascii="Avenir Next" w:hAnsi="Avenir Next" w:cs="Arial"/>
          <w:color w:val="808080" w:themeColor="background1" w:themeShade="80"/>
          <w:sz w:val="22"/>
          <w:szCs w:val="22"/>
          <w:lang w:val="en-GB"/>
        </w:rPr>
      </w:pPr>
    </w:p>
    <w:p w14:paraId="2CA1E1EA" w14:textId="7B6301FD" w:rsidR="0099789D" w:rsidRDefault="0099789D" w:rsidP="00E6155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automatic stay is no sacrosanct and the automatic stay can be varied, suspended or terminated). </w:t>
      </w:r>
    </w:p>
    <w:p w14:paraId="01FBAA60" w14:textId="77777777" w:rsidR="0099789D" w:rsidRDefault="0099789D" w:rsidP="00E6155D">
      <w:pPr>
        <w:jc w:val="both"/>
        <w:rPr>
          <w:rFonts w:ascii="Avenir Next" w:hAnsi="Avenir Next" w:cs="Arial"/>
          <w:color w:val="808080" w:themeColor="background1" w:themeShade="80"/>
          <w:sz w:val="22"/>
          <w:szCs w:val="22"/>
          <w:lang w:val="en-GB"/>
        </w:rPr>
      </w:pPr>
    </w:p>
    <w:p w14:paraId="7C6AEFA6" w14:textId="0E97E431" w:rsidR="009F0CF4" w:rsidRDefault="009F0CF4" w:rsidP="00E6155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w:t>
      </w:r>
      <w:r w:rsidRPr="0053051D">
        <w:rPr>
          <w:rFonts w:ascii="Avenir Next" w:hAnsi="Avenir Next" w:cs="Arial"/>
          <w:color w:val="808080" w:themeColor="background1" w:themeShade="80"/>
          <w:sz w:val="22"/>
          <w:szCs w:val="22"/>
          <w:lang w:val="en-GB"/>
        </w:rPr>
        <w:t xml:space="preserve"> for a non-main proceeding that stay is not automatic and an application has to be made for a stay or other relief.</w:t>
      </w:r>
      <w:r w:rsidR="0099789D">
        <w:rPr>
          <w:rFonts w:ascii="Avenir Next" w:hAnsi="Avenir Next" w:cs="Arial"/>
          <w:color w:val="808080" w:themeColor="background1" w:themeShade="80"/>
          <w:sz w:val="22"/>
          <w:szCs w:val="22"/>
          <w:lang w:val="en-GB"/>
        </w:rPr>
        <w:t xml:space="preserve"> For relief following an order of recognition (under Article 21) the court should consider whether the relief sought relates to assets, that under the laws </w:t>
      </w:r>
      <w:r w:rsidR="00D034FD">
        <w:rPr>
          <w:rFonts w:ascii="Avenir Next" w:hAnsi="Avenir Next" w:cs="Arial"/>
          <w:color w:val="808080" w:themeColor="background1" w:themeShade="80"/>
          <w:sz w:val="22"/>
          <w:szCs w:val="22"/>
          <w:lang w:val="en-GB"/>
        </w:rPr>
        <w:t>of the</w:t>
      </w:r>
      <w:r w:rsidR="0099789D">
        <w:rPr>
          <w:rFonts w:ascii="Avenir Next" w:hAnsi="Avenir Next" w:cs="Arial"/>
          <w:color w:val="808080" w:themeColor="background1" w:themeShade="80"/>
          <w:sz w:val="22"/>
          <w:szCs w:val="22"/>
          <w:lang w:val="en-GB"/>
        </w:rPr>
        <w:t xml:space="preserve"> Enacting State, should be administered in the non-main proceeding or relates to information required in that proceeding.  Further, for a non-main proceeding if the relief sought is </w:t>
      </w:r>
      <w:r w:rsidR="006F15A6">
        <w:rPr>
          <w:rFonts w:ascii="Avenir Next" w:hAnsi="Avenir Next" w:cs="Arial"/>
          <w:color w:val="808080" w:themeColor="background1" w:themeShade="80"/>
          <w:sz w:val="22"/>
          <w:szCs w:val="22"/>
          <w:lang w:val="en-GB"/>
        </w:rPr>
        <w:t xml:space="preserve">with respect to pre-insolvency transactions including timings of </w:t>
      </w:r>
      <w:r w:rsidR="00D034FD">
        <w:rPr>
          <w:rFonts w:ascii="Avenir Next" w:hAnsi="Avenir Next" w:cs="Arial"/>
          <w:color w:val="808080" w:themeColor="background1" w:themeShade="80"/>
          <w:sz w:val="22"/>
          <w:szCs w:val="22"/>
          <w:lang w:val="en-GB"/>
        </w:rPr>
        <w:t>insolvency and</w:t>
      </w:r>
      <w:r w:rsidR="006F15A6">
        <w:rPr>
          <w:rFonts w:ascii="Avenir Next" w:hAnsi="Avenir Next" w:cs="Arial"/>
          <w:color w:val="808080" w:themeColor="background1" w:themeShade="80"/>
          <w:sz w:val="22"/>
          <w:szCs w:val="22"/>
          <w:lang w:val="en-GB"/>
        </w:rPr>
        <w:t xml:space="preserve"> notifications then the same consideration may apply (Article 23(5).</w:t>
      </w:r>
    </w:p>
    <w:p w14:paraId="10F355E3" w14:textId="77777777" w:rsidR="0099789D" w:rsidRDefault="0099789D" w:rsidP="00E6155D">
      <w:pPr>
        <w:jc w:val="both"/>
        <w:rPr>
          <w:rFonts w:ascii="Avenir Next" w:hAnsi="Avenir Next" w:cs="Arial"/>
          <w:color w:val="808080" w:themeColor="background1" w:themeShade="80"/>
          <w:sz w:val="22"/>
          <w:szCs w:val="22"/>
          <w:lang w:val="en-GB"/>
        </w:rPr>
      </w:pPr>
    </w:p>
    <w:p w14:paraId="7FEAE4E2" w14:textId="63DA725D" w:rsidR="0052026C" w:rsidRDefault="00B22455" w:rsidP="009978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w:t>
      </w:r>
      <w:r w:rsidR="0052026C">
        <w:rPr>
          <w:rFonts w:ascii="Avenir Next" w:hAnsi="Avenir Next" w:cs="Arial"/>
          <w:color w:val="808080" w:themeColor="background1" w:themeShade="80"/>
          <w:sz w:val="22"/>
          <w:szCs w:val="22"/>
          <w:lang w:val="en-GB"/>
        </w:rPr>
        <w:t xml:space="preserve"> application for provisional relief by a foreign representative </w:t>
      </w:r>
      <w:r w:rsidR="0099789D">
        <w:rPr>
          <w:rFonts w:ascii="Avenir Next" w:hAnsi="Avenir Next" w:cs="Arial"/>
          <w:color w:val="808080" w:themeColor="background1" w:themeShade="80"/>
          <w:sz w:val="22"/>
          <w:szCs w:val="22"/>
          <w:lang w:val="en-GB"/>
        </w:rPr>
        <w:t xml:space="preserve">in a main proceeding or non-main proceeding </w:t>
      </w:r>
      <w:r w:rsidR="009F0CF4">
        <w:rPr>
          <w:rFonts w:ascii="Avenir Next" w:hAnsi="Avenir Next" w:cs="Arial"/>
          <w:color w:val="808080" w:themeColor="background1" w:themeShade="80"/>
          <w:sz w:val="22"/>
          <w:szCs w:val="22"/>
          <w:lang w:val="en-GB"/>
        </w:rPr>
        <w:t xml:space="preserve">can be made </w:t>
      </w:r>
      <w:r w:rsidR="0052026C">
        <w:rPr>
          <w:rFonts w:ascii="Avenir Next" w:hAnsi="Avenir Next" w:cs="Arial"/>
          <w:color w:val="808080" w:themeColor="background1" w:themeShade="80"/>
          <w:sz w:val="22"/>
          <w:szCs w:val="22"/>
          <w:lang w:val="en-GB"/>
        </w:rPr>
        <w:t>under Article 19</w:t>
      </w:r>
      <w:r w:rsidR="009F0CF4">
        <w:rPr>
          <w:rFonts w:ascii="Avenir Next" w:hAnsi="Avenir Next" w:cs="Arial"/>
          <w:color w:val="808080" w:themeColor="background1" w:themeShade="80"/>
          <w:sz w:val="22"/>
          <w:szCs w:val="22"/>
          <w:lang w:val="en-GB"/>
        </w:rPr>
        <w:t xml:space="preserve"> for interim relief i.e. </w:t>
      </w:r>
      <w:r>
        <w:rPr>
          <w:rFonts w:ascii="Avenir Next" w:hAnsi="Avenir Next" w:cs="Arial"/>
          <w:color w:val="808080" w:themeColor="background1" w:themeShade="80"/>
          <w:sz w:val="22"/>
          <w:szCs w:val="22"/>
          <w:lang w:val="en-GB"/>
        </w:rPr>
        <w:t>the time when a foreign representative files an application for a recognition and the time of the order, where relief it required urgently</w:t>
      </w:r>
      <w:r w:rsidR="0052026C">
        <w:rPr>
          <w:rFonts w:ascii="Avenir Next" w:hAnsi="Avenir Next" w:cs="Arial"/>
          <w:color w:val="808080" w:themeColor="background1" w:themeShade="80"/>
          <w:sz w:val="22"/>
          <w:szCs w:val="22"/>
          <w:lang w:val="en-GB"/>
        </w:rPr>
        <w:t xml:space="preserve"> to protect the assts or the interests of the creditors and will be </w:t>
      </w:r>
      <w:r w:rsidR="0052026C" w:rsidRPr="00846C5A">
        <w:rPr>
          <w:rFonts w:ascii="Avenir Next" w:hAnsi="Avenir Next" w:cs="Arial"/>
          <w:color w:val="808080" w:themeColor="background1" w:themeShade="80"/>
          <w:sz w:val="22"/>
          <w:szCs w:val="22"/>
          <w:lang w:val="en-GB"/>
        </w:rPr>
        <w:t xml:space="preserve">provisional in nature. </w:t>
      </w:r>
      <w:r w:rsidR="0099789D" w:rsidRPr="00846C5A">
        <w:rPr>
          <w:rFonts w:ascii="Avenir Next" w:hAnsi="Avenir Next" w:cs="Arial"/>
          <w:color w:val="808080" w:themeColor="background1" w:themeShade="80"/>
          <w:sz w:val="22"/>
          <w:szCs w:val="22"/>
          <w:lang w:val="en-GB"/>
        </w:rPr>
        <w:t>There is no distinction with respect to the relief available.</w:t>
      </w:r>
      <w:r w:rsidR="0099789D">
        <w:rPr>
          <w:rFonts w:ascii="Avenir Next" w:hAnsi="Avenir Next" w:cs="Arial"/>
          <w:color w:val="808080" w:themeColor="background1" w:themeShade="80"/>
          <w:sz w:val="22"/>
          <w:szCs w:val="22"/>
          <w:lang w:val="en-GB"/>
        </w:rPr>
        <w:t xml:space="preserve"> </w:t>
      </w:r>
    </w:p>
    <w:p w14:paraId="5AC09BC2" w14:textId="0908A164" w:rsidR="00D0383D" w:rsidRPr="00B77352" w:rsidRDefault="00D0383D" w:rsidP="006F15A6">
      <w:pPr>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4AF64844" w14:textId="796FD18A" w:rsidR="00DE5AA3" w:rsidRDefault="005453EC" w:rsidP="005453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Neither Germany nor Bermuda have adopted the MLCBI but the US has.</w:t>
      </w:r>
    </w:p>
    <w:p w14:paraId="473D50BE" w14:textId="77777777" w:rsidR="00DE5AA3" w:rsidRDefault="00DE5AA3" w:rsidP="005453EC">
      <w:pPr>
        <w:jc w:val="both"/>
        <w:rPr>
          <w:rFonts w:ascii="Avenir Next" w:hAnsi="Avenir Next" w:cs="Arial"/>
          <w:color w:val="808080" w:themeColor="background1" w:themeShade="80"/>
          <w:sz w:val="22"/>
          <w:szCs w:val="22"/>
          <w:lang w:val="en-GB"/>
        </w:rPr>
      </w:pPr>
    </w:p>
    <w:p w14:paraId="73170F8F" w14:textId="7518508B" w:rsidR="009730BA" w:rsidRDefault="005453EC" w:rsidP="009730B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main proceedings will be considered to be Germany as that is where the debtor has its COMI and the non-main proceedings will be in Bermuda</w:t>
      </w:r>
      <w:r w:rsidR="00DE5AA3">
        <w:rPr>
          <w:rFonts w:ascii="Avenir Next" w:hAnsi="Avenir Next" w:cs="Arial"/>
          <w:color w:val="808080" w:themeColor="background1" w:themeShade="80"/>
          <w:sz w:val="22"/>
          <w:szCs w:val="22"/>
          <w:lang w:val="en-GB"/>
        </w:rPr>
        <w:t xml:space="preserve"> (in terms of Article 17(2)). </w:t>
      </w:r>
      <w:r w:rsidR="009730BA">
        <w:rPr>
          <w:rFonts w:ascii="Avenir Next" w:hAnsi="Avenir Next" w:cs="Arial"/>
          <w:color w:val="808080" w:themeColor="background1" w:themeShade="80"/>
          <w:sz w:val="22"/>
          <w:szCs w:val="22"/>
          <w:lang w:val="en-GB"/>
        </w:rPr>
        <w:t xml:space="preserve">While there is no definition of COMI (centre of main interest) in MLBCI it is generally considered to have equivalence to the concept </w:t>
      </w:r>
      <w:r w:rsidR="00D57C99">
        <w:rPr>
          <w:rFonts w:ascii="Avenir Next" w:hAnsi="Avenir Next" w:cs="Arial"/>
          <w:color w:val="808080" w:themeColor="background1" w:themeShade="80"/>
          <w:sz w:val="22"/>
          <w:szCs w:val="22"/>
          <w:lang w:val="en-GB"/>
        </w:rPr>
        <w:t>that has developed</w:t>
      </w:r>
      <w:r w:rsidR="009730BA">
        <w:rPr>
          <w:rFonts w:ascii="Avenir Next" w:hAnsi="Avenir Next" w:cs="Arial"/>
          <w:color w:val="808080" w:themeColor="background1" w:themeShade="80"/>
          <w:sz w:val="22"/>
          <w:szCs w:val="22"/>
          <w:lang w:val="en-GB"/>
        </w:rPr>
        <w:t xml:space="preserve"> </w:t>
      </w:r>
      <w:r w:rsidR="00D57C99">
        <w:rPr>
          <w:rFonts w:ascii="Avenir Next" w:hAnsi="Avenir Next" w:cs="Arial"/>
          <w:color w:val="808080" w:themeColor="background1" w:themeShade="80"/>
          <w:sz w:val="22"/>
          <w:szCs w:val="22"/>
          <w:lang w:val="en-GB"/>
        </w:rPr>
        <w:t xml:space="preserve">in the European Union with respect to the EU Regulations for identifying the main proceedings. </w:t>
      </w:r>
      <w:r w:rsidR="009730BA">
        <w:rPr>
          <w:rFonts w:ascii="Avenir Next" w:hAnsi="Avenir Next" w:cs="Arial"/>
          <w:color w:val="808080" w:themeColor="background1" w:themeShade="80"/>
          <w:sz w:val="22"/>
          <w:szCs w:val="22"/>
          <w:lang w:val="en-GB"/>
        </w:rPr>
        <w:t>While the US (Chapter 15) does not explicitly incorporate the concept of the COMI it is guided by it</w:t>
      </w:r>
      <w:r w:rsidR="009730BA">
        <w:rPr>
          <w:rStyle w:val="FootnoteReference"/>
          <w:rFonts w:ascii="Avenir Next" w:hAnsi="Avenir Next" w:cs="Arial"/>
          <w:color w:val="808080" w:themeColor="background1" w:themeShade="80"/>
          <w:sz w:val="22"/>
          <w:szCs w:val="22"/>
          <w:lang w:val="en-GB"/>
        </w:rPr>
        <w:footnoteReference w:id="7"/>
      </w:r>
      <w:r w:rsidR="00D57C99">
        <w:rPr>
          <w:rFonts w:ascii="Avenir Next" w:hAnsi="Avenir Next" w:cs="Arial"/>
          <w:color w:val="808080" w:themeColor="background1" w:themeShade="80"/>
          <w:sz w:val="22"/>
          <w:szCs w:val="22"/>
          <w:lang w:val="en-GB"/>
        </w:rPr>
        <w:t xml:space="preserve"> and there is </w:t>
      </w:r>
      <w:r w:rsidR="00F06586">
        <w:rPr>
          <w:rFonts w:ascii="Avenir Next" w:hAnsi="Avenir Next" w:cs="Arial"/>
          <w:color w:val="808080" w:themeColor="background1" w:themeShade="80"/>
          <w:sz w:val="22"/>
          <w:szCs w:val="22"/>
          <w:lang w:val="en-GB"/>
        </w:rPr>
        <w:t xml:space="preserve">corresponding </w:t>
      </w:r>
      <w:r w:rsidR="00D57C99">
        <w:rPr>
          <w:rFonts w:ascii="Avenir Next" w:hAnsi="Avenir Next" w:cs="Arial"/>
          <w:color w:val="808080" w:themeColor="background1" w:themeShade="80"/>
          <w:sz w:val="22"/>
          <w:szCs w:val="22"/>
          <w:lang w:val="en-GB"/>
        </w:rPr>
        <w:t>case law</w:t>
      </w:r>
      <w:r w:rsidR="00F06586">
        <w:rPr>
          <w:rStyle w:val="FootnoteReference"/>
          <w:rFonts w:ascii="Avenir Next" w:hAnsi="Avenir Next" w:cs="Arial"/>
          <w:color w:val="808080" w:themeColor="background1" w:themeShade="80"/>
          <w:sz w:val="22"/>
          <w:szCs w:val="22"/>
          <w:lang w:val="en-GB"/>
        </w:rPr>
        <w:footnoteReference w:id="8"/>
      </w:r>
      <w:r w:rsidR="00D57C99">
        <w:rPr>
          <w:rFonts w:ascii="Avenir Next" w:hAnsi="Avenir Next" w:cs="Arial"/>
          <w:color w:val="808080" w:themeColor="background1" w:themeShade="80"/>
          <w:sz w:val="22"/>
          <w:szCs w:val="22"/>
          <w:lang w:val="en-GB"/>
        </w:rPr>
        <w:t>.</w:t>
      </w:r>
      <w:r w:rsidR="009730BA">
        <w:rPr>
          <w:rFonts w:ascii="Avenir Next" w:hAnsi="Avenir Next" w:cs="Arial"/>
          <w:color w:val="808080" w:themeColor="background1" w:themeShade="80"/>
          <w:sz w:val="22"/>
          <w:szCs w:val="22"/>
          <w:lang w:val="en-GB"/>
        </w:rPr>
        <w:t xml:space="preserve">  </w:t>
      </w:r>
      <w:r w:rsidR="00F06586">
        <w:rPr>
          <w:rFonts w:ascii="Avenir Next" w:hAnsi="Avenir Next" w:cs="Arial"/>
          <w:color w:val="808080" w:themeColor="background1" w:themeShade="80"/>
          <w:sz w:val="22"/>
          <w:szCs w:val="22"/>
          <w:lang w:val="en-GB"/>
        </w:rPr>
        <w:t>It generally presumed to be the place of incorporation</w:t>
      </w:r>
      <w:r w:rsidR="00415ED2">
        <w:rPr>
          <w:rFonts w:ascii="Avenir Next" w:hAnsi="Avenir Next" w:cs="Arial"/>
          <w:color w:val="808080" w:themeColor="background1" w:themeShade="80"/>
          <w:sz w:val="22"/>
          <w:szCs w:val="22"/>
          <w:lang w:val="en-GB"/>
        </w:rPr>
        <w:t xml:space="preserve"> in the US </w:t>
      </w:r>
      <w:r w:rsidR="006F6E23">
        <w:rPr>
          <w:rFonts w:ascii="Avenir Next" w:hAnsi="Avenir Next" w:cs="Arial"/>
          <w:color w:val="808080" w:themeColor="background1" w:themeShade="80"/>
          <w:sz w:val="22"/>
          <w:szCs w:val="22"/>
          <w:lang w:val="en-GB"/>
        </w:rPr>
        <w:t xml:space="preserve">as these meet the criteria that determine the COMI under MLBCI which are it is the central place of administration and creditors can ascertain </w:t>
      </w:r>
      <w:r w:rsidR="002B3A31">
        <w:rPr>
          <w:rFonts w:ascii="Avenir Next" w:hAnsi="Avenir Next" w:cs="Arial"/>
          <w:color w:val="808080" w:themeColor="background1" w:themeShade="80"/>
          <w:sz w:val="22"/>
          <w:szCs w:val="22"/>
          <w:lang w:val="en-GB"/>
        </w:rPr>
        <w:t>same.</w:t>
      </w:r>
      <w:r w:rsidR="00F06586">
        <w:rPr>
          <w:rFonts w:ascii="Avenir Next" w:hAnsi="Avenir Next" w:cs="Arial"/>
          <w:color w:val="808080" w:themeColor="background1" w:themeShade="80"/>
          <w:sz w:val="22"/>
          <w:szCs w:val="22"/>
          <w:lang w:val="en-GB"/>
        </w:rPr>
        <w:t xml:space="preserve"> </w:t>
      </w:r>
    </w:p>
    <w:p w14:paraId="56BCCB6C" w14:textId="77777777" w:rsidR="009730BA" w:rsidRDefault="009730BA" w:rsidP="009730BA">
      <w:pPr>
        <w:jc w:val="both"/>
        <w:rPr>
          <w:rFonts w:ascii="Avenir Next" w:hAnsi="Avenir Next" w:cs="Arial"/>
          <w:color w:val="808080" w:themeColor="background1" w:themeShade="80"/>
          <w:sz w:val="22"/>
          <w:szCs w:val="22"/>
          <w:lang w:val="en-GB"/>
        </w:rPr>
      </w:pPr>
    </w:p>
    <w:p w14:paraId="22FDFBDF" w14:textId="3191C925" w:rsidR="00DE5AA3" w:rsidRDefault="009730BA" w:rsidP="009730B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Foreign non-main proceedings can only be opened where there is an establishment. </w:t>
      </w:r>
      <w:r w:rsidR="00DE5AA3">
        <w:rPr>
          <w:rFonts w:ascii="Avenir Next" w:hAnsi="Avenir Next" w:cs="Arial"/>
          <w:color w:val="808080" w:themeColor="background1" w:themeShade="80"/>
          <w:sz w:val="22"/>
          <w:szCs w:val="22"/>
          <w:lang w:val="en-GB"/>
        </w:rPr>
        <w:t>Under Article 2(e) an establishment is “any place of operations where the debtor carries out non-transitory economic activity with human means and assets or services</w:t>
      </w:r>
      <w:r>
        <w:rPr>
          <w:rFonts w:ascii="Avenir Next" w:hAnsi="Avenir Next" w:cs="Arial"/>
          <w:color w:val="808080" w:themeColor="background1" w:themeShade="80"/>
          <w:sz w:val="22"/>
          <w:szCs w:val="22"/>
          <w:lang w:val="en-GB"/>
        </w:rPr>
        <w:t xml:space="preserve">’. </w:t>
      </w:r>
    </w:p>
    <w:p w14:paraId="6DA8F3D4" w14:textId="77777777" w:rsidR="00E6155D" w:rsidRDefault="00E6155D" w:rsidP="00867A8F">
      <w:pPr>
        <w:ind w:left="720" w:hanging="720"/>
        <w:jc w:val="both"/>
        <w:rPr>
          <w:rFonts w:ascii="Avenir Next" w:hAnsi="Avenir Next" w:cs="Arial"/>
          <w:color w:val="808080" w:themeColor="background1" w:themeShade="80"/>
          <w:sz w:val="22"/>
          <w:szCs w:val="22"/>
          <w:lang w:val="en-GB"/>
        </w:rPr>
      </w:pPr>
    </w:p>
    <w:p w14:paraId="18CE672B" w14:textId="58B6D652" w:rsidR="009730BA" w:rsidRDefault="005453EC" w:rsidP="005453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Assuming that the foreign representative in Bermuda and the foreign representative in Germany have both made recognition applications to court the US Court is required to seek co-operation and co-ordination under Articles 25-27</w:t>
      </w:r>
      <w:r w:rsidR="009730BA">
        <w:rPr>
          <w:rFonts w:ascii="Avenir Next" w:hAnsi="Avenir Next" w:cs="Arial"/>
          <w:color w:val="808080" w:themeColor="background1" w:themeShade="80"/>
          <w:sz w:val="22"/>
          <w:szCs w:val="22"/>
          <w:lang w:val="en-GB"/>
        </w:rPr>
        <w:t>, what this co-operation and co-ordination will be influenced by the timing of the proceedings.</w:t>
      </w:r>
      <w:r>
        <w:rPr>
          <w:rFonts w:ascii="Avenir Next" w:hAnsi="Avenir Next" w:cs="Arial"/>
          <w:color w:val="808080" w:themeColor="background1" w:themeShade="80"/>
          <w:sz w:val="22"/>
          <w:szCs w:val="22"/>
          <w:lang w:val="en-GB"/>
        </w:rPr>
        <w:t xml:space="preserve"> </w:t>
      </w:r>
    </w:p>
    <w:p w14:paraId="7FFE4555" w14:textId="77777777" w:rsidR="009730BA" w:rsidRDefault="009730BA" w:rsidP="005453EC">
      <w:pPr>
        <w:jc w:val="both"/>
        <w:rPr>
          <w:rFonts w:ascii="Avenir Next" w:hAnsi="Avenir Next" w:cs="Arial"/>
          <w:color w:val="808080" w:themeColor="background1" w:themeShade="80"/>
          <w:sz w:val="22"/>
          <w:szCs w:val="22"/>
          <w:lang w:val="en-GB"/>
        </w:rPr>
      </w:pPr>
    </w:p>
    <w:p w14:paraId="2FA59C3D" w14:textId="41589FFB" w:rsidR="005453EC" w:rsidRDefault="005453EC" w:rsidP="005453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Depending on the timing of the recognition applications,</w:t>
      </w:r>
      <w:r w:rsidR="00DE5AA3">
        <w:rPr>
          <w:rFonts w:ascii="Avenir Next" w:hAnsi="Avenir Next" w:cs="Arial"/>
          <w:color w:val="808080" w:themeColor="background1" w:themeShade="80"/>
          <w:sz w:val="22"/>
          <w:szCs w:val="22"/>
          <w:lang w:val="en-GB"/>
        </w:rPr>
        <w:t xml:space="preserve"> under Article 30,</w:t>
      </w:r>
      <w:r>
        <w:rPr>
          <w:rFonts w:ascii="Avenir Next" w:hAnsi="Avenir Next" w:cs="Arial"/>
          <w:color w:val="808080" w:themeColor="background1" w:themeShade="80"/>
          <w:sz w:val="22"/>
          <w:szCs w:val="22"/>
          <w:lang w:val="en-GB"/>
        </w:rPr>
        <w:t xml:space="preserve"> if the relief sought by the representative from Bermuda (</w:t>
      </w:r>
      <w:r w:rsidR="00DE5AA3">
        <w:rPr>
          <w:rFonts w:ascii="Avenir Next" w:hAnsi="Avenir Next" w:cs="Arial"/>
          <w:color w:val="808080" w:themeColor="background1" w:themeShade="80"/>
          <w:sz w:val="22"/>
          <w:szCs w:val="22"/>
          <w:lang w:val="en-GB"/>
        </w:rPr>
        <w:t xml:space="preserve">i.e. under the non-main proceedings) is after the relief sought by the representative from Germany (i.e. under the main proceedings) then the relief granted by the US court to the non-main proceeding must be consistent with that under the main proceeding. However, if the non-main proceeding preceded the main proceeding then the relief granted to the non-main proceeding will need to reviewed and potentially modified to ensure consistency. </w:t>
      </w:r>
    </w:p>
    <w:p w14:paraId="0AE3C7F3" w14:textId="77777777" w:rsidR="009730BA" w:rsidRDefault="009730BA" w:rsidP="005453EC">
      <w:pPr>
        <w:jc w:val="both"/>
        <w:rPr>
          <w:rFonts w:ascii="Avenir Next" w:hAnsi="Avenir Next" w:cs="Arial"/>
          <w:color w:val="808080" w:themeColor="background1" w:themeShade="80"/>
          <w:sz w:val="22"/>
          <w:szCs w:val="22"/>
          <w:lang w:val="en-GB"/>
        </w:rPr>
      </w:pPr>
    </w:p>
    <w:p w14:paraId="7761D6A7" w14:textId="2590317B" w:rsidR="009730BA" w:rsidRDefault="009730BA" w:rsidP="005453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recognition of the foreign main proceedings will impact and local proceedings in the US (in terms of Articles 28). Once there main proceedings are recognised an automatic stay will apply.</w:t>
      </w:r>
    </w:p>
    <w:p w14:paraId="416274FE" w14:textId="77777777" w:rsidR="00E6155D" w:rsidRDefault="00E6155D" w:rsidP="00867A8F">
      <w:pPr>
        <w:ind w:left="720" w:hanging="720"/>
        <w:jc w:val="both"/>
        <w:rPr>
          <w:rFonts w:ascii="Avenir Next" w:hAnsi="Avenir Next" w:cs="Arial"/>
          <w:color w:val="808080" w:themeColor="background1" w:themeShade="80"/>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Default="00622C2B" w:rsidP="00707FC8">
      <w:pPr>
        <w:jc w:val="both"/>
        <w:rPr>
          <w:rFonts w:ascii="Avenir Next" w:hAnsi="Avenir Next" w:cs="Arial"/>
          <w:sz w:val="22"/>
          <w:szCs w:val="22"/>
          <w:lang w:val="en-GB"/>
        </w:rPr>
      </w:pPr>
    </w:p>
    <w:p w14:paraId="26E2FFF3" w14:textId="77777777" w:rsidR="00BE61DB" w:rsidRDefault="00D47FFE" w:rsidP="00D47FFE">
      <w:pPr>
        <w:jc w:val="both"/>
        <w:rPr>
          <w:rFonts w:ascii="Avenir Next" w:hAnsi="Avenir Next" w:cs="Arial"/>
          <w:color w:val="808080" w:themeColor="background1" w:themeShade="80"/>
          <w:sz w:val="22"/>
          <w:szCs w:val="22"/>
          <w:lang w:val="en-GB"/>
        </w:rPr>
      </w:pPr>
      <w:r w:rsidRPr="00D47FFE">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Joint provisional liquidators have only commenced recognition proceedings. They have not been granted recognition. </w:t>
      </w:r>
    </w:p>
    <w:p w14:paraId="27E045DD" w14:textId="77777777" w:rsidR="00BE61DB" w:rsidRDefault="00BE61DB" w:rsidP="00D47FFE">
      <w:pPr>
        <w:jc w:val="both"/>
        <w:rPr>
          <w:rFonts w:ascii="Avenir Next" w:hAnsi="Avenir Next" w:cs="Arial"/>
          <w:color w:val="808080" w:themeColor="background1" w:themeShade="80"/>
          <w:sz w:val="22"/>
          <w:szCs w:val="22"/>
          <w:lang w:val="en-GB"/>
        </w:rPr>
      </w:pPr>
    </w:p>
    <w:p w14:paraId="76FFF1DC" w14:textId="16A67DFE" w:rsidR="00D47FFE" w:rsidRDefault="00D47FFE" w:rsidP="00D47F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such there will not be any stay in place if the Joint Provisional Liquidators are making a recognition application as foreign representatives of a foreign main proceeding. The Joint Provisional Liquidators are likely to want to make an urgent application for provisional relief under Article 19 (this can be applied for regardless of whether they are foreign main representatives of a foreign main proceeding or foreign non-main proceeding). The Joint provisional liquidators would need to demonstrate to the US Court that relief was urgently needs to protect the assets of the company and the interests of the company</w:t>
      </w:r>
      <w:r w:rsidR="00BE61DB">
        <w:rPr>
          <w:rFonts w:ascii="Avenir Next" w:hAnsi="Avenir Next" w:cs="Arial"/>
          <w:color w:val="808080" w:themeColor="background1" w:themeShade="80"/>
          <w:sz w:val="22"/>
          <w:szCs w:val="22"/>
          <w:lang w:val="en-GB"/>
        </w:rPr>
        <w:t xml:space="preserve"> including inter alia suspending the right to transfer, encumber or otherwise dispose of any of the assets of the company.</w:t>
      </w:r>
    </w:p>
    <w:p w14:paraId="14F78819" w14:textId="77777777" w:rsidR="00BE61DB" w:rsidRDefault="00BE61DB" w:rsidP="00D47FFE">
      <w:pPr>
        <w:jc w:val="both"/>
        <w:rPr>
          <w:rFonts w:ascii="Avenir Next" w:hAnsi="Avenir Next" w:cs="Arial"/>
          <w:color w:val="808080" w:themeColor="background1" w:themeShade="80"/>
          <w:sz w:val="22"/>
          <w:szCs w:val="22"/>
          <w:lang w:val="en-GB"/>
        </w:rPr>
      </w:pPr>
    </w:p>
    <w:p w14:paraId="0F30ECF8" w14:textId="3A9939AC" w:rsidR="00BE61DB" w:rsidRDefault="00BE61DB" w:rsidP="00D47F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Depending on whether the recognition proceedings are non-main proceedings or main proceedings it may be necessary for the joint provisional liquidators to apply for a stay. If they are main proceedings a stay would be automatic upon recognition and the US-based vendors would need to apply to the court for a variation of that stay. </w:t>
      </w:r>
    </w:p>
    <w:p w14:paraId="6814F98B" w14:textId="77777777" w:rsidR="00BE61DB" w:rsidRDefault="00BE61DB" w:rsidP="00D47FFE">
      <w:pPr>
        <w:jc w:val="both"/>
        <w:rPr>
          <w:rFonts w:ascii="Avenir Next" w:hAnsi="Avenir Next" w:cs="Arial"/>
          <w:color w:val="808080" w:themeColor="background1" w:themeShade="80"/>
          <w:sz w:val="22"/>
          <w:szCs w:val="22"/>
          <w:lang w:val="en-GB"/>
        </w:rPr>
      </w:pPr>
    </w:p>
    <w:p w14:paraId="723FA2DC" w14:textId="21F41619" w:rsidR="00BE61DB" w:rsidRDefault="00BE61DB" w:rsidP="00D47F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proceedings are non-main proceedings then the joint provisional liquidators would need to apply </w:t>
      </w:r>
      <w:r w:rsidR="00D359B6">
        <w:rPr>
          <w:rFonts w:ascii="Avenir Next" w:hAnsi="Avenir Next" w:cs="Arial"/>
          <w:color w:val="808080" w:themeColor="background1" w:themeShade="80"/>
          <w:sz w:val="22"/>
          <w:szCs w:val="22"/>
          <w:lang w:val="en-GB"/>
        </w:rPr>
        <w:t xml:space="preserve">for the stay as it is not an automatic relief granted on recognition. Again, the </w:t>
      </w:r>
      <w:r w:rsidR="00D359B6">
        <w:rPr>
          <w:rFonts w:ascii="Avenir Next" w:hAnsi="Avenir Next" w:cs="Arial"/>
          <w:color w:val="808080" w:themeColor="background1" w:themeShade="80"/>
          <w:sz w:val="22"/>
          <w:szCs w:val="22"/>
          <w:lang w:val="en-GB"/>
        </w:rPr>
        <w:t>US-based vendors would need to apply to the court for a variation of that stay</w:t>
      </w:r>
      <w:r w:rsidR="00D359B6">
        <w:rPr>
          <w:rFonts w:ascii="Avenir Next" w:hAnsi="Avenir Next" w:cs="Arial"/>
          <w:color w:val="808080" w:themeColor="background1" w:themeShade="80"/>
          <w:sz w:val="22"/>
          <w:szCs w:val="22"/>
          <w:lang w:val="en-GB"/>
        </w:rPr>
        <w:t xml:space="preserve">. </w:t>
      </w:r>
    </w:p>
    <w:p w14:paraId="1BEE6260" w14:textId="77777777" w:rsidR="00894A0E" w:rsidRDefault="00894A0E" w:rsidP="00D47FFE">
      <w:pPr>
        <w:jc w:val="both"/>
        <w:rPr>
          <w:rFonts w:ascii="Avenir Next" w:hAnsi="Avenir Next" w:cs="Arial"/>
          <w:color w:val="808080" w:themeColor="background1" w:themeShade="80"/>
          <w:sz w:val="22"/>
          <w:szCs w:val="22"/>
          <w:lang w:val="en-GB"/>
        </w:rPr>
      </w:pPr>
    </w:p>
    <w:p w14:paraId="237206ED" w14:textId="77777777" w:rsidR="00894A0E" w:rsidRDefault="00894A0E" w:rsidP="00894A0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joint provisional liquidators could bring an application for urgent relief and in terms of Article 12 this would have commenced as the date of the application of the proceedings. </w:t>
      </w:r>
    </w:p>
    <w:p w14:paraId="705FBA11" w14:textId="77777777" w:rsidR="00894A0E" w:rsidRDefault="00894A0E" w:rsidP="00D47FFE">
      <w:pPr>
        <w:jc w:val="both"/>
        <w:rPr>
          <w:rFonts w:ascii="Avenir Next" w:hAnsi="Avenir Next" w:cs="Arial"/>
          <w:color w:val="808080" w:themeColor="background1" w:themeShade="80"/>
          <w:sz w:val="22"/>
          <w:szCs w:val="22"/>
          <w:lang w:val="en-GB"/>
        </w:rPr>
      </w:pPr>
    </w:p>
    <w:p w14:paraId="079CD1A0" w14:textId="58F7EF1F" w:rsidR="00894A0E" w:rsidRDefault="00894A0E" w:rsidP="00D47F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US Court would need to consider whether it is protecting the creditors under Chapter 15 in accordance with Article 7 (the protection of claim holders in the US and ensuring the US-based vendors were not prejudiced or inconvenienced if required to process claims in the foreign jurisdiction). </w:t>
      </w:r>
    </w:p>
    <w:p w14:paraId="29DF191F" w14:textId="77777777" w:rsidR="00D359B6" w:rsidRDefault="00D359B6" w:rsidP="00D47FFE">
      <w:pPr>
        <w:jc w:val="both"/>
        <w:rPr>
          <w:rFonts w:ascii="Avenir Next" w:hAnsi="Avenir Next" w:cs="Arial"/>
          <w:color w:val="808080" w:themeColor="background1" w:themeShade="80"/>
          <w:sz w:val="22"/>
          <w:szCs w:val="22"/>
          <w:lang w:val="en-GB"/>
        </w:rPr>
      </w:pPr>
    </w:p>
    <w:p w14:paraId="41DAA9AD" w14:textId="50163746" w:rsidR="00D359B6" w:rsidRDefault="00D359B6" w:rsidP="00D47F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not considered likely that the US-based vendors would be able to vary the stay (in either instance) given that the proceedings are liquidation proceedings and as such there is a need to protect the interest of all creditors and such a stay would be granted under US law. </w:t>
      </w:r>
      <w:r w:rsidR="001E27CD">
        <w:rPr>
          <w:rFonts w:ascii="Avenir Next" w:hAnsi="Avenir Next" w:cs="Arial"/>
          <w:color w:val="808080" w:themeColor="background1" w:themeShade="80"/>
          <w:sz w:val="22"/>
          <w:szCs w:val="22"/>
          <w:lang w:val="en-GB"/>
        </w:rPr>
        <w:t>The US-based vendors would have enforceable rights in the insolvency proceedings.</w:t>
      </w:r>
    </w:p>
    <w:p w14:paraId="4D6F8A6E" w14:textId="77777777" w:rsidR="00D359B6" w:rsidRDefault="00D359B6" w:rsidP="00D47FFE">
      <w:pPr>
        <w:jc w:val="both"/>
        <w:rPr>
          <w:rFonts w:ascii="Avenir Next" w:hAnsi="Avenir Next" w:cs="Arial"/>
          <w:color w:val="808080" w:themeColor="background1" w:themeShade="80"/>
          <w:sz w:val="22"/>
          <w:szCs w:val="22"/>
          <w:lang w:val="en-GB"/>
        </w:rPr>
      </w:pPr>
    </w:p>
    <w:p w14:paraId="6D4B0998" w14:textId="39746F6D" w:rsidR="00D359B6" w:rsidRDefault="00D359B6" w:rsidP="00D47F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caveat would be whether the US-based vendors held security over any of the assets or potentially were goods that were contractually excluded as being part of the estate (in terms of Article 2(k). </w:t>
      </w:r>
    </w:p>
    <w:p w14:paraId="7EB7C69B" w14:textId="77777777" w:rsidR="00D47FFE" w:rsidRDefault="00D47FFE" w:rsidP="00D47FFE">
      <w:pPr>
        <w:jc w:val="both"/>
        <w:rPr>
          <w:rFonts w:ascii="Avenir Next" w:hAnsi="Avenir Next" w:cs="Arial"/>
          <w:color w:val="808080" w:themeColor="background1" w:themeShade="80"/>
          <w:sz w:val="22"/>
          <w:szCs w:val="22"/>
          <w:lang w:val="en-GB"/>
        </w:rPr>
      </w:pPr>
    </w:p>
    <w:p w14:paraId="1FA15EAF" w14:textId="5E3E37F8" w:rsidR="003C0A06" w:rsidRDefault="00D359B6" w:rsidP="00D359B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US-based vendors are unlikely to be able to challenge the basis that the joint provisional liquidators do not meet the criteria of falling within in the definition of a foreign representative. </w:t>
      </w:r>
      <w:r w:rsidR="003C0A06">
        <w:rPr>
          <w:rFonts w:ascii="Avenir Next" w:hAnsi="Avenir Next" w:cs="Arial"/>
          <w:color w:val="808080" w:themeColor="background1" w:themeShade="80"/>
          <w:sz w:val="22"/>
          <w:szCs w:val="22"/>
          <w:lang w:val="en-GB"/>
        </w:rPr>
        <w:t>In terms of Articles 2(j) a foreign representative is defined as:</w:t>
      </w:r>
    </w:p>
    <w:p w14:paraId="1D663D67" w14:textId="1E7245A9" w:rsidR="003C0A06" w:rsidRDefault="003C0A06" w:rsidP="00D47FFE">
      <w:pPr>
        <w:ind w:left="709" w:firstLine="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person or </w:t>
      </w:r>
      <w:r w:rsidR="00D47FFE">
        <w:rPr>
          <w:rFonts w:ascii="Avenir Next" w:hAnsi="Avenir Next" w:cs="Arial"/>
          <w:color w:val="808080" w:themeColor="background1" w:themeShade="80"/>
          <w:sz w:val="22"/>
          <w:szCs w:val="22"/>
          <w:lang w:val="en-GB"/>
        </w:rPr>
        <w:t>body</w:t>
      </w:r>
      <w:r>
        <w:rPr>
          <w:rFonts w:ascii="Avenir Next" w:hAnsi="Avenir Next" w:cs="Arial"/>
          <w:color w:val="808080" w:themeColor="background1" w:themeShade="80"/>
          <w:sz w:val="22"/>
          <w:szCs w:val="22"/>
          <w:lang w:val="en-GB"/>
        </w:rPr>
        <w:t>, including one appointed on an interim basis, authorise</w:t>
      </w:r>
      <w:r w:rsidR="00D47FFE">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in a</w:t>
      </w:r>
      <w:r w:rsidR="00D47FFE">
        <w:rPr>
          <w:rFonts w:ascii="Avenir Next" w:hAnsi="Avenir Next" w:cs="Arial"/>
          <w:color w:val="808080" w:themeColor="background1" w:themeShade="80"/>
          <w:sz w:val="22"/>
          <w:szCs w:val="22"/>
          <w:lang w:val="en-GB"/>
        </w:rPr>
        <w:t xml:space="preserve"> </w:t>
      </w:r>
      <w:r w:rsidR="00D034FD">
        <w:rPr>
          <w:rFonts w:ascii="Avenir Next" w:hAnsi="Avenir Next" w:cs="Arial"/>
          <w:color w:val="808080" w:themeColor="background1" w:themeShade="80"/>
          <w:sz w:val="22"/>
          <w:szCs w:val="22"/>
          <w:lang w:val="en-GB"/>
        </w:rPr>
        <w:t>foreign proceeding</w:t>
      </w:r>
      <w:r>
        <w:rPr>
          <w:rFonts w:ascii="Avenir Next" w:hAnsi="Avenir Next" w:cs="Arial"/>
          <w:color w:val="808080" w:themeColor="background1" w:themeShade="80"/>
          <w:sz w:val="22"/>
          <w:szCs w:val="22"/>
          <w:lang w:val="en-GB"/>
        </w:rPr>
        <w:t xml:space="preserve"> to administer the reorganisation or the liquidation of the debt</w:t>
      </w:r>
      <w:r w:rsidR="00D47FFE">
        <w:rPr>
          <w:rFonts w:ascii="Avenir Next" w:hAnsi="Avenir Next" w:cs="Arial"/>
          <w:color w:val="808080" w:themeColor="background1" w:themeShade="80"/>
          <w:sz w:val="22"/>
          <w:szCs w:val="22"/>
          <w:lang w:val="en-GB"/>
        </w:rPr>
        <w:t xml:space="preserve">or’s assets or affairs to act as a representative or the foreign proceeding”. </w:t>
      </w:r>
    </w:p>
    <w:p w14:paraId="5DE9184F" w14:textId="77777777" w:rsidR="003C0A06" w:rsidRDefault="003C0A06" w:rsidP="00867A8F">
      <w:pPr>
        <w:ind w:left="720" w:hanging="720"/>
        <w:jc w:val="both"/>
        <w:rPr>
          <w:rFonts w:ascii="Avenir Next" w:hAnsi="Avenir Next" w:cs="Arial"/>
          <w:color w:val="808080" w:themeColor="background1" w:themeShade="80"/>
          <w:sz w:val="22"/>
          <w:szCs w:val="22"/>
          <w:lang w:val="en-GB"/>
        </w:rPr>
      </w:pPr>
    </w:p>
    <w:p w14:paraId="21F48368" w14:textId="4067DEB7" w:rsidR="00D359B6" w:rsidRDefault="00D359B6" w:rsidP="00894A0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includes liquidators and provisional liquidators</w:t>
      </w:r>
      <w:r w:rsidR="00894A0E">
        <w:rPr>
          <w:rFonts w:ascii="Avenir Next" w:hAnsi="Avenir Next" w:cs="Arial"/>
          <w:color w:val="808080" w:themeColor="background1" w:themeShade="80"/>
          <w:sz w:val="22"/>
          <w:szCs w:val="22"/>
          <w:lang w:val="en-GB"/>
        </w:rPr>
        <w:t xml:space="preserve"> (who are appointed on an interim basis and this is covered in the MLCBI)</w:t>
      </w:r>
      <w:r>
        <w:rPr>
          <w:rFonts w:ascii="Avenir Next" w:hAnsi="Avenir Next" w:cs="Arial"/>
          <w:color w:val="808080" w:themeColor="background1" w:themeShade="80"/>
          <w:sz w:val="22"/>
          <w:szCs w:val="22"/>
          <w:lang w:val="en-GB"/>
        </w:rPr>
        <w:t>.</w:t>
      </w:r>
      <w:r w:rsidR="00894A0E">
        <w:rPr>
          <w:rFonts w:ascii="Avenir Next" w:hAnsi="Avenir Next" w:cs="Arial"/>
          <w:color w:val="808080" w:themeColor="background1" w:themeShade="80"/>
          <w:sz w:val="22"/>
          <w:szCs w:val="22"/>
          <w:lang w:val="en-GB"/>
        </w:rPr>
        <w:t xml:space="preserve"> There would be no course of action to challenge it as a foreign proceeding as it meets the criteria as set out in Article 2</w:t>
      </w:r>
      <w:r w:rsidR="00DA51D7">
        <w:rPr>
          <w:rFonts w:ascii="Avenir Next" w:hAnsi="Avenir Next" w:cs="Arial"/>
          <w:color w:val="808080" w:themeColor="background1" w:themeShade="80"/>
          <w:sz w:val="22"/>
          <w:szCs w:val="22"/>
          <w:lang w:val="en-GB"/>
        </w:rPr>
        <w:t xml:space="preserve"> (It is a proceeding, it is judicial, it is collective in nature, in a foreign state, authorised and conducted under a law relating to insolvency, the assets and affairs of the debtor are subject to the control or supervision of a foreign court and the proceedings are for the purpose of liquidation</w:t>
      </w:r>
      <w:r w:rsidR="00DA51D7">
        <w:rPr>
          <w:rStyle w:val="FootnoteReference"/>
          <w:rFonts w:ascii="Avenir Next" w:hAnsi="Avenir Next" w:cs="Arial"/>
          <w:color w:val="808080" w:themeColor="background1" w:themeShade="80"/>
          <w:sz w:val="22"/>
          <w:szCs w:val="22"/>
          <w:lang w:val="en-GB"/>
        </w:rPr>
        <w:footnoteReference w:id="9"/>
      </w:r>
      <w:r w:rsidR="00DA51D7">
        <w:rPr>
          <w:rFonts w:ascii="Avenir Next" w:hAnsi="Avenir Next" w:cs="Arial"/>
          <w:color w:val="808080" w:themeColor="background1" w:themeShade="80"/>
          <w:sz w:val="22"/>
          <w:szCs w:val="22"/>
          <w:lang w:val="en-GB"/>
        </w:rPr>
        <w:t>)</w:t>
      </w:r>
      <w:r w:rsidR="00894A0E">
        <w:rPr>
          <w:rFonts w:ascii="Avenir Next" w:hAnsi="Avenir Next" w:cs="Arial"/>
          <w:color w:val="808080" w:themeColor="background1" w:themeShade="80"/>
          <w:sz w:val="22"/>
          <w:szCs w:val="22"/>
          <w:lang w:val="en-GB"/>
        </w:rPr>
        <w:t xml:space="preserve">. </w:t>
      </w:r>
      <w:r w:rsidR="00894A0E">
        <w:rPr>
          <w:rFonts w:ascii="Avenir Next" w:hAnsi="Avenir Next" w:cs="Arial"/>
          <w:color w:val="808080" w:themeColor="background1" w:themeShade="80"/>
          <w:sz w:val="22"/>
          <w:szCs w:val="22"/>
          <w:lang w:val="en-GB"/>
        </w:rPr>
        <w:t>Even if the liquidation was a provisional liquidation the definition of proceeding includes interim proceeding</w:t>
      </w:r>
      <w:r w:rsidR="00894A0E">
        <w:rPr>
          <w:rStyle w:val="FootnoteReference"/>
          <w:rFonts w:ascii="Avenir Next" w:hAnsi="Avenir Next" w:cs="Arial"/>
          <w:color w:val="808080" w:themeColor="background1" w:themeShade="80"/>
          <w:sz w:val="22"/>
          <w:szCs w:val="22"/>
          <w:lang w:val="en-GB"/>
        </w:rPr>
        <w:footnoteReference w:id="10"/>
      </w:r>
      <w:r w:rsidR="00894A0E">
        <w:rPr>
          <w:rFonts w:ascii="Avenir Next" w:hAnsi="Avenir Next" w:cs="Arial"/>
          <w:color w:val="808080" w:themeColor="background1" w:themeShade="80"/>
          <w:sz w:val="22"/>
          <w:szCs w:val="22"/>
          <w:lang w:val="en-GB"/>
        </w:rPr>
        <w:t xml:space="preserve">  </w:t>
      </w:r>
    </w:p>
    <w:p w14:paraId="14C4F48B" w14:textId="77777777" w:rsidR="00D359B6" w:rsidRDefault="00D359B6" w:rsidP="00867A8F">
      <w:pPr>
        <w:ind w:left="720" w:hanging="720"/>
        <w:jc w:val="both"/>
        <w:rPr>
          <w:rFonts w:ascii="Avenir Next" w:hAnsi="Avenir Next" w:cs="Arial"/>
          <w:color w:val="808080" w:themeColor="background1" w:themeShade="80"/>
          <w:sz w:val="22"/>
          <w:szCs w:val="22"/>
          <w:lang w:val="en-GB"/>
        </w:rPr>
      </w:pPr>
    </w:p>
    <w:p w14:paraId="71901B3C" w14:textId="343869BE" w:rsidR="00D47FFE" w:rsidRDefault="00D359B6" w:rsidP="00D359B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alternative challenge would be for the US-based vendors to challenge whether the joint provisional liquidators made </w:t>
      </w:r>
      <w:r w:rsidR="00D47FFE">
        <w:rPr>
          <w:rFonts w:ascii="Avenir Next" w:hAnsi="Avenir Next" w:cs="Arial"/>
          <w:color w:val="808080" w:themeColor="background1" w:themeShade="80"/>
          <w:sz w:val="22"/>
          <w:szCs w:val="22"/>
          <w:lang w:val="en-GB"/>
        </w:rPr>
        <w:t xml:space="preserve">full and frank disclosure to the court as to the consequence that </w:t>
      </w:r>
      <w:r>
        <w:rPr>
          <w:rFonts w:ascii="Avenir Next" w:hAnsi="Avenir Next" w:cs="Arial"/>
          <w:color w:val="808080" w:themeColor="background1" w:themeShade="80"/>
          <w:sz w:val="22"/>
          <w:szCs w:val="22"/>
          <w:lang w:val="en-GB"/>
        </w:rPr>
        <w:t>recognition</w:t>
      </w:r>
      <w:r w:rsidR="00D47FFE">
        <w:rPr>
          <w:rFonts w:ascii="Avenir Next" w:hAnsi="Avenir Next" w:cs="Arial"/>
          <w:color w:val="808080" w:themeColor="background1" w:themeShade="80"/>
          <w:sz w:val="22"/>
          <w:szCs w:val="22"/>
          <w:lang w:val="en-GB"/>
        </w:rPr>
        <w:t xml:space="preserve"> may have</w:t>
      </w:r>
      <w:r>
        <w:rPr>
          <w:rFonts w:ascii="Avenir Next" w:hAnsi="Avenir Next" w:cs="Arial"/>
          <w:color w:val="808080" w:themeColor="background1" w:themeShade="80"/>
          <w:sz w:val="22"/>
          <w:szCs w:val="22"/>
          <w:lang w:val="en-GB"/>
        </w:rPr>
        <w:t xml:space="preserve"> in their application.</w:t>
      </w:r>
      <w:r w:rsidR="00D47FFE">
        <w:rPr>
          <w:rStyle w:val="FootnoteReference"/>
          <w:rFonts w:ascii="Avenir Next" w:hAnsi="Avenir Next" w:cs="Arial"/>
          <w:color w:val="808080" w:themeColor="background1" w:themeShade="80"/>
          <w:sz w:val="22"/>
          <w:szCs w:val="22"/>
          <w:lang w:val="en-GB"/>
        </w:rPr>
        <w:footnoteReference w:id="11"/>
      </w:r>
      <w:r>
        <w:rPr>
          <w:rFonts w:ascii="Avenir Next" w:hAnsi="Avenir Next" w:cs="Arial"/>
          <w:color w:val="808080" w:themeColor="background1" w:themeShade="80"/>
          <w:sz w:val="22"/>
          <w:szCs w:val="22"/>
          <w:lang w:val="en-GB"/>
        </w:rPr>
        <w:t xml:space="preserve"> There is no evidence they </w:t>
      </w:r>
      <w:r>
        <w:rPr>
          <w:rFonts w:ascii="Avenir Next" w:hAnsi="Avenir Next" w:cs="Arial"/>
          <w:color w:val="808080" w:themeColor="background1" w:themeShade="80"/>
          <w:sz w:val="22"/>
          <w:szCs w:val="22"/>
          <w:lang w:val="en-GB"/>
        </w:rPr>
        <w:lastRenderedPageBreak/>
        <w:t xml:space="preserve">have not. The US court will presume the orders, if properly presented in accordance with </w:t>
      </w:r>
      <w:r w:rsidR="00894A0E">
        <w:rPr>
          <w:rFonts w:ascii="Avenir Next" w:hAnsi="Avenir Next" w:cs="Arial"/>
          <w:color w:val="808080" w:themeColor="background1" w:themeShade="80"/>
          <w:sz w:val="22"/>
          <w:szCs w:val="22"/>
          <w:lang w:val="en-GB"/>
        </w:rPr>
        <w:t>Article 15.</w:t>
      </w:r>
    </w:p>
    <w:p w14:paraId="3937CDFF" w14:textId="323EFE54" w:rsidR="00867A8F" w:rsidRDefault="00867A8F" w:rsidP="00867A8F">
      <w:pPr>
        <w:ind w:left="720" w:hanging="720"/>
        <w:jc w:val="both"/>
        <w:rPr>
          <w:rFonts w:ascii="Avenir Next" w:hAnsi="Avenir Next" w:cs="Arial"/>
          <w:color w:val="808080" w:themeColor="background1" w:themeShade="80"/>
          <w:sz w:val="22"/>
          <w:szCs w:val="22"/>
          <w:lang w:val="en-GB"/>
        </w:rPr>
      </w:pPr>
    </w:p>
    <w:p w14:paraId="3174ECE9" w14:textId="24DB0B58" w:rsidR="00D47FFE" w:rsidRPr="00B77352" w:rsidRDefault="00D47FFE" w:rsidP="00D47F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Given that the action is being bought US-based vendors</w:t>
      </w:r>
      <w:r w:rsidR="00BE61DB">
        <w:rPr>
          <w:rFonts w:ascii="Avenir Next" w:hAnsi="Avenir Next" w:cs="Arial"/>
          <w:color w:val="808080" w:themeColor="background1" w:themeShade="80"/>
          <w:sz w:val="22"/>
          <w:szCs w:val="22"/>
          <w:lang w:val="en-GB"/>
        </w:rPr>
        <w:t xml:space="preserve"> with respect to contractual rights</w:t>
      </w:r>
      <w:r>
        <w:rPr>
          <w:rFonts w:ascii="Avenir Next" w:hAnsi="Avenir Next" w:cs="Arial"/>
          <w:color w:val="808080" w:themeColor="background1" w:themeShade="80"/>
          <w:sz w:val="22"/>
          <w:szCs w:val="22"/>
          <w:lang w:val="en-GB"/>
        </w:rPr>
        <w:t xml:space="preserve"> it is </w:t>
      </w:r>
      <w:r w:rsidR="00BE61DB">
        <w:rPr>
          <w:rFonts w:ascii="Avenir Next" w:hAnsi="Avenir Next" w:cs="Arial"/>
          <w:color w:val="808080" w:themeColor="background1" w:themeShade="80"/>
          <w:sz w:val="22"/>
          <w:szCs w:val="22"/>
          <w:lang w:val="en-GB"/>
        </w:rPr>
        <w:t>highly improbable</w:t>
      </w:r>
      <w:r>
        <w:rPr>
          <w:rFonts w:ascii="Avenir Next" w:hAnsi="Avenir Next" w:cs="Arial"/>
          <w:color w:val="808080" w:themeColor="background1" w:themeShade="80"/>
          <w:sz w:val="22"/>
          <w:szCs w:val="22"/>
          <w:lang w:val="en-GB"/>
        </w:rPr>
        <w:t xml:space="preserve"> that the relief sought by the Joint provisional liquidators </w:t>
      </w:r>
      <w:r w:rsidR="00BE61DB">
        <w:rPr>
          <w:rFonts w:ascii="Avenir Next" w:hAnsi="Avenir Next" w:cs="Arial"/>
          <w:color w:val="808080" w:themeColor="background1" w:themeShade="80"/>
          <w:sz w:val="22"/>
          <w:szCs w:val="22"/>
          <w:lang w:val="en-GB"/>
        </w:rPr>
        <w:t xml:space="preserve">would not be granted under public policy considerations (in terms of Articles 6) which would allow the US-based vendors to proceed with their actions.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48689163" w14:textId="5023A30D" w:rsidR="006F6E23" w:rsidRPr="00E2622D" w:rsidRDefault="006F6E23" w:rsidP="00707FC8">
      <w:pPr>
        <w:jc w:val="both"/>
        <w:rPr>
          <w:rFonts w:ascii="Avenir Next" w:hAnsi="Avenir Next" w:cs="Arial"/>
          <w:sz w:val="22"/>
          <w:szCs w:val="22"/>
          <w:lang w:val="en-GB"/>
        </w:rPr>
      </w:pPr>
    </w:p>
    <w:p w14:paraId="102FA13E" w14:textId="7DECF8C2" w:rsidR="00CC680A" w:rsidRDefault="006F6E23" w:rsidP="00CC68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US Bankruptcy Code does not recognise </w:t>
      </w:r>
      <w:r w:rsidRPr="006F6E23">
        <w:rPr>
          <w:rFonts w:ascii="Avenir Next" w:hAnsi="Avenir Next" w:cs="Arial"/>
          <w:i/>
          <w:iCs/>
          <w:color w:val="808080" w:themeColor="background1" w:themeShade="80"/>
          <w:sz w:val="22"/>
          <w:szCs w:val="22"/>
          <w:lang w:val="en-GB"/>
        </w:rPr>
        <w:t>ipso facto</w:t>
      </w:r>
      <w:r>
        <w:rPr>
          <w:rFonts w:ascii="Avenir Next" w:hAnsi="Avenir Next" w:cs="Arial"/>
          <w:color w:val="808080" w:themeColor="background1" w:themeShade="80"/>
          <w:sz w:val="22"/>
          <w:szCs w:val="22"/>
          <w:lang w:val="en-GB"/>
        </w:rPr>
        <w:t xml:space="preserve"> clauses, even if included contractually. This is unlike other jurisdictions, such as the UK. </w:t>
      </w:r>
      <w:r w:rsidR="00CC680A">
        <w:rPr>
          <w:rFonts w:ascii="Avenir Next" w:hAnsi="Avenir Next" w:cs="Arial"/>
          <w:color w:val="808080" w:themeColor="background1" w:themeShade="80"/>
          <w:sz w:val="22"/>
          <w:szCs w:val="22"/>
          <w:lang w:val="en-GB"/>
        </w:rPr>
        <w:t xml:space="preserve">As such even if the parties exercise their rights under the contract these would not be enforceable under US insolvency law. </w:t>
      </w:r>
      <w:r w:rsidR="006E304C">
        <w:rPr>
          <w:rFonts w:ascii="Avenir Next" w:hAnsi="Avenir Next" w:cs="Arial"/>
          <w:color w:val="808080" w:themeColor="background1" w:themeShade="80"/>
          <w:sz w:val="22"/>
          <w:szCs w:val="22"/>
          <w:lang w:val="en-GB"/>
        </w:rPr>
        <w:t>The parties having chosen US law for these leases the US insolvency laws would likely apply</w:t>
      </w:r>
      <w:r w:rsidR="006E304C">
        <w:rPr>
          <w:rStyle w:val="FootnoteReference"/>
          <w:rFonts w:ascii="Avenir Next" w:hAnsi="Avenir Next" w:cs="Arial"/>
          <w:color w:val="808080" w:themeColor="background1" w:themeShade="80"/>
          <w:sz w:val="22"/>
          <w:szCs w:val="22"/>
          <w:lang w:val="en-GB"/>
        </w:rPr>
        <w:footnoteReference w:id="12"/>
      </w:r>
      <w:r w:rsidR="006E304C">
        <w:rPr>
          <w:rFonts w:ascii="Avenir Next" w:hAnsi="Avenir Next" w:cs="Arial"/>
          <w:color w:val="808080" w:themeColor="background1" w:themeShade="80"/>
          <w:sz w:val="22"/>
          <w:szCs w:val="22"/>
          <w:lang w:val="en-GB"/>
        </w:rPr>
        <w:t>.</w:t>
      </w:r>
    </w:p>
    <w:p w14:paraId="43ADA030" w14:textId="77777777" w:rsidR="00CC680A" w:rsidRDefault="00CC680A" w:rsidP="00CC680A">
      <w:pPr>
        <w:jc w:val="both"/>
        <w:rPr>
          <w:rFonts w:ascii="Avenir Next" w:hAnsi="Avenir Next" w:cs="Arial"/>
          <w:color w:val="808080" w:themeColor="background1" w:themeShade="80"/>
          <w:sz w:val="22"/>
          <w:szCs w:val="22"/>
          <w:lang w:val="en-GB"/>
        </w:rPr>
      </w:pPr>
    </w:p>
    <w:p w14:paraId="3913598A" w14:textId="431B3628" w:rsidR="00CC680A" w:rsidRDefault="00CC680A" w:rsidP="00CC68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is fortunate given that there is case law (see </w:t>
      </w:r>
      <w:r w:rsidRPr="00CC680A">
        <w:rPr>
          <w:rFonts w:ascii="Avenir Next" w:hAnsi="Avenir Next" w:cs="Arial"/>
          <w:i/>
          <w:iCs/>
          <w:color w:val="808080" w:themeColor="background1" w:themeShade="80"/>
          <w:sz w:val="22"/>
          <w:szCs w:val="22"/>
          <w:lang w:val="en-GB"/>
        </w:rPr>
        <w:t>Fibria Celulose S/A v Pan Ocean Co Ltd</w:t>
      </w:r>
      <w:r>
        <w:rPr>
          <w:rStyle w:val="FootnoteReference"/>
          <w:rFonts w:ascii="Avenir Next" w:hAnsi="Avenir Next" w:cs="Arial"/>
          <w:i/>
          <w:iCs/>
          <w:color w:val="808080" w:themeColor="background1" w:themeShade="80"/>
          <w:sz w:val="22"/>
          <w:szCs w:val="22"/>
          <w:lang w:val="en-GB"/>
        </w:rPr>
        <w:footnoteReference w:id="13"/>
      </w:r>
      <w:r>
        <w:rPr>
          <w:rFonts w:ascii="Avenir Next" w:hAnsi="Avenir Next" w:cs="Arial"/>
          <w:color w:val="808080" w:themeColor="background1" w:themeShade="80"/>
          <w:sz w:val="22"/>
          <w:szCs w:val="22"/>
          <w:lang w:val="en-GB"/>
        </w:rPr>
        <w:t xml:space="preserve">) whereby the courts have refused to make such clause null and void if the clauses are enforceable in the domestic law. </w:t>
      </w:r>
      <w:r>
        <w:rPr>
          <w:rFonts w:ascii="Avenir Next" w:hAnsi="Avenir Next" w:cs="Arial"/>
          <w:color w:val="808080" w:themeColor="background1" w:themeShade="80"/>
          <w:sz w:val="22"/>
          <w:szCs w:val="22"/>
          <w:lang w:val="en-GB"/>
        </w:rPr>
        <w:t>This is regardless of what the insolvency law is of the foreign state</w:t>
      </w:r>
      <w:r>
        <w:rPr>
          <w:rFonts w:ascii="Avenir Next" w:hAnsi="Avenir Next" w:cs="Arial"/>
          <w:color w:val="808080" w:themeColor="background1" w:themeShade="80"/>
          <w:sz w:val="22"/>
          <w:szCs w:val="22"/>
          <w:lang w:val="en-GB"/>
        </w:rPr>
        <w:t>.</w:t>
      </w:r>
    </w:p>
    <w:p w14:paraId="21EBA109" w14:textId="77777777" w:rsidR="00CC680A" w:rsidRDefault="00CC680A" w:rsidP="00CC680A">
      <w:pPr>
        <w:jc w:val="both"/>
        <w:rPr>
          <w:rFonts w:ascii="Avenir Next" w:hAnsi="Avenir Next" w:cs="Arial"/>
          <w:color w:val="808080" w:themeColor="background1" w:themeShade="80"/>
          <w:sz w:val="22"/>
          <w:szCs w:val="22"/>
          <w:lang w:val="en-GB"/>
        </w:rPr>
      </w:pPr>
    </w:p>
    <w:p w14:paraId="7DAF7BCE" w14:textId="5C3B1B4E" w:rsidR="006E304C" w:rsidRDefault="00CC680A" w:rsidP="00CC68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the foreign representative would want to bring an application for interim relief </w:t>
      </w:r>
      <w:r w:rsidR="006E304C">
        <w:rPr>
          <w:rFonts w:ascii="Avenir Next" w:hAnsi="Avenir Next" w:cs="Arial"/>
          <w:color w:val="808080" w:themeColor="background1" w:themeShade="80"/>
          <w:sz w:val="22"/>
          <w:szCs w:val="22"/>
          <w:lang w:val="en-GB"/>
        </w:rPr>
        <w:t xml:space="preserve">(under Article 19) </w:t>
      </w:r>
      <w:r>
        <w:rPr>
          <w:rFonts w:ascii="Avenir Next" w:hAnsi="Avenir Next" w:cs="Arial"/>
          <w:color w:val="808080" w:themeColor="background1" w:themeShade="80"/>
          <w:sz w:val="22"/>
          <w:szCs w:val="22"/>
          <w:lang w:val="en-GB"/>
        </w:rPr>
        <w:t xml:space="preserve">until the recognition hearing (which is 35 days away). </w:t>
      </w:r>
      <w:r w:rsidR="006E304C">
        <w:rPr>
          <w:rFonts w:ascii="Avenir Next" w:hAnsi="Avenir Next" w:cs="Arial"/>
          <w:color w:val="808080" w:themeColor="background1" w:themeShade="80"/>
          <w:sz w:val="22"/>
          <w:szCs w:val="22"/>
          <w:lang w:val="en-GB"/>
        </w:rPr>
        <w:t xml:space="preserve">While it is not known what the terms of the leases are the notice provisions may be 30 days so the </w:t>
      </w:r>
      <w:r w:rsidR="00D034FD">
        <w:rPr>
          <w:rFonts w:ascii="Avenir Next" w:hAnsi="Avenir Next" w:cs="Arial"/>
          <w:color w:val="808080" w:themeColor="background1" w:themeShade="80"/>
          <w:sz w:val="22"/>
          <w:szCs w:val="22"/>
          <w:lang w:val="en-GB"/>
        </w:rPr>
        <w:t>leaseholders</w:t>
      </w:r>
      <w:r w:rsidR="006E304C">
        <w:rPr>
          <w:rFonts w:ascii="Avenir Next" w:hAnsi="Avenir Next" w:cs="Arial"/>
          <w:color w:val="808080" w:themeColor="background1" w:themeShade="80"/>
          <w:sz w:val="22"/>
          <w:szCs w:val="22"/>
          <w:lang w:val="en-GB"/>
        </w:rPr>
        <w:t xml:space="preserve"> could issue notice on contractual terms, terminating the leases, before the recognition hearing is held. This would likely be to the detriment of the restructuring</w:t>
      </w:r>
      <w:r w:rsidR="001674D3">
        <w:rPr>
          <w:rFonts w:ascii="Avenir Next" w:hAnsi="Avenir Next" w:cs="Arial"/>
          <w:color w:val="808080" w:themeColor="background1" w:themeShade="80"/>
          <w:sz w:val="22"/>
          <w:szCs w:val="22"/>
          <w:lang w:val="en-GB"/>
        </w:rPr>
        <w:t xml:space="preserve"> including notably the intellectual property licences which would possibly hold considerable value. </w:t>
      </w:r>
    </w:p>
    <w:p w14:paraId="7CD787FA" w14:textId="77777777" w:rsidR="006E304C" w:rsidRDefault="006E304C" w:rsidP="00CC680A">
      <w:pPr>
        <w:jc w:val="both"/>
        <w:rPr>
          <w:rFonts w:ascii="Avenir Next" w:hAnsi="Avenir Next" w:cs="Arial"/>
          <w:color w:val="808080" w:themeColor="background1" w:themeShade="80"/>
          <w:sz w:val="22"/>
          <w:szCs w:val="22"/>
          <w:lang w:val="en-GB"/>
        </w:rPr>
      </w:pPr>
    </w:p>
    <w:p w14:paraId="6B38388E" w14:textId="6E1D2A0A" w:rsidR="006E304C" w:rsidRDefault="006E304C" w:rsidP="00CC68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debtor-in possession restructuring is considered to be a foreign main-proceeding a stay would be granted automatically upon recognition. If it is a non-main foreign proceeding the foreign representative would want to bring an application for a stay. </w:t>
      </w:r>
    </w:p>
    <w:p w14:paraId="4C8E7A83" w14:textId="77777777" w:rsidR="007E0B03" w:rsidRDefault="007E0B03" w:rsidP="00CC680A">
      <w:pPr>
        <w:jc w:val="both"/>
        <w:rPr>
          <w:rFonts w:ascii="Avenir Next" w:hAnsi="Avenir Next" w:cs="Arial"/>
          <w:color w:val="808080" w:themeColor="background1" w:themeShade="80"/>
          <w:sz w:val="22"/>
          <w:szCs w:val="22"/>
          <w:lang w:val="en-GB"/>
        </w:rPr>
      </w:pPr>
    </w:p>
    <w:p w14:paraId="19892D3B" w14:textId="35AE157B" w:rsidR="007E0B03" w:rsidRDefault="00926BF1" w:rsidP="00CC68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if the intention is </w:t>
      </w:r>
      <w:r w:rsidR="000B5DB3">
        <w:rPr>
          <w:rFonts w:ascii="Avenir Next" w:hAnsi="Avenir Next" w:cs="Arial"/>
          <w:color w:val="808080" w:themeColor="background1" w:themeShade="80"/>
          <w:sz w:val="22"/>
          <w:szCs w:val="22"/>
          <w:lang w:val="en-GB"/>
        </w:rPr>
        <w:t xml:space="preserve">for the assignment of the intellectual property lease this may not be done without the licensor’s consent. </w:t>
      </w:r>
    </w:p>
    <w:p w14:paraId="05D2D810" w14:textId="77777777" w:rsidR="006E304C" w:rsidRDefault="006E304C" w:rsidP="00CC680A">
      <w:pPr>
        <w:jc w:val="both"/>
        <w:rPr>
          <w:rFonts w:ascii="Avenir Next" w:hAnsi="Avenir Next" w:cs="Arial"/>
          <w:color w:val="808080" w:themeColor="background1" w:themeShade="80"/>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64098164" w14:textId="5BB5B869" w:rsidR="00926BF1" w:rsidRDefault="00926BF1" w:rsidP="00926BF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intellectual property leases may include leasing patents and copyrights and if owned by the debtor then they may be protected under the US Bankruptcy Code, which prevents the termination of licences should there be a reorganisation under chapter 11.</w:t>
      </w:r>
    </w:p>
    <w:p w14:paraId="281AECFC" w14:textId="77777777" w:rsidR="00926BF1" w:rsidRDefault="00926BF1"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43D73EC1" w14:textId="758EDB74" w:rsidR="00211195" w:rsidRDefault="00211195" w:rsidP="002111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should</w:t>
      </w:r>
      <w:r w:rsidR="00DA51D7">
        <w:rPr>
          <w:rFonts w:ascii="Avenir Next" w:hAnsi="Avenir Next" w:cs="Arial"/>
          <w:color w:val="808080" w:themeColor="background1" w:themeShade="80"/>
          <w:sz w:val="22"/>
          <w:szCs w:val="22"/>
          <w:lang w:val="en-GB"/>
        </w:rPr>
        <w:t>, in the short term,</w:t>
      </w:r>
      <w:r>
        <w:rPr>
          <w:rFonts w:ascii="Avenir Next" w:hAnsi="Avenir Next" w:cs="Arial"/>
          <w:color w:val="808080" w:themeColor="background1" w:themeShade="80"/>
          <w:sz w:val="22"/>
          <w:szCs w:val="22"/>
          <w:lang w:val="en-GB"/>
        </w:rPr>
        <w:t xml:space="preserve"> apply for interim relief under Article 19. </w:t>
      </w:r>
      <w:r w:rsidR="004E4DC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This relief is applicable to non-main and main proceedings</w:t>
      </w:r>
      <w:r w:rsidR="004E4DCD">
        <w:rPr>
          <w:rFonts w:ascii="Avenir Next" w:hAnsi="Avenir Next" w:cs="Arial"/>
          <w:color w:val="808080" w:themeColor="background1" w:themeShade="80"/>
          <w:sz w:val="22"/>
          <w:szCs w:val="22"/>
          <w:lang w:val="en-GB"/>
        </w:rPr>
        <w:t xml:space="preserve"> so the fact that the recognition of the foreign proceedings was denied would not prevent any action being taken)</w:t>
      </w:r>
      <w:r>
        <w:rPr>
          <w:rFonts w:ascii="Avenir Next" w:hAnsi="Avenir Next" w:cs="Arial"/>
          <w:color w:val="808080" w:themeColor="background1" w:themeShade="80"/>
          <w:sz w:val="22"/>
          <w:szCs w:val="22"/>
          <w:lang w:val="en-GB"/>
        </w:rPr>
        <w:t xml:space="preserve">. The relief should </w:t>
      </w:r>
      <w:r w:rsidR="004E4DCD">
        <w:rPr>
          <w:rFonts w:ascii="Avenir Next" w:hAnsi="Avenir Next" w:cs="Arial"/>
          <w:color w:val="808080" w:themeColor="background1" w:themeShade="80"/>
          <w:sz w:val="22"/>
          <w:szCs w:val="22"/>
          <w:lang w:val="en-GB"/>
        </w:rPr>
        <w:t>include for:</w:t>
      </w:r>
    </w:p>
    <w:p w14:paraId="2EE8A05F" w14:textId="391087A5" w:rsidR="004E4DCD" w:rsidRDefault="004E4DCD" w:rsidP="004E4DCD">
      <w:pPr>
        <w:pStyle w:val="ListParagraph"/>
        <w:numPr>
          <w:ilvl w:val="0"/>
          <w:numId w:val="6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stay of execution against the debtor’s assets in Country B</w:t>
      </w:r>
    </w:p>
    <w:p w14:paraId="6D6D4B88" w14:textId="261D81FC" w:rsidR="004E4DCD" w:rsidRDefault="004E4DCD" w:rsidP="004E4DCD">
      <w:pPr>
        <w:pStyle w:val="ListParagraph"/>
        <w:numPr>
          <w:ilvl w:val="0"/>
          <w:numId w:val="6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to be entrusted with the administration/realisation of all or part of the debtor’s assets in Country B in order to protect and preserve the value of the assets. </w:t>
      </w:r>
    </w:p>
    <w:p w14:paraId="63D61FC5" w14:textId="77777777" w:rsidR="004E4DCD" w:rsidRDefault="004E4DCD" w:rsidP="004E4DCD">
      <w:pPr>
        <w:jc w:val="both"/>
        <w:rPr>
          <w:rFonts w:ascii="Avenir Next" w:hAnsi="Avenir Next" w:cs="Arial"/>
          <w:color w:val="808080" w:themeColor="background1" w:themeShade="80"/>
          <w:sz w:val="22"/>
          <w:szCs w:val="22"/>
          <w:lang w:val="en-GB"/>
        </w:rPr>
      </w:pPr>
    </w:p>
    <w:p w14:paraId="54904770" w14:textId="0AAD77B5" w:rsidR="004E4DCD" w:rsidRDefault="004E4DCD" w:rsidP="004E4DC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would need to demonstrate to the court in country B that the assets were </w:t>
      </w:r>
      <w:r w:rsidRPr="004E4DCD">
        <w:rPr>
          <w:rFonts w:ascii="Avenir Next" w:hAnsi="Avenir Next" w:cs="Arial"/>
          <w:i/>
          <w:iCs/>
          <w:color w:val="808080" w:themeColor="background1" w:themeShade="80"/>
          <w:sz w:val="22"/>
          <w:szCs w:val="22"/>
          <w:lang w:val="en-GB"/>
        </w:rPr>
        <w:t>inter alia</w:t>
      </w:r>
      <w:r>
        <w:rPr>
          <w:rFonts w:ascii="Avenir Next" w:hAnsi="Avenir Next" w:cs="Arial"/>
          <w:color w:val="808080" w:themeColor="background1" w:themeShade="80"/>
          <w:sz w:val="22"/>
          <w:szCs w:val="22"/>
          <w:lang w:val="en-GB"/>
        </w:rPr>
        <w:t xml:space="preserve"> </w:t>
      </w:r>
    </w:p>
    <w:p w14:paraId="1F5F8E6D" w14:textId="7520CE4D" w:rsidR="004E4DCD" w:rsidRDefault="004E4DCD" w:rsidP="004E4DCD">
      <w:pPr>
        <w:pStyle w:val="ListParagraph"/>
        <w:numPr>
          <w:ilvl w:val="0"/>
          <w:numId w:val="6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jeopardy</w:t>
      </w:r>
    </w:p>
    <w:p w14:paraId="79822262" w14:textId="062DE2C8" w:rsidR="004E4DCD" w:rsidRDefault="004E4DCD" w:rsidP="004E4DCD">
      <w:pPr>
        <w:pStyle w:val="ListParagraph"/>
        <w:numPr>
          <w:ilvl w:val="0"/>
          <w:numId w:val="6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susceptible to devaluation, </w:t>
      </w:r>
    </w:p>
    <w:p w14:paraId="5532D383" w14:textId="6E35A835" w:rsidR="004E4DCD" w:rsidRPr="004E4DCD" w:rsidRDefault="004E4DCD" w:rsidP="004E4DCD">
      <w:pPr>
        <w:pStyle w:val="ListParagraph"/>
        <w:numPr>
          <w:ilvl w:val="0"/>
          <w:numId w:val="6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perishable. </w:t>
      </w:r>
    </w:p>
    <w:p w14:paraId="3EC1D118" w14:textId="77777777" w:rsidR="00211195" w:rsidRDefault="00211195" w:rsidP="00867A8F">
      <w:pPr>
        <w:ind w:left="720" w:hanging="720"/>
        <w:jc w:val="both"/>
        <w:rPr>
          <w:rFonts w:ascii="Avenir Next" w:hAnsi="Avenir Next" w:cs="Arial"/>
          <w:color w:val="808080" w:themeColor="background1" w:themeShade="80"/>
          <w:sz w:val="22"/>
          <w:szCs w:val="22"/>
          <w:lang w:val="en-GB"/>
        </w:rPr>
      </w:pPr>
    </w:p>
    <w:p w14:paraId="7C447079" w14:textId="0E92D9F0" w:rsidR="007952AF" w:rsidRDefault="007952AF" w:rsidP="007952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has automatic access to courts even before the recognition application has been determined</w:t>
      </w:r>
      <w:r w:rsidR="00672180">
        <w:rPr>
          <w:rFonts w:ascii="Avenir Next" w:hAnsi="Avenir Next" w:cs="Arial"/>
          <w:color w:val="808080" w:themeColor="background1" w:themeShade="80"/>
          <w:sz w:val="22"/>
          <w:szCs w:val="22"/>
          <w:lang w:val="en-GB"/>
        </w:rPr>
        <w:t xml:space="preserve">. Should there be a denial of any further application for recognition then order granted can be terminated. </w:t>
      </w:r>
    </w:p>
    <w:p w14:paraId="6C4640FB" w14:textId="77777777" w:rsidR="007748E8" w:rsidRDefault="007748E8" w:rsidP="004E4DCD">
      <w:pPr>
        <w:jc w:val="both"/>
        <w:rPr>
          <w:rFonts w:ascii="Avenir Next" w:hAnsi="Avenir Next" w:cs="Arial"/>
          <w:color w:val="808080" w:themeColor="background1" w:themeShade="80"/>
          <w:sz w:val="22"/>
          <w:szCs w:val="22"/>
          <w:lang w:val="en-GB"/>
        </w:rPr>
      </w:pPr>
    </w:p>
    <w:p w14:paraId="63DCBB79" w14:textId="18FF5FF0" w:rsidR="007952AF" w:rsidRDefault="004E4DCD" w:rsidP="00DA51D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that the debtor has in Country A “a registered office and not much more” </w:t>
      </w:r>
      <w:r w:rsidR="00DA51D7">
        <w:rPr>
          <w:rFonts w:ascii="Avenir Next" w:hAnsi="Avenir Next" w:cs="Arial"/>
          <w:color w:val="808080" w:themeColor="background1" w:themeShade="80"/>
          <w:sz w:val="22"/>
          <w:szCs w:val="22"/>
          <w:lang w:val="en-GB"/>
        </w:rPr>
        <w:t xml:space="preserve">and the recognition of foreign main proceeding has been denied the foreign representative may consider applying for recognition </w:t>
      </w:r>
      <w:r w:rsidR="00DA51D7">
        <w:rPr>
          <w:rFonts w:ascii="Avenir Next" w:hAnsi="Avenir Next" w:cs="Arial"/>
          <w:color w:val="808080" w:themeColor="background1" w:themeShade="80"/>
          <w:sz w:val="22"/>
          <w:szCs w:val="22"/>
          <w:lang w:val="en-GB"/>
        </w:rPr>
        <w:t xml:space="preserve">of a non-main proceeding </w:t>
      </w:r>
      <w:r w:rsidR="00DA51D7">
        <w:rPr>
          <w:rFonts w:ascii="Avenir Next" w:hAnsi="Avenir Next" w:cs="Arial"/>
          <w:color w:val="808080" w:themeColor="background1" w:themeShade="80"/>
          <w:sz w:val="22"/>
          <w:szCs w:val="22"/>
          <w:lang w:val="en-GB"/>
        </w:rPr>
        <w:t>(</w:t>
      </w:r>
      <w:r w:rsidR="00DA51D7">
        <w:rPr>
          <w:rFonts w:ascii="Avenir Next" w:hAnsi="Avenir Next" w:cs="Arial"/>
          <w:color w:val="808080" w:themeColor="background1" w:themeShade="80"/>
          <w:sz w:val="22"/>
          <w:szCs w:val="22"/>
          <w:lang w:val="en-GB"/>
        </w:rPr>
        <w:t>and in due course, if considered, necessary apply for a stay under Article 21 once recognition has been granted</w:t>
      </w:r>
      <w:r w:rsidR="00DA51D7">
        <w:rPr>
          <w:rFonts w:ascii="Avenir Next" w:hAnsi="Avenir Next" w:cs="Arial"/>
          <w:color w:val="808080" w:themeColor="background1" w:themeShade="80"/>
          <w:sz w:val="22"/>
          <w:szCs w:val="22"/>
          <w:lang w:val="en-GB"/>
        </w:rPr>
        <w:t xml:space="preserve"> if considered necessary). However, the “registered office” </w:t>
      </w:r>
      <w:r w:rsidR="00672180">
        <w:rPr>
          <w:rFonts w:ascii="Avenir Next" w:hAnsi="Avenir Next" w:cs="Arial"/>
          <w:color w:val="808080" w:themeColor="background1" w:themeShade="80"/>
          <w:sz w:val="22"/>
          <w:szCs w:val="22"/>
          <w:lang w:val="en-GB"/>
        </w:rPr>
        <w:t xml:space="preserve">does not </w:t>
      </w:r>
      <w:r w:rsidR="00DA51D7">
        <w:rPr>
          <w:rFonts w:ascii="Avenir Next" w:hAnsi="Avenir Next" w:cs="Arial"/>
          <w:color w:val="808080" w:themeColor="background1" w:themeShade="80"/>
          <w:sz w:val="22"/>
          <w:szCs w:val="22"/>
          <w:lang w:val="en-GB"/>
        </w:rPr>
        <w:t>meet the criteria of an establishment (being ‘any place of activity where the debtor carries out a non-transitory economic activity with human means and good or services”)</w:t>
      </w:r>
      <w:r w:rsidR="00A87762">
        <w:rPr>
          <w:rFonts w:ascii="Avenir Next" w:hAnsi="Avenir Next" w:cs="Arial"/>
          <w:color w:val="808080" w:themeColor="background1" w:themeShade="80"/>
          <w:sz w:val="22"/>
          <w:szCs w:val="22"/>
          <w:lang w:val="en-GB"/>
        </w:rPr>
        <w:t xml:space="preserve"> and as such runs the risk that this recognition application would also be denied. </w:t>
      </w:r>
    </w:p>
    <w:p w14:paraId="73DE10D4" w14:textId="77777777" w:rsidR="007952AF" w:rsidRDefault="007952AF" w:rsidP="00DA51D7">
      <w:pPr>
        <w:jc w:val="both"/>
        <w:rPr>
          <w:rFonts w:ascii="Avenir Next" w:hAnsi="Avenir Next" w:cs="Arial"/>
          <w:color w:val="808080" w:themeColor="background1" w:themeShade="80"/>
          <w:sz w:val="22"/>
          <w:szCs w:val="22"/>
          <w:lang w:val="en-GB"/>
        </w:rPr>
      </w:pPr>
    </w:p>
    <w:p w14:paraId="5C2D6E63" w14:textId="3AC84B57" w:rsidR="007952AF" w:rsidRDefault="00A87762" w:rsidP="00DA51D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w:t>
      </w:r>
      <w:r w:rsidR="007952AF">
        <w:rPr>
          <w:rFonts w:ascii="Avenir Next" w:hAnsi="Avenir Next" w:cs="Arial"/>
          <w:color w:val="808080" w:themeColor="background1" w:themeShade="80"/>
          <w:sz w:val="22"/>
          <w:szCs w:val="22"/>
          <w:lang w:val="en-GB"/>
        </w:rPr>
        <w:t xml:space="preserve"> alternative would be to reapply for recognition as the foreign main proceedings and argue that the registered office is in fact the centre of main interest (COMI) and the </w:t>
      </w:r>
      <w:r w:rsidR="007952AF">
        <w:rPr>
          <w:rFonts w:ascii="Avenir Next" w:hAnsi="Avenir Next" w:cs="Arial"/>
          <w:color w:val="808080" w:themeColor="background1" w:themeShade="80"/>
          <w:sz w:val="22"/>
          <w:szCs w:val="22"/>
          <w:lang w:val="en-GB"/>
        </w:rPr>
        <w:lastRenderedPageBreak/>
        <w:t xml:space="preserve">court erred. </w:t>
      </w:r>
      <w:r>
        <w:rPr>
          <w:rFonts w:ascii="Avenir Next" w:hAnsi="Avenir Next" w:cs="Arial"/>
          <w:color w:val="808080" w:themeColor="background1" w:themeShade="80"/>
          <w:sz w:val="22"/>
          <w:szCs w:val="22"/>
          <w:lang w:val="en-GB"/>
        </w:rPr>
        <w:t>The argument would be that t</w:t>
      </w:r>
      <w:r w:rsidR="007952AF">
        <w:rPr>
          <w:rFonts w:ascii="Avenir Next" w:hAnsi="Avenir Next" w:cs="Arial"/>
          <w:color w:val="808080" w:themeColor="background1" w:themeShade="80"/>
          <w:sz w:val="22"/>
          <w:szCs w:val="22"/>
          <w:lang w:val="en-GB"/>
        </w:rPr>
        <w:t xml:space="preserve">here is no prescribed definition </w:t>
      </w:r>
      <w:r>
        <w:rPr>
          <w:rFonts w:ascii="Avenir Next" w:hAnsi="Avenir Next" w:cs="Arial"/>
          <w:color w:val="808080" w:themeColor="background1" w:themeShade="80"/>
          <w:sz w:val="22"/>
          <w:szCs w:val="22"/>
          <w:lang w:val="en-GB"/>
        </w:rPr>
        <w:t xml:space="preserve">in terms of MLCBI </w:t>
      </w:r>
      <w:r w:rsidR="007952AF">
        <w:rPr>
          <w:rFonts w:ascii="Avenir Next" w:hAnsi="Avenir Next" w:cs="Arial"/>
          <w:color w:val="808080" w:themeColor="background1" w:themeShade="80"/>
          <w:sz w:val="22"/>
          <w:szCs w:val="22"/>
          <w:lang w:val="en-GB"/>
        </w:rPr>
        <w:t>as to what is considered the COMI aside from two factors</w:t>
      </w:r>
      <w:r>
        <w:rPr>
          <w:rFonts w:ascii="Avenir Next" w:hAnsi="Avenir Next" w:cs="Arial"/>
          <w:color w:val="808080" w:themeColor="background1" w:themeShade="80"/>
          <w:sz w:val="22"/>
          <w:szCs w:val="22"/>
          <w:lang w:val="en-GB"/>
        </w:rPr>
        <w:t>.</w:t>
      </w:r>
    </w:p>
    <w:p w14:paraId="2A227FC3" w14:textId="77777777" w:rsidR="007952AF" w:rsidRDefault="007952AF" w:rsidP="007952AF">
      <w:pPr>
        <w:pStyle w:val="ListParagraph"/>
        <w:numPr>
          <w:ilvl w:val="0"/>
          <w:numId w:val="6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location of central administration of the debtor</w:t>
      </w:r>
    </w:p>
    <w:p w14:paraId="54EF6D74" w14:textId="738B114D" w:rsidR="00DA51D7" w:rsidRPr="007952AF" w:rsidRDefault="007952AF" w:rsidP="007952AF">
      <w:pPr>
        <w:pStyle w:val="ListParagraph"/>
        <w:numPr>
          <w:ilvl w:val="0"/>
          <w:numId w:val="6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place that is readily discernible as such by the creditors of the debtor</w:t>
      </w:r>
      <w:r>
        <w:rPr>
          <w:rStyle w:val="FootnoteReference"/>
          <w:rFonts w:ascii="Avenir Next" w:hAnsi="Avenir Next" w:cs="Arial"/>
          <w:color w:val="808080" w:themeColor="background1" w:themeShade="80"/>
          <w:sz w:val="22"/>
          <w:szCs w:val="22"/>
          <w:lang w:val="en-GB"/>
        </w:rPr>
        <w:footnoteReference w:id="14"/>
      </w:r>
      <w:r>
        <w:rPr>
          <w:rFonts w:ascii="Avenir Next" w:hAnsi="Avenir Next" w:cs="Arial"/>
          <w:color w:val="808080" w:themeColor="background1" w:themeShade="80"/>
          <w:sz w:val="22"/>
          <w:szCs w:val="22"/>
          <w:lang w:val="en-GB"/>
        </w:rPr>
        <w:t xml:space="preserve">. </w:t>
      </w:r>
    </w:p>
    <w:p w14:paraId="2B99189C" w14:textId="0046F08F" w:rsidR="00211195" w:rsidRDefault="00211195" w:rsidP="004E4DCD">
      <w:pPr>
        <w:jc w:val="both"/>
        <w:rPr>
          <w:rFonts w:ascii="Avenir Next" w:hAnsi="Avenir Next" w:cs="Arial"/>
          <w:color w:val="808080" w:themeColor="background1" w:themeShade="80"/>
          <w:sz w:val="22"/>
          <w:szCs w:val="22"/>
          <w:lang w:val="en-GB"/>
        </w:rPr>
      </w:pPr>
    </w:p>
    <w:p w14:paraId="61A98EF2" w14:textId="49CB2547" w:rsidR="007952AF" w:rsidRDefault="007952AF" w:rsidP="004E4DC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w:t>
      </w:r>
      <w:r w:rsidR="00A87762">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ould argue that it does meet some of the criteria that are considered to demonstrate the existence of a COMI </w:t>
      </w:r>
      <w:r w:rsidR="00A87762">
        <w:rPr>
          <w:rFonts w:ascii="Avenir Next" w:hAnsi="Avenir Next" w:cs="Arial"/>
          <w:color w:val="808080" w:themeColor="background1" w:themeShade="80"/>
          <w:sz w:val="22"/>
          <w:szCs w:val="22"/>
          <w:lang w:val="en-GB"/>
        </w:rPr>
        <w:t>as that is where the principal assets are found (it would need to be confirmed the assets in country A are principle assets). However this is likely to be unsuccessful as the law relating to COMI is increasingly established</w:t>
      </w:r>
      <w:r w:rsidR="00A87762">
        <w:rPr>
          <w:rStyle w:val="FootnoteReference"/>
          <w:rFonts w:ascii="Avenir Next" w:hAnsi="Avenir Next" w:cs="Arial"/>
          <w:color w:val="808080" w:themeColor="background1" w:themeShade="80"/>
          <w:sz w:val="22"/>
          <w:szCs w:val="22"/>
          <w:lang w:val="en-GB"/>
        </w:rPr>
        <w:footnoteReference w:id="15"/>
      </w:r>
      <w:r w:rsidR="00A87762">
        <w:rPr>
          <w:rFonts w:ascii="Avenir Next" w:hAnsi="Avenir Next" w:cs="Arial"/>
          <w:color w:val="808080" w:themeColor="background1" w:themeShade="80"/>
          <w:sz w:val="22"/>
          <w:szCs w:val="22"/>
          <w:lang w:val="en-GB"/>
        </w:rPr>
        <w:t xml:space="preserve">. </w:t>
      </w:r>
    </w:p>
    <w:p w14:paraId="5E792007" w14:textId="77777777" w:rsidR="00A87762" w:rsidRDefault="00A87762" w:rsidP="004E4DCD">
      <w:pPr>
        <w:jc w:val="both"/>
        <w:rPr>
          <w:rFonts w:ascii="Avenir Next" w:hAnsi="Avenir Next" w:cs="Arial"/>
          <w:color w:val="808080" w:themeColor="background1" w:themeShade="80"/>
          <w:sz w:val="22"/>
          <w:szCs w:val="22"/>
          <w:lang w:val="en-GB"/>
        </w:rPr>
      </w:pPr>
    </w:p>
    <w:p w14:paraId="530E7A7D" w14:textId="596F86DA" w:rsidR="009F3A78" w:rsidRDefault="00A87762" w:rsidP="004E4DC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better way forward, and one that the foreign representative should have considered </w:t>
      </w:r>
      <w:r w:rsidR="00D377B8">
        <w:rPr>
          <w:rFonts w:ascii="Avenir Next" w:hAnsi="Avenir Next" w:cs="Arial"/>
          <w:color w:val="808080" w:themeColor="background1" w:themeShade="80"/>
          <w:sz w:val="22"/>
          <w:szCs w:val="22"/>
          <w:lang w:val="en-GB"/>
        </w:rPr>
        <w:t>in the first instance is seek co-operation with the court in Country B</w:t>
      </w:r>
      <w:r w:rsidR="009F3A78">
        <w:rPr>
          <w:rFonts w:ascii="Avenir Next" w:hAnsi="Avenir Next" w:cs="Arial"/>
          <w:color w:val="808080" w:themeColor="background1" w:themeShade="80"/>
          <w:sz w:val="22"/>
          <w:szCs w:val="22"/>
          <w:lang w:val="en-GB"/>
        </w:rPr>
        <w:t xml:space="preserve"> given that it may not be possible for the foreign proceeding to be recognised as a main proceeding or non-main proceeding re </w:t>
      </w:r>
      <w:proofErr w:type="gramStart"/>
      <w:r w:rsidR="009F3A78" w:rsidRPr="009F3A78">
        <w:rPr>
          <w:rFonts w:ascii="Avenir Next" w:hAnsi="Avenir Next" w:cs="Arial"/>
          <w:i/>
          <w:iCs/>
          <w:color w:val="808080" w:themeColor="background1" w:themeShade="80"/>
          <w:sz w:val="22"/>
          <w:szCs w:val="22"/>
          <w:lang w:val="en-GB"/>
        </w:rPr>
        <w:t>In</w:t>
      </w:r>
      <w:proofErr w:type="gramEnd"/>
      <w:r w:rsidR="009F3A78" w:rsidRPr="009F3A78">
        <w:rPr>
          <w:rFonts w:ascii="Avenir Next" w:hAnsi="Avenir Next" w:cs="Arial"/>
          <w:i/>
          <w:iCs/>
          <w:color w:val="808080" w:themeColor="background1" w:themeShade="80"/>
          <w:sz w:val="22"/>
          <w:szCs w:val="22"/>
          <w:lang w:val="en-GB"/>
        </w:rPr>
        <w:t xml:space="preserve"> re Bear Stearns High-Grade Structured Credit Strategies Master Fund</w:t>
      </w:r>
      <w:r w:rsidR="00223576">
        <w:rPr>
          <w:rStyle w:val="FootnoteReference"/>
          <w:rFonts w:ascii="Avenir Next" w:hAnsi="Avenir Next" w:cs="Arial"/>
          <w:i/>
          <w:iCs/>
          <w:color w:val="808080" w:themeColor="background1" w:themeShade="80"/>
          <w:sz w:val="22"/>
          <w:szCs w:val="22"/>
          <w:lang w:val="en-GB"/>
        </w:rPr>
        <w:footnoteReference w:id="16"/>
      </w:r>
      <w:r w:rsidR="009F3A78">
        <w:rPr>
          <w:rFonts w:ascii="Avenir Next" w:hAnsi="Avenir Next" w:cs="Arial"/>
          <w:color w:val="808080" w:themeColor="background1" w:themeShade="80"/>
          <w:sz w:val="22"/>
          <w:szCs w:val="22"/>
          <w:lang w:val="en-GB"/>
        </w:rPr>
        <w:t>.</w:t>
      </w:r>
    </w:p>
    <w:p w14:paraId="12F7CA19" w14:textId="77777777" w:rsidR="009F3A78" w:rsidRDefault="009F3A78" w:rsidP="004E4DCD">
      <w:pPr>
        <w:jc w:val="both"/>
        <w:rPr>
          <w:rFonts w:ascii="Avenir Next" w:hAnsi="Avenir Next" w:cs="Arial"/>
          <w:color w:val="808080" w:themeColor="background1" w:themeShade="80"/>
          <w:sz w:val="22"/>
          <w:szCs w:val="22"/>
          <w:lang w:val="en-GB"/>
        </w:rPr>
      </w:pPr>
    </w:p>
    <w:p w14:paraId="26809563" w14:textId="6D7DECF1" w:rsidR="00D377B8" w:rsidRDefault="00D377B8" w:rsidP="004E4DC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Recognition is not required for co-operations as such if the foreign proceeding does not qualify for recognition as a foreign main proceeding or a foreign non-main proceeding (under Article 17) there is a still the option for the courts to co-operate under Article 25. (Article 25(1) requires the court in Country B to co-operate with the court in Country A and the foreign representative). </w:t>
      </w:r>
    </w:p>
    <w:p w14:paraId="3E00B7DA" w14:textId="77777777" w:rsidR="00D377B8" w:rsidRDefault="00D377B8" w:rsidP="004E4DCD">
      <w:pPr>
        <w:jc w:val="both"/>
        <w:rPr>
          <w:rFonts w:ascii="Avenir Next" w:hAnsi="Avenir Next" w:cs="Arial"/>
          <w:color w:val="808080" w:themeColor="background1" w:themeShade="80"/>
          <w:sz w:val="22"/>
          <w:szCs w:val="22"/>
          <w:lang w:val="en-GB"/>
        </w:rPr>
      </w:pPr>
    </w:p>
    <w:p w14:paraId="7D19B2C1" w14:textId="03587BFA" w:rsidR="00D377B8" w:rsidRDefault="00D377B8" w:rsidP="004E4DC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course of action would be to apply to the court in Country B under Articles 27 to </w:t>
      </w:r>
      <w:r w:rsidRPr="00D377B8">
        <w:rPr>
          <w:rFonts w:ascii="Avenir Next" w:hAnsi="Avenir Next" w:cs="Arial"/>
          <w:i/>
          <w:iCs/>
          <w:color w:val="808080" w:themeColor="background1" w:themeShade="80"/>
          <w:sz w:val="22"/>
          <w:szCs w:val="22"/>
          <w:lang w:val="en-GB"/>
        </w:rPr>
        <w:t>inter alia</w:t>
      </w:r>
      <w:r>
        <w:rPr>
          <w:rFonts w:ascii="Avenir Next" w:hAnsi="Avenir Next" w:cs="Arial"/>
          <w:color w:val="808080" w:themeColor="background1" w:themeShade="80"/>
          <w:sz w:val="22"/>
          <w:szCs w:val="22"/>
          <w:lang w:val="en-GB"/>
        </w:rPr>
        <w:t xml:space="preserve">: </w:t>
      </w:r>
    </w:p>
    <w:p w14:paraId="288FB65E" w14:textId="4B57B40E" w:rsidR="00D377B8" w:rsidRDefault="00D377B8" w:rsidP="00D377B8">
      <w:pPr>
        <w:pStyle w:val="ListParagraph"/>
        <w:numPr>
          <w:ilvl w:val="0"/>
          <w:numId w:val="6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appoint a person or body to act at the direction of Country B’s court</w:t>
      </w:r>
    </w:p>
    <w:p w14:paraId="6ED01CC6" w14:textId="2C78F7F1" w:rsidR="001E27CD" w:rsidRDefault="001E27CD" w:rsidP="00D377B8">
      <w:pPr>
        <w:pStyle w:val="ListParagraph"/>
        <w:numPr>
          <w:ilvl w:val="0"/>
          <w:numId w:val="6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co-ordinate the administration and supervision of the debtor’s assets and affairs in Country B, and </w:t>
      </w:r>
    </w:p>
    <w:p w14:paraId="400778FA" w14:textId="3D706379" w:rsidR="001E27CD" w:rsidRDefault="001E27CD" w:rsidP="00D377B8">
      <w:pPr>
        <w:pStyle w:val="ListParagraph"/>
        <w:numPr>
          <w:ilvl w:val="0"/>
          <w:numId w:val="6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co-ordinate the concurrent proceedings of the debtor.</w:t>
      </w:r>
    </w:p>
    <w:p w14:paraId="37DB6074" w14:textId="77777777" w:rsidR="00846C5A" w:rsidRDefault="00846C5A" w:rsidP="004E4DCD">
      <w:pPr>
        <w:jc w:val="both"/>
        <w:rPr>
          <w:rFonts w:ascii="Avenir Next" w:hAnsi="Avenir Next" w:cs="Arial"/>
          <w:color w:val="808080" w:themeColor="background1" w:themeShade="80"/>
          <w:sz w:val="22"/>
          <w:szCs w:val="22"/>
          <w:lang w:val="en-GB"/>
        </w:rPr>
      </w:pPr>
    </w:p>
    <w:p w14:paraId="7D9AFA81" w14:textId="4D8FF878" w:rsidR="00A87762" w:rsidRDefault="00D377B8" w:rsidP="004E4DC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Given the (limited</w:t>
      </w:r>
      <w:r w:rsidR="0059094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facts the </w:t>
      </w:r>
      <w:r w:rsidR="00A87762">
        <w:rPr>
          <w:rFonts w:ascii="Avenir Next" w:hAnsi="Avenir Next" w:cs="Arial"/>
          <w:color w:val="808080" w:themeColor="background1" w:themeShade="80"/>
          <w:sz w:val="22"/>
          <w:szCs w:val="22"/>
          <w:lang w:val="en-GB"/>
        </w:rPr>
        <w:t xml:space="preserve">debtor </w:t>
      </w:r>
      <w:r>
        <w:rPr>
          <w:rFonts w:ascii="Avenir Next" w:hAnsi="Avenir Next" w:cs="Arial"/>
          <w:color w:val="808080" w:themeColor="background1" w:themeShade="80"/>
          <w:sz w:val="22"/>
          <w:szCs w:val="22"/>
          <w:lang w:val="en-GB"/>
        </w:rPr>
        <w:t>may be</w:t>
      </w:r>
      <w:r w:rsidR="00A87762">
        <w:rPr>
          <w:rFonts w:ascii="Avenir Next" w:hAnsi="Avenir Next" w:cs="Arial"/>
          <w:color w:val="808080" w:themeColor="background1" w:themeShade="80"/>
          <w:sz w:val="22"/>
          <w:szCs w:val="22"/>
          <w:lang w:val="en-GB"/>
        </w:rPr>
        <w:t xml:space="preserve"> a “letter box company” (i.e. the company’s management, administration and financial affairs are located in a different country</w:t>
      </w:r>
      <w:r>
        <w:rPr>
          <w:rFonts w:ascii="Avenir Next" w:hAnsi="Avenir Next" w:cs="Arial"/>
          <w:color w:val="808080" w:themeColor="background1" w:themeShade="80"/>
          <w:sz w:val="22"/>
          <w:szCs w:val="22"/>
          <w:lang w:val="en-GB"/>
        </w:rPr>
        <w:t xml:space="preserve"> and the company is registered in Company A because for avoidance purposes</w:t>
      </w:r>
      <w:r w:rsidR="00A87762">
        <w:rPr>
          <w:rFonts w:ascii="Avenir Next" w:hAnsi="Avenir Next" w:cs="Arial"/>
          <w:color w:val="808080" w:themeColor="background1" w:themeShade="80"/>
          <w:sz w:val="22"/>
          <w:szCs w:val="22"/>
          <w:lang w:val="en-GB"/>
        </w:rPr>
        <w:t xml:space="preserve">).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lastRenderedPageBreak/>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w:t>
      </w:r>
      <w:r w:rsidRPr="00672180">
        <w:rPr>
          <w:rFonts w:ascii="Avenir Next" w:hAnsi="Avenir Next"/>
          <w:sz w:val="22"/>
          <w:szCs w:val="28"/>
        </w:rPr>
        <w:t>commercial automobile insurance sector in the United States. Globe Holdings was initially</w:t>
      </w:r>
      <w:r w:rsidRPr="00E61F6E">
        <w:rPr>
          <w:rFonts w:ascii="Avenir Next" w:hAnsi="Avenir Next"/>
          <w:sz w:val="22"/>
          <w:szCs w:val="28"/>
        </w:rPr>
        <w:t xml:space="preserve">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Globe Holdings has no business operations of its own. The business is carried out through </w:t>
      </w:r>
      <w:r w:rsidRPr="00672180">
        <w:rPr>
          <w:rFonts w:ascii="Avenir Next" w:hAnsi="Avenir Next"/>
          <w:sz w:val="22"/>
          <w:szCs w:val="28"/>
        </w:rPr>
        <w:t>its non-insurance company non-debtor subsidiaries that are all incorporated under the US</w:t>
      </w:r>
      <w:r w:rsidRPr="00E61F6E">
        <w:rPr>
          <w:rFonts w:ascii="Avenir Next" w:hAnsi="Avenir Next"/>
          <w:sz w:val="22"/>
          <w:szCs w:val="28"/>
        </w:rPr>
        <w:t xml:space="preserve">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w:t>
      </w:r>
      <w:r w:rsidRPr="00672180">
        <w:rPr>
          <w:rFonts w:ascii="Avenir Next" w:hAnsi="Avenir Next"/>
          <w:sz w:val="22"/>
          <w:szCs w:val="28"/>
        </w:rPr>
        <w:t xml:space="preserve">consequently resulted in </w:t>
      </w:r>
      <w:r w:rsidRPr="00672180">
        <w:rPr>
          <w:rFonts w:ascii="Avenir Next" w:hAnsi="Avenir Next"/>
          <w:sz w:val="22"/>
          <w:szCs w:val="28"/>
          <w:lang w:val="en-GB"/>
        </w:rPr>
        <w:t xml:space="preserve">Globe Holdings </w:t>
      </w:r>
      <w:r w:rsidRPr="00672180">
        <w:rPr>
          <w:rFonts w:ascii="Avenir Next" w:hAnsi="Avenir Next"/>
          <w:sz w:val="22"/>
          <w:szCs w:val="28"/>
        </w:rPr>
        <w:t>being both cash flow and balance sheet insolvent.</w:t>
      </w:r>
      <w:r w:rsidRPr="00E61F6E">
        <w:rPr>
          <w:rFonts w:ascii="Avenir Next" w:hAnsi="Avenir Next"/>
          <w:sz w:val="22"/>
          <w:szCs w:val="28"/>
        </w:rPr>
        <w:t xml:space="preserve">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w:t>
      </w:r>
      <w:r w:rsidRPr="00E61F6E">
        <w:rPr>
          <w:rFonts w:ascii="Avenir Next" w:hAnsi="Avenir Next"/>
          <w:sz w:val="22"/>
          <w:szCs w:val="28"/>
        </w:rPr>
        <w:lastRenderedPageBreak/>
        <w:t xml:space="preserve">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6E7F5EF3" w14:textId="732AFF37" w:rsidR="00B82AE9" w:rsidRPr="00B82AE9" w:rsidRDefault="00B82AE9" w:rsidP="009E3CA7">
      <w:pPr>
        <w:jc w:val="both"/>
        <w:rPr>
          <w:rFonts w:ascii="Avenir Next" w:hAnsi="Avenir Next"/>
          <w:b/>
          <w:bCs/>
          <w:color w:val="808080" w:themeColor="background1" w:themeShade="80"/>
          <w:sz w:val="22"/>
          <w:szCs w:val="28"/>
        </w:rPr>
      </w:pPr>
      <w:r w:rsidRPr="00B82AE9">
        <w:rPr>
          <w:rFonts w:ascii="Avenir Next" w:hAnsi="Avenir Next"/>
          <w:b/>
          <w:bCs/>
          <w:color w:val="808080" w:themeColor="background1" w:themeShade="80"/>
          <w:sz w:val="22"/>
          <w:szCs w:val="28"/>
        </w:rPr>
        <w:t xml:space="preserve">Assumptions </w:t>
      </w:r>
    </w:p>
    <w:p w14:paraId="6B13DA4E" w14:textId="0E019A0B" w:rsidR="008A23FD" w:rsidRDefault="008A23FD"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client is considered to by Globe Financial Holdings (formerly Globe Holdings). Globe Financial Holdings is referred to as GFH and Globe Holdings as GH. </w:t>
      </w:r>
    </w:p>
    <w:p w14:paraId="7D62BE12" w14:textId="77777777" w:rsidR="008A23FD" w:rsidRDefault="008A23FD" w:rsidP="009E3CA7">
      <w:pPr>
        <w:jc w:val="both"/>
        <w:rPr>
          <w:rFonts w:ascii="Avenir Next" w:hAnsi="Avenir Next"/>
          <w:color w:val="808080" w:themeColor="background1" w:themeShade="80"/>
          <w:sz w:val="22"/>
          <w:szCs w:val="28"/>
        </w:rPr>
      </w:pPr>
    </w:p>
    <w:p w14:paraId="30D7E6F9" w14:textId="48611292" w:rsidR="009E3CA7" w:rsidRDefault="008A23FD"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It is assumed that the advice being given is to GH in the Cayman Islands in early 2024.  </w:t>
      </w:r>
    </w:p>
    <w:p w14:paraId="2252F316" w14:textId="77777777" w:rsidR="00B82AE9" w:rsidRDefault="00B82AE9" w:rsidP="009E3CA7">
      <w:pPr>
        <w:jc w:val="both"/>
        <w:rPr>
          <w:rFonts w:ascii="Avenir Next" w:hAnsi="Avenir Next"/>
          <w:color w:val="808080" w:themeColor="background1" w:themeShade="80"/>
          <w:sz w:val="22"/>
          <w:szCs w:val="28"/>
        </w:rPr>
      </w:pPr>
    </w:p>
    <w:p w14:paraId="4DEE5427" w14:textId="6D46AF40" w:rsidR="00B82AE9" w:rsidRDefault="00B82AE9"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global covid pandemic was declared in 2020 and prohibited travel for most of 2020 and 2021. </w:t>
      </w:r>
    </w:p>
    <w:p w14:paraId="1596D76C" w14:textId="77777777" w:rsidR="00B82AE9" w:rsidRDefault="00B82AE9" w:rsidP="009E3CA7">
      <w:pPr>
        <w:jc w:val="both"/>
        <w:rPr>
          <w:rFonts w:ascii="Avenir Next" w:hAnsi="Avenir Next"/>
          <w:color w:val="808080" w:themeColor="background1" w:themeShade="80"/>
          <w:sz w:val="22"/>
          <w:szCs w:val="28"/>
        </w:rPr>
      </w:pPr>
    </w:p>
    <w:p w14:paraId="79AF0604" w14:textId="5B65EDEF" w:rsidR="00B82AE9" w:rsidRDefault="00B82AE9"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 xml:space="preserve">Note: Reference is made throughout the question to “Globe Holdings” notwithstanding the reference to a change of name. It is assumed that after the references to Globe Holdings after 2010 (mid-first paragraph) are to GFH. </w:t>
      </w:r>
    </w:p>
    <w:p w14:paraId="6EB993AD" w14:textId="77777777" w:rsidR="001E1C4C" w:rsidRDefault="001E1C4C" w:rsidP="009E3CA7">
      <w:pPr>
        <w:jc w:val="both"/>
        <w:rPr>
          <w:rFonts w:ascii="Avenir Next" w:hAnsi="Avenir Next"/>
          <w:color w:val="808080" w:themeColor="background1" w:themeShade="80"/>
          <w:sz w:val="22"/>
          <w:szCs w:val="28"/>
        </w:rPr>
      </w:pPr>
    </w:p>
    <w:p w14:paraId="5A382F86" w14:textId="368BF91B" w:rsidR="001E1C4C" w:rsidRDefault="001E1C4C"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statement “during all this time” last paragraph it is not assumed that this refers to the time period from 2009 but rather from the </w:t>
      </w:r>
      <w:r w:rsidR="00E33395">
        <w:rPr>
          <w:rFonts w:ascii="Avenir Next" w:hAnsi="Avenir Next"/>
          <w:color w:val="808080" w:themeColor="background1" w:themeShade="80"/>
          <w:sz w:val="22"/>
          <w:szCs w:val="28"/>
        </w:rPr>
        <w:t xml:space="preserve">time that restructuring was considered so from around mid to late 2021. </w:t>
      </w:r>
    </w:p>
    <w:p w14:paraId="7C720324" w14:textId="77777777" w:rsidR="008A23FD" w:rsidRDefault="008A23FD" w:rsidP="009E3CA7">
      <w:pPr>
        <w:jc w:val="both"/>
        <w:rPr>
          <w:rFonts w:ascii="Avenir Next" w:hAnsi="Avenir Next"/>
          <w:color w:val="808080" w:themeColor="background1" w:themeShade="80"/>
          <w:sz w:val="22"/>
          <w:szCs w:val="28"/>
        </w:rPr>
      </w:pPr>
    </w:p>
    <w:p w14:paraId="0E9506B3" w14:textId="681338A5" w:rsidR="008A23FD" w:rsidRDefault="008A23FD" w:rsidP="009E3CA7">
      <w:pPr>
        <w:jc w:val="both"/>
        <w:rPr>
          <w:rFonts w:ascii="Avenir Next" w:hAnsi="Avenir Next"/>
          <w:b/>
          <w:bCs/>
          <w:color w:val="808080" w:themeColor="background1" w:themeShade="80"/>
          <w:sz w:val="22"/>
          <w:szCs w:val="28"/>
        </w:rPr>
      </w:pPr>
      <w:r w:rsidRPr="008A23FD">
        <w:rPr>
          <w:rFonts w:ascii="Avenir Next" w:hAnsi="Avenir Next"/>
          <w:b/>
          <w:bCs/>
          <w:color w:val="808080" w:themeColor="background1" w:themeShade="80"/>
          <w:sz w:val="22"/>
          <w:szCs w:val="28"/>
        </w:rPr>
        <w:t>COMI</w:t>
      </w:r>
      <w:r w:rsidR="00B82AE9">
        <w:rPr>
          <w:rFonts w:ascii="Avenir Next" w:hAnsi="Avenir Next"/>
          <w:b/>
          <w:bCs/>
          <w:color w:val="808080" w:themeColor="background1" w:themeShade="80"/>
          <w:sz w:val="22"/>
          <w:szCs w:val="28"/>
        </w:rPr>
        <w:t xml:space="preserve">/Establishment </w:t>
      </w:r>
      <w:r w:rsidRPr="008A23FD">
        <w:rPr>
          <w:rFonts w:ascii="Avenir Next" w:hAnsi="Avenir Next"/>
          <w:b/>
          <w:bCs/>
          <w:color w:val="808080" w:themeColor="background1" w:themeShade="80"/>
          <w:sz w:val="22"/>
          <w:szCs w:val="28"/>
        </w:rPr>
        <w:t>Analysis</w:t>
      </w:r>
    </w:p>
    <w:p w14:paraId="561DDD83" w14:textId="01EDAE5D" w:rsidR="008A23FD" w:rsidRPr="008A23FD" w:rsidRDefault="008A23FD" w:rsidP="009E3CA7">
      <w:pPr>
        <w:jc w:val="both"/>
        <w:rPr>
          <w:rFonts w:ascii="Avenir Next" w:hAnsi="Avenir Next"/>
          <w:color w:val="808080" w:themeColor="background1" w:themeShade="80"/>
          <w:sz w:val="22"/>
          <w:szCs w:val="28"/>
        </w:rPr>
      </w:pPr>
      <w:r w:rsidRPr="008A23FD">
        <w:rPr>
          <w:rFonts w:ascii="Avenir Next" w:hAnsi="Avenir Next"/>
          <w:color w:val="808080" w:themeColor="background1" w:themeShade="80"/>
          <w:sz w:val="22"/>
          <w:szCs w:val="28"/>
        </w:rPr>
        <w:t>Facts</w:t>
      </w:r>
      <w:r>
        <w:rPr>
          <w:rFonts w:ascii="Avenir Next" w:hAnsi="Avenir Next"/>
          <w:color w:val="808080" w:themeColor="background1" w:themeShade="80"/>
          <w:sz w:val="22"/>
          <w:szCs w:val="28"/>
        </w:rPr>
        <w:t xml:space="preserve"> to consider</w:t>
      </w:r>
      <w:r w:rsidRPr="008A23FD">
        <w:rPr>
          <w:rFonts w:ascii="Avenir Next" w:hAnsi="Avenir Next"/>
          <w:color w:val="808080" w:themeColor="background1" w:themeShade="80"/>
          <w:sz w:val="22"/>
          <w:szCs w:val="28"/>
        </w:rPr>
        <w:t>:</w:t>
      </w:r>
    </w:p>
    <w:p w14:paraId="51D60C2B" w14:textId="0FF0AEB1" w:rsidR="008A23FD" w:rsidRPr="008A23FD" w:rsidRDefault="008A23FD" w:rsidP="008A23FD">
      <w:pPr>
        <w:pStyle w:val="ListParagraph"/>
        <w:numPr>
          <w:ilvl w:val="0"/>
          <w:numId w:val="69"/>
        </w:numPr>
        <w:jc w:val="both"/>
        <w:rPr>
          <w:rFonts w:ascii="Avenir Next" w:hAnsi="Avenir Next"/>
          <w:color w:val="808080" w:themeColor="background1" w:themeShade="80"/>
          <w:sz w:val="22"/>
          <w:szCs w:val="28"/>
        </w:rPr>
      </w:pPr>
      <w:r w:rsidRPr="008A23FD">
        <w:rPr>
          <w:rFonts w:ascii="Avenir Next" w:hAnsi="Avenir Next"/>
          <w:color w:val="808080" w:themeColor="background1" w:themeShade="80"/>
          <w:sz w:val="22"/>
          <w:szCs w:val="28"/>
        </w:rPr>
        <w:t>In 2009 GH was formed in Canada (under the laws of Ontari</w:t>
      </w:r>
      <w:r w:rsidR="00D034FD">
        <w:rPr>
          <w:rFonts w:ascii="Avenir Next" w:hAnsi="Avenir Next"/>
          <w:color w:val="808080" w:themeColor="background1" w:themeShade="80"/>
          <w:sz w:val="22"/>
          <w:szCs w:val="28"/>
        </w:rPr>
        <w:t>o</w:t>
      </w:r>
      <w:r w:rsidRPr="008A23FD">
        <w:rPr>
          <w:rFonts w:ascii="Avenir Next" w:hAnsi="Avenir Next"/>
          <w:color w:val="808080" w:themeColor="background1" w:themeShade="80"/>
          <w:sz w:val="22"/>
          <w:szCs w:val="28"/>
        </w:rPr>
        <w:t>).</w:t>
      </w:r>
    </w:p>
    <w:p w14:paraId="01DEC030" w14:textId="77777777" w:rsidR="008A23FD" w:rsidRDefault="008A23FD" w:rsidP="008A23FD">
      <w:pPr>
        <w:pStyle w:val="ListParagraph"/>
        <w:numPr>
          <w:ilvl w:val="0"/>
          <w:numId w:val="6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2010 </w:t>
      </w:r>
    </w:p>
    <w:p w14:paraId="536CD705" w14:textId="64FE10FE" w:rsidR="008A23FD" w:rsidRDefault="008A23FD" w:rsidP="008A23FD">
      <w:pPr>
        <w:pStyle w:val="ListParagraph"/>
        <w:numPr>
          <w:ilvl w:val="1"/>
          <w:numId w:val="6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 re-domesticated in the Cayman Islands officially filing a Certificate of Registration by Way of Continuation</w:t>
      </w:r>
    </w:p>
    <w:p w14:paraId="56E0C0AD" w14:textId="52A7D131" w:rsidR="008A23FD" w:rsidRDefault="008A23FD" w:rsidP="008A23FD">
      <w:pPr>
        <w:pStyle w:val="ListParagraph"/>
        <w:numPr>
          <w:ilvl w:val="1"/>
          <w:numId w:val="6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 changed its name to G</w:t>
      </w:r>
      <w:r w:rsidR="00B82AE9">
        <w:rPr>
          <w:rFonts w:ascii="Avenir Next" w:hAnsi="Avenir Next"/>
          <w:color w:val="808080" w:themeColor="background1" w:themeShade="80"/>
          <w:sz w:val="22"/>
          <w:szCs w:val="28"/>
        </w:rPr>
        <w:t>F</w:t>
      </w:r>
      <w:r>
        <w:rPr>
          <w:rFonts w:ascii="Avenir Next" w:hAnsi="Avenir Next"/>
          <w:color w:val="808080" w:themeColor="background1" w:themeShade="80"/>
          <w:sz w:val="22"/>
          <w:szCs w:val="28"/>
        </w:rPr>
        <w:t>H</w:t>
      </w:r>
    </w:p>
    <w:p w14:paraId="45F63EBF" w14:textId="558330FE" w:rsidR="008A23FD" w:rsidRDefault="008A23FD" w:rsidP="008A23FD">
      <w:pPr>
        <w:pStyle w:val="ListParagraph"/>
        <w:numPr>
          <w:ilvl w:val="1"/>
          <w:numId w:val="6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 issues notices of the re-incorporation including in the public filings with the Securities and Exchange Commission (SEC)</w:t>
      </w:r>
      <w:r w:rsidR="00E33395">
        <w:rPr>
          <w:rFonts w:ascii="Avenir Next" w:hAnsi="Avenir Next"/>
          <w:color w:val="808080" w:themeColor="background1" w:themeShade="80"/>
          <w:sz w:val="22"/>
          <w:szCs w:val="28"/>
        </w:rPr>
        <w:t>, in the United States</w:t>
      </w:r>
      <w:r>
        <w:rPr>
          <w:rFonts w:ascii="Avenir Next" w:hAnsi="Avenir Next"/>
          <w:color w:val="808080" w:themeColor="background1" w:themeShade="80"/>
          <w:sz w:val="22"/>
          <w:szCs w:val="28"/>
        </w:rPr>
        <w:t xml:space="preserve">. </w:t>
      </w:r>
    </w:p>
    <w:p w14:paraId="3AF84D71" w14:textId="15DABF19" w:rsidR="008A23FD" w:rsidRDefault="008A23FD" w:rsidP="008A23FD">
      <w:pPr>
        <w:pStyle w:val="ListParagraph"/>
        <w:numPr>
          <w:ilvl w:val="0"/>
          <w:numId w:val="6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Circa 2010 is retained counsel in the Cayman Islands which it retains to present day. </w:t>
      </w:r>
    </w:p>
    <w:p w14:paraId="0D1A9A79" w14:textId="05CD53E1" w:rsidR="008A23FD" w:rsidRDefault="008A23FD" w:rsidP="008A23FD">
      <w:pPr>
        <w:pStyle w:val="ListParagraph"/>
        <w:numPr>
          <w:ilvl w:val="0"/>
          <w:numId w:val="6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It did not have a bank account in the Cayman Islands until 2024. It is now paying expenses from this account. </w:t>
      </w:r>
    </w:p>
    <w:p w14:paraId="5549EA3E" w14:textId="1588CE13" w:rsidR="001E1C4C" w:rsidRDefault="001E1C4C" w:rsidP="008A23FD">
      <w:pPr>
        <w:pStyle w:val="ListParagraph"/>
        <w:numPr>
          <w:ilvl w:val="0"/>
          <w:numId w:val="6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It is a financial services holding company for </w:t>
      </w:r>
      <w:r w:rsidR="00E33395">
        <w:rPr>
          <w:rFonts w:ascii="Avenir Next" w:hAnsi="Avenir Next"/>
          <w:color w:val="808080" w:themeColor="background1" w:themeShade="80"/>
          <w:sz w:val="22"/>
          <w:szCs w:val="28"/>
        </w:rPr>
        <w:t xml:space="preserve">direct and indirect </w:t>
      </w:r>
      <w:r w:rsidR="00762BC8">
        <w:rPr>
          <w:rFonts w:ascii="Avenir Next" w:hAnsi="Avenir Next"/>
          <w:color w:val="808080" w:themeColor="background1" w:themeShade="80"/>
          <w:sz w:val="22"/>
          <w:szCs w:val="28"/>
        </w:rPr>
        <w:t>subsidiaries</w:t>
      </w:r>
      <w:r w:rsidR="00E33395">
        <w:rPr>
          <w:rFonts w:ascii="Avenir Next" w:hAnsi="Avenir Next"/>
          <w:color w:val="808080" w:themeColor="background1" w:themeShade="80"/>
          <w:sz w:val="22"/>
          <w:szCs w:val="28"/>
        </w:rPr>
        <w:t xml:space="preserve"> that operate in the commercial automobile insurance sector in the United States (US)</w:t>
      </w:r>
    </w:p>
    <w:p w14:paraId="794F9173" w14:textId="17A591C9" w:rsidR="008A23FD" w:rsidRDefault="008A23FD" w:rsidP="008A23FD">
      <w:pPr>
        <w:pStyle w:val="ListParagraph"/>
        <w:numPr>
          <w:ilvl w:val="0"/>
          <w:numId w:val="6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Books and records are </w:t>
      </w:r>
      <w:r w:rsidR="001E1C4C">
        <w:rPr>
          <w:rFonts w:ascii="Avenir Next" w:hAnsi="Avenir Next"/>
          <w:color w:val="808080" w:themeColor="background1" w:themeShade="80"/>
          <w:sz w:val="22"/>
          <w:szCs w:val="28"/>
        </w:rPr>
        <w:t>maintained</w:t>
      </w:r>
      <w:r>
        <w:rPr>
          <w:rFonts w:ascii="Avenir Next" w:hAnsi="Avenir Next"/>
          <w:color w:val="808080" w:themeColor="background1" w:themeShade="80"/>
          <w:sz w:val="22"/>
          <w:szCs w:val="28"/>
        </w:rPr>
        <w:t xml:space="preserve"> in the Cayman Islands</w:t>
      </w:r>
    </w:p>
    <w:p w14:paraId="6F26271A" w14:textId="7DCF1B26" w:rsidR="008A23FD" w:rsidRDefault="008A23FD" w:rsidP="008A23FD">
      <w:pPr>
        <w:pStyle w:val="ListParagraph"/>
        <w:numPr>
          <w:ilvl w:val="0"/>
          <w:numId w:val="6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Board meetings are held virtually.</w:t>
      </w:r>
    </w:p>
    <w:p w14:paraId="0A75DF69" w14:textId="7868A3A8" w:rsidR="00B82AE9" w:rsidRDefault="00B82AE9" w:rsidP="008A23FD">
      <w:pPr>
        <w:pStyle w:val="ListParagraph"/>
        <w:numPr>
          <w:ilvl w:val="0"/>
          <w:numId w:val="6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Public documents with the SEC and a prospectus for the issuance of notes disclose that GFH as being a “Cayman Islands company” and it is made clear that being a “</w:t>
      </w:r>
      <w:r>
        <w:rPr>
          <w:rFonts w:ascii="Avenir Next" w:hAnsi="Avenir Next"/>
          <w:color w:val="808080" w:themeColor="background1" w:themeShade="80"/>
          <w:sz w:val="22"/>
          <w:szCs w:val="28"/>
        </w:rPr>
        <w:t>Cayman Islands company</w:t>
      </w:r>
      <w:r>
        <w:rPr>
          <w:rFonts w:ascii="Avenir Next" w:hAnsi="Avenir Next"/>
          <w:color w:val="808080" w:themeColor="background1" w:themeShade="80"/>
          <w:sz w:val="22"/>
          <w:szCs w:val="28"/>
        </w:rPr>
        <w:t>” has indemnification and tax consequences</w:t>
      </w:r>
    </w:p>
    <w:p w14:paraId="06B46AEB" w14:textId="52A66AC2" w:rsidR="00B82AE9" w:rsidRDefault="00B82AE9" w:rsidP="008A23FD">
      <w:pPr>
        <w:pStyle w:val="ListParagraph"/>
        <w:numPr>
          <w:ilvl w:val="0"/>
          <w:numId w:val="6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GFH has no business operations. It is a holding company.</w:t>
      </w:r>
    </w:p>
    <w:p w14:paraId="0C7D061D" w14:textId="64DF0F2C" w:rsidR="00B82AE9" w:rsidRDefault="00B82AE9" w:rsidP="008A23FD">
      <w:pPr>
        <w:pStyle w:val="ListParagraph"/>
        <w:numPr>
          <w:ilvl w:val="0"/>
          <w:numId w:val="6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Business is carried out through non-insurance non-debtor subsidiaries incorporated and operating in the US.</w:t>
      </w:r>
    </w:p>
    <w:p w14:paraId="682F4DB1" w14:textId="08D786C6" w:rsidR="00B82AE9" w:rsidRDefault="00B82AE9" w:rsidP="008A23FD">
      <w:pPr>
        <w:pStyle w:val="ListParagraph"/>
        <w:numPr>
          <w:ilvl w:val="0"/>
          <w:numId w:val="6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US based subsidiaries have employees</w:t>
      </w:r>
    </w:p>
    <w:p w14:paraId="4FE5FC3E" w14:textId="7AB0FAFE" w:rsidR="00B82AE9" w:rsidRDefault="00B82AE9" w:rsidP="008A23FD">
      <w:pPr>
        <w:pStyle w:val="ListParagraph"/>
        <w:numPr>
          <w:ilvl w:val="0"/>
          <w:numId w:val="6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GFH headquarters in the US. </w:t>
      </w:r>
    </w:p>
    <w:p w14:paraId="1469F5E1" w14:textId="0581932F" w:rsidR="00B82AE9" w:rsidRDefault="00B82AE9" w:rsidP="008A23FD">
      <w:pPr>
        <w:pStyle w:val="ListParagraph"/>
        <w:numPr>
          <w:ilvl w:val="0"/>
          <w:numId w:val="6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2017 GFH offered and issues notes due in 2023 governed by New York (US) Law. </w:t>
      </w:r>
    </w:p>
    <w:p w14:paraId="07D3EEC3" w14:textId="00C2EED1" w:rsidR="00B82AE9" w:rsidRDefault="001E1C4C" w:rsidP="008A23FD">
      <w:pPr>
        <w:pStyle w:val="ListParagraph"/>
        <w:numPr>
          <w:ilvl w:val="0"/>
          <w:numId w:val="6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November </w:t>
      </w:r>
      <w:r w:rsidR="00B82AE9">
        <w:rPr>
          <w:rFonts w:ascii="Avenir Next" w:hAnsi="Avenir Next"/>
          <w:color w:val="808080" w:themeColor="background1" w:themeShade="80"/>
          <w:sz w:val="22"/>
          <w:szCs w:val="28"/>
        </w:rPr>
        <w:t>2020 GFH shares delisted from NASDAQ.</w:t>
      </w:r>
    </w:p>
    <w:p w14:paraId="2355B2C0" w14:textId="4F64B63B" w:rsidR="00B82AE9" w:rsidRDefault="00B82AE9" w:rsidP="008A23FD">
      <w:pPr>
        <w:pStyle w:val="ListParagraph"/>
        <w:numPr>
          <w:ilvl w:val="0"/>
          <w:numId w:val="6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GFH owns a building and furniture and fitting in New York. </w:t>
      </w:r>
    </w:p>
    <w:p w14:paraId="252A3657" w14:textId="1B61E10E" w:rsidR="001E1C4C" w:rsidRDefault="001E1C4C" w:rsidP="008A23FD">
      <w:pPr>
        <w:pStyle w:val="ListParagraph"/>
        <w:numPr>
          <w:ilvl w:val="0"/>
          <w:numId w:val="6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Circa late 2020 /early 2021 GFH was potentially insolvent</w:t>
      </w:r>
    </w:p>
    <w:p w14:paraId="453F79C9" w14:textId="200AEA3B" w:rsidR="001E1C4C" w:rsidRDefault="001E1C4C" w:rsidP="008A23FD">
      <w:pPr>
        <w:pStyle w:val="ListParagraph"/>
        <w:numPr>
          <w:ilvl w:val="0"/>
          <w:numId w:val="6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Circa 2021 GFH commenced planning for scheme</w:t>
      </w:r>
      <w:r w:rsidR="00762BC8">
        <w:rPr>
          <w:rFonts w:ascii="Avenir Next" w:hAnsi="Avenir Next"/>
          <w:color w:val="808080" w:themeColor="background1" w:themeShade="80"/>
          <w:sz w:val="22"/>
          <w:szCs w:val="28"/>
        </w:rPr>
        <w:t xml:space="preserve"> with respect to note programme (Notes)</w:t>
      </w:r>
      <w:r>
        <w:rPr>
          <w:rFonts w:ascii="Avenir Next" w:hAnsi="Avenir Next"/>
          <w:color w:val="808080" w:themeColor="background1" w:themeShade="80"/>
          <w:sz w:val="22"/>
          <w:szCs w:val="28"/>
        </w:rPr>
        <w:t xml:space="preserve"> under Cayman Island Law and recognition under chapter 15 in the US. </w:t>
      </w:r>
      <w:r w:rsidR="00762BC8">
        <w:rPr>
          <w:rFonts w:ascii="Avenir Next" w:hAnsi="Avenir Next"/>
          <w:color w:val="808080" w:themeColor="background1" w:themeShade="80"/>
          <w:sz w:val="22"/>
          <w:szCs w:val="28"/>
        </w:rPr>
        <w:t>The scheme is a formal proceeding.</w:t>
      </w:r>
    </w:p>
    <w:p w14:paraId="6979A584" w14:textId="7331D86C" w:rsidR="001E1C4C" w:rsidRDefault="001E1C4C" w:rsidP="008A23FD">
      <w:pPr>
        <w:pStyle w:val="ListParagraph"/>
        <w:numPr>
          <w:ilvl w:val="0"/>
          <w:numId w:val="6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August 2021 Restructuring Support Agreement (RSA) signed in terms of Cayman Island Law by the noteholders in respect of the proposed scheme (Scheme Creditors).</w:t>
      </w:r>
    </w:p>
    <w:p w14:paraId="2DBDC378" w14:textId="13EA44FE" w:rsidR="001E1C4C" w:rsidRDefault="001E1C4C" w:rsidP="008A23FD">
      <w:pPr>
        <w:pStyle w:val="ListParagraph"/>
        <w:numPr>
          <w:ilvl w:val="0"/>
          <w:numId w:val="6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July 2023 Cayman Court issued a court order convening a single scheme meeting (there being only one class of creditors affected by the scheme) </w:t>
      </w:r>
    </w:p>
    <w:p w14:paraId="591FED60" w14:textId="1CFFE72E" w:rsidR="001E1C4C" w:rsidRDefault="001E1C4C" w:rsidP="008A23FD">
      <w:pPr>
        <w:pStyle w:val="ListParagraph"/>
        <w:numPr>
          <w:ilvl w:val="0"/>
          <w:numId w:val="6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Scheme meeting was held in the Cayman Islands, with Scheme Creditors able to attend virtually</w:t>
      </w:r>
      <w:r w:rsidR="00E33395">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 xml:space="preserve"> </w:t>
      </w:r>
    </w:p>
    <w:p w14:paraId="45C2E40A" w14:textId="77777777" w:rsidR="001E1C4C" w:rsidRDefault="001E1C4C" w:rsidP="008A23FD">
      <w:pPr>
        <w:pStyle w:val="ListParagraph"/>
        <w:numPr>
          <w:ilvl w:val="0"/>
          <w:numId w:val="6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The Scheme was approved by the Scheme Creditors</w:t>
      </w:r>
    </w:p>
    <w:p w14:paraId="5F14D725" w14:textId="2BBE3B08" w:rsidR="001E1C4C" w:rsidRDefault="001E1C4C" w:rsidP="008A23FD">
      <w:pPr>
        <w:pStyle w:val="ListParagraph"/>
        <w:numPr>
          <w:ilvl w:val="0"/>
          <w:numId w:val="6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Cayman Court sanctioned the Scheme and issued a court order (Sanction Order) which was filed with the Registrar of Companies in the Cayman Islands.  </w:t>
      </w:r>
    </w:p>
    <w:p w14:paraId="412862E2" w14:textId="77777777" w:rsidR="00D31317" w:rsidRDefault="00D31317" w:rsidP="001E1C4C">
      <w:pPr>
        <w:jc w:val="both"/>
        <w:rPr>
          <w:rFonts w:ascii="Avenir Next" w:hAnsi="Avenir Next"/>
          <w:color w:val="808080" w:themeColor="background1" w:themeShade="80"/>
          <w:sz w:val="22"/>
          <w:szCs w:val="28"/>
        </w:rPr>
      </w:pPr>
    </w:p>
    <w:p w14:paraId="66D4B747" w14:textId="6A8EF895" w:rsidR="00192555" w:rsidRPr="00192555" w:rsidRDefault="00192555" w:rsidP="001E1C4C">
      <w:pPr>
        <w:jc w:val="both"/>
        <w:rPr>
          <w:rFonts w:ascii="Avenir Next" w:hAnsi="Avenir Next"/>
          <w:b/>
          <w:bCs/>
          <w:color w:val="808080" w:themeColor="background1" w:themeShade="80"/>
          <w:sz w:val="22"/>
          <w:szCs w:val="28"/>
        </w:rPr>
      </w:pPr>
      <w:r w:rsidRPr="00192555">
        <w:rPr>
          <w:rFonts w:ascii="Avenir Next" w:hAnsi="Avenir Next"/>
          <w:b/>
          <w:bCs/>
          <w:color w:val="808080" w:themeColor="background1" w:themeShade="80"/>
          <w:sz w:val="22"/>
          <w:szCs w:val="28"/>
        </w:rPr>
        <w:t xml:space="preserve">COMI/Establishment Analysis </w:t>
      </w:r>
    </w:p>
    <w:p w14:paraId="17603355" w14:textId="3316ECC5" w:rsidR="001E1C4C" w:rsidRDefault="001E1C4C" w:rsidP="001E1C4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order to determine whether to apply for recognition</w:t>
      </w:r>
      <w:r w:rsidR="00E33395">
        <w:rPr>
          <w:rFonts w:ascii="Avenir Next" w:hAnsi="Avenir Next"/>
          <w:color w:val="808080" w:themeColor="background1" w:themeShade="80"/>
          <w:sz w:val="22"/>
          <w:szCs w:val="28"/>
        </w:rPr>
        <w:t xml:space="preserve"> (either main or non-main) it is necessary to determine the </w:t>
      </w:r>
      <w:r w:rsidR="00D31317">
        <w:rPr>
          <w:rFonts w:ascii="Avenir Next" w:hAnsi="Avenir Next"/>
          <w:color w:val="808080" w:themeColor="background1" w:themeShade="80"/>
          <w:sz w:val="22"/>
          <w:szCs w:val="28"/>
        </w:rPr>
        <w:t>center</w:t>
      </w:r>
      <w:r w:rsidR="00E33395">
        <w:rPr>
          <w:rFonts w:ascii="Avenir Next" w:hAnsi="Avenir Next"/>
          <w:color w:val="808080" w:themeColor="background1" w:themeShade="80"/>
          <w:sz w:val="22"/>
          <w:szCs w:val="28"/>
        </w:rPr>
        <w:t xml:space="preserve"> of main interest (COMI) and/or establishment. </w:t>
      </w:r>
    </w:p>
    <w:p w14:paraId="733ABD93" w14:textId="77777777" w:rsidR="00E33395" w:rsidRDefault="00E33395" w:rsidP="001E1C4C">
      <w:pPr>
        <w:jc w:val="both"/>
        <w:rPr>
          <w:rFonts w:ascii="Avenir Next" w:hAnsi="Avenir Next"/>
          <w:color w:val="808080" w:themeColor="background1" w:themeShade="80"/>
          <w:sz w:val="22"/>
          <w:szCs w:val="28"/>
        </w:rPr>
      </w:pPr>
    </w:p>
    <w:p w14:paraId="029D86EC" w14:textId="225B33AB" w:rsidR="00E33395" w:rsidRDefault="00E33395" w:rsidP="001E1C4C">
      <w:pPr>
        <w:jc w:val="both"/>
        <w:rPr>
          <w:rFonts w:ascii="Avenir Next" w:hAnsi="Avenir Next" w:cs="Arial"/>
          <w:color w:val="808080" w:themeColor="background1" w:themeShade="80"/>
          <w:sz w:val="22"/>
          <w:szCs w:val="22"/>
          <w:lang w:val="en-GB"/>
        </w:rPr>
      </w:pPr>
      <w:r>
        <w:rPr>
          <w:rFonts w:ascii="Avenir Next" w:hAnsi="Avenir Next"/>
          <w:color w:val="808080" w:themeColor="background1" w:themeShade="80"/>
          <w:sz w:val="22"/>
          <w:szCs w:val="28"/>
        </w:rPr>
        <w:t xml:space="preserve">Given GFH was initially incorporated in Canada it needs to be ruled out that Canada is not its COMI or an establishment. Given that the company changed its place of incorporation 13 years ago and formally registered in the Cayman Islands and issuing relevant notices. There can be not case to be made that the COMI is considered to be Canada, given the time lapse and the notifications issued. There is no evidence it has any continued contact with Canada following the change of incorporation so it is not considered probable there is an “establishment” in Canada (defined under </w:t>
      </w:r>
      <w:r>
        <w:rPr>
          <w:rFonts w:ascii="Avenir Next" w:hAnsi="Avenir Next" w:cs="Arial"/>
          <w:color w:val="808080" w:themeColor="background1" w:themeShade="80"/>
          <w:sz w:val="22"/>
          <w:szCs w:val="22"/>
          <w:lang w:val="en-GB"/>
        </w:rPr>
        <w:t xml:space="preserve">Article 2(e) </w:t>
      </w:r>
      <w:r>
        <w:rPr>
          <w:rFonts w:ascii="Avenir Next" w:hAnsi="Avenir Next" w:cs="Arial"/>
          <w:color w:val="808080" w:themeColor="background1" w:themeShade="80"/>
          <w:sz w:val="22"/>
          <w:szCs w:val="22"/>
          <w:lang w:val="en-GB"/>
        </w:rPr>
        <w:t>to be</w:t>
      </w:r>
      <w:r>
        <w:rPr>
          <w:rFonts w:ascii="Avenir Next" w:hAnsi="Avenir Next" w:cs="Arial"/>
          <w:color w:val="808080" w:themeColor="background1" w:themeShade="80"/>
          <w:sz w:val="22"/>
          <w:szCs w:val="22"/>
          <w:lang w:val="en-GB"/>
        </w:rPr>
        <w:t xml:space="preserve"> “any place of operations where the debtor carries out non-transitory economic activity with human means and assets or services’.</w:t>
      </w:r>
      <w:r>
        <w:rPr>
          <w:rFonts w:ascii="Avenir Next" w:hAnsi="Avenir Next" w:cs="Arial"/>
          <w:color w:val="808080" w:themeColor="background1" w:themeShade="80"/>
          <w:sz w:val="22"/>
          <w:szCs w:val="22"/>
          <w:lang w:val="en-GB"/>
        </w:rPr>
        <w:t xml:space="preserve">) Therefore the COMI and establishment are not in Canada. </w:t>
      </w:r>
    </w:p>
    <w:p w14:paraId="0472E7F2" w14:textId="77777777" w:rsidR="00E33395" w:rsidRDefault="00E33395" w:rsidP="001E1C4C">
      <w:pPr>
        <w:jc w:val="both"/>
        <w:rPr>
          <w:rFonts w:ascii="Avenir Next" w:hAnsi="Avenir Next" w:cs="Arial"/>
          <w:color w:val="808080" w:themeColor="background1" w:themeShade="80"/>
          <w:sz w:val="22"/>
          <w:szCs w:val="22"/>
          <w:lang w:val="en-GB"/>
        </w:rPr>
      </w:pPr>
    </w:p>
    <w:p w14:paraId="5E753376" w14:textId="4AC54AFD" w:rsidR="00762BC8" w:rsidRDefault="00E33395" w:rsidP="001E1C4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GFH moved its incorporation to the Cayman Islands in 2010. It needs to be determined if the COMI is in the </w:t>
      </w:r>
      <w:r w:rsidR="00D034FD">
        <w:rPr>
          <w:rFonts w:ascii="Avenir Next" w:hAnsi="Avenir Next"/>
          <w:color w:val="808080" w:themeColor="background1" w:themeShade="80"/>
          <w:sz w:val="22"/>
          <w:szCs w:val="28"/>
        </w:rPr>
        <w:t>Cayman</w:t>
      </w:r>
      <w:r>
        <w:rPr>
          <w:rFonts w:ascii="Avenir Next" w:hAnsi="Avenir Next"/>
          <w:color w:val="808080" w:themeColor="background1" w:themeShade="80"/>
          <w:sz w:val="22"/>
          <w:szCs w:val="28"/>
        </w:rPr>
        <w:t xml:space="preserve"> Islands or if that i</w:t>
      </w:r>
      <w:r w:rsidR="00762BC8">
        <w:rPr>
          <w:rFonts w:ascii="Avenir Next" w:hAnsi="Avenir Next"/>
          <w:color w:val="808080" w:themeColor="background1" w:themeShade="80"/>
          <w:sz w:val="22"/>
          <w:szCs w:val="28"/>
        </w:rPr>
        <w:t>s</w:t>
      </w:r>
      <w:r>
        <w:rPr>
          <w:rFonts w:ascii="Avenir Next" w:hAnsi="Avenir Next"/>
          <w:color w:val="808080" w:themeColor="background1" w:themeShade="80"/>
          <w:sz w:val="22"/>
          <w:szCs w:val="28"/>
        </w:rPr>
        <w:t xml:space="preserve"> an establishment</w:t>
      </w:r>
      <w:r w:rsidR="00762BC8">
        <w:rPr>
          <w:rFonts w:ascii="Avenir Next" w:hAnsi="Avenir Next"/>
          <w:color w:val="808080" w:themeColor="background1" w:themeShade="80"/>
          <w:sz w:val="22"/>
          <w:szCs w:val="28"/>
        </w:rPr>
        <w:t xml:space="preserve"> for purposes of the scheme. The scheme being the insolvency proceeding to be recognized by a chapter 15 recognition proceeding. </w:t>
      </w:r>
    </w:p>
    <w:p w14:paraId="3D79E923" w14:textId="77777777" w:rsidR="00762BC8" w:rsidRDefault="00762BC8" w:rsidP="001E1C4C">
      <w:pPr>
        <w:jc w:val="both"/>
        <w:rPr>
          <w:rFonts w:ascii="Avenir Next" w:hAnsi="Avenir Next"/>
          <w:color w:val="808080" w:themeColor="background1" w:themeShade="80"/>
          <w:sz w:val="22"/>
          <w:szCs w:val="28"/>
        </w:rPr>
      </w:pPr>
    </w:p>
    <w:p w14:paraId="3F8D8154" w14:textId="1F6A67C3" w:rsidR="00E33395" w:rsidRDefault="00762BC8" w:rsidP="001E1C4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There are two key factors in determining a COMI under the model law</w:t>
      </w:r>
      <w:r w:rsidR="00D034FD">
        <w:rPr>
          <w:rFonts w:ascii="Avenir Next" w:hAnsi="Avenir Next"/>
          <w:color w:val="808080" w:themeColor="background1" w:themeShade="80"/>
          <w:sz w:val="22"/>
          <w:szCs w:val="28"/>
        </w:rPr>
        <w:t>:</w:t>
      </w:r>
    </w:p>
    <w:p w14:paraId="41D9804D" w14:textId="1171AFD5" w:rsidR="00762BC8" w:rsidRDefault="00762BC8" w:rsidP="00762BC8">
      <w:pPr>
        <w:pStyle w:val="ListParagraph"/>
        <w:numPr>
          <w:ilvl w:val="0"/>
          <w:numId w:val="7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location where the central administration of the debtor takes place, </w:t>
      </w:r>
    </w:p>
    <w:p w14:paraId="3336CFE7" w14:textId="4C085099" w:rsidR="00762BC8" w:rsidRDefault="00762BC8" w:rsidP="00762BC8">
      <w:pPr>
        <w:pStyle w:val="ListParagraph"/>
        <w:numPr>
          <w:ilvl w:val="0"/>
          <w:numId w:val="7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location which is readily ascertainable as such by the creditors of the debtor</w:t>
      </w:r>
      <w:r>
        <w:rPr>
          <w:rStyle w:val="FootnoteReference"/>
          <w:rFonts w:ascii="Avenir Next" w:hAnsi="Avenir Next"/>
          <w:color w:val="808080" w:themeColor="background1" w:themeShade="80"/>
          <w:sz w:val="22"/>
          <w:szCs w:val="28"/>
        </w:rPr>
        <w:footnoteReference w:id="17"/>
      </w:r>
      <w:r>
        <w:rPr>
          <w:rFonts w:ascii="Avenir Next" w:hAnsi="Avenir Next"/>
          <w:color w:val="808080" w:themeColor="background1" w:themeShade="80"/>
          <w:sz w:val="22"/>
          <w:szCs w:val="28"/>
        </w:rPr>
        <w:t xml:space="preserve">. </w:t>
      </w:r>
    </w:p>
    <w:p w14:paraId="7BA1810E" w14:textId="77777777" w:rsidR="00762BC8" w:rsidRDefault="00762BC8" w:rsidP="00762BC8">
      <w:pPr>
        <w:jc w:val="both"/>
        <w:rPr>
          <w:rFonts w:ascii="Avenir Next" w:hAnsi="Avenir Next"/>
          <w:color w:val="808080" w:themeColor="background1" w:themeShade="80"/>
          <w:sz w:val="22"/>
          <w:szCs w:val="28"/>
        </w:rPr>
      </w:pPr>
    </w:p>
    <w:p w14:paraId="2C0E33AF" w14:textId="75CC6FEE" w:rsidR="00826EF3" w:rsidRDefault="00762BC8" w:rsidP="00762B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There is some uncertainty as to whether the Cayman Islands fulfils both of those criteria. It likely fulfils the second but maybe not the first. </w:t>
      </w:r>
      <w:r w:rsidR="00826EF3">
        <w:rPr>
          <w:rFonts w:ascii="Avenir Next" w:hAnsi="Avenir Next"/>
          <w:color w:val="808080" w:themeColor="background1" w:themeShade="80"/>
          <w:sz w:val="22"/>
          <w:szCs w:val="28"/>
        </w:rPr>
        <w:t>Therefore other considerations should be taken into account including, but not limited to</w:t>
      </w:r>
      <w:r w:rsidR="00826EF3">
        <w:rPr>
          <w:rStyle w:val="FootnoteReference"/>
          <w:rFonts w:ascii="Avenir Next" w:hAnsi="Avenir Next"/>
          <w:color w:val="808080" w:themeColor="background1" w:themeShade="80"/>
          <w:sz w:val="22"/>
          <w:szCs w:val="28"/>
        </w:rPr>
        <w:footnoteReference w:id="18"/>
      </w:r>
      <w:r w:rsidR="00826EF3">
        <w:rPr>
          <w:rFonts w:ascii="Avenir Next" w:hAnsi="Avenir Next"/>
          <w:color w:val="808080" w:themeColor="background1" w:themeShade="80"/>
          <w:sz w:val="22"/>
          <w:szCs w:val="28"/>
        </w:rPr>
        <w:t xml:space="preserve">: </w:t>
      </w:r>
    </w:p>
    <w:p w14:paraId="5A89A89F" w14:textId="3A4EBF02" w:rsidR="00826EF3" w:rsidRDefault="00826EF3" w:rsidP="00EF7D9C">
      <w:pPr>
        <w:pStyle w:val="ListParagraph"/>
        <w:numPr>
          <w:ilvl w:val="0"/>
          <w:numId w:val="7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location of the debtor’s books and records</w:t>
      </w:r>
    </w:p>
    <w:p w14:paraId="4D0E40BD" w14:textId="185D6531" w:rsidR="00826EF3" w:rsidRDefault="00826EF3" w:rsidP="00EF7D9C">
      <w:pPr>
        <w:pStyle w:val="ListParagraph"/>
        <w:numPr>
          <w:ilvl w:val="0"/>
          <w:numId w:val="7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location where financing was organized and </w:t>
      </w:r>
      <w:r w:rsidR="00D034FD">
        <w:rPr>
          <w:rFonts w:ascii="Avenir Next" w:hAnsi="Avenir Next"/>
          <w:color w:val="808080" w:themeColor="background1" w:themeShade="80"/>
          <w:sz w:val="22"/>
          <w:szCs w:val="28"/>
        </w:rPr>
        <w:t>authorized</w:t>
      </w:r>
    </w:p>
    <w:p w14:paraId="6901AE8B" w14:textId="70800AA0" w:rsidR="00826EF3" w:rsidRDefault="00826EF3" w:rsidP="00EF7D9C">
      <w:pPr>
        <w:pStyle w:val="ListParagraph"/>
        <w:numPr>
          <w:ilvl w:val="0"/>
          <w:numId w:val="7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location where the cash management system was run</w:t>
      </w:r>
    </w:p>
    <w:p w14:paraId="43D3939D" w14:textId="784A890A" w:rsidR="00826EF3" w:rsidRDefault="00826EF3" w:rsidP="00EF7D9C">
      <w:pPr>
        <w:pStyle w:val="ListParagraph"/>
        <w:numPr>
          <w:ilvl w:val="0"/>
          <w:numId w:val="7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location in which the debtor’s principal assets or operations are found</w:t>
      </w:r>
    </w:p>
    <w:p w14:paraId="0FE9CFD5" w14:textId="1DB75275" w:rsidR="00826EF3" w:rsidRDefault="00826EF3" w:rsidP="00EF7D9C">
      <w:pPr>
        <w:pStyle w:val="ListParagraph"/>
        <w:numPr>
          <w:ilvl w:val="0"/>
          <w:numId w:val="7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location of the debtor’s primary bank account</w:t>
      </w:r>
    </w:p>
    <w:p w14:paraId="4E99C6A3" w14:textId="67329E2F" w:rsidR="00826EF3" w:rsidRDefault="00826EF3" w:rsidP="00EF7D9C">
      <w:pPr>
        <w:pStyle w:val="ListParagraph"/>
        <w:numPr>
          <w:ilvl w:val="0"/>
          <w:numId w:val="7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location of the employees</w:t>
      </w:r>
    </w:p>
    <w:p w14:paraId="2D9FE711" w14:textId="025462FF" w:rsidR="00826EF3" w:rsidRDefault="00826EF3" w:rsidP="00EF7D9C">
      <w:pPr>
        <w:pStyle w:val="ListParagraph"/>
        <w:numPr>
          <w:ilvl w:val="0"/>
          <w:numId w:val="7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location in which commercial policy was determined</w:t>
      </w:r>
    </w:p>
    <w:p w14:paraId="49E15E78" w14:textId="36978AC4" w:rsidR="00826EF3" w:rsidRDefault="00826EF3" w:rsidP="00EF7D9C">
      <w:pPr>
        <w:pStyle w:val="ListParagraph"/>
        <w:numPr>
          <w:ilvl w:val="0"/>
          <w:numId w:val="7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site of the controlling law or the law governing the main contracts of the debtor</w:t>
      </w:r>
    </w:p>
    <w:p w14:paraId="72C0FAC4" w14:textId="17507BB7" w:rsidR="00826EF3" w:rsidRDefault="00826EF3" w:rsidP="00EF7D9C">
      <w:pPr>
        <w:pStyle w:val="ListParagraph"/>
        <w:numPr>
          <w:ilvl w:val="0"/>
          <w:numId w:val="7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location from which purchasing and sales policy, staff, accounts payable and computer systems are managed</w:t>
      </w:r>
    </w:p>
    <w:p w14:paraId="6F57F0E4" w14:textId="1FAA0723" w:rsidR="00826EF3" w:rsidRDefault="00826EF3" w:rsidP="00EF7D9C">
      <w:pPr>
        <w:pStyle w:val="ListParagraph"/>
        <w:numPr>
          <w:ilvl w:val="0"/>
          <w:numId w:val="7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 xml:space="preserve">the location from which contracts (for supply) were </w:t>
      </w:r>
      <w:r w:rsidR="008726D4">
        <w:rPr>
          <w:rFonts w:ascii="Avenir Next" w:hAnsi="Avenir Next"/>
          <w:color w:val="808080" w:themeColor="background1" w:themeShade="80"/>
          <w:sz w:val="22"/>
          <w:szCs w:val="28"/>
        </w:rPr>
        <w:t>organized</w:t>
      </w:r>
    </w:p>
    <w:p w14:paraId="2E54E0F3" w14:textId="41F3D205" w:rsidR="00826EF3" w:rsidRDefault="00826EF3" w:rsidP="00EF7D9C">
      <w:pPr>
        <w:pStyle w:val="ListParagraph"/>
        <w:numPr>
          <w:ilvl w:val="0"/>
          <w:numId w:val="7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location from reorganization of the debtor was being conducted</w:t>
      </w:r>
    </w:p>
    <w:p w14:paraId="6C57B4ED" w14:textId="4E6534D4" w:rsidR="00826EF3" w:rsidRDefault="00826EF3" w:rsidP="00EF7D9C">
      <w:pPr>
        <w:pStyle w:val="ListParagraph"/>
        <w:numPr>
          <w:ilvl w:val="0"/>
          <w:numId w:val="7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jurisdiction whose law would apply in most disputes</w:t>
      </w:r>
    </w:p>
    <w:p w14:paraId="28D97271" w14:textId="66BAA13C" w:rsidR="007B5B75" w:rsidRDefault="007B5B75" w:rsidP="00EF7D9C">
      <w:pPr>
        <w:pStyle w:val="ListParagraph"/>
        <w:numPr>
          <w:ilvl w:val="0"/>
          <w:numId w:val="7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location in which the debtor was subject to supervision or regulation; and </w:t>
      </w:r>
    </w:p>
    <w:p w14:paraId="457CC82C" w14:textId="50A77658" w:rsidR="007B5B75" w:rsidRDefault="007B5B75" w:rsidP="00EF7D9C">
      <w:pPr>
        <w:pStyle w:val="ListParagraph"/>
        <w:numPr>
          <w:ilvl w:val="0"/>
          <w:numId w:val="7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location whose law governed the preparation and audit of account and in which they were prepared and audited. </w:t>
      </w:r>
    </w:p>
    <w:p w14:paraId="502666A8" w14:textId="77777777" w:rsidR="007B5B75" w:rsidRDefault="007B5B75" w:rsidP="007B5B75">
      <w:pPr>
        <w:jc w:val="both"/>
        <w:rPr>
          <w:rFonts w:ascii="Avenir Next" w:hAnsi="Avenir Next"/>
          <w:color w:val="808080" w:themeColor="background1" w:themeShade="80"/>
          <w:sz w:val="22"/>
          <w:szCs w:val="28"/>
        </w:rPr>
      </w:pPr>
    </w:p>
    <w:p w14:paraId="77C3D94E" w14:textId="21381289" w:rsidR="007B5B75" w:rsidRDefault="007B5B75" w:rsidP="007B5B7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 is noted that generally, when determining the COMI or whether an establishment exists is the date of the commencement of proceedings</w:t>
      </w:r>
      <w:r>
        <w:rPr>
          <w:rStyle w:val="FootnoteReference"/>
          <w:rFonts w:ascii="Avenir Next" w:hAnsi="Avenir Next"/>
          <w:color w:val="808080" w:themeColor="background1" w:themeShade="80"/>
          <w:sz w:val="22"/>
          <w:szCs w:val="28"/>
        </w:rPr>
        <w:footnoteReference w:id="19"/>
      </w:r>
      <w:r>
        <w:rPr>
          <w:rFonts w:ascii="Avenir Next" w:hAnsi="Avenir Next"/>
          <w:color w:val="808080" w:themeColor="background1" w:themeShade="80"/>
          <w:sz w:val="22"/>
          <w:szCs w:val="28"/>
        </w:rPr>
        <w:t>. However, in terms of US law this is more nuanced and “a debtor’s COMI should be determined based on its activities around the timer the Chapter 15 petition is filed… a court may consider the period between the commencement of the foreign insolvency proceeding and the filing of the Chapter 15 petition to ensure the debtor has not manipulated the COMI in bad faith”</w:t>
      </w:r>
      <w:r>
        <w:rPr>
          <w:rStyle w:val="FootnoteReference"/>
          <w:rFonts w:ascii="Avenir Next" w:hAnsi="Avenir Next"/>
          <w:color w:val="808080" w:themeColor="background1" w:themeShade="80"/>
          <w:sz w:val="22"/>
          <w:szCs w:val="28"/>
        </w:rPr>
        <w:footnoteReference w:id="20"/>
      </w:r>
      <w:r>
        <w:rPr>
          <w:rFonts w:ascii="Avenir Next" w:hAnsi="Avenir Next"/>
          <w:color w:val="808080" w:themeColor="background1" w:themeShade="80"/>
          <w:sz w:val="22"/>
          <w:szCs w:val="28"/>
        </w:rPr>
        <w:t xml:space="preserve">. </w:t>
      </w:r>
    </w:p>
    <w:p w14:paraId="4D23D498" w14:textId="77777777" w:rsidR="007B5B75" w:rsidRDefault="007B5B75" w:rsidP="007B5B75">
      <w:pPr>
        <w:jc w:val="both"/>
        <w:rPr>
          <w:rFonts w:ascii="Avenir Next" w:hAnsi="Avenir Next"/>
          <w:color w:val="808080" w:themeColor="background1" w:themeShade="80"/>
          <w:sz w:val="22"/>
          <w:szCs w:val="28"/>
        </w:rPr>
      </w:pPr>
    </w:p>
    <w:p w14:paraId="70ABCC35" w14:textId="2125E2E3" w:rsidR="007B5B75" w:rsidRDefault="007B5B75" w:rsidP="007B5B7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facts here are that while the RSA was signed in 2021 which commenced the restructuring the formal proceeding only commenced in 2023. In terms of the Model Law it would be the issuance of the Convening Order that would meet the criteria of a foreign proceeding under Article2.  Therefore what needs to be considered is </w:t>
      </w:r>
      <w:r w:rsidR="00EF7D9C">
        <w:rPr>
          <w:rFonts w:ascii="Avenir Next" w:hAnsi="Avenir Next"/>
          <w:color w:val="808080" w:themeColor="background1" w:themeShade="80"/>
          <w:sz w:val="22"/>
          <w:szCs w:val="28"/>
        </w:rPr>
        <w:t xml:space="preserve">what has happened between July 2023 and today. </w:t>
      </w:r>
    </w:p>
    <w:p w14:paraId="0A3EB5F2" w14:textId="77777777" w:rsidR="00EF7D9C" w:rsidRDefault="00EF7D9C" w:rsidP="007B5B75">
      <w:pPr>
        <w:jc w:val="both"/>
        <w:rPr>
          <w:rFonts w:ascii="Avenir Next" w:hAnsi="Avenir Next"/>
          <w:color w:val="808080" w:themeColor="background1" w:themeShade="80"/>
          <w:sz w:val="22"/>
          <w:szCs w:val="28"/>
        </w:rPr>
      </w:pPr>
    </w:p>
    <w:p w14:paraId="7EFCCF70" w14:textId="263AE8AD" w:rsidR="00EF7D9C" w:rsidRDefault="00EF7D9C" w:rsidP="007B5B7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answers to (a) to (n) above are both the US and the </w:t>
      </w:r>
      <w:r w:rsidR="00D034FD">
        <w:rPr>
          <w:rFonts w:ascii="Avenir Next" w:hAnsi="Avenir Next"/>
          <w:color w:val="808080" w:themeColor="background1" w:themeShade="80"/>
          <w:sz w:val="22"/>
          <w:szCs w:val="28"/>
        </w:rPr>
        <w:t>Cayman</w:t>
      </w:r>
      <w:r>
        <w:rPr>
          <w:rFonts w:ascii="Avenir Next" w:hAnsi="Avenir Next"/>
          <w:color w:val="808080" w:themeColor="background1" w:themeShade="80"/>
          <w:sz w:val="22"/>
          <w:szCs w:val="28"/>
        </w:rPr>
        <w:t xml:space="preserve"> Islands which does not give a clear answer. </w:t>
      </w:r>
    </w:p>
    <w:p w14:paraId="41F682A6" w14:textId="77777777" w:rsidR="0059094D" w:rsidRDefault="0059094D" w:rsidP="007B5B75">
      <w:pPr>
        <w:jc w:val="both"/>
        <w:rPr>
          <w:rFonts w:ascii="Avenir Next" w:hAnsi="Avenir Next"/>
          <w:color w:val="808080" w:themeColor="background1" w:themeShade="80"/>
          <w:sz w:val="22"/>
          <w:szCs w:val="28"/>
        </w:rPr>
      </w:pPr>
    </w:p>
    <w:p w14:paraId="050FF403" w14:textId="45F6F8D2" w:rsidR="00EF7D9C" w:rsidRDefault="00EF7D9C" w:rsidP="00EF7D9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GFH</w:t>
      </w:r>
      <w:r w:rsidRPr="00EF7D9C">
        <w:rPr>
          <w:rFonts w:ascii="Avenir Next" w:hAnsi="Avenir Next"/>
          <w:color w:val="808080" w:themeColor="background1" w:themeShade="80"/>
          <w:sz w:val="22"/>
          <w:szCs w:val="28"/>
        </w:rPr>
        <w:t>’s books and records</w:t>
      </w:r>
      <w:r>
        <w:rPr>
          <w:rFonts w:ascii="Avenir Next" w:hAnsi="Avenir Next"/>
          <w:color w:val="808080" w:themeColor="background1" w:themeShade="80"/>
          <w:sz w:val="22"/>
          <w:szCs w:val="28"/>
        </w:rPr>
        <w:t xml:space="preserve"> are in the </w:t>
      </w:r>
      <w:r w:rsidR="008726D4">
        <w:rPr>
          <w:rFonts w:ascii="Avenir Next" w:hAnsi="Avenir Next"/>
          <w:color w:val="808080" w:themeColor="background1" w:themeShade="80"/>
          <w:sz w:val="22"/>
          <w:szCs w:val="28"/>
        </w:rPr>
        <w:t>Cayman</w:t>
      </w:r>
      <w:r>
        <w:rPr>
          <w:rFonts w:ascii="Avenir Next" w:hAnsi="Avenir Next"/>
          <w:color w:val="808080" w:themeColor="background1" w:themeShade="80"/>
          <w:sz w:val="22"/>
          <w:szCs w:val="28"/>
        </w:rPr>
        <w:t xml:space="preserve"> Islands</w:t>
      </w:r>
      <w:r w:rsidR="008726D4">
        <w:rPr>
          <w:rFonts w:ascii="Avenir Next" w:hAnsi="Avenir Next"/>
          <w:color w:val="808080" w:themeColor="background1" w:themeShade="80"/>
          <w:sz w:val="22"/>
          <w:szCs w:val="28"/>
        </w:rPr>
        <w:t xml:space="preserve"> although the </w:t>
      </w:r>
      <w:r w:rsidR="00D034FD">
        <w:rPr>
          <w:rFonts w:ascii="Avenir Next" w:hAnsi="Avenir Next"/>
          <w:color w:val="808080" w:themeColor="background1" w:themeShade="80"/>
          <w:sz w:val="22"/>
          <w:szCs w:val="28"/>
        </w:rPr>
        <w:t>headquarters</w:t>
      </w:r>
      <w:r w:rsidR="008726D4">
        <w:rPr>
          <w:rFonts w:ascii="Avenir Next" w:hAnsi="Avenir Next"/>
          <w:color w:val="808080" w:themeColor="background1" w:themeShade="80"/>
          <w:sz w:val="22"/>
          <w:szCs w:val="28"/>
        </w:rPr>
        <w:t xml:space="preserve"> are in the US</w:t>
      </w:r>
      <w:r>
        <w:rPr>
          <w:rFonts w:ascii="Avenir Next" w:hAnsi="Avenir Next"/>
          <w:color w:val="808080" w:themeColor="background1" w:themeShade="80"/>
          <w:sz w:val="22"/>
          <w:szCs w:val="28"/>
        </w:rPr>
        <w:t>. F</w:t>
      </w:r>
      <w:r>
        <w:rPr>
          <w:rFonts w:ascii="Avenir Next" w:hAnsi="Avenir Next"/>
          <w:color w:val="808080" w:themeColor="background1" w:themeShade="80"/>
          <w:sz w:val="22"/>
          <w:szCs w:val="28"/>
        </w:rPr>
        <w:t xml:space="preserve">inancing was </w:t>
      </w:r>
      <w:r>
        <w:rPr>
          <w:rFonts w:ascii="Avenir Next" w:hAnsi="Avenir Next"/>
          <w:color w:val="808080" w:themeColor="background1" w:themeShade="80"/>
          <w:sz w:val="22"/>
          <w:szCs w:val="28"/>
        </w:rPr>
        <w:t xml:space="preserve">historically at least </w:t>
      </w:r>
      <w:r>
        <w:rPr>
          <w:rFonts w:ascii="Avenir Next" w:hAnsi="Avenir Next"/>
          <w:color w:val="808080" w:themeColor="background1" w:themeShade="80"/>
          <w:sz w:val="22"/>
          <w:szCs w:val="28"/>
        </w:rPr>
        <w:t xml:space="preserve">organized and </w:t>
      </w:r>
      <w:r w:rsidR="00D034FD">
        <w:rPr>
          <w:rFonts w:ascii="Avenir Next" w:hAnsi="Avenir Next"/>
          <w:color w:val="808080" w:themeColor="background1" w:themeShade="80"/>
          <w:sz w:val="22"/>
          <w:szCs w:val="28"/>
        </w:rPr>
        <w:t>authorized</w:t>
      </w:r>
      <w:r>
        <w:rPr>
          <w:rFonts w:ascii="Avenir Next" w:hAnsi="Avenir Next"/>
          <w:color w:val="808080" w:themeColor="background1" w:themeShade="80"/>
          <w:sz w:val="22"/>
          <w:szCs w:val="28"/>
        </w:rPr>
        <w:t xml:space="preserve"> in US (given the company was listed) as is the </w:t>
      </w:r>
      <w:r>
        <w:rPr>
          <w:rFonts w:ascii="Avenir Next" w:hAnsi="Avenir Next"/>
          <w:color w:val="808080" w:themeColor="background1" w:themeShade="80"/>
          <w:sz w:val="22"/>
          <w:szCs w:val="28"/>
        </w:rPr>
        <w:t>location where the cash management system was run</w:t>
      </w:r>
      <w:r>
        <w:rPr>
          <w:rFonts w:ascii="Avenir Next" w:hAnsi="Avenir Next"/>
          <w:color w:val="808080" w:themeColor="background1" w:themeShade="80"/>
          <w:sz w:val="22"/>
          <w:szCs w:val="28"/>
        </w:rPr>
        <w:t xml:space="preserve"> (given that all the subsidiaries are based on the US). The GFH</w:t>
      </w:r>
      <w:r w:rsidRPr="00EF7D9C">
        <w:rPr>
          <w:rFonts w:ascii="Avenir Next" w:hAnsi="Avenir Next"/>
          <w:color w:val="808080" w:themeColor="background1" w:themeShade="80"/>
          <w:sz w:val="22"/>
          <w:szCs w:val="28"/>
        </w:rPr>
        <w:t xml:space="preserve">’s principal assets or operations are </w:t>
      </w:r>
      <w:r>
        <w:rPr>
          <w:rFonts w:ascii="Avenir Next" w:hAnsi="Avenir Next"/>
          <w:color w:val="808080" w:themeColor="background1" w:themeShade="80"/>
          <w:sz w:val="22"/>
          <w:szCs w:val="28"/>
        </w:rPr>
        <w:t xml:space="preserve">also in the US. The subsidiaries are all incorporated there and the building (and furniture and fittings are based there). </w:t>
      </w:r>
    </w:p>
    <w:p w14:paraId="2D7A6265" w14:textId="77777777" w:rsidR="00EF7D9C" w:rsidRDefault="00EF7D9C" w:rsidP="00EF7D9C">
      <w:pPr>
        <w:jc w:val="both"/>
        <w:rPr>
          <w:rFonts w:ascii="Avenir Next" w:hAnsi="Avenir Next"/>
          <w:color w:val="808080" w:themeColor="background1" w:themeShade="80"/>
          <w:sz w:val="22"/>
          <w:szCs w:val="28"/>
        </w:rPr>
      </w:pPr>
    </w:p>
    <w:p w14:paraId="74871B9D" w14:textId="5A7F9D3F" w:rsidR="008726D4" w:rsidRDefault="00EF7D9C" w:rsidP="00EF7D9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It is also likely </w:t>
      </w:r>
      <w:r w:rsidR="008726D4">
        <w:rPr>
          <w:rFonts w:ascii="Avenir Next" w:hAnsi="Avenir Next"/>
          <w:color w:val="808080" w:themeColor="background1" w:themeShade="80"/>
          <w:sz w:val="22"/>
          <w:szCs w:val="28"/>
        </w:rPr>
        <w:t xml:space="preserve">that </w:t>
      </w:r>
      <w:r>
        <w:rPr>
          <w:rFonts w:ascii="Avenir Next" w:hAnsi="Avenir Next"/>
          <w:color w:val="808080" w:themeColor="background1" w:themeShade="80"/>
          <w:sz w:val="22"/>
          <w:szCs w:val="28"/>
        </w:rPr>
        <w:t>GFH</w:t>
      </w:r>
      <w:r>
        <w:rPr>
          <w:rFonts w:ascii="Avenir Next" w:hAnsi="Avenir Next"/>
          <w:color w:val="808080" w:themeColor="background1" w:themeShade="80"/>
          <w:sz w:val="22"/>
          <w:szCs w:val="28"/>
        </w:rPr>
        <w:t>’s primary bank account</w:t>
      </w:r>
      <w:r>
        <w:rPr>
          <w:rFonts w:ascii="Avenir Next" w:hAnsi="Avenir Next"/>
          <w:color w:val="808080" w:themeColor="background1" w:themeShade="80"/>
          <w:sz w:val="22"/>
          <w:szCs w:val="28"/>
        </w:rPr>
        <w:t xml:space="preserve"> is there although this is not clear. It must have paid Cedar and Woods (and presumably company secretarial fees</w:t>
      </w:r>
      <w:r w:rsidR="008726D4">
        <w:rPr>
          <w:rFonts w:ascii="Avenir Next" w:hAnsi="Avenir Next"/>
          <w:color w:val="808080" w:themeColor="background1" w:themeShade="80"/>
          <w:sz w:val="22"/>
          <w:szCs w:val="28"/>
        </w:rPr>
        <w:t xml:space="preserve"> at the very least</w:t>
      </w:r>
      <w:r>
        <w:rPr>
          <w:rFonts w:ascii="Avenir Next" w:hAnsi="Avenir Next"/>
          <w:color w:val="808080" w:themeColor="background1" w:themeShade="80"/>
          <w:sz w:val="22"/>
          <w:szCs w:val="28"/>
        </w:rPr>
        <w:t xml:space="preserve">) during the time it has been registered in the </w:t>
      </w:r>
      <w:r w:rsidR="008726D4">
        <w:rPr>
          <w:rFonts w:ascii="Avenir Next" w:hAnsi="Avenir Next"/>
          <w:color w:val="808080" w:themeColor="background1" w:themeShade="80"/>
          <w:sz w:val="22"/>
          <w:szCs w:val="28"/>
        </w:rPr>
        <w:t>Cayman</w:t>
      </w:r>
      <w:r>
        <w:rPr>
          <w:rFonts w:ascii="Avenir Next" w:hAnsi="Avenir Next"/>
          <w:color w:val="808080" w:themeColor="background1" w:themeShade="80"/>
          <w:sz w:val="22"/>
          <w:szCs w:val="28"/>
        </w:rPr>
        <w:t xml:space="preserve"> Islands. </w:t>
      </w:r>
      <w:r w:rsidR="008726D4">
        <w:rPr>
          <w:rFonts w:ascii="Avenir Next" w:hAnsi="Avenir Next"/>
          <w:color w:val="808080" w:themeColor="background1" w:themeShade="80"/>
          <w:sz w:val="22"/>
          <w:szCs w:val="28"/>
        </w:rPr>
        <w:t>This must have been settled from a non-Cayman Island account given it only recently opened one. T</w:t>
      </w:r>
      <w:r>
        <w:rPr>
          <w:rFonts w:ascii="Avenir Next" w:hAnsi="Avenir Next"/>
          <w:color w:val="808080" w:themeColor="background1" w:themeShade="80"/>
          <w:sz w:val="22"/>
          <w:szCs w:val="28"/>
        </w:rPr>
        <w:t xml:space="preserve">he reasons for same are unclear but may run </w:t>
      </w:r>
      <w:r w:rsidR="00D034FD">
        <w:rPr>
          <w:rFonts w:ascii="Avenir Next" w:hAnsi="Avenir Next"/>
          <w:color w:val="808080" w:themeColor="background1" w:themeShade="80"/>
          <w:sz w:val="22"/>
          <w:szCs w:val="28"/>
        </w:rPr>
        <w:t>afoul</w:t>
      </w:r>
      <w:r>
        <w:rPr>
          <w:rFonts w:ascii="Avenir Next" w:hAnsi="Avenir Next"/>
          <w:color w:val="808080" w:themeColor="background1" w:themeShade="80"/>
          <w:sz w:val="22"/>
          <w:szCs w:val="28"/>
        </w:rPr>
        <w:t xml:space="preserve"> of previous US rulings. </w:t>
      </w:r>
    </w:p>
    <w:p w14:paraId="42DE9122" w14:textId="77777777" w:rsidR="008726D4" w:rsidRDefault="008726D4" w:rsidP="00EF7D9C">
      <w:pPr>
        <w:jc w:val="both"/>
        <w:rPr>
          <w:rFonts w:ascii="Avenir Next" w:hAnsi="Avenir Next"/>
          <w:color w:val="808080" w:themeColor="background1" w:themeShade="80"/>
          <w:sz w:val="22"/>
          <w:szCs w:val="28"/>
        </w:rPr>
      </w:pPr>
    </w:p>
    <w:p w14:paraId="6718BE88" w14:textId="56B2A2FD" w:rsidR="00EF7D9C" w:rsidRDefault="008726D4" w:rsidP="00EF7D9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GFH does not in and of itself have</w:t>
      </w:r>
      <w:r w:rsidR="00EF7D9C">
        <w:rPr>
          <w:rFonts w:ascii="Avenir Next" w:hAnsi="Avenir Next"/>
          <w:color w:val="808080" w:themeColor="background1" w:themeShade="80"/>
          <w:sz w:val="22"/>
          <w:szCs w:val="28"/>
        </w:rPr>
        <w:t xml:space="preserve"> employees</w:t>
      </w:r>
      <w:r>
        <w:rPr>
          <w:rFonts w:ascii="Avenir Next" w:hAnsi="Avenir Next"/>
          <w:color w:val="808080" w:themeColor="background1" w:themeShade="80"/>
          <w:sz w:val="22"/>
          <w:szCs w:val="28"/>
        </w:rPr>
        <w:t>, the subsidiaries do and they</w:t>
      </w:r>
      <w:r w:rsidR="00EF7D9C">
        <w:rPr>
          <w:rFonts w:ascii="Avenir Next" w:hAnsi="Avenir Next"/>
          <w:color w:val="808080" w:themeColor="background1" w:themeShade="80"/>
          <w:sz w:val="22"/>
          <w:szCs w:val="28"/>
        </w:rPr>
        <w:t xml:space="preserve"> are based in the US. It is not known where the </w:t>
      </w:r>
      <w:r w:rsidR="00EF7D9C">
        <w:rPr>
          <w:rFonts w:ascii="Avenir Next" w:hAnsi="Avenir Next"/>
          <w:color w:val="808080" w:themeColor="background1" w:themeShade="80"/>
          <w:sz w:val="22"/>
          <w:szCs w:val="28"/>
        </w:rPr>
        <w:t>commercial policy was determined</w:t>
      </w:r>
      <w:r w:rsidR="00EF7D9C">
        <w:rPr>
          <w:rFonts w:ascii="Avenir Next" w:hAnsi="Avenir Next"/>
          <w:color w:val="808080" w:themeColor="background1" w:themeShade="80"/>
          <w:sz w:val="22"/>
          <w:szCs w:val="28"/>
        </w:rPr>
        <w:t xml:space="preserve">. </w:t>
      </w:r>
    </w:p>
    <w:p w14:paraId="6D3E6B9E" w14:textId="77777777" w:rsidR="00EF7D9C" w:rsidRDefault="00EF7D9C" w:rsidP="00EF7D9C">
      <w:pPr>
        <w:jc w:val="both"/>
        <w:rPr>
          <w:rFonts w:ascii="Avenir Next" w:hAnsi="Avenir Next"/>
          <w:color w:val="808080" w:themeColor="background1" w:themeShade="80"/>
          <w:sz w:val="22"/>
          <w:szCs w:val="28"/>
        </w:rPr>
      </w:pPr>
    </w:p>
    <w:p w14:paraId="1165377F" w14:textId="367DE20C" w:rsidR="008726D4" w:rsidRDefault="00EF7D9C" w:rsidP="008726D4">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controlling low governing the main contracts, which is primarily the Notes is the US (New York law), so too for the main contracts of the subsidiaries. </w:t>
      </w:r>
      <w:r w:rsidR="008726D4">
        <w:rPr>
          <w:rFonts w:ascii="Avenir Next" w:hAnsi="Avenir Next"/>
          <w:color w:val="808080" w:themeColor="background1" w:themeShade="80"/>
          <w:sz w:val="22"/>
          <w:szCs w:val="28"/>
        </w:rPr>
        <w:t xml:space="preserve">Given the company was a holding company it is unlikely to </w:t>
      </w:r>
      <w:r w:rsidR="00D034FD">
        <w:rPr>
          <w:rFonts w:ascii="Avenir Next" w:hAnsi="Avenir Next"/>
          <w:color w:val="808080" w:themeColor="background1" w:themeShade="80"/>
          <w:sz w:val="22"/>
          <w:szCs w:val="28"/>
        </w:rPr>
        <w:t>have a</w:t>
      </w:r>
      <w:r>
        <w:rPr>
          <w:rFonts w:ascii="Avenir Next" w:hAnsi="Avenir Next"/>
          <w:color w:val="808080" w:themeColor="background1" w:themeShade="80"/>
          <w:sz w:val="22"/>
          <w:szCs w:val="28"/>
        </w:rPr>
        <w:t xml:space="preserve"> purchasing and sales policy</w:t>
      </w:r>
      <w:r w:rsidR="008726D4">
        <w:rPr>
          <w:rFonts w:ascii="Avenir Next" w:hAnsi="Avenir Next"/>
          <w:color w:val="808080" w:themeColor="background1" w:themeShade="80"/>
          <w:sz w:val="22"/>
          <w:szCs w:val="28"/>
        </w:rPr>
        <w:t xml:space="preserve">. It does not have staff. </w:t>
      </w:r>
      <w:r w:rsidR="008726D4">
        <w:rPr>
          <w:rFonts w:ascii="Avenir Next" w:hAnsi="Avenir Next"/>
          <w:color w:val="808080" w:themeColor="background1" w:themeShade="80"/>
          <w:sz w:val="22"/>
          <w:szCs w:val="28"/>
        </w:rPr>
        <w:lastRenderedPageBreak/>
        <w:t xml:space="preserve">It is not known where the </w:t>
      </w:r>
      <w:r>
        <w:rPr>
          <w:rFonts w:ascii="Avenir Next" w:hAnsi="Avenir Next"/>
          <w:color w:val="808080" w:themeColor="background1" w:themeShade="80"/>
          <w:sz w:val="22"/>
          <w:szCs w:val="28"/>
        </w:rPr>
        <w:t>accounts payable and computer systems are managed</w:t>
      </w:r>
      <w:r w:rsidR="008726D4">
        <w:rPr>
          <w:rFonts w:ascii="Avenir Next" w:hAnsi="Avenir Next"/>
          <w:color w:val="808080" w:themeColor="background1" w:themeShade="80"/>
          <w:sz w:val="22"/>
          <w:szCs w:val="28"/>
        </w:rPr>
        <w:t xml:space="preserve"> on the facts provided. Supply contracts would be minimal but it has retained counsel in the Cayman Islands si</w:t>
      </w:r>
      <w:r w:rsidR="00192555">
        <w:rPr>
          <w:rFonts w:ascii="Avenir Next" w:hAnsi="Avenir Next"/>
          <w:color w:val="808080" w:themeColor="background1" w:themeShade="80"/>
          <w:sz w:val="22"/>
          <w:szCs w:val="28"/>
        </w:rPr>
        <w:t>n</w:t>
      </w:r>
      <w:r w:rsidR="008726D4">
        <w:rPr>
          <w:rFonts w:ascii="Avenir Next" w:hAnsi="Avenir Next"/>
          <w:color w:val="808080" w:themeColor="background1" w:themeShade="80"/>
          <w:sz w:val="22"/>
          <w:szCs w:val="28"/>
        </w:rPr>
        <w:t xml:space="preserve">ce 2010.  </w:t>
      </w:r>
    </w:p>
    <w:p w14:paraId="18E1DB4B" w14:textId="77777777" w:rsidR="008726D4" w:rsidRDefault="008726D4" w:rsidP="008726D4">
      <w:pPr>
        <w:jc w:val="both"/>
        <w:rPr>
          <w:rFonts w:ascii="Avenir Next" w:hAnsi="Avenir Next"/>
          <w:color w:val="808080" w:themeColor="background1" w:themeShade="80"/>
          <w:sz w:val="22"/>
          <w:szCs w:val="28"/>
        </w:rPr>
      </w:pPr>
    </w:p>
    <w:p w14:paraId="015B2BE9" w14:textId="74023B4F" w:rsidR="008726D4" w:rsidRDefault="008726D4" w:rsidP="008726D4">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reorganization of GFH is being conducted in the Cayman Islands. The law that would govern any dispute arising would be the law of Cayman Islands given the RSA. (Cayman Island law governs that). The scheme is under Cayman Law. </w:t>
      </w:r>
      <w:r>
        <w:rPr>
          <w:rFonts w:ascii="Avenir Next" w:hAnsi="Avenir Next"/>
          <w:color w:val="808080" w:themeColor="background1" w:themeShade="80"/>
          <w:sz w:val="22"/>
          <w:szCs w:val="28"/>
        </w:rPr>
        <w:t xml:space="preserve">The public filings including with respect to the Notes reflected company was a </w:t>
      </w:r>
      <w:r w:rsidR="00D034FD">
        <w:rPr>
          <w:rFonts w:ascii="Avenir Next" w:hAnsi="Avenir Next"/>
          <w:color w:val="808080" w:themeColor="background1" w:themeShade="80"/>
          <w:sz w:val="22"/>
          <w:szCs w:val="28"/>
        </w:rPr>
        <w:t>Cayman</w:t>
      </w:r>
      <w:r>
        <w:rPr>
          <w:rFonts w:ascii="Avenir Next" w:hAnsi="Avenir Next"/>
          <w:color w:val="808080" w:themeColor="background1" w:themeShade="80"/>
          <w:sz w:val="22"/>
          <w:szCs w:val="28"/>
        </w:rPr>
        <w:t xml:space="preserve"> Islands Company (Although the Notes themselves were issued under US law).</w:t>
      </w:r>
      <w:r w:rsidRPr="008726D4">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The scheme meeting was held in the Cayman Islands albeit parties attended virtually (but there were reasons for same i.e. the covid pandemic).</w:t>
      </w:r>
    </w:p>
    <w:p w14:paraId="2A9C0375" w14:textId="77777777" w:rsidR="008726D4" w:rsidRDefault="008726D4" w:rsidP="008726D4">
      <w:pPr>
        <w:jc w:val="both"/>
        <w:rPr>
          <w:rFonts w:ascii="Avenir Next" w:hAnsi="Avenir Next"/>
          <w:color w:val="808080" w:themeColor="background1" w:themeShade="80"/>
          <w:sz w:val="22"/>
          <w:szCs w:val="28"/>
        </w:rPr>
      </w:pPr>
    </w:p>
    <w:p w14:paraId="55768CE2" w14:textId="4A79F390" w:rsidR="008726D4" w:rsidRDefault="008726D4" w:rsidP="008726D4">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As a holding company is will be required to prepare and audit group accounts. These would need to be prepared, at group level, under Cayman accounting standards (likely in compliance with International Accounting Standards but this is not known). </w:t>
      </w:r>
      <w:r w:rsidR="002A053E">
        <w:rPr>
          <w:rFonts w:ascii="Avenir Next" w:hAnsi="Avenir Next"/>
          <w:color w:val="808080" w:themeColor="background1" w:themeShade="80"/>
          <w:sz w:val="22"/>
          <w:szCs w:val="28"/>
        </w:rPr>
        <w:t xml:space="preserve">Given that the board meetings are held in the Cayman Islands (albeit virtually) but from a base in the Cayman Islands this may considered to </w:t>
      </w:r>
      <w:proofErr w:type="spellStart"/>
      <w:r w:rsidR="002A053E">
        <w:rPr>
          <w:rFonts w:ascii="Avenir Next" w:hAnsi="Avenir Next"/>
          <w:color w:val="808080" w:themeColor="background1" w:themeShade="80"/>
          <w:sz w:val="22"/>
          <w:szCs w:val="28"/>
        </w:rPr>
        <w:t>fufil</w:t>
      </w:r>
      <w:proofErr w:type="spellEnd"/>
      <w:r w:rsidR="002A053E">
        <w:rPr>
          <w:rFonts w:ascii="Avenir Next" w:hAnsi="Avenir Next"/>
          <w:color w:val="808080" w:themeColor="background1" w:themeShade="80"/>
          <w:sz w:val="22"/>
          <w:szCs w:val="28"/>
        </w:rPr>
        <w:t xml:space="preserve"> the “nerve center” text. </w:t>
      </w:r>
    </w:p>
    <w:p w14:paraId="0265F27C" w14:textId="77777777" w:rsidR="008726D4" w:rsidRDefault="008726D4" w:rsidP="008726D4">
      <w:pPr>
        <w:jc w:val="both"/>
        <w:rPr>
          <w:rFonts w:ascii="Avenir Next" w:hAnsi="Avenir Next"/>
          <w:color w:val="808080" w:themeColor="background1" w:themeShade="80"/>
          <w:sz w:val="22"/>
          <w:szCs w:val="28"/>
        </w:rPr>
      </w:pPr>
    </w:p>
    <w:p w14:paraId="6AC23CAD" w14:textId="207BB885" w:rsidR="00762BC8" w:rsidRDefault="00762BC8" w:rsidP="00762B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reverse order, is the location </w:t>
      </w:r>
      <w:r>
        <w:rPr>
          <w:rFonts w:ascii="Avenir Next" w:hAnsi="Avenir Next"/>
          <w:color w:val="808080" w:themeColor="background1" w:themeShade="80"/>
          <w:sz w:val="22"/>
          <w:szCs w:val="28"/>
        </w:rPr>
        <w:t>readily ascertainable as such by the creditors of the debtor</w:t>
      </w:r>
      <w:r>
        <w:rPr>
          <w:rFonts w:ascii="Avenir Next" w:hAnsi="Avenir Next"/>
          <w:color w:val="808080" w:themeColor="background1" w:themeShade="80"/>
          <w:sz w:val="22"/>
          <w:szCs w:val="28"/>
        </w:rPr>
        <w:t xml:space="preserve">? The scheme governing the compromise on the Notes is under </w:t>
      </w:r>
      <w:r w:rsidR="00826EF3">
        <w:rPr>
          <w:rFonts w:ascii="Avenir Next" w:hAnsi="Avenir Next"/>
          <w:color w:val="808080" w:themeColor="background1" w:themeShade="80"/>
          <w:sz w:val="22"/>
          <w:szCs w:val="28"/>
        </w:rPr>
        <w:t>Cayman Law</w:t>
      </w:r>
      <w:r>
        <w:rPr>
          <w:rFonts w:ascii="Avenir Next" w:hAnsi="Avenir Next"/>
          <w:color w:val="808080" w:themeColor="background1" w:themeShade="80"/>
          <w:sz w:val="22"/>
          <w:szCs w:val="28"/>
        </w:rPr>
        <w:t xml:space="preserve">. </w:t>
      </w:r>
    </w:p>
    <w:p w14:paraId="531A9AF8" w14:textId="77777777" w:rsidR="00826EF3" w:rsidRDefault="00826EF3" w:rsidP="00762BC8">
      <w:pPr>
        <w:jc w:val="both"/>
        <w:rPr>
          <w:rFonts w:ascii="Avenir Next" w:hAnsi="Avenir Next"/>
          <w:color w:val="808080" w:themeColor="background1" w:themeShade="80"/>
          <w:sz w:val="22"/>
          <w:szCs w:val="28"/>
        </w:rPr>
      </w:pPr>
    </w:p>
    <w:p w14:paraId="6FA10585" w14:textId="0CD57724" w:rsidR="00192555" w:rsidRPr="00192555" w:rsidRDefault="00192555" w:rsidP="00762BC8">
      <w:pPr>
        <w:jc w:val="both"/>
        <w:rPr>
          <w:rFonts w:ascii="Avenir Next" w:hAnsi="Avenir Next"/>
          <w:b/>
          <w:bCs/>
          <w:color w:val="808080" w:themeColor="background1" w:themeShade="80"/>
          <w:sz w:val="22"/>
          <w:szCs w:val="28"/>
        </w:rPr>
      </w:pPr>
      <w:r w:rsidRPr="00192555">
        <w:rPr>
          <w:rFonts w:ascii="Avenir Next" w:hAnsi="Avenir Next"/>
          <w:b/>
          <w:bCs/>
          <w:color w:val="808080" w:themeColor="background1" w:themeShade="80"/>
          <w:sz w:val="22"/>
          <w:szCs w:val="28"/>
        </w:rPr>
        <w:t xml:space="preserve">Application </w:t>
      </w:r>
    </w:p>
    <w:p w14:paraId="6E56430B" w14:textId="6158F43E" w:rsidR="00D31317" w:rsidRDefault="008726D4" w:rsidP="001E1C4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Given the above the key filing strategy with respect to GFH is that an application </w:t>
      </w:r>
      <w:r w:rsidR="00D31317">
        <w:rPr>
          <w:rFonts w:ascii="Avenir Next" w:hAnsi="Avenir Next"/>
          <w:color w:val="808080" w:themeColor="background1" w:themeShade="80"/>
          <w:sz w:val="22"/>
          <w:szCs w:val="28"/>
        </w:rPr>
        <w:t>should be made for a</w:t>
      </w:r>
      <w:r>
        <w:rPr>
          <w:rFonts w:ascii="Avenir Next" w:hAnsi="Avenir Next"/>
          <w:color w:val="808080" w:themeColor="background1" w:themeShade="80"/>
          <w:sz w:val="22"/>
          <w:szCs w:val="28"/>
        </w:rPr>
        <w:t xml:space="preserve"> main </w:t>
      </w:r>
      <w:r w:rsidR="00D31317">
        <w:rPr>
          <w:rFonts w:ascii="Avenir Next" w:hAnsi="Avenir Next"/>
          <w:color w:val="808080" w:themeColor="background1" w:themeShade="80"/>
          <w:sz w:val="22"/>
          <w:szCs w:val="28"/>
        </w:rPr>
        <w:t xml:space="preserve">foreign </w:t>
      </w:r>
      <w:r>
        <w:rPr>
          <w:rFonts w:ascii="Avenir Next" w:hAnsi="Avenir Next"/>
          <w:color w:val="808080" w:themeColor="background1" w:themeShade="80"/>
          <w:sz w:val="22"/>
          <w:szCs w:val="28"/>
        </w:rPr>
        <w:t>proceeding application</w:t>
      </w:r>
      <w:r w:rsidR="00D31317">
        <w:rPr>
          <w:rFonts w:ascii="Avenir Next" w:hAnsi="Avenir Next"/>
          <w:color w:val="808080" w:themeColor="background1" w:themeShade="80"/>
          <w:sz w:val="22"/>
          <w:szCs w:val="28"/>
        </w:rPr>
        <w:t xml:space="preserve"> in the US</w:t>
      </w:r>
      <w:r w:rsidR="00192555">
        <w:rPr>
          <w:rFonts w:ascii="Avenir Next" w:hAnsi="Avenir Next"/>
          <w:color w:val="808080" w:themeColor="background1" w:themeShade="80"/>
          <w:sz w:val="22"/>
          <w:szCs w:val="28"/>
        </w:rPr>
        <w:t xml:space="preserve"> under Chapter 15 of the Bankruptcy Code</w:t>
      </w:r>
      <w:r w:rsidR="00D31317">
        <w:rPr>
          <w:rFonts w:ascii="Avenir Next" w:hAnsi="Avenir Next"/>
          <w:color w:val="808080" w:themeColor="background1" w:themeShade="80"/>
          <w:sz w:val="22"/>
          <w:szCs w:val="28"/>
        </w:rPr>
        <w:t xml:space="preserve">. </w:t>
      </w:r>
    </w:p>
    <w:p w14:paraId="688772EE" w14:textId="77777777" w:rsidR="00D31317" w:rsidRDefault="00D31317" w:rsidP="001E1C4C">
      <w:pPr>
        <w:jc w:val="both"/>
        <w:rPr>
          <w:rFonts w:ascii="Avenir Next" w:hAnsi="Avenir Next"/>
          <w:color w:val="808080" w:themeColor="background1" w:themeShade="80"/>
          <w:sz w:val="22"/>
          <w:szCs w:val="28"/>
        </w:rPr>
      </w:pPr>
    </w:p>
    <w:p w14:paraId="5976596F" w14:textId="61293908" w:rsidR="00D31317" w:rsidRDefault="00D31317" w:rsidP="001E1C4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It is a main proceeding not a non-main proceeding as there is sufficient justification that the Cayman Islands meet the criteria for a COMI given that it has been incorporated there for over a decade, the books and records are maintained there, meetings are held there (albeit on a virtual basis), the creditors are aware of the location (per public filings). The scheme is under </w:t>
      </w:r>
      <w:r w:rsidR="00D034FD">
        <w:rPr>
          <w:rFonts w:ascii="Avenir Next" w:hAnsi="Avenir Next"/>
          <w:color w:val="808080" w:themeColor="background1" w:themeShade="80"/>
          <w:sz w:val="22"/>
          <w:szCs w:val="28"/>
        </w:rPr>
        <w:t>Cayman</w:t>
      </w:r>
      <w:r>
        <w:rPr>
          <w:rFonts w:ascii="Avenir Next" w:hAnsi="Avenir Next"/>
          <w:color w:val="808080" w:themeColor="background1" w:themeShade="80"/>
          <w:sz w:val="22"/>
          <w:szCs w:val="28"/>
        </w:rPr>
        <w:t xml:space="preserve"> law. </w:t>
      </w:r>
    </w:p>
    <w:p w14:paraId="5DF6BA35" w14:textId="77777777" w:rsidR="00D31317" w:rsidRDefault="00D31317" w:rsidP="001E1C4C">
      <w:pPr>
        <w:jc w:val="both"/>
        <w:rPr>
          <w:rFonts w:ascii="Avenir Next" w:hAnsi="Avenir Next"/>
          <w:color w:val="808080" w:themeColor="background1" w:themeShade="80"/>
          <w:sz w:val="22"/>
          <w:szCs w:val="28"/>
        </w:rPr>
      </w:pPr>
    </w:p>
    <w:p w14:paraId="7C0A86F6" w14:textId="77777777" w:rsidR="00C72850" w:rsidRDefault="00D31317" w:rsidP="001E1C4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Given that the Note holders have signed the RSA and have approved the Scheme which has now been sanctioned in terms of the Sanction Order the scheme is now binding on the Scheme Creditors. However, the Scheme needs to be recognized under Chapter 15 given that the Notes are issued under US law. (It is not known the location of the Scheme Creditors).  </w:t>
      </w:r>
    </w:p>
    <w:p w14:paraId="0527A63C" w14:textId="77777777" w:rsidR="00C72850" w:rsidRDefault="00C72850" w:rsidP="001E1C4C">
      <w:pPr>
        <w:jc w:val="both"/>
        <w:rPr>
          <w:rFonts w:ascii="Avenir Next" w:hAnsi="Avenir Next"/>
          <w:color w:val="808080" w:themeColor="background1" w:themeShade="80"/>
          <w:sz w:val="22"/>
          <w:szCs w:val="28"/>
        </w:rPr>
      </w:pPr>
    </w:p>
    <w:p w14:paraId="79E0E80C" w14:textId="559FC0B9" w:rsidR="00762BC8" w:rsidRDefault="00C72850" w:rsidP="001E1C4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so called Gibbs Rule arguments are unlikely to apply</w:t>
      </w:r>
      <w:r w:rsidR="00E74859">
        <w:rPr>
          <w:rFonts w:ascii="Avenir Next" w:hAnsi="Avenir Next"/>
          <w:color w:val="808080" w:themeColor="background1" w:themeShade="80"/>
          <w:sz w:val="22"/>
          <w:szCs w:val="28"/>
        </w:rPr>
        <w:t>, in so far as an American court is likely to consider this case law given it is English Law).</w:t>
      </w:r>
      <w:r>
        <w:rPr>
          <w:rFonts w:ascii="Avenir Next" w:hAnsi="Avenir Next"/>
          <w:color w:val="808080" w:themeColor="background1" w:themeShade="80"/>
          <w:sz w:val="22"/>
          <w:szCs w:val="28"/>
        </w:rPr>
        <w:t xml:space="preserve"> in part because </w:t>
      </w:r>
      <w:r w:rsidR="00E74859">
        <w:rPr>
          <w:rFonts w:ascii="Avenir Next" w:hAnsi="Avenir Next"/>
          <w:color w:val="808080" w:themeColor="background1" w:themeShade="80"/>
          <w:sz w:val="22"/>
          <w:szCs w:val="28"/>
        </w:rPr>
        <w:t>the relevant creditors (Noteholders have submitted to the foreign proceeding – they signed the RSA under Cayman Law and approved the scheme issued out of the Cayman court)</w:t>
      </w:r>
      <w:r w:rsidR="00044EBB">
        <w:rPr>
          <w:rFonts w:ascii="Avenir Next" w:hAnsi="Avenir Next"/>
          <w:color w:val="808080" w:themeColor="background1" w:themeShade="80"/>
          <w:sz w:val="22"/>
          <w:szCs w:val="28"/>
        </w:rPr>
        <w:t xml:space="preserve"> as well as the case law</w:t>
      </w:r>
      <w:r w:rsidR="00044EBB">
        <w:rPr>
          <w:rStyle w:val="FootnoteReference"/>
          <w:rFonts w:ascii="Avenir Next" w:hAnsi="Avenir Next"/>
          <w:color w:val="808080" w:themeColor="background1" w:themeShade="80"/>
          <w:sz w:val="22"/>
          <w:szCs w:val="28"/>
        </w:rPr>
        <w:footnoteReference w:id="21"/>
      </w:r>
      <w:r w:rsidR="00044EBB">
        <w:rPr>
          <w:rFonts w:ascii="Avenir Next" w:hAnsi="Avenir Next"/>
          <w:color w:val="808080" w:themeColor="background1" w:themeShade="80"/>
          <w:sz w:val="22"/>
          <w:szCs w:val="28"/>
        </w:rPr>
        <w:t xml:space="preserve">. </w:t>
      </w:r>
      <w:r w:rsidR="008726D4">
        <w:rPr>
          <w:rFonts w:ascii="Avenir Next" w:hAnsi="Avenir Next"/>
          <w:color w:val="808080" w:themeColor="background1" w:themeShade="80"/>
          <w:sz w:val="22"/>
          <w:szCs w:val="28"/>
        </w:rPr>
        <w:t xml:space="preserve"> </w:t>
      </w:r>
    </w:p>
    <w:p w14:paraId="1E4FF7FB" w14:textId="77777777" w:rsidR="00762BC8" w:rsidRDefault="00762BC8" w:rsidP="001E1C4C">
      <w:pPr>
        <w:jc w:val="both"/>
        <w:rPr>
          <w:rFonts w:ascii="Avenir Next" w:hAnsi="Avenir Next"/>
          <w:color w:val="808080" w:themeColor="background1" w:themeShade="80"/>
          <w:sz w:val="22"/>
          <w:szCs w:val="28"/>
        </w:rPr>
      </w:pPr>
    </w:p>
    <w:p w14:paraId="1735AF31" w14:textId="54558845" w:rsidR="00192555" w:rsidRPr="00192555" w:rsidRDefault="00192555" w:rsidP="001E1C4C">
      <w:pPr>
        <w:jc w:val="both"/>
        <w:rPr>
          <w:rFonts w:ascii="Avenir Next" w:hAnsi="Avenir Next"/>
          <w:b/>
          <w:bCs/>
          <w:color w:val="808080" w:themeColor="background1" w:themeShade="80"/>
          <w:sz w:val="22"/>
          <w:szCs w:val="28"/>
        </w:rPr>
      </w:pPr>
      <w:r w:rsidRPr="00192555">
        <w:rPr>
          <w:rFonts w:ascii="Avenir Next" w:hAnsi="Avenir Next"/>
          <w:b/>
          <w:bCs/>
          <w:color w:val="808080" w:themeColor="background1" w:themeShade="80"/>
          <w:sz w:val="22"/>
          <w:szCs w:val="28"/>
        </w:rPr>
        <w:lastRenderedPageBreak/>
        <w:t xml:space="preserve">Papers to be </w:t>
      </w:r>
      <w:proofErr w:type="gramStart"/>
      <w:r w:rsidRPr="00192555">
        <w:rPr>
          <w:rFonts w:ascii="Avenir Next" w:hAnsi="Avenir Next"/>
          <w:b/>
          <w:bCs/>
          <w:color w:val="808080" w:themeColor="background1" w:themeShade="80"/>
          <w:sz w:val="22"/>
          <w:szCs w:val="28"/>
        </w:rPr>
        <w:t>submitted</w:t>
      </w:r>
      <w:proofErr w:type="gramEnd"/>
      <w:r w:rsidRPr="00192555">
        <w:rPr>
          <w:rFonts w:ascii="Avenir Next" w:hAnsi="Avenir Next"/>
          <w:b/>
          <w:bCs/>
          <w:color w:val="808080" w:themeColor="background1" w:themeShade="80"/>
          <w:sz w:val="22"/>
          <w:szCs w:val="28"/>
        </w:rPr>
        <w:t xml:space="preserve"> </w:t>
      </w:r>
    </w:p>
    <w:p w14:paraId="741426AD" w14:textId="3BD6C8E8" w:rsidR="00192555" w:rsidRDefault="00192555" w:rsidP="001E1C4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documents to be submitted in the recognition proceeding with include:</w:t>
      </w:r>
    </w:p>
    <w:p w14:paraId="5419AE0B" w14:textId="471A24BA" w:rsidR="00192555" w:rsidRPr="00192555" w:rsidRDefault="00192555" w:rsidP="00192555">
      <w:pPr>
        <w:pStyle w:val="ListParagraph"/>
        <w:numPr>
          <w:ilvl w:val="0"/>
          <w:numId w:val="73"/>
        </w:numPr>
        <w:jc w:val="both"/>
        <w:rPr>
          <w:rFonts w:ascii="Avenir Next" w:hAnsi="Avenir Next"/>
          <w:color w:val="808080" w:themeColor="background1" w:themeShade="80"/>
          <w:sz w:val="22"/>
          <w:szCs w:val="28"/>
        </w:rPr>
      </w:pPr>
      <w:r w:rsidRPr="00192555">
        <w:rPr>
          <w:rFonts w:ascii="Avenir Next" w:hAnsi="Avenir Next"/>
          <w:color w:val="808080" w:themeColor="background1" w:themeShade="80"/>
          <w:sz w:val="22"/>
          <w:szCs w:val="28"/>
        </w:rPr>
        <w:t>Certified copy of the Complying Order</w:t>
      </w:r>
    </w:p>
    <w:p w14:paraId="7E44A029" w14:textId="723C2D42" w:rsidR="00192555" w:rsidRDefault="00192555" w:rsidP="00192555">
      <w:pPr>
        <w:pStyle w:val="ListParagraph"/>
        <w:numPr>
          <w:ilvl w:val="0"/>
          <w:numId w:val="73"/>
        </w:numPr>
        <w:jc w:val="both"/>
        <w:rPr>
          <w:rFonts w:ascii="Avenir Next" w:hAnsi="Avenir Next"/>
          <w:color w:val="808080" w:themeColor="background1" w:themeShade="80"/>
          <w:sz w:val="22"/>
          <w:szCs w:val="28"/>
        </w:rPr>
      </w:pPr>
      <w:r w:rsidRPr="00192555">
        <w:rPr>
          <w:rFonts w:ascii="Avenir Next" w:hAnsi="Avenir Next"/>
          <w:color w:val="808080" w:themeColor="background1" w:themeShade="80"/>
          <w:sz w:val="22"/>
          <w:szCs w:val="28"/>
        </w:rPr>
        <w:t xml:space="preserve">Certified copy of the Sanction Order </w:t>
      </w:r>
    </w:p>
    <w:p w14:paraId="054575B1" w14:textId="5DF6F55F" w:rsidR="00192555" w:rsidRDefault="00192555" w:rsidP="00192555">
      <w:pPr>
        <w:pStyle w:val="ListParagraph"/>
        <w:numPr>
          <w:ilvl w:val="0"/>
          <w:numId w:val="73"/>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Certificate affirming the appointment of a foreign representative (e.g. a scheme administrator). </w:t>
      </w:r>
    </w:p>
    <w:p w14:paraId="2BF93D92" w14:textId="77777777" w:rsidR="00192555" w:rsidRDefault="00192555" w:rsidP="00192555">
      <w:pPr>
        <w:pStyle w:val="ListParagraph"/>
        <w:numPr>
          <w:ilvl w:val="0"/>
          <w:numId w:val="73"/>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Statement from the foreign representative of scheme of the known foreign proceedings (based on the facts this is none).</w:t>
      </w:r>
    </w:p>
    <w:p w14:paraId="33C6674A" w14:textId="77777777" w:rsidR="00192555" w:rsidRDefault="00192555" w:rsidP="00192555">
      <w:pPr>
        <w:jc w:val="both"/>
        <w:rPr>
          <w:rFonts w:ascii="Avenir Next" w:hAnsi="Avenir Next"/>
          <w:color w:val="808080" w:themeColor="background1" w:themeShade="80"/>
          <w:sz w:val="22"/>
          <w:szCs w:val="28"/>
        </w:rPr>
      </w:pPr>
    </w:p>
    <w:p w14:paraId="5ED15FCC" w14:textId="6B5058FC" w:rsidR="00192555" w:rsidRPr="00192555" w:rsidRDefault="00192555" w:rsidP="0019255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No translation of these documents will be required given that the Cayman Islands is English speaking. </w:t>
      </w:r>
      <w:r w:rsidRPr="00192555">
        <w:rPr>
          <w:rFonts w:ascii="Avenir Next" w:hAnsi="Avenir Next"/>
          <w:color w:val="808080" w:themeColor="background1" w:themeShade="80"/>
          <w:sz w:val="22"/>
          <w:szCs w:val="28"/>
        </w:rPr>
        <w:t xml:space="preserve"> </w:t>
      </w:r>
    </w:p>
    <w:p w14:paraId="1DD06D01" w14:textId="77777777" w:rsidR="00192555" w:rsidRDefault="00192555" w:rsidP="001E1C4C">
      <w:pPr>
        <w:jc w:val="both"/>
        <w:rPr>
          <w:rFonts w:ascii="Avenir Next" w:hAnsi="Avenir Next"/>
          <w:color w:val="808080" w:themeColor="background1" w:themeShade="80"/>
          <w:sz w:val="22"/>
          <w:szCs w:val="28"/>
        </w:rPr>
      </w:pPr>
    </w:p>
    <w:p w14:paraId="3C0902E3" w14:textId="45F365A0" w:rsidR="00192555" w:rsidRPr="00192555" w:rsidRDefault="00192555" w:rsidP="001E1C4C">
      <w:pPr>
        <w:jc w:val="both"/>
        <w:rPr>
          <w:rFonts w:ascii="Avenir Next" w:hAnsi="Avenir Next"/>
          <w:b/>
          <w:bCs/>
          <w:color w:val="808080" w:themeColor="background1" w:themeShade="80"/>
          <w:sz w:val="22"/>
          <w:szCs w:val="28"/>
        </w:rPr>
      </w:pPr>
      <w:r w:rsidRPr="00192555">
        <w:rPr>
          <w:rFonts w:ascii="Avenir Next" w:hAnsi="Avenir Next"/>
          <w:b/>
          <w:bCs/>
          <w:color w:val="808080" w:themeColor="background1" w:themeShade="80"/>
          <w:sz w:val="22"/>
          <w:szCs w:val="28"/>
        </w:rPr>
        <w:t>Relief Requested</w:t>
      </w:r>
    </w:p>
    <w:p w14:paraId="38E1AB86" w14:textId="61D4E0D8" w:rsidR="00192555" w:rsidRDefault="000E10B2" w:rsidP="001E1C4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Given that there is a class action litigation brewing in the US but not filed. It will be necessary to file for interim relief under Article 19(1) while the recognition application is being filed. The application should include a request for relief: </w:t>
      </w:r>
    </w:p>
    <w:p w14:paraId="629DAF27" w14:textId="35BA136D" w:rsidR="00C72850" w:rsidRDefault="00C72850" w:rsidP="000E10B2">
      <w:pPr>
        <w:pStyle w:val="ListParagraph"/>
        <w:numPr>
          <w:ilvl w:val="0"/>
          <w:numId w:val="7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moratorium </w:t>
      </w:r>
    </w:p>
    <w:p w14:paraId="1B7D60DA" w14:textId="6D659AAB" w:rsidR="00C72850" w:rsidRDefault="00C72850" w:rsidP="000E10B2">
      <w:pPr>
        <w:pStyle w:val="ListParagraph"/>
        <w:numPr>
          <w:ilvl w:val="0"/>
          <w:numId w:val="7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 Stay of execution against GFH’s assets in the US (which include the building but also the subsidiaries). The building is actively marketing the building it is not clear if this is a forced sale or not)</w:t>
      </w:r>
    </w:p>
    <w:p w14:paraId="03FB7BC8" w14:textId="5D5F4A8D" w:rsidR="000E10B2" w:rsidRPr="00C72850" w:rsidRDefault="000E10B2" w:rsidP="00A1321F">
      <w:pPr>
        <w:pStyle w:val="ListParagraph"/>
        <w:numPr>
          <w:ilvl w:val="0"/>
          <w:numId w:val="74"/>
        </w:numPr>
        <w:jc w:val="both"/>
        <w:rPr>
          <w:rFonts w:ascii="Avenir Next" w:hAnsi="Avenir Next"/>
          <w:color w:val="808080" w:themeColor="background1" w:themeShade="80"/>
          <w:sz w:val="22"/>
          <w:szCs w:val="28"/>
        </w:rPr>
      </w:pPr>
      <w:r w:rsidRPr="00C72850">
        <w:rPr>
          <w:rFonts w:ascii="Avenir Next" w:hAnsi="Avenir Next"/>
          <w:color w:val="808080" w:themeColor="background1" w:themeShade="80"/>
          <w:sz w:val="22"/>
          <w:szCs w:val="28"/>
        </w:rPr>
        <w:t xml:space="preserve">Entrusting the administration </w:t>
      </w:r>
      <w:r w:rsidR="00C72850" w:rsidRPr="00C72850">
        <w:rPr>
          <w:rFonts w:ascii="Avenir Next" w:hAnsi="Avenir Next"/>
          <w:color w:val="808080" w:themeColor="background1" w:themeShade="80"/>
          <w:sz w:val="22"/>
          <w:szCs w:val="28"/>
        </w:rPr>
        <w:t xml:space="preserve">of the subsidiaries and other assets to the foreign representative in order to preserve their value given they are in jeopardy given risk of the class action. </w:t>
      </w:r>
    </w:p>
    <w:p w14:paraId="163E724E" w14:textId="77777777" w:rsidR="000E10B2" w:rsidRDefault="000E10B2" w:rsidP="001E1C4C">
      <w:pPr>
        <w:jc w:val="both"/>
        <w:rPr>
          <w:rFonts w:ascii="Avenir Next" w:hAnsi="Avenir Next"/>
          <w:color w:val="808080" w:themeColor="background1" w:themeShade="80"/>
          <w:sz w:val="22"/>
          <w:szCs w:val="28"/>
        </w:rPr>
      </w:pPr>
    </w:p>
    <w:p w14:paraId="76494872" w14:textId="77777777" w:rsidR="00846C5A" w:rsidRDefault="000E10B2" w:rsidP="000E10B2">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It is assumed that the scheme compromising the Notes will return GFH to solvency. It is not known whether or not some or all of the subsidiaries may be insolvent. </w:t>
      </w:r>
    </w:p>
    <w:p w14:paraId="4B93E295" w14:textId="77777777" w:rsidR="00846C5A" w:rsidRDefault="00846C5A" w:rsidP="000E10B2">
      <w:pPr>
        <w:jc w:val="both"/>
        <w:rPr>
          <w:rFonts w:ascii="Avenir Next" w:hAnsi="Avenir Next"/>
          <w:color w:val="808080" w:themeColor="background1" w:themeShade="80"/>
          <w:sz w:val="22"/>
          <w:szCs w:val="28"/>
        </w:rPr>
      </w:pPr>
    </w:p>
    <w:p w14:paraId="50F459E8" w14:textId="0EA89B31" w:rsidR="00846C5A" w:rsidRDefault="00846C5A" w:rsidP="000E10B2">
      <w:pPr>
        <w:jc w:val="both"/>
        <w:rPr>
          <w:rFonts w:ascii="Avenir Next" w:hAnsi="Avenir Next" w:cs="Arial"/>
          <w:color w:val="808080" w:themeColor="background1" w:themeShade="80"/>
          <w:sz w:val="22"/>
          <w:szCs w:val="22"/>
          <w:lang w:val="en-GB"/>
        </w:rPr>
      </w:pPr>
      <w:r>
        <w:rPr>
          <w:rFonts w:ascii="Avenir Next" w:hAnsi="Avenir Next"/>
          <w:color w:val="808080" w:themeColor="background1" w:themeShade="80"/>
          <w:sz w:val="22"/>
          <w:szCs w:val="28"/>
        </w:rPr>
        <w:t xml:space="preserve">If the foreign proceeding is recognized as a </w:t>
      </w:r>
      <w:proofErr w:type="spellStart"/>
      <w:r>
        <w:rPr>
          <w:rFonts w:ascii="Avenir Next" w:hAnsi="Avenir Next"/>
          <w:color w:val="808080" w:themeColor="background1" w:themeShade="80"/>
          <w:sz w:val="22"/>
          <w:szCs w:val="28"/>
        </w:rPr>
        <w:t>non main</w:t>
      </w:r>
      <w:proofErr w:type="spellEnd"/>
      <w:r>
        <w:rPr>
          <w:rFonts w:ascii="Avenir Next" w:hAnsi="Avenir Next"/>
          <w:color w:val="808080" w:themeColor="background1" w:themeShade="80"/>
          <w:sz w:val="22"/>
          <w:szCs w:val="28"/>
        </w:rPr>
        <w:t xml:space="preserve"> proceeding then the foreign representative should </w:t>
      </w:r>
      <w:r>
        <w:rPr>
          <w:rFonts w:ascii="Avenir Next" w:hAnsi="Avenir Next" w:cs="Arial"/>
          <w:color w:val="808080" w:themeColor="background1" w:themeShade="80"/>
          <w:sz w:val="22"/>
          <w:szCs w:val="22"/>
          <w:lang w:val="en-GB"/>
        </w:rPr>
        <w:t>apply for a stay under Article 21</w:t>
      </w:r>
      <w:r>
        <w:rPr>
          <w:rFonts w:ascii="Avenir Next" w:hAnsi="Avenir Next" w:cs="Arial"/>
          <w:color w:val="808080" w:themeColor="background1" w:themeShade="80"/>
          <w:sz w:val="22"/>
          <w:szCs w:val="22"/>
          <w:lang w:val="en-GB"/>
        </w:rPr>
        <w:t>, for the period of the scheme of arrangement,</w:t>
      </w:r>
      <w:r>
        <w:rPr>
          <w:rFonts w:ascii="Avenir Next" w:hAnsi="Avenir Next" w:cs="Arial"/>
          <w:color w:val="808080" w:themeColor="background1" w:themeShade="80"/>
          <w:sz w:val="22"/>
          <w:szCs w:val="22"/>
          <w:lang w:val="en-GB"/>
        </w:rPr>
        <w:t xml:space="preserve"> once recognition has been granted.</w:t>
      </w:r>
    </w:p>
    <w:p w14:paraId="0D14447E" w14:textId="77777777" w:rsidR="00846C5A" w:rsidRDefault="00846C5A" w:rsidP="000E10B2">
      <w:pPr>
        <w:jc w:val="both"/>
        <w:rPr>
          <w:rFonts w:ascii="Avenir Next" w:hAnsi="Avenir Next" w:cs="Arial"/>
          <w:color w:val="808080" w:themeColor="background1" w:themeShade="80"/>
          <w:sz w:val="22"/>
          <w:szCs w:val="22"/>
          <w:lang w:val="en-GB"/>
        </w:rPr>
      </w:pPr>
    </w:p>
    <w:p w14:paraId="1FC78B86" w14:textId="76FA6BA7" w:rsidR="00846C5A" w:rsidRDefault="00846C5A" w:rsidP="000E10B2">
      <w:pPr>
        <w:jc w:val="both"/>
        <w:rPr>
          <w:rFonts w:ascii="Avenir Next" w:hAnsi="Avenir Next"/>
          <w:color w:val="808080" w:themeColor="background1" w:themeShade="80"/>
          <w:sz w:val="22"/>
          <w:szCs w:val="28"/>
        </w:rPr>
      </w:pPr>
      <w:r>
        <w:rPr>
          <w:rFonts w:ascii="Avenir Next" w:hAnsi="Avenir Next" w:cs="Arial"/>
          <w:color w:val="808080" w:themeColor="background1" w:themeShade="80"/>
          <w:sz w:val="22"/>
          <w:szCs w:val="22"/>
          <w:lang w:val="en-GB"/>
        </w:rPr>
        <w:t>It is not known as to what the payment will be in terms of the scheme to the Note holders (it is stated to be “in kind”). Depending on the terms of this and the duration there may be some challenge to a stay under Article 21 (along the lines of the IBA Case</w:t>
      </w:r>
      <w:r>
        <w:rPr>
          <w:rStyle w:val="FootnoteReference"/>
          <w:rFonts w:ascii="Avenir Next" w:hAnsi="Avenir Next" w:cs="Arial"/>
          <w:color w:val="808080" w:themeColor="background1" w:themeShade="80"/>
          <w:sz w:val="22"/>
          <w:szCs w:val="22"/>
          <w:lang w:val="en-GB"/>
        </w:rPr>
        <w:footnoteReference w:id="22"/>
      </w:r>
      <w:r>
        <w:rPr>
          <w:rFonts w:ascii="Avenir Next" w:hAnsi="Avenir Next" w:cs="Arial"/>
          <w:color w:val="808080" w:themeColor="background1" w:themeShade="80"/>
          <w:sz w:val="22"/>
          <w:szCs w:val="22"/>
          <w:lang w:val="en-GB"/>
        </w:rPr>
        <w:t>).</w:t>
      </w:r>
    </w:p>
    <w:p w14:paraId="1BFBDDEE" w14:textId="77777777" w:rsidR="00846C5A" w:rsidRDefault="00846C5A" w:rsidP="000E10B2">
      <w:pPr>
        <w:jc w:val="both"/>
        <w:rPr>
          <w:rFonts w:ascii="Avenir Next" w:hAnsi="Avenir Next"/>
          <w:color w:val="808080" w:themeColor="background1" w:themeShade="80"/>
          <w:sz w:val="22"/>
          <w:szCs w:val="28"/>
        </w:rPr>
      </w:pPr>
    </w:p>
    <w:p w14:paraId="2BBAC15E" w14:textId="5B8153A7" w:rsidR="000E10B2" w:rsidRDefault="00301B24" w:rsidP="000E10B2">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Consideration could be given to commencing plenary proceedings under chapter 15 following recognition. The US subsidiaries would be coordinated with the foreign proceedings.  </w:t>
      </w:r>
      <w:r w:rsidR="00846C5A">
        <w:rPr>
          <w:rFonts w:ascii="Avenir Next" w:hAnsi="Avenir Next"/>
          <w:color w:val="808080" w:themeColor="background1" w:themeShade="80"/>
          <w:sz w:val="22"/>
          <w:szCs w:val="28"/>
        </w:rPr>
        <w:t xml:space="preserve">The foreign representative could submit a chapter 11 petition against GFH (even with the recognition proceedings under Chapter 15). </w:t>
      </w:r>
      <w:r w:rsidR="00D80C74">
        <w:rPr>
          <w:rFonts w:ascii="Avenir Next" w:hAnsi="Avenir Next"/>
          <w:color w:val="808080" w:themeColor="background1" w:themeShade="80"/>
          <w:sz w:val="22"/>
          <w:szCs w:val="28"/>
        </w:rPr>
        <w:t xml:space="preserve">It would need to be decided and determined the appropriate venue for filing. </w:t>
      </w:r>
      <w:r w:rsidR="00846C5A">
        <w:rPr>
          <w:rFonts w:ascii="Avenir Next" w:hAnsi="Avenir Next"/>
          <w:color w:val="808080" w:themeColor="background1" w:themeShade="80"/>
          <w:sz w:val="22"/>
          <w:szCs w:val="28"/>
        </w:rPr>
        <w:t xml:space="preserve">This would apply an automatic stay and the development of a restructuring plan. </w:t>
      </w:r>
    </w:p>
    <w:p w14:paraId="2F415111" w14:textId="77777777" w:rsidR="00301B24" w:rsidRDefault="00301B24" w:rsidP="000E10B2">
      <w:pPr>
        <w:jc w:val="both"/>
        <w:rPr>
          <w:rFonts w:ascii="Avenir Next" w:hAnsi="Avenir Next"/>
          <w:color w:val="808080" w:themeColor="background1" w:themeShade="80"/>
          <w:sz w:val="22"/>
          <w:szCs w:val="28"/>
        </w:rPr>
      </w:pPr>
    </w:p>
    <w:p w14:paraId="2D0FE78B" w14:textId="2E4E4114" w:rsidR="00D31317" w:rsidRDefault="00D31317" w:rsidP="001E1C4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Consideration needs to be given to the fact that in terms of US Bankruptcy Code insurance companies do not full under it</w:t>
      </w:r>
      <w:r w:rsidR="006F29CD">
        <w:rPr>
          <w:rFonts w:ascii="Avenir Next" w:hAnsi="Avenir Next"/>
          <w:color w:val="808080" w:themeColor="background1" w:themeShade="80"/>
          <w:sz w:val="22"/>
          <w:szCs w:val="28"/>
        </w:rPr>
        <w:t xml:space="preserve"> and separate bankruptcy provisions apply</w:t>
      </w:r>
      <w:r w:rsidR="006F29CD">
        <w:rPr>
          <w:rStyle w:val="FootnoteReference"/>
          <w:rFonts w:ascii="Avenir Next" w:hAnsi="Avenir Next"/>
          <w:color w:val="808080" w:themeColor="background1" w:themeShade="80"/>
          <w:sz w:val="22"/>
          <w:szCs w:val="28"/>
        </w:rPr>
        <w:footnoteReference w:id="23"/>
      </w:r>
      <w:r>
        <w:rPr>
          <w:rFonts w:ascii="Avenir Next" w:hAnsi="Avenir Next"/>
          <w:color w:val="808080" w:themeColor="background1" w:themeShade="80"/>
          <w:sz w:val="22"/>
          <w:szCs w:val="28"/>
        </w:rPr>
        <w:t xml:space="preserve">. </w:t>
      </w:r>
      <w:r w:rsidR="007C29C8">
        <w:rPr>
          <w:rFonts w:ascii="Avenir Next" w:hAnsi="Avenir Next"/>
          <w:color w:val="808080" w:themeColor="background1" w:themeShade="80"/>
          <w:sz w:val="22"/>
          <w:szCs w:val="28"/>
        </w:rPr>
        <w:t xml:space="preserve">As such </w:t>
      </w:r>
      <w:r w:rsidR="00AC1322">
        <w:rPr>
          <w:rFonts w:ascii="Avenir Next" w:hAnsi="Avenir Next"/>
          <w:color w:val="808080" w:themeColor="background1" w:themeShade="80"/>
          <w:sz w:val="22"/>
          <w:szCs w:val="28"/>
        </w:rPr>
        <w:t xml:space="preserve">there may be a public policy exception in terms of Articles 6. </w:t>
      </w:r>
      <w:r w:rsidR="007C29C8">
        <w:rPr>
          <w:rFonts w:ascii="Avenir Next" w:hAnsi="Avenir Next"/>
          <w:color w:val="808080" w:themeColor="background1" w:themeShade="80"/>
          <w:sz w:val="22"/>
          <w:szCs w:val="28"/>
        </w:rPr>
        <w:t xml:space="preserve">dealing with the subsidiaries that are in the insurance sector will need to be dealt with </w:t>
      </w:r>
      <w:r w:rsidR="00D034FD">
        <w:rPr>
          <w:rFonts w:ascii="Avenir Next" w:hAnsi="Avenir Next"/>
          <w:color w:val="808080" w:themeColor="background1" w:themeShade="80"/>
          <w:sz w:val="22"/>
          <w:szCs w:val="28"/>
        </w:rPr>
        <w:t>separately</w:t>
      </w:r>
      <w:r w:rsidR="007C29C8">
        <w:rPr>
          <w:rFonts w:ascii="Avenir Next" w:hAnsi="Avenir Next"/>
          <w:color w:val="808080" w:themeColor="background1" w:themeShade="80"/>
          <w:sz w:val="22"/>
          <w:szCs w:val="28"/>
        </w:rPr>
        <w:t xml:space="preserve">. </w:t>
      </w:r>
      <w:r w:rsidR="006F29CD">
        <w:rPr>
          <w:rFonts w:ascii="Avenir Next" w:hAnsi="Avenir Next"/>
          <w:color w:val="808080" w:themeColor="background1" w:themeShade="80"/>
          <w:sz w:val="22"/>
          <w:szCs w:val="28"/>
        </w:rPr>
        <w:t xml:space="preserve">It is not clear whether the subsidiaries are insurance companies are “operate in the sector”. </w:t>
      </w:r>
    </w:p>
    <w:p w14:paraId="17B572ED" w14:textId="77777777" w:rsidR="00762BC8" w:rsidRPr="001E1C4C" w:rsidRDefault="00762BC8" w:rsidP="001E1C4C">
      <w:pPr>
        <w:jc w:val="both"/>
        <w:rPr>
          <w:rFonts w:ascii="Avenir Next" w:hAnsi="Avenir Next"/>
          <w:color w:val="808080" w:themeColor="background1" w:themeShade="80"/>
          <w:sz w:val="22"/>
          <w:szCs w:val="28"/>
        </w:rPr>
      </w:pPr>
    </w:p>
    <w:p w14:paraId="70B222A4" w14:textId="2CCB69DD" w:rsidR="00762BC8" w:rsidRPr="00E2622D" w:rsidRDefault="00762BC8" w:rsidP="00707FC8">
      <w:pPr>
        <w:jc w:val="both"/>
        <w:rPr>
          <w:rFonts w:ascii="Avenir Next" w:hAnsi="Avenir Next" w:cs="Arial"/>
          <w:sz w:val="22"/>
          <w:szCs w:val="22"/>
          <w:lang w:val="en-GB"/>
        </w:rPr>
      </w:pPr>
    </w:p>
    <w:bookmarkEnd w:id="1"/>
    <w:p w14:paraId="50C9BBA9" w14:textId="69690B21" w:rsidR="001E1C4C" w:rsidRPr="00E2622D" w:rsidRDefault="001E1C4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189F8A64" w14:textId="39BDFB1E" w:rsidR="00E2622D" w:rsidRPr="00E2622D" w:rsidRDefault="009B0723">
      <w:pPr>
        <w:rPr>
          <w:rFonts w:ascii="Avenir Next" w:hAnsi="Avenir Next" w:cs="Arial"/>
          <w:sz w:val="22"/>
          <w:szCs w:val="22"/>
          <w:lang w:val="en-GB"/>
        </w:rPr>
      </w:pPr>
      <w:r w:rsidRPr="00E2622D">
        <w:rPr>
          <w:rFonts w:ascii="Avenir Next" w:hAnsi="Avenir Next" w:cs="Arial"/>
          <w:sz w:val="22"/>
          <w:szCs w:val="22"/>
          <w:lang w:val="en-GB"/>
        </w:rPr>
        <w:t xml:space="preserve"> </w:t>
      </w:r>
    </w:p>
    <w:sectPr w:rsidR="00E2622D" w:rsidRPr="00E2622D" w:rsidSect="00EB69C7">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5BAC3" w14:textId="77777777" w:rsidR="00EB69C7" w:rsidRDefault="00EB69C7" w:rsidP="00241B44">
      <w:r>
        <w:separator/>
      </w:r>
    </w:p>
  </w:endnote>
  <w:endnote w:type="continuationSeparator" w:id="0">
    <w:p w14:paraId="53F244ED" w14:textId="77777777" w:rsidR="00EB69C7" w:rsidRDefault="00EB69C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06DD9574" w:rsidR="000300E0" w:rsidRPr="00B46CE2" w:rsidRDefault="00A115AE" w:rsidP="000300E0">
    <w:pPr>
      <w:pStyle w:val="Footer"/>
      <w:ind w:right="360"/>
      <w:rPr>
        <w:rFonts w:ascii="Avenir Next" w:hAnsi="Avenir Next"/>
        <w:sz w:val="22"/>
        <w:szCs w:val="22"/>
      </w:rPr>
    </w:pPr>
    <w:r w:rsidRPr="005D7A54">
      <w:rPr>
        <w:rFonts w:ascii="Calibri" w:hAnsi="Calibri" w:cs="Calibri"/>
        <w:color w:val="000000" w:themeColor="text1"/>
        <w:shd w:val="clear" w:color="auto" w:fill="FFFFFF"/>
      </w:rPr>
      <w:t>202324-1395</w:t>
    </w:r>
    <w:r w:rsidRPr="00297BDF">
      <w:rPr>
        <w:rFonts w:ascii="Avenir Next" w:hAnsi="Avenir Next" w:cs="Arial"/>
        <w:sz w:val="22"/>
        <w:szCs w:val="22"/>
      </w:rPr>
      <w:t>.assessmen</w:t>
    </w:r>
    <w:r>
      <w:rPr>
        <w:rFonts w:ascii="Avenir Next" w:hAnsi="Avenir Next" w:cs="Arial"/>
        <w:sz w:val="22"/>
        <w:szCs w:val="22"/>
      </w:rPr>
      <w:t>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20FF" w14:textId="77777777" w:rsidR="00EB69C7" w:rsidRDefault="00EB69C7" w:rsidP="00241B44">
      <w:r>
        <w:separator/>
      </w:r>
    </w:p>
  </w:footnote>
  <w:footnote w:type="continuationSeparator" w:id="0">
    <w:p w14:paraId="587421D8" w14:textId="77777777" w:rsidR="00EB69C7" w:rsidRDefault="00EB69C7" w:rsidP="00241B44">
      <w:r>
        <w:continuationSeparator/>
      </w:r>
    </w:p>
  </w:footnote>
  <w:footnote w:id="1">
    <w:p w14:paraId="072698E0" w14:textId="0B33CA5F" w:rsidR="00224386" w:rsidRDefault="00224386">
      <w:pPr>
        <w:pStyle w:val="FootnoteText"/>
      </w:pPr>
      <w:r>
        <w:rPr>
          <w:rStyle w:val="FootnoteReference"/>
        </w:rPr>
        <w:footnoteRef/>
      </w:r>
      <w:r>
        <w:t xml:space="preserve"> </w:t>
      </w:r>
      <w:r>
        <w:t>A Kaey and P Walton, Insolvency Law Corporate and Personal (Lexi Nexis, 4</w:t>
      </w:r>
      <w:r w:rsidRPr="005B5DAC">
        <w:rPr>
          <w:vertAlign w:val="superscript"/>
        </w:rPr>
        <w:t>th</w:t>
      </w:r>
      <w:r>
        <w:t xml:space="preserve"> Edition, 2017), pg. 400</w:t>
      </w:r>
    </w:p>
  </w:footnote>
  <w:footnote w:id="2">
    <w:p w14:paraId="3A3F6972" w14:textId="1474844B" w:rsidR="00415ED2" w:rsidRDefault="00415ED2">
      <w:pPr>
        <w:pStyle w:val="FootnoteText"/>
      </w:pPr>
      <w:r>
        <w:rPr>
          <w:rStyle w:val="FootnoteReference"/>
        </w:rPr>
        <w:footnoteRef/>
      </w:r>
      <w:r>
        <w:t xml:space="preserve"> </w:t>
      </w:r>
      <w:r>
        <w:t xml:space="preserve">Foundation Certificate in International Insolvency Law, “Module </w:t>
      </w:r>
      <w:r>
        <w:t>2</w:t>
      </w:r>
      <w:r>
        <w:t xml:space="preserve">A Guidance Text </w:t>
      </w:r>
      <w:r>
        <w:t>UNCITRAL Model Laws Relating to Insolvency</w:t>
      </w:r>
      <w:r>
        <w:t xml:space="preserve"> 2023/2024” (INSOL) pg. </w:t>
      </w:r>
      <w:r>
        <w:t>24</w:t>
      </w:r>
    </w:p>
  </w:footnote>
  <w:footnote w:id="3">
    <w:p w14:paraId="6DCCB878" w14:textId="41036D97" w:rsidR="00D5658B" w:rsidRDefault="00D5658B">
      <w:pPr>
        <w:pStyle w:val="FootnoteText"/>
      </w:pPr>
      <w:r>
        <w:rPr>
          <w:rStyle w:val="FootnoteReference"/>
        </w:rPr>
        <w:footnoteRef/>
      </w:r>
      <w:r>
        <w:t xml:space="preserve"> [2014] EWHC 2124 (Ch), [2014] Bus LR 1041</w:t>
      </w:r>
    </w:p>
  </w:footnote>
  <w:footnote w:id="4">
    <w:p w14:paraId="290F6594" w14:textId="77777777" w:rsidR="00EB2A6F" w:rsidRDefault="00EB2A6F" w:rsidP="00EB2A6F">
      <w:pPr>
        <w:pStyle w:val="FootnoteText"/>
      </w:pPr>
      <w:r>
        <w:rPr>
          <w:rStyle w:val="FootnoteReference"/>
        </w:rPr>
        <w:footnoteRef/>
      </w:r>
      <w:r>
        <w:t xml:space="preserve"> Picard v FIM Advisers LLP ([2010] EWHC 1299 (Ch); [2011] 1 BCLC 129)</w:t>
      </w:r>
    </w:p>
  </w:footnote>
  <w:footnote w:id="5">
    <w:p w14:paraId="242EEF6E" w14:textId="6135CBC9" w:rsidR="00EB2A6F" w:rsidRDefault="00EB2A6F" w:rsidP="00EB2A6F">
      <w:pPr>
        <w:pStyle w:val="FootnoteText"/>
      </w:pPr>
      <w:r>
        <w:rPr>
          <w:rStyle w:val="FootnoteReference"/>
        </w:rPr>
        <w:footnoteRef/>
      </w:r>
      <w:r>
        <w:t xml:space="preserve"> </w:t>
      </w:r>
      <w:r>
        <w:t>A Kaey and P Walton, Insolvency Law Corporate and Personal (Lexi Nexis, 4</w:t>
      </w:r>
      <w:r w:rsidRPr="005B5DAC">
        <w:rPr>
          <w:vertAlign w:val="superscript"/>
        </w:rPr>
        <w:t>th</w:t>
      </w:r>
      <w:r>
        <w:t xml:space="preserve"> Edition, 2017), pg. 4</w:t>
      </w:r>
      <w:r>
        <w:t>14</w:t>
      </w:r>
    </w:p>
    <w:p w14:paraId="3BEF47FE" w14:textId="37A42787" w:rsidR="00EB2A6F" w:rsidRDefault="00EB2A6F">
      <w:pPr>
        <w:pStyle w:val="FootnoteText"/>
      </w:pPr>
    </w:p>
  </w:footnote>
  <w:footnote w:id="6">
    <w:p w14:paraId="7381B6F8" w14:textId="7ADFF66D" w:rsidR="00C34EFE" w:rsidRDefault="00C34EFE" w:rsidP="00C34EFE">
      <w:pPr>
        <w:pStyle w:val="FootnoteText"/>
      </w:pPr>
      <w:r>
        <w:rPr>
          <w:rStyle w:val="FootnoteReference"/>
        </w:rPr>
        <w:footnoteRef/>
      </w:r>
      <w:r>
        <w:t xml:space="preserve"> </w:t>
      </w:r>
      <w:r>
        <w:t>Foundation Certificate in International Insolvency Law, “Module 2A Guidance Text UNCITRAL Model Laws Relating to Insolvency 2023/2024” (INSOL) pg. 2</w:t>
      </w:r>
      <w:r>
        <w:t>2</w:t>
      </w:r>
    </w:p>
    <w:p w14:paraId="6CBDE73C" w14:textId="52553783" w:rsidR="00C34EFE" w:rsidRDefault="00C34EFE">
      <w:pPr>
        <w:pStyle w:val="FootnoteText"/>
      </w:pPr>
    </w:p>
  </w:footnote>
  <w:footnote w:id="7">
    <w:p w14:paraId="23D4CC6C" w14:textId="77777777" w:rsidR="009730BA" w:rsidRDefault="009730BA" w:rsidP="009730BA">
      <w:pPr>
        <w:pStyle w:val="FootnoteText"/>
      </w:pPr>
      <w:r>
        <w:rPr>
          <w:rStyle w:val="FootnoteReference"/>
        </w:rPr>
        <w:footnoteRef/>
      </w:r>
      <w:r>
        <w:t xml:space="preserve"> See LC Ho ‘Proving COMI: Seeking Recognition Under Ch 15 of the US Bankruptcy Code’ (2007) 22 JIBFL 636.</w:t>
      </w:r>
    </w:p>
  </w:footnote>
  <w:footnote w:id="8">
    <w:p w14:paraId="72A02B28" w14:textId="386EE1BE" w:rsidR="00F06586" w:rsidRDefault="00F06586">
      <w:pPr>
        <w:pStyle w:val="FootnoteText"/>
      </w:pPr>
      <w:r>
        <w:rPr>
          <w:rStyle w:val="FootnoteReference"/>
        </w:rPr>
        <w:footnoteRef/>
      </w:r>
      <w:r>
        <w:t xml:space="preserve"> </w:t>
      </w:r>
      <w:r w:rsidRPr="00F06586">
        <w:rPr>
          <w:i/>
          <w:iCs/>
        </w:rPr>
        <w:t>In re Sphinx</w:t>
      </w:r>
      <w:r>
        <w:t xml:space="preserve"> (SDNY Case No 06-11760) </w:t>
      </w:r>
    </w:p>
  </w:footnote>
  <w:footnote w:id="9">
    <w:p w14:paraId="6BD7E4F9" w14:textId="70F553E4" w:rsidR="00DA51D7" w:rsidRDefault="00DA51D7">
      <w:pPr>
        <w:pStyle w:val="FootnoteText"/>
      </w:pPr>
      <w:r>
        <w:rPr>
          <w:rStyle w:val="FootnoteReference"/>
        </w:rPr>
        <w:footnoteRef/>
      </w:r>
      <w:r>
        <w:t xml:space="preserve"> As discussed </w:t>
      </w:r>
      <w:r w:rsidRPr="00DA51D7">
        <w:rPr>
          <w:i/>
          <w:iCs/>
        </w:rPr>
        <w:t>In the matter of Agrokor DD</w:t>
      </w:r>
      <w:r>
        <w:t xml:space="preserve"> [2017] EWHC 2791 (Ch). </w:t>
      </w:r>
    </w:p>
  </w:footnote>
  <w:footnote w:id="10">
    <w:p w14:paraId="034FB91E" w14:textId="77777777" w:rsidR="00894A0E" w:rsidRDefault="00894A0E" w:rsidP="00894A0E">
      <w:pPr>
        <w:pStyle w:val="FootnoteText"/>
      </w:pPr>
      <w:r>
        <w:rPr>
          <w:rStyle w:val="FootnoteReference"/>
        </w:rPr>
        <w:footnoteRef/>
      </w:r>
      <w:r>
        <w:t xml:space="preserve"> It is likely but not certain that as a provisional liquidator is appointed the company is in provisional liquidation however in certain jurisdictions a company can be in final liquidation and the provisional liquidator remains in place until the first meeting of creditors which only takes place after the final order. </w:t>
      </w:r>
    </w:p>
  </w:footnote>
  <w:footnote w:id="11">
    <w:p w14:paraId="2087E59A" w14:textId="6AB4E8F5" w:rsidR="00D47FFE" w:rsidRDefault="00D47FFE">
      <w:pPr>
        <w:pStyle w:val="FootnoteText"/>
      </w:pPr>
      <w:r>
        <w:rPr>
          <w:rStyle w:val="FootnoteReference"/>
        </w:rPr>
        <w:footnoteRef/>
      </w:r>
      <w:r>
        <w:t xml:space="preserve"> See case law OGX Petroleo e Gass SA [2016] EWHC 25 (Ch)</w:t>
      </w:r>
    </w:p>
  </w:footnote>
  <w:footnote w:id="12">
    <w:p w14:paraId="0710321A" w14:textId="3FF0A499" w:rsidR="006E304C" w:rsidRDefault="006E304C">
      <w:pPr>
        <w:pStyle w:val="FootnoteText"/>
      </w:pPr>
      <w:r>
        <w:rPr>
          <w:rStyle w:val="FootnoteReference"/>
        </w:rPr>
        <w:footnoteRef/>
      </w:r>
      <w:r>
        <w:t xml:space="preserve"> Belmond Park Investments Pty Ltd v BNY Corporate Trustee Services Ltd [2011] UKSC 38.</w:t>
      </w:r>
    </w:p>
  </w:footnote>
  <w:footnote w:id="13">
    <w:p w14:paraId="75266DAD" w14:textId="393ED701" w:rsidR="00CC680A" w:rsidRDefault="00CC680A">
      <w:pPr>
        <w:pStyle w:val="FootnoteText"/>
      </w:pPr>
      <w:r>
        <w:rPr>
          <w:rStyle w:val="FootnoteReference"/>
        </w:rPr>
        <w:footnoteRef/>
      </w:r>
      <w:r>
        <w:t xml:space="preserve"> [2014] EHWC 2124 (Ch)</w:t>
      </w:r>
    </w:p>
  </w:footnote>
  <w:footnote w:id="14">
    <w:p w14:paraId="3923ABC9" w14:textId="487AD1E9" w:rsidR="007952AF" w:rsidRDefault="007952AF">
      <w:pPr>
        <w:pStyle w:val="FootnoteText"/>
      </w:pPr>
      <w:r>
        <w:rPr>
          <w:rStyle w:val="FootnoteReference"/>
        </w:rPr>
        <w:footnoteRef/>
      </w:r>
      <w:r>
        <w:t xml:space="preserve"> </w:t>
      </w:r>
      <w:r>
        <w:t>Foundation Certificate in International Insolvency Law, “Module 2A Guidance Text UNCITRAL Model Laws Relating to Insolvency 2023/2024” (INSOL) pg. 2</w:t>
      </w:r>
      <w:r>
        <w:t>8</w:t>
      </w:r>
    </w:p>
  </w:footnote>
  <w:footnote w:id="15">
    <w:p w14:paraId="64E88DC1" w14:textId="0274F0C5" w:rsidR="00A87762" w:rsidRDefault="00A87762">
      <w:pPr>
        <w:pStyle w:val="FootnoteText"/>
      </w:pPr>
      <w:r>
        <w:rPr>
          <w:rStyle w:val="FootnoteReference"/>
        </w:rPr>
        <w:footnoteRef/>
      </w:r>
      <w:r>
        <w:t xml:space="preserve"> </w:t>
      </w:r>
      <w:r w:rsidRPr="00A87762">
        <w:rPr>
          <w:i/>
          <w:iCs/>
        </w:rPr>
        <w:t>Re Videology Limited</w:t>
      </w:r>
      <w:r>
        <w:t xml:space="preserve"> [2018] EWHC 2186 (Ch)</w:t>
      </w:r>
    </w:p>
  </w:footnote>
  <w:footnote w:id="16">
    <w:p w14:paraId="26952F11" w14:textId="0F0BB658" w:rsidR="00223576" w:rsidRDefault="00223576">
      <w:pPr>
        <w:pStyle w:val="FootnoteText"/>
      </w:pPr>
      <w:r>
        <w:rPr>
          <w:rStyle w:val="FootnoteReference"/>
        </w:rPr>
        <w:footnoteRef/>
      </w:r>
      <w:r>
        <w:t xml:space="preserve"> 352 BR 103 (</w:t>
      </w:r>
      <w:proofErr w:type="spellStart"/>
      <w:r>
        <w:t>Bankr</w:t>
      </w:r>
      <w:proofErr w:type="spellEnd"/>
      <w:r>
        <w:t xml:space="preserve"> SDNY 2006). </w:t>
      </w:r>
    </w:p>
  </w:footnote>
  <w:footnote w:id="17">
    <w:p w14:paraId="1BE1AEC2" w14:textId="2BF5FF13" w:rsidR="00762BC8" w:rsidRDefault="00762BC8" w:rsidP="00762BC8">
      <w:pPr>
        <w:pStyle w:val="FootnoteText"/>
      </w:pPr>
      <w:r>
        <w:rPr>
          <w:rStyle w:val="FootnoteReference"/>
        </w:rPr>
        <w:footnoteRef/>
      </w:r>
      <w:r>
        <w:t xml:space="preserve"> </w:t>
      </w:r>
      <w:r>
        <w:t xml:space="preserve"> Foundation Certificate in International Insolvency Law, “Module 2A Guidance Text UNCITRAL Model Laws Relating to Insolvency 2023/2024” (INSOL) pg. 28</w:t>
      </w:r>
    </w:p>
    <w:p w14:paraId="7608EE59" w14:textId="3BFA10C8" w:rsidR="00762BC8" w:rsidRDefault="00762BC8">
      <w:pPr>
        <w:pStyle w:val="FootnoteText"/>
      </w:pPr>
    </w:p>
  </w:footnote>
  <w:footnote w:id="18">
    <w:p w14:paraId="451169C0" w14:textId="220281A0" w:rsidR="00826EF3" w:rsidRDefault="00826EF3" w:rsidP="00826EF3">
      <w:pPr>
        <w:pStyle w:val="FootnoteText"/>
      </w:pPr>
      <w:r>
        <w:rPr>
          <w:rStyle w:val="FootnoteReference"/>
        </w:rPr>
        <w:footnoteRef/>
      </w:r>
      <w:r>
        <w:t xml:space="preserve"> Foundation Certificate in International Insolvency Law, “Module 2A Guidance Text UNCITRAL Model Laws Relating to Insolvency 2023/2024” (INSOL) pg. 28</w:t>
      </w:r>
    </w:p>
    <w:p w14:paraId="4812BA8C" w14:textId="77777777" w:rsidR="00826EF3" w:rsidRDefault="00826EF3" w:rsidP="00826EF3">
      <w:pPr>
        <w:pStyle w:val="FootnoteText"/>
      </w:pPr>
    </w:p>
  </w:footnote>
  <w:footnote w:id="19">
    <w:p w14:paraId="60B325F0" w14:textId="4CA60D34" w:rsidR="007B5B75" w:rsidRDefault="007B5B75" w:rsidP="007B5B75">
      <w:pPr>
        <w:pStyle w:val="FootnoteText"/>
      </w:pPr>
      <w:r>
        <w:rPr>
          <w:rStyle w:val="FootnoteReference"/>
        </w:rPr>
        <w:footnoteRef/>
      </w:r>
      <w:r>
        <w:t xml:space="preserve"> </w:t>
      </w:r>
      <w:r>
        <w:t>Foundation Certificate in International Insolvency Law, “Module 2A Guidance Text UNCITRAL Model Laws Relating to Insolvency 2023/2024” (INSOL) pg. 2</w:t>
      </w:r>
      <w:r>
        <w:t>9</w:t>
      </w:r>
    </w:p>
    <w:p w14:paraId="4CBE92DD" w14:textId="084C8FBD" w:rsidR="007B5B75" w:rsidRDefault="007B5B75">
      <w:pPr>
        <w:pStyle w:val="FootnoteText"/>
      </w:pPr>
    </w:p>
  </w:footnote>
  <w:footnote w:id="20">
    <w:p w14:paraId="5F22C15F" w14:textId="4D6B1CAE" w:rsidR="007B5B75" w:rsidRDefault="007B5B75">
      <w:pPr>
        <w:pStyle w:val="FootnoteText"/>
      </w:pPr>
      <w:r>
        <w:rPr>
          <w:rStyle w:val="FootnoteReference"/>
        </w:rPr>
        <w:footnoteRef/>
      </w:r>
      <w:r>
        <w:t xml:space="preserve"> </w:t>
      </w:r>
      <w:r w:rsidRPr="007B5B75">
        <w:rPr>
          <w:i/>
          <w:iCs/>
        </w:rPr>
        <w:t>Morning Mist Holdings Ltd v Krys (Matter of Fairfield Sentry Ltd</w:t>
      </w:r>
      <w:r>
        <w:t>) (2</w:t>
      </w:r>
      <w:r w:rsidRPr="007B5B75">
        <w:rPr>
          <w:vertAlign w:val="superscript"/>
        </w:rPr>
        <w:t>nd</w:t>
      </w:r>
      <w:r>
        <w:t xml:space="preserve"> Cir Appeal Apr. 16, 2013)</w:t>
      </w:r>
    </w:p>
  </w:footnote>
  <w:footnote w:id="21">
    <w:p w14:paraId="6CB1536B" w14:textId="2FF6FDD5" w:rsidR="00044EBB" w:rsidRDefault="00044EBB">
      <w:pPr>
        <w:pStyle w:val="FootnoteText"/>
      </w:pPr>
      <w:r>
        <w:rPr>
          <w:rStyle w:val="FootnoteReference"/>
        </w:rPr>
        <w:footnoteRef/>
      </w:r>
      <w:r>
        <w:t xml:space="preserve"> In re Modern Ltd 642 BR 758 (</w:t>
      </w:r>
      <w:proofErr w:type="spellStart"/>
      <w:r>
        <w:t>Bankr</w:t>
      </w:r>
      <w:proofErr w:type="spellEnd"/>
      <w:r>
        <w:t xml:space="preserve"> SDNY 2022). </w:t>
      </w:r>
    </w:p>
  </w:footnote>
  <w:footnote w:id="22">
    <w:p w14:paraId="0000CD86" w14:textId="54D93193" w:rsidR="00846C5A" w:rsidRDefault="00846C5A">
      <w:pPr>
        <w:pStyle w:val="FootnoteText"/>
      </w:pPr>
      <w:r>
        <w:rPr>
          <w:rStyle w:val="FootnoteReference"/>
        </w:rPr>
        <w:footnoteRef/>
      </w:r>
      <w:r>
        <w:t xml:space="preserve"> </w:t>
      </w:r>
      <w:r w:rsidR="00A616BF" w:rsidRPr="00A616BF">
        <w:rPr>
          <w:i/>
          <w:iCs/>
        </w:rPr>
        <w:t xml:space="preserve">In the Matter of the OJSC International Bank of Azerbaijan and the CBIR 2006 – </w:t>
      </w:r>
      <w:proofErr w:type="spellStart"/>
      <w:r w:rsidR="00A616BF" w:rsidRPr="00A616BF">
        <w:rPr>
          <w:i/>
          <w:iCs/>
        </w:rPr>
        <w:t>Bakshiyeva</w:t>
      </w:r>
      <w:proofErr w:type="spellEnd"/>
      <w:r w:rsidR="00A616BF" w:rsidRPr="00A616BF">
        <w:rPr>
          <w:i/>
          <w:iCs/>
        </w:rPr>
        <w:t xml:space="preserve"> v Sberbank of Russia, et al</w:t>
      </w:r>
      <w:r w:rsidR="00A616BF">
        <w:t xml:space="preserve"> [2018] EWHC 59 (Ch).</w:t>
      </w:r>
    </w:p>
  </w:footnote>
  <w:footnote w:id="23">
    <w:p w14:paraId="0B23646D" w14:textId="7B255C6D" w:rsidR="006F29CD" w:rsidRDefault="006F29CD">
      <w:pPr>
        <w:pStyle w:val="FootnoteText"/>
      </w:pPr>
      <w:r>
        <w:rPr>
          <w:rStyle w:val="FootnoteReference"/>
        </w:rPr>
        <w:footnoteRef/>
      </w:r>
      <w:r>
        <w:t xml:space="preserve"> </w:t>
      </w:r>
      <w:r>
        <w:t xml:space="preserve">Foundation Certificate in International Insolvency Law, “Module 2A Guidance Text UNCITRAL Model Laws Relating to Insolvency 2023/2024” (INSOL) pg. </w:t>
      </w:r>
      <w:r>
        <w:t>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710139D"/>
    <w:multiLevelType w:val="hybridMultilevel"/>
    <w:tmpl w:val="5450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D261DF"/>
    <w:multiLevelType w:val="hybridMultilevel"/>
    <w:tmpl w:val="5E9AA644"/>
    <w:lvl w:ilvl="0" w:tplc="197280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756C0"/>
    <w:multiLevelType w:val="hybridMultilevel"/>
    <w:tmpl w:val="AAAC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8B3FD0"/>
    <w:multiLevelType w:val="hybridMultilevel"/>
    <w:tmpl w:val="B93E0F56"/>
    <w:lvl w:ilvl="0" w:tplc="67CA2A8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2875CF"/>
    <w:multiLevelType w:val="hybridMultilevel"/>
    <w:tmpl w:val="8920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B5C367E"/>
    <w:multiLevelType w:val="hybridMultilevel"/>
    <w:tmpl w:val="86B4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D9978F2"/>
    <w:multiLevelType w:val="hybridMultilevel"/>
    <w:tmpl w:val="6CA4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4210EFC"/>
    <w:multiLevelType w:val="hybridMultilevel"/>
    <w:tmpl w:val="C9F8ABB0"/>
    <w:lvl w:ilvl="0" w:tplc="6944F1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34FD1406"/>
    <w:multiLevelType w:val="hybridMultilevel"/>
    <w:tmpl w:val="D95A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AE657D3"/>
    <w:multiLevelType w:val="hybridMultilevel"/>
    <w:tmpl w:val="F842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00F40B0"/>
    <w:multiLevelType w:val="hybridMultilevel"/>
    <w:tmpl w:val="E822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7A4057D"/>
    <w:multiLevelType w:val="hybridMultilevel"/>
    <w:tmpl w:val="91AAA59C"/>
    <w:lvl w:ilvl="0" w:tplc="4E4AD71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58270AC7"/>
    <w:multiLevelType w:val="hybridMultilevel"/>
    <w:tmpl w:val="69AC8050"/>
    <w:lvl w:ilvl="0" w:tplc="DDC6A722">
      <w:start w:val="1"/>
      <w:numFmt w:val="lowerLetter"/>
      <w:lvlText w:val="(%1)"/>
      <w:lvlJc w:val="left"/>
      <w:pPr>
        <w:ind w:left="319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C3827D3"/>
    <w:multiLevelType w:val="hybridMultilevel"/>
    <w:tmpl w:val="1FC2A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5F46420A"/>
    <w:multiLevelType w:val="hybridMultilevel"/>
    <w:tmpl w:val="46A82BFE"/>
    <w:lvl w:ilvl="0" w:tplc="F028E9A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78818A5"/>
    <w:multiLevelType w:val="hybridMultilevel"/>
    <w:tmpl w:val="50FA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882097D"/>
    <w:multiLevelType w:val="hybridMultilevel"/>
    <w:tmpl w:val="B6A8F41A"/>
    <w:lvl w:ilvl="0" w:tplc="52D8B078">
      <w:start w:val="1"/>
      <w:numFmt w:val="lowerLetter"/>
      <w:lvlText w:val="(%1)"/>
      <w:lvlJc w:val="left"/>
      <w:pPr>
        <w:ind w:left="720" w:hanging="360"/>
      </w:pPr>
      <w:rPr>
        <w:rFonts w:ascii="Arial" w:hAnsi="Aria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6BE2495"/>
    <w:multiLevelType w:val="hybridMultilevel"/>
    <w:tmpl w:val="28B29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A49051E"/>
    <w:multiLevelType w:val="hybridMultilevel"/>
    <w:tmpl w:val="1A00D67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72"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74"/>
  </w:num>
  <w:num w:numId="3" w16cid:durableId="1837500537">
    <w:abstractNumId w:val="55"/>
  </w:num>
  <w:num w:numId="4" w16cid:durableId="577205504">
    <w:abstractNumId w:val="67"/>
  </w:num>
  <w:num w:numId="5" w16cid:durableId="587693970">
    <w:abstractNumId w:val="12"/>
  </w:num>
  <w:num w:numId="6" w16cid:durableId="937175523">
    <w:abstractNumId w:val="65"/>
  </w:num>
  <w:num w:numId="7" w16cid:durableId="1654067440">
    <w:abstractNumId w:val="30"/>
  </w:num>
  <w:num w:numId="8" w16cid:durableId="1105736194">
    <w:abstractNumId w:val="57"/>
  </w:num>
  <w:num w:numId="9" w16cid:durableId="337470287">
    <w:abstractNumId w:val="33"/>
  </w:num>
  <w:num w:numId="10" w16cid:durableId="409736686">
    <w:abstractNumId w:val="19"/>
  </w:num>
  <w:num w:numId="11" w16cid:durableId="2113239495">
    <w:abstractNumId w:val="40"/>
  </w:num>
  <w:num w:numId="12" w16cid:durableId="277688465">
    <w:abstractNumId w:val="63"/>
  </w:num>
  <w:num w:numId="13" w16cid:durableId="2058502388">
    <w:abstractNumId w:val="9"/>
  </w:num>
  <w:num w:numId="14" w16cid:durableId="1848598104">
    <w:abstractNumId w:val="49"/>
  </w:num>
  <w:num w:numId="15" w16cid:durableId="634214434">
    <w:abstractNumId w:val="21"/>
  </w:num>
  <w:num w:numId="16" w16cid:durableId="1164055646">
    <w:abstractNumId w:val="22"/>
  </w:num>
  <w:num w:numId="17" w16cid:durableId="4065661">
    <w:abstractNumId w:val="43"/>
  </w:num>
  <w:num w:numId="18" w16cid:durableId="970591766">
    <w:abstractNumId w:val="11"/>
  </w:num>
  <w:num w:numId="19" w16cid:durableId="1299339140">
    <w:abstractNumId w:val="41"/>
  </w:num>
  <w:num w:numId="20" w16cid:durableId="1327175081">
    <w:abstractNumId w:val="73"/>
  </w:num>
  <w:num w:numId="21" w16cid:durableId="2089498112">
    <w:abstractNumId w:val="27"/>
  </w:num>
  <w:num w:numId="22" w16cid:durableId="221064104">
    <w:abstractNumId w:val="62"/>
  </w:num>
  <w:num w:numId="23" w16cid:durableId="860243873">
    <w:abstractNumId w:val="70"/>
  </w:num>
  <w:num w:numId="24" w16cid:durableId="1555506834">
    <w:abstractNumId w:val="61"/>
  </w:num>
  <w:num w:numId="25" w16cid:durableId="1954677308">
    <w:abstractNumId w:val="47"/>
  </w:num>
  <w:num w:numId="26" w16cid:durableId="998270126">
    <w:abstractNumId w:val="72"/>
  </w:num>
  <w:num w:numId="27" w16cid:durableId="657656171">
    <w:abstractNumId w:val="66"/>
  </w:num>
  <w:num w:numId="28" w16cid:durableId="1116829249">
    <w:abstractNumId w:val="15"/>
  </w:num>
  <w:num w:numId="29" w16cid:durableId="1055274873">
    <w:abstractNumId w:val="16"/>
  </w:num>
  <w:num w:numId="30" w16cid:durableId="790785319">
    <w:abstractNumId w:val="44"/>
  </w:num>
  <w:num w:numId="31" w16cid:durableId="781922295">
    <w:abstractNumId w:val="6"/>
  </w:num>
  <w:num w:numId="32" w16cid:durableId="268047206">
    <w:abstractNumId w:val="46"/>
  </w:num>
  <w:num w:numId="33" w16cid:durableId="198930779">
    <w:abstractNumId w:val="0"/>
  </w:num>
  <w:num w:numId="34" w16cid:durableId="480577945">
    <w:abstractNumId w:val="56"/>
  </w:num>
  <w:num w:numId="35" w16cid:durableId="984242224">
    <w:abstractNumId w:val="32"/>
  </w:num>
  <w:num w:numId="36" w16cid:durableId="485898662">
    <w:abstractNumId w:val="60"/>
  </w:num>
  <w:num w:numId="37" w16cid:durableId="1147433143">
    <w:abstractNumId w:val="36"/>
  </w:num>
  <w:num w:numId="38" w16cid:durableId="827285019">
    <w:abstractNumId w:val="52"/>
  </w:num>
  <w:num w:numId="39" w16cid:durableId="128666775">
    <w:abstractNumId w:val="8"/>
  </w:num>
  <w:num w:numId="40" w16cid:durableId="1339426664">
    <w:abstractNumId w:val="31"/>
  </w:num>
  <w:num w:numId="41" w16cid:durableId="1969971734">
    <w:abstractNumId w:val="64"/>
  </w:num>
  <w:num w:numId="42" w16cid:durableId="368453801">
    <w:abstractNumId w:val="26"/>
  </w:num>
  <w:num w:numId="43" w16cid:durableId="51392340">
    <w:abstractNumId w:val="45"/>
  </w:num>
  <w:num w:numId="44" w16cid:durableId="1531332188">
    <w:abstractNumId w:val="18"/>
  </w:num>
  <w:num w:numId="45" w16cid:durableId="8337133">
    <w:abstractNumId w:val="17"/>
  </w:num>
  <w:num w:numId="46" w16cid:durableId="1612931796">
    <w:abstractNumId w:val="50"/>
  </w:num>
  <w:num w:numId="47" w16cid:durableId="89930162">
    <w:abstractNumId w:val="29"/>
  </w:num>
  <w:num w:numId="48" w16cid:durableId="1477838578">
    <w:abstractNumId w:val="13"/>
  </w:num>
  <w:num w:numId="49" w16cid:durableId="2073384460">
    <w:abstractNumId w:val="68"/>
  </w:num>
  <w:num w:numId="50" w16cid:durableId="59720369">
    <w:abstractNumId w:val="39"/>
  </w:num>
  <w:num w:numId="51" w16cid:durableId="1379276728">
    <w:abstractNumId w:val="14"/>
  </w:num>
  <w:num w:numId="52" w16cid:durableId="921179279">
    <w:abstractNumId w:val="24"/>
  </w:num>
  <w:num w:numId="53" w16cid:durableId="1060514793">
    <w:abstractNumId w:val="35"/>
  </w:num>
  <w:num w:numId="54" w16cid:durableId="64230155">
    <w:abstractNumId w:val="4"/>
  </w:num>
  <w:num w:numId="55" w16cid:durableId="1681084025">
    <w:abstractNumId w:val="2"/>
  </w:num>
  <w:num w:numId="56" w16cid:durableId="1275090443">
    <w:abstractNumId w:val="23"/>
  </w:num>
  <w:num w:numId="57" w16cid:durableId="269969236">
    <w:abstractNumId w:val="53"/>
  </w:num>
  <w:num w:numId="58" w16cid:durableId="715087341">
    <w:abstractNumId w:val="3"/>
  </w:num>
  <w:num w:numId="59" w16cid:durableId="2025549765">
    <w:abstractNumId w:val="10"/>
  </w:num>
  <w:num w:numId="60" w16cid:durableId="1342926447">
    <w:abstractNumId w:val="54"/>
  </w:num>
  <w:num w:numId="61" w16cid:durableId="815948280">
    <w:abstractNumId w:val="48"/>
  </w:num>
  <w:num w:numId="62" w16cid:durableId="1249122706">
    <w:abstractNumId w:val="37"/>
  </w:num>
  <w:num w:numId="63" w16cid:durableId="353464590">
    <w:abstractNumId w:val="58"/>
  </w:num>
  <w:num w:numId="64" w16cid:durableId="1824347425">
    <w:abstractNumId w:val="5"/>
  </w:num>
  <w:num w:numId="65" w16cid:durableId="1974749546">
    <w:abstractNumId w:val="38"/>
  </w:num>
  <w:num w:numId="66" w16cid:durableId="704717331">
    <w:abstractNumId w:val="71"/>
  </w:num>
  <w:num w:numId="67" w16cid:durableId="1543975780">
    <w:abstractNumId w:val="42"/>
  </w:num>
  <w:num w:numId="68" w16cid:durableId="664279988">
    <w:abstractNumId w:val="69"/>
  </w:num>
  <w:num w:numId="69" w16cid:durableId="1210536003">
    <w:abstractNumId w:val="51"/>
  </w:num>
  <w:num w:numId="70" w16cid:durableId="1739356662">
    <w:abstractNumId w:val="20"/>
  </w:num>
  <w:num w:numId="71" w16cid:durableId="1659069967">
    <w:abstractNumId w:val="25"/>
  </w:num>
  <w:num w:numId="72" w16cid:durableId="774444305">
    <w:abstractNumId w:val="59"/>
  </w:num>
  <w:num w:numId="73" w16cid:durableId="427503952">
    <w:abstractNumId w:val="7"/>
  </w:num>
  <w:num w:numId="74" w16cid:durableId="1294212875">
    <w:abstractNumId w:val="28"/>
  </w:num>
  <w:num w:numId="75" w16cid:durableId="1187525279">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3778D"/>
    <w:rsid w:val="00040627"/>
    <w:rsid w:val="00044D46"/>
    <w:rsid w:val="00044EBB"/>
    <w:rsid w:val="00045088"/>
    <w:rsid w:val="00045904"/>
    <w:rsid w:val="000464F7"/>
    <w:rsid w:val="0005141D"/>
    <w:rsid w:val="00060E02"/>
    <w:rsid w:val="00065166"/>
    <w:rsid w:val="00067A88"/>
    <w:rsid w:val="00070B92"/>
    <w:rsid w:val="00073474"/>
    <w:rsid w:val="00077D49"/>
    <w:rsid w:val="00082609"/>
    <w:rsid w:val="00083B38"/>
    <w:rsid w:val="00083C69"/>
    <w:rsid w:val="000851CC"/>
    <w:rsid w:val="00093BE8"/>
    <w:rsid w:val="000A68ED"/>
    <w:rsid w:val="000B4FEB"/>
    <w:rsid w:val="000B5DB3"/>
    <w:rsid w:val="000B5FF1"/>
    <w:rsid w:val="000B609F"/>
    <w:rsid w:val="000C147F"/>
    <w:rsid w:val="000C6BB9"/>
    <w:rsid w:val="000D32A9"/>
    <w:rsid w:val="000D55A8"/>
    <w:rsid w:val="000E10B2"/>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4D3"/>
    <w:rsid w:val="00167C32"/>
    <w:rsid w:val="0017257C"/>
    <w:rsid w:val="0017509A"/>
    <w:rsid w:val="00176079"/>
    <w:rsid w:val="0017652E"/>
    <w:rsid w:val="00180548"/>
    <w:rsid w:val="00180AC4"/>
    <w:rsid w:val="00180CCE"/>
    <w:rsid w:val="00182648"/>
    <w:rsid w:val="0018267A"/>
    <w:rsid w:val="00182779"/>
    <w:rsid w:val="001830DF"/>
    <w:rsid w:val="00190FD2"/>
    <w:rsid w:val="00192555"/>
    <w:rsid w:val="001966D9"/>
    <w:rsid w:val="001A24E7"/>
    <w:rsid w:val="001A2B78"/>
    <w:rsid w:val="001A7E9A"/>
    <w:rsid w:val="001B0F70"/>
    <w:rsid w:val="001B5016"/>
    <w:rsid w:val="001C0188"/>
    <w:rsid w:val="001C45FC"/>
    <w:rsid w:val="001D02C5"/>
    <w:rsid w:val="001D4862"/>
    <w:rsid w:val="001E1C4C"/>
    <w:rsid w:val="001E25B9"/>
    <w:rsid w:val="001E27CD"/>
    <w:rsid w:val="001E49E0"/>
    <w:rsid w:val="001E60C3"/>
    <w:rsid w:val="001E7B5A"/>
    <w:rsid w:val="001F7412"/>
    <w:rsid w:val="00200FDD"/>
    <w:rsid w:val="00201874"/>
    <w:rsid w:val="00202133"/>
    <w:rsid w:val="0020264E"/>
    <w:rsid w:val="0020725B"/>
    <w:rsid w:val="00211195"/>
    <w:rsid w:val="002175BA"/>
    <w:rsid w:val="00223576"/>
    <w:rsid w:val="00224386"/>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053E"/>
    <w:rsid w:val="002A1EEC"/>
    <w:rsid w:val="002A29FB"/>
    <w:rsid w:val="002A2A60"/>
    <w:rsid w:val="002A3F82"/>
    <w:rsid w:val="002B1C45"/>
    <w:rsid w:val="002B3A31"/>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1B24"/>
    <w:rsid w:val="00303C2F"/>
    <w:rsid w:val="00312911"/>
    <w:rsid w:val="003144EF"/>
    <w:rsid w:val="003148CA"/>
    <w:rsid w:val="00315506"/>
    <w:rsid w:val="003220BA"/>
    <w:rsid w:val="00322F3B"/>
    <w:rsid w:val="00323940"/>
    <w:rsid w:val="00326292"/>
    <w:rsid w:val="00326415"/>
    <w:rsid w:val="00330937"/>
    <w:rsid w:val="00330F31"/>
    <w:rsid w:val="003311C6"/>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0A06"/>
    <w:rsid w:val="003C4471"/>
    <w:rsid w:val="003C66B1"/>
    <w:rsid w:val="003D0A6D"/>
    <w:rsid w:val="003E0B16"/>
    <w:rsid w:val="003E67D1"/>
    <w:rsid w:val="00405DC1"/>
    <w:rsid w:val="0040710D"/>
    <w:rsid w:val="0041139B"/>
    <w:rsid w:val="00413114"/>
    <w:rsid w:val="004137C3"/>
    <w:rsid w:val="00413D3A"/>
    <w:rsid w:val="00415ED2"/>
    <w:rsid w:val="00415F1F"/>
    <w:rsid w:val="00417B0F"/>
    <w:rsid w:val="0042108F"/>
    <w:rsid w:val="00422242"/>
    <w:rsid w:val="00424D07"/>
    <w:rsid w:val="004255B0"/>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8595E"/>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4DCD"/>
    <w:rsid w:val="004E622C"/>
    <w:rsid w:val="004F5FDF"/>
    <w:rsid w:val="0050157D"/>
    <w:rsid w:val="00506803"/>
    <w:rsid w:val="0050682B"/>
    <w:rsid w:val="00507AAC"/>
    <w:rsid w:val="005177FE"/>
    <w:rsid w:val="0052026C"/>
    <w:rsid w:val="0052263B"/>
    <w:rsid w:val="00524728"/>
    <w:rsid w:val="00530003"/>
    <w:rsid w:val="0053051D"/>
    <w:rsid w:val="00530E88"/>
    <w:rsid w:val="005331CA"/>
    <w:rsid w:val="0053353F"/>
    <w:rsid w:val="00533739"/>
    <w:rsid w:val="005338AF"/>
    <w:rsid w:val="00537970"/>
    <w:rsid w:val="00540B44"/>
    <w:rsid w:val="00540E3A"/>
    <w:rsid w:val="00544127"/>
    <w:rsid w:val="00544273"/>
    <w:rsid w:val="005453EC"/>
    <w:rsid w:val="005463A9"/>
    <w:rsid w:val="00547993"/>
    <w:rsid w:val="00553EB2"/>
    <w:rsid w:val="005542A3"/>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094D"/>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66A2C"/>
    <w:rsid w:val="00672180"/>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304C"/>
    <w:rsid w:val="006E481A"/>
    <w:rsid w:val="006E5298"/>
    <w:rsid w:val="006F15A6"/>
    <w:rsid w:val="006F29CD"/>
    <w:rsid w:val="006F2CE3"/>
    <w:rsid w:val="006F6E2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0B3A"/>
    <w:rsid w:val="00751F66"/>
    <w:rsid w:val="007603F5"/>
    <w:rsid w:val="00762BC8"/>
    <w:rsid w:val="00764DB0"/>
    <w:rsid w:val="00766F8A"/>
    <w:rsid w:val="0076764D"/>
    <w:rsid w:val="007748E8"/>
    <w:rsid w:val="0077498C"/>
    <w:rsid w:val="00777183"/>
    <w:rsid w:val="00784128"/>
    <w:rsid w:val="00784B4B"/>
    <w:rsid w:val="007854ED"/>
    <w:rsid w:val="00793173"/>
    <w:rsid w:val="007952AF"/>
    <w:rsid w:val="007A3B00"/>
    <w:rsid w:val="007B3AC7"/>
    <w:rsid w:val="007B497A"/>
    <w:rsid w:val="007B5B75"/>
    <w:rsid w:val="007C1FCC"/>
    <w:rsid w:val="007C29C8"/>
    <w:rsid w:val="007C32A8"/>
    <w:rsid w:val="007C3FE5"/>
    <w:rsid w:val="007C6201"/>
    <w:rsid w:val="007C6988"/>
    <w:rsid w:val="007D28A1"/>
    <w:rsid w:val="007D7C92"/>
    <w:rsid w:val="007E0B03"/>
    <w:rsid w:val="007E1154"/>
    <w:rsid w:val="007E622C"/>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6EF3"/>
    <w:rsid w:val="008279C0"/>
    <w:rsid w:val="00835FD1"/>
    <w:rsid w:val="00843204"/>
    <w:rsid w:val="0084683C"/>
    <w:rsid w:val="00846C5A"/>
    <w:rsid w:val="008512FA"/>
    <w:rsid w:val="00853A74"/>
    <w:rsid w:val="00857763"/>
    <w:rsid w:val="00860E61"/>
    <w:rsid w:val="00867A8F"/>
    <w:rsid w:val="008723F3"/>
    <w:rsid w:val="008726D4"/>
    <w:rsid w:val="00881DE6"/>
    <w:rsid w:val="008837A6"/>
    <w:rsid w:val="0088612C"/>
    <w:rsid w:val="0089145D"/>
    <w:rsid w:val="00893A03"/>
    <w:rsid w:val="00894A0E"/>
    <w:rsid w:val="008A0C6E"/>
    <w:rsid w:val="008A23FD"/>
    <w:rsid w:val="008A46CF"/>
    <w:rsid w:val="008A4DF2"/>
    <w:rsid w:val="008A6323"/>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26BF1"/>
    <w:rsid w:val="009344C1"/>
    <w:rsid w:val="00942123"/>
    <w:rsid w:val="00951031"/>
    <w:rsid w:val="0095207B"/>
    <w:rsid w:val="00954461"/>
    <w:rsid w:val="00956085"/>
    <w:rsid w:val="00957951"/>
    <w:rsid w:val="00962045"/>
    <w:rsid w:val="00967EDA"/>
    <w:rsid w:val="00970897"/>
    <w:rsid w:val="009730BA"/>
    <w:rsid w:val="0097337E"/>
    <w:rsid w:val="00980314"/>
    <w:rsid w:val="009816D0"/>
    <w:rsid w:val="00991428"/>
    <w:rsid w:val="00992676"/>
    <w:rsid w:val="00996691"/>
    <w:rsid w:val="0099789D"/>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9F0CF4"/>
    <w:rsid w:val="009F3A78"/>
    <w:rsid w:val="00A047EE"/>
    <w:rsid w:val="00A1146B"/>
    <w:rsid w:val="00A114EA"/>
    <w:rsid w:val="00A115AE"/>
    <w:rsid w:val="00A153F7"/>
    <w:rsid w:val="00A2274A"/>
    <w:rsid w:val="00A235B7"/>
    <w:rsid w:val="00A27A7A"/>
    <w:rsid w:val="00A407EF"/>
    <w:rsid w:val="00A46B4C"/>
    <w:rsid w:val="00A5117B"/>
    <w:rsid w:val="00A54000"/>
    <w:rsid w:val="00A54689"/>
    <w:rsid w:val="00A60074"/>
    <w:rsid w:val="00A616BF"/>
    <w:rsid w:val="00A6627C"/>
    <w:rsid w:val="00A6649C"/>
    <w:rsid w:val="00A70BBC"/>
    <w:rsid w:val="00A71019"/>
    <w:rsid w:val="00A81029"/>
    <w:rsid w:val="00A83CB5"/>
    <w:rsid w:val="00A865A7"/>
    <w:rsid w:val="00A87762"/>
    <w:rsid w:val="00A96489"/>
    <w:rsid w:val="00AA3A42"/>
    <w:rsid w:val="00AA5311"/>
    <w:rsid w:val="00AA7BAA"/>
    <w:rsid w:val="00AB685C"/>
    <w:rsid w:val="00AB6C2D"/>
    <w:rsid w:val="00AC08F7"/>
    <w:rsid w:val="00AC1322"/>
    <w:rsid w:val="00AC3839"/>
    <w:rsid w:val="00AC7082"/>
    <w:rsid w:val="00AC7DAD"/>
    <w:rsid w:val="00AD0E59"/>
    <w:rsid w:val="00AD3FEA"/>
    <w:rsid w:val="00AD7BBD"/>
    <w:rsid w:val="00AF228E"/>
    <w:rsid w:val="00AF302B"/>
    <w:rsid w:val="00B04137"/>
    <w:rsid w:val="00B1112C"/>
    <w:rsid w:val="00B11D19"/>
    <w:rsid w:val="00B12936"/>
    <w:rsid w:val="00B12C2D"/>
    <w:rsid w:val="00B14819"/>
    <w:rsid w:val="00B15031"/>
    <w:rsid w:val="00B17AA9"/>
    <w:rsid w:val="00B22455"/>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2AE9"/>
    <w:rsid w:val="00B86DB1"/>
    <w:rsid w:val="00B87869"/>
    <w:rsid w:val="00B953BD"/>
    <w:rsid w:val="00BA0E44"/>
    <w:rsid w:val="00BA1CD8"/>
    <w:rsid w:val="00BA47C5"/>
    <w:rsid w:val="00BA63B1"/>
    <w:rsid w:val="00BB0F2B"/>
    <w:rsid w:val="00BD0D57"/>
    <w:rsid w:val="00BE1A50"/>
    <w:rsid w:val="00BE61DB"/>
    <w:rsid w:val="00BF50F7"/>
    <w:rsid w:val="00C00111"/>
    <w:rsid w:val="00C02F29"/>
    <w:rsid w:val="00C06594"/>
    <w:rsid w:val="00C10C13"/>
    <w:rsid w:val="00C17111"/>
    <w:rsid w:val="00C17BA3"/>
    <w:rsid w:val="00C20747"/>
    <w:rsid w:val="00C20AFE"/>
    <w:rsid w:val="00C22A25"/>
    <w:rsid w:val="00C23B79"/>
    <w:rsid w:val="00C33D50"/>
    <w:rsid w:val="00C34EFE"/>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2850"/>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680A"/>
    <w:rsid w:val="00CC70BB"/>
    <w:rsid w:val="00CD3420"/>
    <w:rsid w:val="00CD4998"/>
    <w:rsid w:val="00CE1035"/>
    <w:rsid w:val="00CE2A6A"/>
    <w:rsid w:val="00CF2819"/>
    <w:rsid w:val="00CF4F9D"/>
    <w:rsid w:val="00CF70DC"/>
    <w:rsid w:val="00D034FD"/>
    <w:rsid w:val="00D0383D"/>
    <w:rsid w:val="00D148DC"/>
    <w:rsid w:val="00D17FDC"/>
    <w:rsid w:val="00D31317"/>
    <w:rsid w:val="00D359B6"/>
    <w:rsid w:val="00D377B8"/>
    <w:rsid w:val="00D444C5"/>
    <w:rsid w:val="00D45AEA"/>
    <w:rsid w:val="00D47FFE"/>
    <w:rsid w:val="00D5244F"/>
    <w:rsid w:val="00D52E4F"/>
    <w:rsid w:val="00D5658B"/>
    <w:rsid w:val="00D56A37"/>
    <w:rsid w:val="00D57202"/>
    <w:rsid w:val="00D57C99"/>
    <w:rsid w:val="00D6386E"/>
    <w:rsid w:val="00D63EFD"/>
    <w:rsid w:val="00D64826"/>
    <w:rsid w:val="00D7080A"/>
    <w:rsid w:val="00D80C74"/>
    <w:rsid w:val="00D80DF2"/>
    <w:rsid w:val="00D83046"/>
    <w:rsid w:val="00D84150"/>
    <w:rsid w:val="00D84752"/>
    <w:rsid w:val="00D85AB0"/>
    <w:rsid w:val="00D86B3B"/>
    <w:rsid w:val="00D8748A"/>
    <w:rsid w:val="00D93196"/>
    <w:rsid w:val="00D94A4D"/>
    <w:rsid w:val="00D97A93"/>
    <w:rsid w:val="00DA1083"/>
    <w:rsid w:val="00DA26C8"/>
    <w:rsid w:val="00DA51D7"/>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5AA3"/>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395"/>
    <w:rsid w:val="00E33448"/>
    <w:rsid w:val="00E33486"/>
    <w:rsid w:val="00E34181"/>
    <w:rsid w:val="00E450A4"/>
    <w:rsid w:val="00E506BE"/>
    <w:rsid w:val="00E55547"/>
    <w:rsid w:val="00E57410"/>
    <w:rsid w:val="00E6155D"/>
    <w:rsid w:val="00E61C42"/>
    <w:rsid w:val="00E6302B"/>
    <w:rsid w:val="00E6452F"/>
    <w:rsid w:val="00E64619"/>
    <w:rsid w:val="00E64F45"/>
    <w:rsid w:val="00E6742D"/>
    <w:rsid w:val="00E71CB0"/>
    <w:rsid w:val="00E73529"/>
    <w:rsid w:val="00E74859"/>
    <w:rsid w:val="00E77C3D"/>
    <w:rsid w:val="00E82E22"/>
    <w:rsid w:val="00E850FE"/>
    <w:rsid w:val="00E909F0"/>
    <w:rsid w:val="00E90D47"/>
    <w:rsid w:val="00E93993"/>
    <w:rsid w:val="00E9597C"/>
    <w:rsid w:val="00EA0913"/>
    <w:rsid w:val="00EA0A2F"/>
    <w:rsid w:val="00EA6D31"/>
    <w:rsid w:val="00EB146B"/>
    <w:rsid w:val="00EB2A6F"/>
    <w:rsid w:val="00EB45AC"/>
    <w:rsid w:val="00EB69C7"/>
    <w:rsid w:val="00EC2AEA"/>
    <w:rsid w:val="00EC7B11"/>
    <w:rsid w:val="00EC7F95"/>
    <w:rsid w:val="00ED0BC4"/>
    <w:rsid w:val="00ED3771"/>
    <w:rsid w:val="00ED4AB7"/>
    <w:rsid w:val="00ED6A32"/>
    <w:rsid w:val="00EE4971"/>
    <w:rsid w:val="00EF090E"/>
    <w:rsid w:val="00EF7D9C"/>
    <w:rsid w:val="00F033DA"/>
    <w:rsid w:val="00F06586"/>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table" w:styleId="TableGrid">
    <w:name w:val="Table Grid"/>
    <w:basedOn w:val="TableNormal"/>
    <w:uiPriority w:val="39"/>
    <w:rsid w:val="00224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24</Pages>
  <Words>7691</Words>
  <Characters>43844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Piper</cp:lastModifiedBy>
  <cp:revision>40</cp:revision>
  <cp:lastPrinted>2024-03-01T09:22:00Z</cp:lastPrinted>
  <dcterms:created xsi:type="dcterms:W3CDTF">2024-02-24T11:34:00Z</dcterms:created>
  <dcterms:modified xsi:type="dcterms:W3CDTF">2024-03-01T17:54:00Z</dcterms:modified>
</cp:coreProperties>
</file>