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bookmarkStart w:id="0" w:name="_GoBack"/>
      <w:bookmarkEnd w:id="0"/>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A80481">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2D2351" w:rsidRDefault="00B263D0" w:rsidP="00A80481">
      <w:pPr>
        <w:pStyle w:val="ListParagraph"/>
        <w:numPr>
          <w:ilvl w:val="0"/>
          <w:numId w:val="1"/>
        </w:numPr>
        <w:ind w:left="426" w:hanging="426"/>
        <w:jc w:val="both"/>
        <w:rPr>
          <w:rFonts w:ascii="Avenir Next" w:hAnsi="Avenir Next" w:cs="Arial"/>
          <w:sz w:val="22"/>
          <w:szCs w:val="22"/>
          <w:highlight w:val="yellow"/>
          <w:lang w:val="en-GB"/>
        </w:rPr>
      </w:pPr>
      <w:r w:rsidRPr="002D2351">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A80481">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w:t>
      </w:r>
      <w:proofErr w:type="gramStart"/>
      <w:r w:rsidRPr="00811079">
        <w:rPr>
          <w:rFonts w:ascii="Avenir Next" w:hAnsi="Avenir Next" w:cs="Arial"/>
          <w:sz w:val="22"/>
          <w:szCs w:val="22"/>
          <w:lang w:val="en-GB"/>
        </w:rPr>
        <w:t>process(</w:t>
      </w:r>
      <w:proofErr w:type="gramEnd"/>
      <w:r w:rsidRPr="00811079">
        <w:rPr>
          <w:rFonts w:ascii="Avenir Next" w:hAnsi="Avenir Next" w:cs="Arial"/>
          <w:sz w:val="22"/>
          <w:szCs w:val="22"/>
          <w:lang w:val="en-GB"/>
        </w:rPr>
        <w:t xml:space="preserve">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A80481">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80481">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80481">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80481">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80481">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80481">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80481">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w:t>
      </w:r>
      <w:proofErr w:type="gramStart"/>
      <w:r w:rsidRPr="004E1674">
        <w:rPr>
          <w:rFonts w:ascii="Avenir Next" w:hAnsi="Avenir Next" w:cs="Arial"/>
          <w:sz w:val="22"/>
          <w:szCs w:val="22"/>
          <w:lang w:val="en-GB"/>
        </w:rPr>
        <w:t>vi</w:t>
      </w:r>
      <w:proofErr w:type="gramEnd"/>
      <w:r w:rsidRPr="004E1674">
        <w:rPr>
          <w:rFonts w:ascii="Avenir Next" w:hAnsi="Avenir Next" w:cs="Arial"/>
          <w:sz w:val="22"/>
          <w:szCs w:val="22"/>
          <w:lang w:val="en-GB"/>
        </w:rPr>
        <w:t>).</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80481">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w:t>
      </w:r>
      <w:proofErr w:type="gramStart"/>
      <w:r w:rsidRPr="00F12F47">
        <w:rPr>
          <w:rFonts w:ascii="Avenir Next" w:hAnsi="Avenir Next" w:cs="Arial"/>
          <w:sz w:val="22"/>
          <w:szCs w:val="22"/>
          <w:lang w:val="en-GB"/>
        </w:rPr>
        <w:t>(iv)</w:t>
      </w:r>
      <w:proofErr w:type="gramEnd"/>
      <w:r w:rsidRPr="00F12F47">
        <w:rPr>
          <w:rFonts w:ascii="Avenir Next" w:hAnsi="Avenir Next" w:cs="Arial"/>
          <w:sz w:val="22"/>
          <w:szCs w:val="22"/>
          <w:lang w:val="en-GB"/>
        </w:rPr>
        <w:t>.</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80481">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w:t>
      </w:r>
      <w:proofErr w:type="gramStart"/>
      <w:r w:rsidRPr="00F12F47">
        <w:rPr>
          <w:rFonts w:ascii="Avenir Next" w:hAnsi="Avenir Next" w:cs="Arial"/>
          <w:sz w:val="22"/>
          <w:szCs w:val="22"/>
          <w:lang w:val="en-GB"/>
        </w:rPr>
        <w:t>iv</w:t>
      </w:r>
      <w:proofErr w:type="gramEnd"/>
      <w:r w:rsidRPr="00F12F47">
        <w:rPr>
          <w:rFonts w:ascii="Avenir Next" w:hAnsi="Avenir Next" w:cs="Arial"/>
          <w:sz w:val="22"/>
          <w:szCs w:val="22"/>
          <w:lang w:val="en-GB"/>
        </w:rPr>
        <w:t>)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906D52" w:rsidRDefault="00AD0E59" w:rsidP="00A80481">
      <w:pPr>
        <w:pStyle w:val="ListParagraph"/>
        <w:numPr>
          <w:ilvl w:val="0"/>
          <w:numId w:val="10"/>
        </w:numPr>
        <w:ind w:left="426" w:hanging="426"/>
        <w:jc w:val="both"/>
        <w:rPr>
          <w:rFonts w:ascii="Avenir Next" w:hAnsi="Avenir Next" w:cs="Arial"/>
          <w:sz w:val="22"/>
          <w:szCs w:val="22"/>
          <w:highlight w:val="yellow"/>
          <w:lang w:val="en-GB"/>
        </w:rPr>
      </w:pPr>
      <w:r w:rsidRPr="00906D52">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A80481">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A80481">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A80481">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A80481">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A80481">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A80481">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906D52" w:rsidRDefault="00893A03" w:rsidP="00A80481">
      <w:pPr>
        <w:pStyle w:val="ListParagraph"/>
        <w:numPr>
          <w:ilvl w:val="0"/>
          <w:numId w:val="2"/>
        </w:numPr>
        <w:ind w:left="426" w:hanging="426"/>
        <w:jc w:val="both"/>
        <w:rPr>
          <w:rFonts w:ascii="Avenir Next" w:hAnsi="Avenir Next" w:cs="Arial"/>
          <w:sz w:val="22"/>
          <w:szCs w:val="22"/>
          <w:highlight w:val="yellow"/>
          <w:lang w:val="en-GB"/>
        </w:rPr>
      </w:pPr>
      <w:r w:rsidRPr="00906D52">
        <w:rPr>
          <w:rFonts w:ascii="Avenir Next" w:hAnsi="Avenir Next" w:cs="Arial"/>
          <w:sz w:val="22"/>
          <w:szCs w:val="22"/>
          <w:highlight w:val="yellow"/>
          <w:lang w:val="en-GB"/>
        </w:rPr>
        <w:t>Options (</w:t>
      </w:r>
      <w:proofErr w:type="spellStart"/>
      <w:r w:rsidRPr="00906D52">
        <w:rPr>
          <w:rFonts w:ascii="Avenir Next" w:hAnsi="Avenir Next" w:cs="Arial"/>
          <w:sz w:val="22"/>
          <w:szCs w:val="22"/>
          <w:highlight w:val="yellow"/>
          <w:lang w:val="en-GB"/>
        </w:rPr>
        <w:t>i</w:t>
      </w:r>
      <w:proofErr w:type="spellEnd"/>
      <w:r w:rsidRPr="00906D52">
        <w:rPr>
          <w:rFonts w:ascii="Avenir Next" w:hAnsi="Avenir Next" w:cs="Arial"/>
          <w:sz w:val="22"/>
          <w:szCs w:val="22"/>
          <w:highlight w:val="yellow"/>
          <w:lang w:val="en-GB"/>
        </w:rPr>
        <w:t>), (iii) and (</w:t>
      </w:r>
      <w:proofErr w:type="gramStart"/>
      <w:r w:rsidRPr="00906D52">
        <w:rPr>
          <w:rFonts w:ascii="Avenir Next" w:hAnsi="Avenir Next" w:cs="Arial"/>
          <w:sz w:val="22"/>
          <w:szCs w:val="22"/>
          <w:highlight w:val="yellow"/>
          <w:lang w:val="en-GB"/>
        </w:rPr>
        <w:t>iv</w:t>
      </w:r>
      <w:proofErr w:type="gramEnd"/>
      <w:r w:rsidRPr="00906D52">
        <w:rPr>
          <w:rFonts w:ascii="Avenir Next" w:hAnsi="Avenir Next" w:cs="Arial"/>
          <w:sz w:val="22"/>
          <w:szCs w:val="22"/>
          <w:highlight w:val="yellow"/>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A80481">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A80481">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A80481">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A80481">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 xml:space="preserve">To provide a fair and efficient administration of cross-border insolvencies that protects </w:t>
      </w:r>
      <w:proofErr w:type="gramStart"/>
      <w:r w:rsidRPr="00851204">
        <w:rPr>
          <w:rFonts w:ascii="Avenir Next" w:hAnsi="Avenir Next"/>
          <w:sz w:val="22"/>
          <w:szCs w:val="32"/>
          <w:lang w:val="en-GB"/>
        </w:rPr>
        <w:t>all</w:t>
      </w:r>
      <w:proofErr w:type="gramEnd"/>
      <w:r w:rsidRPr="00851204">
        <w:rPr>
          <w:rFonts w:ascii="Avenir Next" w:hAnsi="Avenir Next"/>
          <w:sz w:val="22"/>
          <w:szCs w:val="32"/>
          <w:lang w:val="en-GB"/>
        </w:rPr>
        <w:t xml:space="preserve">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A80481">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A80481">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906D52" w:rsidRDefault="00812AFE" w:rsidP="00A80481">
      <w:pPr>
        <w:pStyle w:val="ListParagraph"/>
        <w:numPr>
          <w:ilvl w:val="0"/>
          <w:numId w:val="3"/>
        </w:numPr>
        <w:ind w:left="426" w:hanging="426"/>
        <w:jc w:val="both"/>
        <w:rPr>
          <w:rFonts w:ascii="Avenir Next" w:hAnsi="Avenir Next" w:cs="Arial"/>
          <w:sz w:val="22"/>
          <w:szCs w:val="22"/>
          <w:highlight w:val="yellow"/>
          <w:lang w:val="en-GB"/>
        </w:rPr>
      </w:pPr>
      <w:r w:rsidRPr="00906D52">
        <w:rPr>
          <w:rFonts w:ascii="Avenir Next" w:hAnsi="Avenir Next" w:cs="Arial"/>
          <w:sz w:val="22"/>
          <w:szCs w:val="22"/>
          <w:highlight w:val="yellow"/>
          <w:lang w:val="en-GB"/>
        </w:rPr>
        <w:t>Options (</w:t>
      </w:r>
      <w:proofErr w:type="spellStart"/>
      <w:r w:rsidRPr="00906D52">
        <w:rPr>
          <w:rFonts w:ascii="Avenir Next" w:hAnsi="Avenir Next" w:cs="Arial"/>
          <w:sz w:val="22"/>
          <w:szCs w:val="22"/>
          <w:highlight w:val="yellow"/>
          <w:lang w:val="en-GB"/>
        </w:rPr>
        <w:t>i</w:t>
      </w:r>
      <w:proofErr w:type="spellEnd"/>
      <w:r w:rsidRPr="00906D52">
        <w:rPr>
          <w:rFonts w:ascii="Avenir Next" w:hAnsi="Avenir Next" w:cs="Arial"/>
          <w:sz w:val="22"/>
          <w:szCs w:val="22"/>
          <w:highlight w:val="yellow"/>
          <w:lang w:val="en-GB"/>
        </w:rPr>
        <w:t xml:space="preserve">), (ii), (iii) and </w:t>
      </w:r>
      <w:proofErr w:type="gramStart"/>
      <w:r w:rsidRPr="00906D52">
        <w:rPr>
          <w:rFonts w:ascii="Avenir Next" w:hAnsi="Avenir Next" w:cs="Arial"/>
          <w:sz w:val="22"/>
          <w:szCs w:val="22"/>
          <w:highlight w:val="yellow"/>
          <w:lang w:val="en-GB"/>
        </w:rPr>
        <w:t>(iv)</w:t>
      </w:r>
      <w:proofErr w:type="gramEnd"/>
      <w:r w:rsidRPr="00906D52">
        <w:rPr>
          <w:rFonts w:ascii="Avenir Next" w:hAnsi="Avenir Next" w:cs="Arial"/>
          <w:sz w:val="22"/>
          <w:szCs w:val="22"/>
          <w:highlight w:val="yellow"/>
          <w:lang w:val="en-GB"/>
        </w:rPr>
        <w:t>.</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A80481">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A80481">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gramStart"/>
      <w:r>
        <w:rPr>
          <w:rFonts w:ascii="Avenir Next" w:hAnsi="Avenir Next" w:cs="Arial"/>
          <w:sz w:val="22"/>
          <w:szCs w:val="22"/>
          <w:lang w:val="en-GB"/>
        </w:rPr>
        <w:t>iv</w:t>
      </w:r>
      <w:proofErr w:type="gramEnd"/>
      <w:r>
        <w:rPr>
          <w:rFonts w:ascii="Avenir Next" w:hAnsi="Avenir Next" w:cs="Arial"/>
          <w:sz w:val="22"/>
          <w:szCs w:val="22"/>
          <w:lang w:val="en-GB"/>
        </w:rPr>
        <w:t>)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A80481">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A80481">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lastRenderedPageBreak/>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A80481">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A80481">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A80481">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A80481">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A80481">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A80481">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A80481">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07113B" w:rsidRDefault="003220BA" w:rsidP="00A80481">
      <w:pPr>
        <w:pStyle w:val="ListParagraph"/>
        <w:numPr>
          <w:ilvl w:val="0"/>
          <w:numId w:val="4"/>
        </w:numPr>
        <w:ind w:left="426" w:hanging="426"/>
        <w:jc w:val="both"/>
        <w:rPr>
          <w:rFonts w:ascii="Avenir Next" w:hAnsi="Avenir Next" w:cs="Arial"/>
          <w:sz w:val="22"/>
          <w:szCs w:val="22"/>
          <w:highlight w:val="yellow"/>
          <w:lang w:val="en-GB"/>
        </w:rPr>
      </w:pPr>
      <w:r w:rsidRPr="0007113B">
        <w:rPr>
          <w:rFonts w:ascii="Avenir Next" w:hAnsi="Avenir Next" w:cs="Arial"/>
          <w:sz w:val="22"/>
          <w:szCs w:val="22"/>
          <w:highlight w:val="yellow"/>
          <w:lang w:val="en-GB"/>
        </w:rPr>
        <w:t>Options (</w:t>
      </w:r>
      <w:proofErr w:type="spellStart"/>
      <w:r w:rsidRPr="0007113B">
        <w:rPr>
          <w:rFonts w:ascii="Avenir Next" w:hAnsi="Avenir Next" w:cs="Arial"/>
          <w:sz w:val="22"/>
          <w:szCs w:val="22"/>
          <w:highlight w:val="yellow"/>
          <w:lang w:val="en-GB"/>
        </w:rPr>
        <w:t>i</w:t>
      </w:r>
      <w:proofErr w:type="spellEnd"/>
      <w:r w:rsidRPr="0007113B">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A8048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A8048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A80481">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A8048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7065EA" w:rsidRDefault="009344C1" w:rsidP="00A80481">
      <w:pPr>
        <w:pStyle w:val="ListParagraph"/>
        <w:numPr>
          <w:ilvl w:val="0"/>
          <w:numId w:val="5"/>
        </w:numPr>
        <w:ind w:left="426" w:hanging="426"/>
        <w:jc w:val="both"/>
        <w:rPr>
          <w:rFonts w:ascii="Avenir Next" w:hAnsi="Avenir Next" w:cs="Arial"/>
          <w:sz w:val="22"/>
          <w:szCs w:val="22"/>
          <w:highlight w:val="yellow"/>
          <w:lang w:val="en-GB"/>
        </w:rPr>
      </w:pPr>
      <w:r w:rsidRPr="007065EA">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A80481">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A80481">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A80481">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A80481">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A80481">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7065EA" w:rsidRDefault="00F51EE5" w:rsidP="00A80481">
      <w:pPr>
        <w:pStyle w:val="ListParagraph"/>
        <w:numPr>
          <w:ilvl w:val="0"/>
          <w:numId w:val="6"/>
        </w:numPr>
        <w:ind w:left="426" w:hanging="426"/>
        <w:jc w:val="both"/>
        <w:rPr>
          <w:rFonts w:ascii="Avenir Next" w:hAnsi="Avenir Next" w:cs="Arial"/>
          <w:sz w:val="22"/>
          <w:szCs w:val="22"/>
          <w:highlight w:val="yellow"/>
          <w:lang w:val="en-GB"/>
        </w:rPr>
      </w:pPr>
      <w:r w:rsidRPr="007065EA">
        <w:rPr>
          <w:rFonts w:ascii="Avenir Next" w:hAnsi="Avenir Next" w:cs="Arial"/>
          <w:sz w:val="22"/>
          <w:szCs w:val="22"/>
          <w:highlight w:val="yellow"/>
          <w:lang w:val="en-GB"/>
        </w:rPr>
        <w:t>Options (</w:t>
      </w:r>
      <w:proofErr w:type="spellStart"/>
      <w:r w:rsidRPr="007065EA">
        <w:rPr>
          <w:rFonts w:ascii="Avenir Next" w:hAnsi="Avenir Next" w:cs="Arial"/>
          <w:sz w:val="22"/>
          <w:szCs w:val="22"/>
          <w:highlight w:val="yellow"/>
          <w:lang w:val="en-GB"/>
        </w:rPr>
        <w:t>i</w:t>
      </w:r>
      <w:proofErr w:type="spellEnd"/>
      <w:r w:rsidRPr="007065EA">
        <w:rPr>
          <w:rFonts w:ascii="Avenir Next" w:hAnsi="Avenir Next" w:cs="Arial"/>
          <w:sz w:val="22"/>
          <w:szCs w:val="22"/>
          <w:highlight w:val="yellow"/>
          <w:lang w:val="en-GB"/>
        </w:rPr>
        <w:t>), (ii) and (</w:t>
      </w:r>
      <w:proofErr w:type="gramStart"/>
      <w:r w:rsidRPr="007065EA">
        <w:rPr>
          <w:rFonts w:ascii="Avenir Next" w:hAnsi="Avenir Next" w:cs="Arial"/>
          <w:sz w:val="22"/>
          <w:szCs w:val="22"/>
          <w:highlight w:val="yellow"/>
          <w:lang w:val="en-GB"/>
        </w:rPr>
        <w:t>iv</w:t>
      </w:r>
      <w:proofErr w:type="gramEnd"/>
      <w:r w:rsidRPr="007065EA">
        <w:rPr>
          <w:rFonts w:ascii="Avenir Next" w:hAnsi="Avenir Next" w:cs="Arial"/>
          <w:sz w:val="22"/>
          <w:szCs w:val="22"/>
          <w:highlight w:val="yellow"/>
          <w:lang w:val="en-GB"/>
        </w:rPr>
        <w:t>).</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A80481">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A80481">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A80481">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A80481">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A80481">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A80481">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A80481">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A80481">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947CF3" w:rsidRDefault="0097337E" w:rsidP="00A80481">
      <w:pPr>
        <w:pStyle w:val="ListParagraph"/>
        <w:numPr>
          <w:ilvl w:val="0"/>
          <w:numId w:val="7"/>
        </w:numPr>
        <w:ind w:left="426" w:hanging="426"/>
        <w:jc w:val="both"/>
        <w:rPr>
          <w:rFonts w:ascii="Avenir Next" w:hAnsi="Avenir Next" w:cs="Arial"/>
          <w:sz w:val="22"/>
          <w:szCs w:val="22"/>
          <w:highlight w:val="yellow"/>
          <w:lang w:val="en-GB"/>
        </w:rPr>
      </w:pPr>
      <w:r w:rsidRPr="00947CF3">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A80481">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A8048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A8048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A8048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A8048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A8048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947CF3" w:rsidRDefault="009A58D1" w:rsidP="00A80481">
      <w:pPr>
        <w:pStyle w:val="ListParagraph"/>
        <w:numPr>
          <w:ilvl w:val="0"/>
          <w:numId w:val="8"/>
        </w:numPr>
        <w:ind w:left="426" w:hanging="426"/>
        <w:jc w:val="both"/>
        <w:rPr>
          <w:rFonts w:ascii="Avenir Next" w:hAnsi="Avenir Next" w:cs="Arial"/>
          <w:sz w:val="22"/>
          <w:szCs w:val="22"/>
          <w:highlight w:val="yellow"/>
          <w:lang w:val="en-GB"/>
        </w:rPr>
      </w:pPr>
      <w:r w:rsidRPr="00947CF3">
        <w:rPr>
          <w:rFonts w:ascii="Avenir Next" w:hAnsi="Avenir Next" w:cs="Arial"/>
          <w:sz w:val="22"/>
          <w:szCs w:val="22"/>
          <w:highlight w:val="yellow"/>
          <w:lang w:val="en-GB"/>
        </w:rPr>
        <w:t>Options (iii), (</w:t>
      </w:r>
      <w:proofErr w:type="spellStart"/>
      <w:r w:rsidRPr="00947CF3">
        <w:rPr>
          <w:rFonts w:ascii="Avenir Next" w:hAnsi="Avenir Next" w:cs="Arial"/>
          <w:sz w:val="22"/>
          <w:szCs w:val="22"/>
          <w:highlight w:val="yellow"/>
          <w:lang w:val="en-GB"/>
        </w:rPr>
        <w:t>i</w:t>
      </w:r>
      <w:proofErr w:type="spellEnd"/>
      <w:r w:rsidRPr="00947CF3">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A8048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A80481">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A80481">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A80481">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A80481">
      <w:pPr>
        <w:pStyle w:val="ListParagraph"/>
        <w:numPr>
          <w:ilvl w:val="0"/>
          <w:numId w:val="9"/>
        </w:numPr>
        <w:ind w:left="426" w:hanging="426"/>
        <w:jc w:val="both"/>
        <w:rPr>
          <w:rFonts w:ascii="Avenir Next" w:hAnsi="Avenir Next" w:cs="Arial"/>
          <w:sz w:val="22"/>
          <w:szCs w:val="22"/>
          <w:lang w:val="en-GB"/>
        </w:rPr>
      </w:pPr>
      <w:r w:rsidRPr="002539D7">
        <w:rPr>
          <w:rFonts w:ascii="Avenir Next" w:hAnsi="Avenir Next" w:cs="Arial"/>
          <w:sz w:val="22"/>
          <w:szCs w:val="22"/>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24F6E3A4" w:rsidR="00CB56CE" w:rsidRDefault="00DD7FA8" w:rsidP="00BE27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MLCBI and the EIR is that while the MLCBI is a recommendation or model law that could be adopted, in part or as a whole, into a State’s insolvency legislation, the EIR </w:t>
      </w:r>
      <w:r w:rsidR="002C4F76">
        <w:rPr>
          <w:rFonts w:ascii="Avenir Next" w:hAnsi="Avenir Next" w:cs="Arial"/>
          <w:color w:val="808080" w:themeColor="background1" w:themeShade="80"/>
          <w:sz w:val="22"/>
          <w:szCs w:val="22"/>
          <w:lang w:val="en-GB"/>
        </w:rPr>
        <w:t xml:space="preserve">is a part of the domestic law of each </w:t>
      </w:r>
      <w:proofErr w:type="gramStart"/>
      <w:r w:rsidR="002C4F76">
        <w:rPr>
          <w:rFonts w:ascii="Avenir Next" w:hAnsi="Avenir Next" w:cs="Arial"/>
          <w:color w:val="808080" w:themeColor="background1" w:themeShade="80"/>
          <w:sz w:val="22"/>
          <w:szCs w:val="22"/>
          <w:lang w:val="en-GB"/>
        </w:rPr>
        <w:t>member</w:t>
      </w:r>
      <w:proofErr w:type="gramEnd"/>
      <w:r w:rsidR="002C4F76">
        <w:rPr>
          <w:rFonts w:ascii="Avenir Next" w:hAnsi="Avenir Next" w:cs="Arial"/>
          <w:color w:val="808080" w:themeColor="background1" w:themeShade="80"/>
          <w:sz w:val="22"/>
          <w:szCs w:val="22"/>
          <w:lang w:val="en-GB"/>
        </w:rPr>
        <w:t xml:space="preserve"> State</w:t>
      </w:r>
      <w:r w:rsidR="00BE274A">
        <w:rPr>
          <w:rFonts w:ascii="Avenir Next" w:hAnsi="Avenir Next" w:cs="Arial"/>
          <w:color w:val="808080" w:themeColor="background1" w:themeShade="80"/>
          <w:sz w:val="22"/>
          <w:szCs w:val="22"/>
          <w:lang w:val="en-GB"/>
        </w:rPr>
        <w:t>.</w:t>
      </w:r>
    </w:p>
    <w:p w14:paraId="2E87C7A5" w14:textId="758BEA0D" w:rsidR="00BE274A" w:rsidRDefault="00BE274A" w:rsidP="00BE27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Benefit of the EIR approach is that there is consistency of law across the various countries which should speed up insolvency proceedings and also courts will have access to case law and juris prudence across the EU.  Disadvantage is that there may be conflicts between the EIR and the domestic laws on the member state.</w:t>
      </w:r>
    </w:p>
    <w:p w14:paraId="139EE5CB" w14:textId="220FE30C" w:rsidR="00BE274A" w:rsidRPr="00B77352" w:rsidRDefault="00BE274A" w:rsidP="00BE27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advantage of the model law is that it is flexible and can be adapted for inclusion into the domestic laws on an enacting State.  Disadvantage of it being a model law is that there will still exist differences between various jurisdictions and there is no harmonisation.</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395E6970" w14:textId="2BAE67C6" w:rsidR="00892D53" w:rsidRDefault="004D637C" w:rsidP="004D637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should consider the following when using its discretionary power to grant relief under Article 21:</w:t>
      </w:r>
    </w:p>
    <w:p w14:paraId="1C4E7975" w14:textId="74AA208D" w:rsidR="00892D53" w:rsidRDefault="00892D53" w:rsidP="00A80481">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requested by the foreign representative</w:t>
      </w:r>
      <w:r w:rsidR="000B5D17">
        <w:rPr>
          <w:rFonts w:ascii="Avenir Next" w:hAnsi="Avenir Next" w:cs="Arial"/>
          <w:color w:val="808080" w:themeColor="background1" w:themeShade="80"/>
          <w:sz w:val="22"/>
          <w:szCs w:val="22"/>
          <w:lang w:val="en-GB"/>
        </w:rPr>
        <w:t>:</w:t>
      </w:r>
    </w:p>
    <w:p w14:paraId="3B01F0E5" w14:textId="0BA9737C" w:rsidR="004D637C" w:rsidRDefault="00892D53" w:rsidP="00A80481">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can consider granting the appropriate relief where it will be necessary to protect the assets of the business subject the foreign proceeding and also the rights and interests of the creditors</w:t>
      </w:r>
    </w:p>
    <w:p w14:paraId="7EC00960" w14:textId="58FECA8B" w:rsidR="00892D53" w:rsidRPr="004D637C" w:rsidRDefault="00892D53" w:rsidP="00A80481">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may use the discretionary power granted under Article 21(2), if it is </w:t>
      </w:r>
      <w:r w:rsidR="00E82BCC">
        <w:rPr>
          <w:rFonts w:ascii="Avenir Next" w:hAnsi="Avenir Next" w:cs="Arial"/>
          <w:color w:val="808080" w:themeColor="background1" w:themeShade="80"/>
          <w:sz w:val="22"/>
          <w:szCs w:val="22"/>
          <w:lang w:val="en-GB"/>
        </w:rPr>
        <w:t>comfortable that the interests of the local creditors in its jurisdiction are adequately protected, to hand over some or all of the debtor’s assets held in the enacting State to the foreign representative (or other court authorised person)</w:t>
      </w:r>
    </w:p>
    <w:p w14:paraId="396BC93B" w14:textId="77777777" w:rsidR="004D637C" w:rsidRPr="00B77352" w:rsidRDefault="004D637C" w:rsidP="00867A8F">
      <w:pPr>
        <w:ind w:left="720" w:hanging="720"/>
        <w:jc w:val="both"/>
        <w:rPr>
          <w:rFonts w:ascii="Avenir Next" w:hAnsi="Avenir Next" w:cs="Arial"/>
          <w:color w:val="808080" w:themeColor="background1" w:themeShade="80"/>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6C0088FF" w:rsidR="00867A8F" w:rsidRDefault="007A6BE5"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 of the MLCBI provides anti-discrimination protection to creditors by:</w:t>
      </w:r>
    </w:p>
    <w:p w14:paraId="6B948AC2" w14:textId="27F62E46" w:rsidR="007A6BE5" w:rsidRDefault="00737B64" w:rsidP="00A8048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Giving foreign creditors the same rights as creditors with </w:t>
      </w:r>
      <w:proofErr w:type="spellStart"/>
      <w:r>
        <w:rPr>
          <w:rFonts w:ascii="Avenir Next" w:hAnsi="Avenir Next" w:cs="Arial"/>
          <w:color w:val="808080" w:themeColor="background1" w:themeShade="80"/>
          <w:sz w:val="22"/>
          <w:szCs w:val="22"/>
          <w:lang w:val="en-GB"/>
        </w:rPr>
        <w:t>domicilium</w:t>
      </w:r>
      <w:proofErr w:type="spellEnd"/>
      <w:r>
        <w:rPr>
          <w:rFonts w:ascii="Avenir Next" w:hAnsi="Avenir Next" w:cs="Arial"/>
          <w:color w:val="808080" w:themeColor="background1" w:themeShade="80"/>
          <w:sz w:val="22"/>
          <w:szCs w:val="22"/>
          <w:lang w:val="en-GB"/>
        </w:rPr>
        <w:t xml:space="preserve"> in the enacting State as relates to the local proceedings in respect of the debtor subject to the insolvency proceedings under insolvency laws of the enacting State.  This includes the rights as relates to the commencement and participation in the local proceedings.</w:t>
      </w:r>
    </w:p>
    <w:p w14:paraId="2A59FDFC" w14:textId="7700A022" w:rsidR="00737B64" w:rsidRPr="007A6BE5" w:rsidRDefault="00737B64" w:rsidP="00A8048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rights granted do not impact the ranking of claims in the enacting State.  The foreign creditor claim may not be given a lower ranking that that of unsecured general claims if that lower ranking results only from being a foreign creditor.</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074F980C" w:rsidR="00867A8F" w:rsidRDefault="00FC3967" w:rsidP="00FC396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of a foreign main proceeding, Article 20 provides for automatic mandatory relief upon recognition of the proceeding.  The 3 automatic consequences as relate to relief are:</w:t>
      </w:r>
    </w:p>
    <w:p w14:paraId="13871576" w14:textId="77777777" w:rsidR="00FC3967" w:rsidRDefault="00FC3967" w:rsidP="00A8048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 in respect of the initiation or continuation of actions or proceedings as relate to the debtor’s assets, liabilities, obligations and other rights;</w:t>
      </w:r>
    </w:p>
    <w:p w14:paraId="52198B31" w14:textId="77777777" w:rsidR="00FC3967" w:rsidRDefault="00FC3967" w:rsidP="00A8048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of any execution against the debtor’s assets and </w:t>
      </w:r>
    </w:p>
    <w:p w14:paraId="1388B00C" w14:textId="1D853EE1" w:rsidR="00FC3967" w:rsidRPr="00FC3967" w:rsidRDefault="006D4730" w:rsidP="00A8048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inability of the assets of the debtor to be transferred, encumbered or sold on a temporary basis.</w:t>
      </w:r>
    </w:p>
    <w:p w14:paraId="39431168" w14:textId="79D2B93C" w:rsidR="00FC3967" w:rsidRDefault="006D4730" w:rsidP="006D4730">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a foreign non-main proceeding, the above relief would only be available on a discretionary basis from the court (Article 21).  It must be noted that the court may also apply </w:t>
      </w:r>
      <w:r w:rsidR="007800E3">
        <w:rPr>
          <w:rFonts w:ascii="Avenir Next" w:hAnsi="Avenir Next" w:cs="Arial"/>
          <w:color w:val="808080" w:themeColor="background1" w:themeShade="80"/>
          <w:sz w:val="22"/>
          <w:szCs w:val="22"/>
          <w:lang w:val="en-GB"/>
        </w:rPr>
        <w:t xml:space="preserve">discretionary power in respect to the granting of appropriate relief in respect of </w:t>
      </w:r>
      <w:r>
        <w:rPr>
          <w:rFonts w:ascii="Avenir Next" w:hAnsi="Avenir Next" w:cs="Arial"/>
          <w:color w:val="808080" w:themeColor="background1" w:themeShade="80"/>
          <w:sz w:val="22"/>
          <w:szCs w:val="22"/>
          <w:lang w:val="en-GB"/>
        </w:rPr>
        <w:t xml:space="preserve">a foreign main proceeding </w:t>
      </w:r>
    </w:p>
    <w:p w14:paraId="74F26701" w14:textId="45217542" w:rsidR="006D4730" w:rsidRDefault="006D4730" w:rsidP="006D4730">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19 allows for the application to the court by the foreign representative for interim relief on an urgent basis, prior to the recognition of the foreign main or non-main proceeding.</w:t>
      </w:r>
    </w:p>
    <w:p w14:paraId="4127391E" w14:textId="77777777" w:rsidR="00100E8F" w:rsidRPr="00B77352" w:rsidRDefault="00100E8F" w:rsidP="006D4730">
      <w:pPr>
        <w:ind w:left="142"/>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5BDF0B35" w14:textId="6E863F57" w:rsidR="006C231A" w:rsidRDefault="00950BB5" w:rsidP="006C231A">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for a </w:t>
      </w:r>
      <w:r w:rsidR="006C231A">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to be recognised as “foreign main</w:t>
      </w:r>
      <w:r w:rsidR="006C231A">
        <w:rPr>
          <w:rFonts w:ascii="Avenir Next" w:hAnsi="Avenir Next" w:cs="Arial"/>
          <w:color w:val="808080" w:themeColor="background1" w:themeShade="80"/>
          <w:sz w:val="22"/>
          <w:szCs w:val="22"/>
          <w:lang w:val="en-GB"/>
        </w:rPr>
        <w:t>”, the insolvency proceedings must be filed in the COMI of the debtor.  In this case, the foreign main proceeding would have been filed in Germany.</w:t>
      </w:r>
    </w:p>
    <w:p w14:paraId="08475351" w14:textId="07FB9DB0" w:rsidR="00867A8F" w:rsidRDefault="006C231A" w:rsidP="006C231A">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“foreign non-main proceeding” is an insolvency proceeding filed where the debtor has an establishment.  In this case, that would in Bermuda.</w:t>
      </w:r>
    </w:p>
    <w:p w14:paraId="5ADD1059" w14:textId="41DEF95A" w:rsidR="006C231A" w:rsidRDefault="006C231A" w:rsidP="006C231A">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likely that both the foreign main and foreign non-main proceedings will be recognised in the US and there will be no need for the foreign representative to open new USA insolvency proceedings.</w:t>
      </w:r>
    </w:p>
    <w:p w14:paraId="2210C5FE" w14:textId="238C6724" w:rsidR="006C231A" w:rsidRDefault="006C231A" w:rsidP="006C231A">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order for the proceedings to be recognised, the recognition requirements of Article 15 of the MLCBI will need to be met.</w:t>
      </w:r>
    </w:p>
    <w:p w14:paraId="5C5D9456" w14:textId="0F909479" w:rsidR="006C231A" w:rsidRPr="00B77352" w:rsidRDefault="006C231A" w:rsidP="006C231A">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w:t>
      </w:r>
      <w:r w:rsidR="004E4D4B">
        <w:rPr>
          <w:rFonts w:ascii="Avenir Next" w:hAnsi="Avenir Next" w:cs="Arial"/>
          <w:color w:val="808080" w:themeColor="background1" w:themeShade="80"/>
          <w:sz w:val="22"/>
          <w:szCs w:val="22"/>
          <w:lang w:val="en-GB"/>
        </w:rPr>
        <w:t xml:space="preserve"> of the foreign proceedings must be determined by the court as quickly as possible per Article 17.</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51339B6D" w14:textId="34D22ABB" w:rsidR="00701F04" w:rsidRDefault="00C177B4" w:rsidP="00C66BB2">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liquidators are able to apply to the US courts for urgent relief under Article 19 of the Model Law.</w:t>
      </w:r>
      <w:r w:rsidR="00701F04">
        <w:rPr>
          <w:rFonts w:ascii="Avenir Next" w:hAnsi="Avenir Next" w:cs="Arial"/>
          <w:color w:val="808080" w:themeColor="background1" w:themeShade="80"/>
          <w:sz w:val="22"/>
          <w:szCs w:val="22"/>
          <w:lang w:val="en-GB"/>
        </w:rPr>
        <w:t xml:space="preserve">  The application requests the relief for the period from when the recognition application was made to court until the receipt of a decision in respect of the recognition application.</w:t>
      </w:r>
    </w:p>
    <w:p w14:paraId="3937CDFF" w14:textId="32EAB267" w:rsidR="00867A8F" w:rsidRDefault="00C177B4" w:rsidP="00C66BB2">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will allow them as foreign representatives to protect the assets of the debtors and preserve the interest of the creditors.</w:t>
      </w:r>
    </w:p>
    <w:p w14:paraId="0CF90F6B" w14:textId="7D15F0F4" w:rsidR="00C177B4" w:rsidRDefault="00C177B4" w:rsidP="00C66BB2">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relief granted will be interim in nature </w:t>
      </w:r>
      <w:r w:rsidR="00701F04">
        <w:rPr>
          <w:rFonts w:ascii="Avenir Next" w:hAnsi="Avenir Next" w:cs="Arial"/>
          <w:color w:val="808080" w:themeColor="background1" w:themeShade="80"/>
          <w:sz w:val="22"/>
          <w:szCs w:val="22"/>
          <w:lang w:val="en-GB"/>
        </w:rPr>
        <w:t xml:space="preserve">and is available in respect of foreign main and foreign non-main proceedings. </w:t>
      </w:r>
    </w:p>
    <w:p w14:paraId="4DC9C93C" w14:textId="4139054E" w:rsidR="00701F04" w:rsidRPr="00B77352" w:rsidRDefault="00701F04" w:rsidP="00C66BB2">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relief can include the post recognition relief in terms of Article 21 and other relief that the court may deem is required to preserve that value of the assets of the debtors or the rights of the creditors.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7A0725E5" w:rsidR="00867A8F" w:rsidRDefault="00B67DC9" w:rsidP="00B67DC9">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001268EB">
        <w:rPr>
          <w:rFonts w:ascii="Avenir Next" w:hAnsi="Avenir Next" w:cs="Arial"/>
          <w:color w:val="808080" w:themeColor="background1" w:themeShade="80"/>
          <w:sz w:val="22"/>
          <w:szCs w:val="22"/>
          <w:lang w:val="en-GB"/>
        </w:rPr>
        <w:t>U</w:t>
      </w:r>
      <w:r>
        <w:rPr>
          <w:rFonts w:ascii="Avenir Next" w:hAnsi="Avenir Next" w:cs="Arial"/>
          <w:color w:val="808080" w:themeColor="background1" w:themeShade="80"/>
          <w:sz w:val="22"/>
          <w:szCs w:val="22"/>
          <w:lang w:val="en-GB"/>
        </w:rPr>
        <w:t xml:space="preserve">K insolvency laws, </w:t>
      </w:r>
      <w:r w:rsidR="001268EB">
        <w:rPr>
          <w:rFonts w:ascii="Avenir Next" w:hAnsi="Avenir Next" w:cs="Arial"/>
          <w:color w:val="808080" w:themeColor="background1" w:themeShade="80"/>
          <w:sz w:val="22"/>
          <w:szCs w:val="22"/>
          <w:lang w:val="en-GB"/>
        </w:rPr>
        <w:t xml:space="preserve">ipso facto clauses in contracts are valid and enforceable as the English Supreme Court clarified in </w:t>
      </w:r>
      <w:r w:rsidR="001268EB">
        <w:rPr>
          <w:rFonts w:ascii="Avenir Next" w:hAnsi="Avenir Next" w:cs="Arial"/>
          <w:i/>
          <w:color w:val="808080" w:themeColor="background1" w:themeShade="80"/>
          <w:sz w:val="22"/>
          <w:szCs w:val="22"/>
          <w:lang w:val="en-GB"/>
        </w:rPr>
        <w:t>Belmond Park vs BNY Corporate Trustee Services</w:t>
      </w:r>
      <w:r w:rsidR="001268EB">
        <w:rPr>
          <w:rFonts w:ascii="Avenir Next" w:hAnsi="Avenir Next" w:cs="Arial"/>
          <w:color w:val="808080" w:themeColor="background1" w:themeShade="80"/>
          <w:sz w:val="22"/>
          <w:szCs w:val="22"/>
          <w:lang w:val="en-GB"/>
        </w:rPr>
        <w:t xml:space="preserve">. Following the adoption of the CIGA in June 2020, certain </w:t>
      </w:r>
      <w:r w:rsidR="001268EB">
        <w:rPr>
          <w:rFonts w:ascii="Avenir Next" w:hAnsi="Avenir Next" w:cs="Arial"/>
          <w:i/>
          <w:color w:val="808080" w:themeColor="background1" w:themeShade="80"/>
          <w:sz w:val="22"/>
          <w:szCs w:val="22"/>
          <w:lang w:val="en-GB"/>
        </w:rPr>
        <w:t>ipso facto</w:t>
      </w:r>
      <w:r w:rsidR="001268EB">
        <w:rPr>
          <w:rFonts w:ascii="Avenir Next" w:hAnsi="Avenir Next" w:cs="Arial"/>
          <w:color w:val="808080" w:themeColor="background1" w:themeShade="80"/>
          <w:sz w:val="22"/>
          <w:szCs w:val="22"/>
          <w:lang w:val="en-GB"/>
        </w:rPr>
        <w:t xml:space="preserve"> clause as relate to the supply of goods or services will no longer be valid if the debtor is subject to UK insolvency proceedings.</w:t>
      </w:r>
    </w:p>
    <w:p w14:paraId="1CA6ADB9" w14:textId="75499A71" w:rsidR="001268EB" w:rsidRPr="001268EB" w:rsidRDefault="001268EB" w:rsidP="00B67DC9">
      <w:pPr>
        <w:ind w:left="142"/>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relates to the US-governed leases and IP licenses, these </w:t>
      </w:r>
      <w:r>
        <w:rPr>
          <w:rFonts w:ascii="Avenir Next" w:hAnsi="Avenir Next" w:cs="Arial"/>
          <w:i/>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clauses are enforceable until such time that the foreign insolvency proceedings have been recognised in the US.  It would therefore be prudent for the foreign representative to apply to the US courts for interim relief under Article 19 so as to endeavour to protect the assets and prevent the counter parties to these contracts from evoking the </w:t>
      </w:r>
      <w:proofErr w:type="spellStart"/>
      <w:r>
        <w:rPr>
          <w:rFonts w:ascii="Avenir Next" w:hAnsi="Avenir Next" w:cs="Arial"/>
          <w:i/>
          <w:color w:val="808080" w:themeColor="background1" w:themeShade="80"/>
          <w:sz w:val="22"/>
          <w:szCs w:val="22"/>
          <w:lang w:val="en-GB"/>
        </w:rPr>
        <w:t>iso</w:t>
      </w:r>
      <w:proofErr w:type="spellEnd"/>
      <w:r>
        <w:rPr>
          <w:rFonts w:ascii="Avenir Next" w:hAnsi="Avenir Next" w:cs="Arial"/>
          <w:i/>
          <w:color w:val="808080" w:themeColor="background1" w:themeShade="80"/>
          <w:sz w:val="22"/>
          <w:szCs w:val="22"/>
          <w:lang w:val="en-GB"/>
        </w:rPr>
        <w:t xml:space="preserve"> facto </w:t>
      </w:r>
      <w:r w:rsidRPr="001268EB">
        <w:rPr>
          <w:rFonts w:ascii="Avenir Next" w:hAnsi="Avenir Next" w:cs="Arial"/>
          <w:color w:val="808080" w:themeColor="background1" w:themeShade="80"/>
          <w:sz w:val="22"/>
          <w:szCs w:val="22"/>
          <w:lang w:val="en-GB"/>
        </w:rPr>
        <w:t>clauses</w:t>
      </w:r>
      <w:r>
        <w:rPr>
          <w:rFonts w:ascii="Avenir Next" w:hAnsi="Avenir Next" w:cs="Arial"/>
          <w:i/>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 xml:space="preserve">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w:t>
      </w:r>
      <w:r w:rsidRPr="000A7632">
        <w:rPr>
          <w:rFonts w:ascii="Avenir Next" w:hAnsi="Avenir Next" w:cs="Arial"/>
          <w:sz w:val="22"/>
          <w:szCs w:val="22"/>
          <w:lang w:val="en-GB"/>
        </w:rPr>
        <w:lastRenderedPageBreak/>
        <w:t>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443B7FCD" w:rsidR="00867A8F" w:rsidRDefault="00353F55" w:rsidP="00882F14">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may now apply to the court in Country B for recognition of the foreign proceedings in Country </w:t>
      </w:r>
      <w:proofErr w:type="gramStart"/>
      <w:r>
        <w:rPr>
          <w:rFonts w:ascii="Avenir Next" w:hAnsi="Avenir Next" w:cs="Arial"/>
          <w:color w:val="808080" w:themeColor="background1" w:themeShade="80"/>
          <w:sz w:val="22"/>
          <w:szCs w:val="22"/>
          <w:lang w:val="en-GB"/>
        </w:rPr>
        <w:t>A</w:t>
      </w:r>
      <w:proofErr w:type="gramEnd"/>
      <w:r>
        <w:rPr>
          <w:rFonts w:ascii="Avenir Next" w:hAnsi="Avenir Next" w:cs="Arial"/>
          <w:color w:val="808080" w:themeColor="background1" w:themeShade="80"/>
          <w:sz w:val="22"/>
          <w:szCs w:val="22"/>
          <w:lang w:val="en-GB"/>
        </w:rPr>
        <w:t xml:space="preserve"> as foreign non-main proceedings.  The foreign representative may enjoy recognition under Article 9 in the courts of Country B.  He can therefore petition court for permission to sell the assets of the debtor outside of recognised insolvency proceedings. </w:t>
      </w:r>
    </w:p>
    <w:p w14:paraId="2439B807" w14:textId="671FA10D" w:rsidR="00353F55" w:rsidRDefault="00353F55" w:rsidP="00882F14">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 have assessed whether Country A or Country B is the main place of business of the debtor and determine where the COMI lies.  Based on the limited facts above, it appears that only certain assets of the debtor are within Country B. It is unclear whether the debtor conducts any business in Country B and whether Country B may be the COMI of the debtor.</w:t>
      </w:r>
      <w:r w:rsidR="00CB6ACE">
        <w:rPr>
          <w:rFonts w:ascii="Avenir Next" w:hAnsi="Avenir Next" w:cs="Arial"/>
          <w:color w:val="808080" w:themeColor="background1" w:themeShade="80"/>
          <w:sz w:val="22"/>
          <w:szCs w:val="22"/>
          <w:lang w:val="en-GB"/>
        </w:rPr>
        <w:t xml:space="preserve">  The representative should have applied to the courts in Country B for recognition of the proceedings in Country </w:t>
      </w:r>
      <w:proofErr w:type="gramStart"/>
      <w:r w:rsidR="00CB6ACE">
        <w:rPr>
          <w:rFonts w:ascii="Avenir Next" w:hAnsi="Avenir Next" w:cs="Arial"/>
          <w:color w:val="808080" w:themeColor="background1" w:themeShade="80"/>
          <w:sz w:val="22"/>
          <w:szCs w:val="22"/>
          <w:lang w:val="en-GB"/>
        </w:rPr>
        <w:t>A</w:t>
      </w:r>
      <w:proofErr w:type="gramEnd"/>
      <w:r w:rsidR="00CB6ACE">
        <w:rPr>
          <w:rFonts w:ascii="Avenir Next" w:hAnsi="Avenir Next" w:cs="Arial"/>
          <w:color w:val="808080" w:themeColor="background1" w:themeShade="80"/>
          <w:sz w:val="22"/>
          <w:szCs w:val="22"/>
          <w:lang w:val="en-GB"/>
        </w:rPr>
        <w:t xml:space="preserve"> as foreign non-main.  </w:t>
      </w:r>
    </w:p>
    <w:p w14:paraId="50249FD2" w14:textId="388C0094" w:rsidR="00CB6ACE" w:rsidRPr="00B77352" w:rsidRDefault="00CB6ACE" w:rsidP="00882F14">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alternative would be to commence domestic proceedings in country B and have these proceedings recognised in Country </w:t>
      </w:r>
      <w:proofErr w:type="gramStart"/>
      <w:r>
        <w:rPr>
          <w:rFonts w:ascii="Avenir Next" w:hAnsi="Avenir Next" w:cs="Arial"/>
          <w:color w:val="808080" w:themeColor="background1" w:themeShade="80"/>
          <w:sz w:val="22"/>
          <w:szCs w:val="22"/>
          <w:lang w:val="en-GB"/>
        </w:rPr>
        <w:t>A</w:t>
      </w:r>
      <w:proofErr w:type="gramEnd"/>
      <w:r>
        <w:rPr>
          <w:rFonts w:ascii="Avenir Next" w:hAnsi="Avenir Next" w:cs="Arial"/>
          <w:color w:val="808080" w:themeColor="background1" w:themeShade="80"/>
          <w:sz w:val="22"/>
          <w:szCs w:val="22"/>
          <w:lang w:val="en-GB"/>
        </w:rPr>
        <w:t xml:space="preserve"> as foreign main proceedings.</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w:t>
      </w:r>
      <w:proofErr w:type="gramStart"/>
      <w:r w:rsidRPr="00E61F6E">
        <w:rPr>
          <w:rFonts w:ascii="Avenir Next" w:hAnsi="Avenir Next"/>
          <w:sz w:val="22"/>
          <w:szCs w:val="28"/>
        </w:rPr>
        <w:t>advise</w:t>
      </w:r>
      <w:proofErr w:type="gramEnd"/>
      <w:r w:rsidRPr="00E61F6E">
        <w:rPr>
          <w:rFonts w:ascii="Avenir Next" w:hAnsi="Avenir Next"/>
          <w:sz w:val="22"/>
          <w:szCs w:val="28"/>
        </w:rPr>
        <w:t xml:space="preserv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1014C56F" w14:textId="77777777" w:rsidR="00C059E5" w:rsidRDefault="00C059E5">
      <w:pPr>
        <w:rPr>
          <w:rFonts w:ascii="Avenir Next" w:hAnsi="Avenir Next"/>
          <w:color w:val="808080" w:themeColor="background1" w:themeShade="80"/>
          <w:sz w:val="22"/>
          <w:szCs w:val="28"/>
        </w:rPr>
      </w:pPr>
      <w:r>
        <w:rPr>
          <w:rFonts w:ascii="Avenir Next" w:hAnsi="Avenir Next"/>
          <w:color w:val="808080" w:themeColor="background1" w:themeShade="80"/>
          <w:sz w:val="22"/>
          <w:szCs w:val="28"/>
        </w:rPr>
        <w:br w:type="page"/>
      </w:r>
    </w:p>
    <w:p w14:paraId="1778483D" w14:textId="5178634E" w:rsidR="00253518" w:rsidRPr="00882388" w:rsidRDefault="00253518" w:rsidP="009E3CA7">
      <w:pPr>
        <w:jc w:val="both"/>
        <w:rPr>
          <w:rFonts w:ascii="Avenir Next" w:hAnsi="Avenir Next"/>
          <w:b/>
          <w:color w:val="808080" w:themeColor="background1" w:themeShade="80"/>
          <w:sz w:val="22"/>
          <w:szCs w:val="28"/>
        </w:rPr>
      </w:pPr>
      <w:r w:rsidRPr="00882388">
        <w:rPr>
          <w:rFonts w:ascii="Avenir Next" w:hAnsi="Avenir Next"/>
          <w:b/>
          <w:color w:val="808080" w:themeColor="background1" w:themeShade="80"/>
          <w:sz w:val="22"/>
          <w:szCs w:val="28"/>
        </w:rPr>
        <w:lastRenderedPageBreak/>
        <w:t>Key filing strategy</w:t>
      </w:r>
    </w:p>
    <w:p w14:paraId="1286829A" w14:textId="60187E2C" w:rsidR="00C059E5" w:rsidRDefault="00C059E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determination of the Centre of Main Interest as relates to Globe Holdings is required to determine what sort of recognition should be sought in the US courts.</w:t>
      </w:r>
    </w:p>
    <w:p w14:paraId="26AD589B" w14:textId="6FA212EC" w:rsidR="00C059E5" w:rsidRDefault="00C059E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order to determine the </w:t>
      </w:r>
      <w:r w:rsidRPr="002B00E4">
        <w:rPr>
          <w:rFonts w:ascii="Avenir Next" w:hAnsi="Avenir Next"/>
          <w:b/>
          <w:color w:val="808080" w:themeColor="background1" w:themeShade="80"/>
          <w:sz w:val="22"/>
          <w:szCs w:val="28"/>
        </w:rPr>
        <w:t>COMI</w:t>
      </w:r>
      <w:r>
        <w:rPr>
          <w:rFonts w:ascii="Avenir Next" w:hAnsi="Avenir Next"/>
          <w:color w:val="808080" w:themeColor="background1" w:themeShade="80"/>
          <w:sz w:val="22"/>
          <w:szCs w:val="28"/>
        </w:rPr>
        <w:t>, 2 factors must be considered:</w:t>
      </w:r>
    </w:p>
    <w:p w14:paraId="37BCDF9F" w14:textId="67A7C0F9" w:rsidR="00C059E5" w:rsidRDefault="00C059E5" w:rsidP="00A80481">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Where central administration of Globe Holdings takes place and</w:t>
      </w:r>
    </w:p>
    <w:p w14:paraId="29A311A3" w14:textId="13D024D7" w:rsidR="00C059E5" w:rsidRDefault="00C059E5" w:rsidP="00A80481">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Is the COMI determinable by the creditors of Globe </w:t>
      </w:r>
      <w:proofErr w:type="gramStart"/>
      <w:r>
        <w:rPr>
          <w:rFonts w:ascii="Avenir Next" w:hAnsi="Avenir Next"/>
          <w:color w:val="808080" w:themeColor="background1" w:themeShade="80"/>
          <w:sz w:val="22"/>
          <w:szCs w:val="28"/>
        </w:rPr>
        <w:t>Holdings.</w:t>
      </w:r>
      <w:proofErr w:type="gramEnd"/>
    </w:p>
    <w:p w14:paraId="33220700" w14:textId="2659D404" w:rsidR="00C059E5" w:rsidRDefault="00C059E5" w:rsidP="00C059E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the above facts, Globe is registered in the Cayman Islands, it maintains its books and records in the Cayman Islands, the SEC documents disclose Globe as a Cayman Islands business</w:t>
      </w:r>
      <w:r w:rsidR="002B00E4">
        <w:rPr>
          <w:rFonts w:ascii="Avenir Next" w:hAnsi="Avenir Next"/>
          <w:color w:val="808080" w:themeColor="background1" w:themeShade="80"/>
          <w:sz w:val="22"/>
          <w:szCs w:val="28"/>
        </w:rPr>
        <w:t xml:space="preserve"> and Globe is being reorganized in Cayman Islands and the creditors of the scheme.</w:t>
      </w:r>
    </w:p>
    <w:p w14:paraId="5F27695B" w14:textId="6756DB1C" w:rsidR="002B00E4" w:rsidRDefault="002B00E4" w:rsidP="00C059E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thus appears that the </w:t>
      </w:r>
      <w:r w:rsidRPr="002B00E4">
        <w:rPr>
          <w:rFonts w:ascii="Avenir Next" w:hAnsi="Avenir Next"/>
          <w:b/>
          <w:color w:val="808080" w:themeColor="background1" w:themeShade="80"/>
          <w:sz w:val="22"/>
          <w:szCs w:val="28"/>
        </w:rPr>
        <w:t>COMI of Globe is the Cayman Islands</w:t>
      </w:r>
      <w:r>
        <w:rPr>
          <w:rFonts w:ascii="Avenir Next" w:hAnsi="Avenir Next"/>
          <w:color w:val="808080" w:themeColor="background1" w:themeShade="80"/>
          <w:sz w:val="22"/>
          <w:szCs w:val="28"/>
        </w:rPr>
        <w:t>.</w:t>
      </w:r>
    </w:p>
    <w:p w14:paraId="0A20A654" w14:textId="7044E790" w:rsidR="002B00E4" w:rsidRDefault="002B00E4" w:rsidP="00C059E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reorganization relates to the notes of Globe and is unrelated to the operating subsidiaries in the USA.</w:t>
      </w:r>
    </w:p>
    <w:p w14:paraId="1E746F08" w14:textId="448DDC2A" w:rsidR="002B00E4" w:rsidRDefault="002B00E4" w:rsidP="00C059E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appears that Globe had an establishment, at some point, in the USA with having a head office building in New York.</w:t>
      </w:r>
      <w:r w:rsidR="00882388">
        <w:rPr>
          <w:rFonts w:ascii="Avenir Next" w:hAnsi="Avenir Next"/>
          <w:color w:val="808080" w:themeColor="background1" w:themeShade="80"/>
          <w:sz w:val="22"/>
          <w:szCs w:val="28"/>
        </w:rPr>
        <w:t xml:space="preserve">  </w:t>
      </w:r>
    </w:p>
    <w:p w14:paraId="17C507E5" w14:textId="77777777" w:rsidR="002B00E4" w:rsidRDefault="002B00E4" w:rsidP="00C059E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As relates to the filing for recognition of restructuring of the unsecured notes per the RSA, Globe would be filing in the US Courts for the recognition of the adopted restructuring proceedings as have taken place in the Cayman Islands.  The Cayman Islands as shown above is the COMI of Globe.</w:t>
      </w:r>
    </w:p>
    <w:p w14:paraId="28B8E4A6" w14:textId="32F96B7E" w:rsidR="002B00E4" w:rsidRDefault="002B00E4" w:rsidP="00C059E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filing in the USA would be done per Chapter 15 which is how the US Bankruptcy Code has adopted the Model Law.</w:t>
      </w:r>
    </w:p>
    <w:p w14:paraId="22BB649C" w14:textId="48D58263" w:rsidR="002B00E4" w:rsidRDefault="002B00E4" w:rsidP="00C059E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Based on the above, Globe should file </w:t>
      </w:r>
      <w:r w:rsidRPr="00882388">
        <w:rPr>
          <w:rFonts w:ascii="Avenir Next" w:hAnsi="Avenir Next"/>
          <w:b/>
          <w:color w:val="808080" w:themeColor="background1" w:themeShade="80"/>
          <w:sz w:val="22"/>
          <w:szCs w:val="28"/>
        </w:rPr>
        <w:t>Foreign Main proceeding</w:t>
      </w:r>
      <w:r>
        <w:rPr>
          <w:rFonts w:ascii="Avenir Next" w:hAnsi="Avenir Next"/>
          <w:color w:val="808080" w:themeColor="background1" w:themeShade="80"/>
          <w:sz w:val="22"/>
          <w:szCs w:val="28"/>
        </w:rPr>
        <w:t xml:space="preserve"> as the proceedings relate to its COMI.</w:t>
      </w:r>
    </w:p>
    <w:p w14:paraId="41F7DF8A" w14:textId="6D7021DF" w:rsidR="002B00E4" w:rsidRDefault="002B00E4" w:rsidP="00C059E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Under Article 15 of the model law, Glob</w:t>
      </w:r>
      <w:r w:rsidR="00882388">
        <w:rPr>
          <w:rFonts w:ascii="Avenir Next" w:hAnsi="Avenir Next"/>
          <w:color w:val="808080" w:themeColor="background1" w:themeShade="80"/>
          <w:sz w:val="22"/>
          <w:szCs w:val="28"/>
        </w:rPr>
        <w:t>e</w:t>
      </w:r>
      <w:r w:rsidR="00CB4906">
        <w:rPr>
          <w:rFonts w:ascii="Avenir Next" w:hAnsi="Avenir Next"/>
          <w:color w:val="808080" w:themeColor="background1" w:themeShade="80"/>
          <w:sz w:val="22"/>
          <w:szCs w:val="28"/>
        </w:rPr>
        <w:t>’s foreign representative will need to apply to the US court for the recognition of the Global restructuring proceedings in Cayman Islands.  The application to court should include the following documentation:</w:t>
      </w:r>
    </w:p>
    <w:p w14:paraId="2DBD1D0F" w14:textId="7E5DEFD0" w:rsidR="00CB4906" w:rsidRDefault="00CB4906" w:rsidP="00A80481">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certified copy of Glo</w:t>
      </w:r>
      <w:r w:rsidR="00882388">
        <w:rPr>
          <w:rFonts w:ascii="Avenir Next" w:hAnsi="Avenir Next"/>
          <w:color w:val="808080" w:themeColor="background1" w:themeShade="80"/>
          <w:sz w:val="22"/>
          <w:szCs w:val="28"/>
        </w:rPr>
        <w:t>be</w:t>
      </w:r>
      <w:r>
        <w:rPr>
          <w:rFonts w:ascii="Avenir Next" w:hAnsi="Avenir Next"/>
          <w:color w:val="808080" w:themeColor="background1" w:themeShade="80"/>
          <w:sz w:val="22"/>
          <w:szCs w:val="28"/>
        </w:rPr>
        <w:t>’s decision to commence the Cayman Islands based restructuring scheme and a copy of the decision to appoint the foreign representative; or</w:t>
      </w:r>
    </w:p>
    <w:p w14:paraId="2D184753" w14:textId="77AD70C1" w:rsidR="00CB4906" w:rsidRDefault="00CB4906" w:rsidP="00A80481">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certificate from the Cayman Islands court confirming the existence of the Cayman based restructuring scheme.  This would be the Sanction Order as issued by the </w:t>
      </w:r>
      <w:r w:rsidR="00882388">
        <w:rPr>
          <w:rFonts w:ascii="Avenir Next" w:hAnsi="Avenir Next"/>
          <w:color w:val="808080" w:themeColor="background1" w:themeShade="80"/>
          <w:sz w:val="22"/>
          <w:szCs w:val="28"/>
        </w:rPr>
        <w:t>Cayman</w:t>
      </w:r>
      <w:r>
        <w:rPr>
          <w:rFonts w:ascii="Avenir Next" w:hAnsi="Avenir Next"/>
          <w:color w:val="808080" w:themeColor="background1" w:themeShade="80"/>
          <w:sz w:val="22"/>
          <w:szCs w:val="28"/>
        </w:rPr>
        <w:t xml:space="preserve"> Court.  A certificate from the court confirming the appointment of the foreign representative as related to the foreign proceedings will also be required; or</w:t>
      </w:r>
    </w:p>
    <w:p w14:paraId="66108C0E" w14:textId="1BD3458B" w:rsidR="00CB4906" w:rsidRDefault="00CB4906" w:rsidP="00A80481">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If neither of the above evidence is available, any other document that the US court would accept as confirmation of the existence on the foreign proceeding and </w:t>
      </w:r>
      <w:r w:rsidR="00882388">
        <w:rPr>
          <w:rFonts w:ascii="Avenir Next" w:hAnsi="Avenir Next"/>
          <w:color w:val="808080" w:themeColor="background1" w:themeShade="80"/>
          <w:sz w:val="22"/>
          <w:szCs w:val="28"/>
        </w:rPr>
        <w:t>appointment</w:t>
      </w:r>
      <w:r>
        <w:rPr>
          <w:rFonts w:ascii="Avenir Next" w:hAnsi="Avenir Next"/>
          <w:color w:val="808080" w:themeColor="background1" w:themeShade="80"/>
          <w:sz w:val="22"/>
          <w:szCs w:val="28"/>
        </w:rPr>
        <w:t xml:space="preserve"> of the foreign representative. </w:t>
      </w:r>
      <w:r w:rsidR="00882388">
        <w:rPr>
          <w:rFonts w:ascii="Avenir Next" w:hAnsi="Avenir Next"/>
          <w:color w:val="808080" w:themeColor="background1" w:themeShade="80"/>
          <w:sz w:val="22"/>
          <w:szCs w:val="28"/>
        </w:rPr>
        <w:t>This could be evidenced in this case by retrieving the Sanction Order from the Cayman Islands Registrar of Companies.</w:t>
      </w:r>
    </w:p>
    <w:p w14:paraId="131FABB5" w14:textId="2171DEB7" w:rsidR="00882388" w:rsidRDefault="00882388" w:rsidP="00A80481">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foreign representative will also need to include a statement which details any and all insolvency proceedings as relate to Global that the foreign representative is aware of.</w:t>
      </w:r>
    </w:p>
    <w:p w14:paraId="2879D159" w14:textId="59ABDABF" w:rsidR="00882388" w:rsidRDefault="00882388" w:rsidP="00882388">
      <w:pPr>
        <w:jc w:val="both"/>
        <w:rPr>
          <w:rFonts w:ascii="Avenir Next" w:hAnsi="Avenir Next"/>
          <w:color w:val="808080" w:themeColor="background1" w:themeShade="80"/>
          <w:sz w:val="22"/>
          <w:szCs w:val="28"/>
        </w:rPr>
      </w:pPr>
    </w:p>
    <w:p w14:paraId="30F3B5CB" w14:textId="0ED3BD34" w:rsidR="002068F3" w:rsidRDefault="002068F3" w:rsidP="0088238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Given the nature of the investment holding of Globe, the fact that there are no employees in Cayman, the headquarters are in the USA and that a bank account was only recently opened in Cayman, it could be argued that</w:t>
      </w:r>
      <w:r w:rsidR="001B69CB">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there is only an </w:t>
      </w:r>
      <w:r>
        <w:rPr>
          <w:rFonts w:ascii="Avenir Next" w:hAnsi="Avenir Next"/>
          <w:b/>
          <w:color w:val="808080" w:themeColor="background1" w:themeShade="80"/>
          <w:sz w:val="22"/>
          <w:szCs w:val="28"/>
        </w:rPr>
        <w:t>establishment</w:t>
      </w:r>
      <w:r>
        <w:rPr>
          <w:rFonts w:ascii="Avenir Next" w:hAnsi="Avenir Next"/>
          <w:color w:val="808080" w:themeColor="background1" w:themeShade="80"/>
          <w:sz w:val="22"/>
          <w:szCs w:val="28"/>
        </w:rPr>
        <w:t xml:space="preserve"> in the Cayman Islands.  As a result, the foreign proceeding could then be recognized as foreign non-main.  </w:t>
      </w:r>
    </w:p>
    <w:p w14:paraId="3048AC93" w14:textId="6A65B269" w:rsidR="00253518" w:rsidRDefault="002068F3"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may be prudent to file a concurrent application to the courts for recognition of a foreign non-main proceeding</w:t>
      </w:r>
      <w:r w:rsidR="001B69CB">
        <w:rPr>
          <w:rFonts w:ascii="Avenir Next" w:hAnsi="Avenir Next"/>
          <w:color w:val="808080" w:themeColor="background1" w:themeShade="80"/>
          <w:sz w:val="22"/>
          <w:szCs w:val="28"/>
        </w:rPr>
        <w:t xml:space="preserve"> so as to ensure that a foreign proceeding is recognized by the US courts.  The documentation requirements for the foreign non-main proceedings would be the same as above for the foreign main proceeding.</w:t>
      </w:r>
    </w:p>
    <w:p w14:paraId="4019B1BA" w14:textId="77777777" w:rsidR="002068F3" w:rsidRDefault="002068F3" w:rsidP="009E3CA7">
      <w:pPr>
        <w:jc w:val="both"/>
        <w:rPr>
          <w:rFonts w:ascii="Avenir Next" w:hAnsi="Avenir Next"/>
          <w:color w:val="808080" w:themeColor="background1" w:themeShade="80"/>
          <w:sz w:val="22"/>
          <w:szCs w:val="28"/>
        </w:rPr>
      </w:pPr>
    </w:p>
    <w:p w14:paraId="4906A3BE" w14:textId="2F3826EB" w:rsidR="00253518" w:rsidRDefault="00882388" w:rsidP="0025351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Given that there may be potential litigation against Globe and/or the foreign representative at some point in the near future, it may be prudent for the foreign representative to apply </w:t>
      </w:r>
      <w:proofErr w:type="gramStart"/>
      <w:r>
        <w:rPr>
          <w:rFonts w:ascii="Avenir Next" w:hAnsi="Avenir Next"/>
          <w:color w:val="808080" w:themeColor="background1" w:themeShade="80"/>
          <w:sz w:val="22"/>
          <w:szCs w:val="28"/>
        </w:rPr>
        <w:t>to</w:t>
      </w:r>
      <w:proofErr w:type="gramEnd"/>
      <w:r>
        <w:rPr>
          <w:rFonts w:ascii="Avenir Next" w:hAnsi="Avenir Next"/>
          <w:color w:val="808080" w:themeColor="background1" w:themeShade="80"/>
          <w:sz w:val="22"/>
          <w:szCs w:val="28"/>
        </w:rPr>
        <w:t xml:space="preserve"> the relevant US court for interim relief under Article 19.</w:t>
      </w:r>
    </w:p>
    <w:p w14:paraId="384495FC" w14:textId="77777777" w:rsidR="00882388" w:rsidRDefault="00882388" w:rsidP="0025351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The application for relief would apply from the date of submission of the filing for recognition to the date upon which the court provides a decision on the recognition application.</w:t>
      </w:r>
    </w:p>
    <w:p w14:paraId="1839CF8E" w14:textId="0F44BB03" w:rsidR="00882388" w:rsidRPr="00253518" w:rsidRDefault="00882388" w:rsidP="0025351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If granted, this interim relief could protect Globe and the foreign representative from the class action litigation. </w:t>
      </w:r>
    </w:p>
    <w:p w14:paraId="43A441E9" w14:textId="77777777" w:rsidR="00126E19" w:rsidRPr="00E2622D" w:rsidRDefault="00126E19" w:rsidP="00707FC8">
      <w:pPr>
        <w:jc w:val="both"/>
        <w:rPr>
          <w:rFonts w:ascii="Avenir Next" w:hAnsi="Avenir Next" w:cs="Arial"/>
          <w:sz w:val="22"/>
          <w:szCs w:val="22"/>
          <w:lang w:val="en-GB"/>
        </w:rPr>
      </w:pP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A3023" w14:textId="77777777" w:rsidR="00A80481" w:rsidRDefault="00A80481" w:rsidP="00241B44">
      <w:r>
        <w:separator/>
      </w:r>
    </w:p>
  </w:endnote>
  <w:endnote w:type="continuationSeparator" w:id="0">
    <w:p w14:paraId="5B3FB41F" w14:textId="77777777" w:rsidR="00A80481" w:rsidRDefault="00A8048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Content>
      <w:p w14:paraId="75DFA1A2" w14:textId="6BA13D30" w:rsidR="00882388" w:rsidRDefault="00882388"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882388" w:rsidRDefault="00882388"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882388" w:rsidRPr="000300E0" w:rsidRDefault="00882388" w:rsidP="00E82BCC">
    <w:pPr>
      <w:pStyle w:val="Footer"/>
      <w:framePr w:wrap="none" w:vAnchor="text" w:hAnchor="margin" w:xAlign="right" w:y="1"/>
      <w:rPr>
        <w:rStyle w:val="PageNumber"/>
        <w:rFonts w:ascii="Avenir Next" w:hAnsi="Avenir Next"/>
        <w:sz w:val="22"/>
        <w:szCs w:val="22"/>
      </w:rPr>
    </w:pPr>
  </w:p>
  <w:p w14:paraId="6BA38AA4" w14:textId="0591D1DD" w:rsidR="00882388" w:rsidRDefault="00882388"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Content>
      <w:p w14:paraId="1F7F18A2" w14:textId="560E059B" w:rsidR="00882388" w:rsidRDefault="00882388" w:rsidP="00E82B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882388" w:rsidRPr="000300E0" w:rsidRDefault="00882388" w:rsidP="000300E0">
    <w:pPr>
      <w:pStyle w:val="Footer"/>
      <w:ind w:right="360"/>
      <w:rPr>
        <w:rFonts w:ascii="Avenir Next" w:hAnsi="Avenir Next" w:cs="Arial"/>
        <w:sz w:val="22"/>
        <w:szCs w:val="22"/>
      </w:rPr>
    </w:pPr>
  </w:p>
  <w:p w14:paraId="01028C96" w14:textId="77777777" w:rsidR="00882388" w:rsidRDefault="008823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11500E68" w:rsidR="00882388" w:rsidRPr="00B46CE2" w:rsidRDefault="00AF3E5D" w:rsidP="000300E0">
    <w:pPr>
      <w:pStyle w:val="Footer"/>
      <w:ind w:right="360"/>
      <w:rPr>
        <w:rFonts w:ascii="Avenir Next" w:hAnsi="Avenir Next"/>
        <w:sz w:val="22"/>
        <w:szCs w:val="22"/>
      </w:rPr>
    </w:pPr>
    <w:r w:rsidRPr="00AF3E5D">
      <w:rPr>
        <w:rFonts w:ascii="Avenir Next" w:hAnsi="Avenir Next"/>
        <w:sz w:val="22"/>
        <w:szCs w:val="22"/>
      </w:rPr>
      <w:t>FC202324-1426.assessment2A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223B2291" w:rsidR="00882388" w:rsidRPr="000300E0" w:rsidRDefault="00882388"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AF3E5D">
          <w:rPr>
            <w:rStyle w:val="PageNumber"/>
            <w:rFonts w:ascii="Avenir Next" w:hAnsi="Avenir Next"/>
            <w:noProof/>
            <w:sz w:val="22"/>
            <w:szCs w:val="22"/>
          </w:rPr>
          <w:t>13</w:t>
        </w:r>
        <w:r w:rsidRPr="000300E0">
          <w:rPr>
            <w:rStyle w:val="PageNumber"/>
            <w:rFonts w:ascii="Avenir Next" w:hAnsi="Avenir Next"/>
            <w:sz w:val="22"/>
            <w:szCs w:val="22"/>
          </w:rPr>
          <w:fldChar w:fldCharType="end"/>
        </w:r>
      </w:p>
    </w:sdtContent>
  </w:sdt>
  <w:p w14:paraId="4C5B12BE" w14:textId="77777777" w:rsidR="00882388" w:rsidRPr="000300E0" w:rsidRDefault="00882388"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882388" w:rsidRDefault="008823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91B2E" w14:textId="77777777" w:rsidR="00A80481" w:rsidRDefault="00A80481" w:rsidP="00241B44">
      <w:r>
        <w:separator/>
      </w:r>
    </w:p>
  </w:footnote>
  <w:footnote w:type="continuationSeparator" w:id="0">
    <w:p w14:paraId="5B486F72" w14:textId="77777777" w:rsidR="00A80481" w:rsidRDefault="00A8048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727BBE"/>
    <w:multiLevelType w:val="hybridMultilevel"/>
    <w:tmpl w:val="1B6EB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E3C3D73"/>
    <w:multiLevelType w:val="hybridMultilevel"/>
    <w:tmpl w:val="3190C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035827"/>
    <w:multiLevelType w:val="hybridMultilevel"/>
    <w:tmpl w:val="50288E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8B33DF3"/>
    <w:multiLevelType w:val="hybridMultilevel"/>
    <w:tmpl w:val="B840E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F1C344B"/>
    <w:multiLevelType w:val="hybridMultilevel"/>
    <w:tmpl w:val="C882C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20"/>
  </w:num>
  <w:num w:numId="5">
    <w:abstractNumId w:val="19"/>
  </w:num>
  <w:num w:numId="6">
    <w:abstractNumId w:val="16"/>
  </w:num>
  <w:num w:numId="7">
    <w:abstractNumId w:val="4"/>
  </w:num>
  <w:num w:numId="8">
    <w:abstractNumId w:val="5"/>
  </w:num>
  <w:num w:numId="9">
    <w:abstractNumId w:val="11"/>
  </w:num>
  <w:num w:numId="10">
    <w:abstractNumId w:val="10"/>
  </w:num>
  <w:num w:numId="11">
    <w:abstractNumId w:val="3"/>
  </w:num>
  <w:num w:numId="12">
    <w:abstractNumId w:val="8"/>
  </w:num>
  <w:num w:numId="13">
    <w:abstractNumId w:val="9"/>
  </w:num>
  <w:num w:numId="14">
    <w:abstractNumId w:val="1"/>
  </w:num>
  <w:num w:numId="15">
    <w:abstractNumId w:val="0"/>
  </w:num>
  <w:num w:numId="16">
    <w:abstractNumId w:val="7"/>
  </w:num>
  <w:num w:numId="17">
    <w:abstractNumId w:val="14"/>
  </w:num>
  <w:num w:numId="18">
    <w:abstractNumId w:val="17"/>
  </w:num>
  <w:num w:numId="19">
    <w:abstractNumId w:val="18"/>
  </w:num>
  <w:num w:numId="20">
    <w:abstractNumId w:val="15"/>
  </w:num>
  <w:num w:numId="21">
    <w:abstractNumId w:val="12"/>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113B"/>
    <w:rsid w:val="00073474"/>
    <w:rsid w:val="00077D49"/>
    <w:rsid w:val="00082609"/>
    <w:rsid w:val="00083B38"/>
    <w:rsid w:val="000851CC"/>
    <w:rsid w:val="00093BE8"/>
    <w:rsid w:val="000A68ED"/>
    <w:rsid w:val="000B4FEB"/>
    <w:rsid w:val="000B5D17"/>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8EB"/>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B69CB"/>
    <w:rsid w:val="001C0188"/>
    <w:rsid w:val="001C45FC"/>
    <w:rsid w:val="001D02C5"/>
    <w:rsid w:val="001D4862"/>
    <w:rsid w:val="001E25B9"/>
    <w:rsid w:val="001E49E0"/>
    <w:rsid w:val="001E60C3"/>
    <w:rsid w:val="001E7B5A"/>
    <w:rsid w:val="001F7412"/>
    <w:rsid w:val="00200FDD"/>
    <w:rsid w:val="00201874"/>
    <w:rsid w:val="00202133"/>
    <w:rsid w:val="0020264E"/>
    <w:rsid w:val="00205322"/>
    <w:rsid w:val="002068F3"/>
    <w:rsid w:val="0020725B"/>
    <w:rsid w:val="002175BA"/>
    <w:rsid w:val="0022599E"/>
    <w:rsid w:val="00227C5E"/>
    <w:rsid w:val="002305E8"/>
    <w:rsid w:val="0023198D"/>
    <w:rsid w:val="0023317E"/>
    <w:rsid w:val="00234F2C"/>
    <w:rsid w:val="00240B0E"/>
    <w:rsid w:val="0024116D"/>
    <w:rsid w:val="00241B44"/>
    <w:rsid w:val="00245EFB"/>
    <w:rsid w:val="00250E19"/>
    <w:rsid w:val="00253518"/>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00E4"/>
    <w:rsid w:val="002B1C45"/>
    <w:rsid w:val="002C13C8"/>
    <w:rsid w:val="002C3547"/>
    <w:rsid w:val="002C4F76"/>
    <w:rsid w:val="002D0021"/>
    <w:rsid w:val="002D235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53F55"/>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37C"/>
    <w:rsid w:val="004D64F9"/>
    <w:rsid w:val="004E0549"/>
    <w:rsid w:val="004E1674"/>
    <w:rsid w:val="004E2E92"/>
    <w:rsid w:val="004E30B0"/>
    <w:rsid w:val="004E4D4B"/>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231A"/>
    <w:rsid w:val="006D0E6E"/>
    <w:rsid w:val="006D4730"/>
    <w:rsid w:val="006D6BD5"/>
    <w:rsid w:val="006E481A"/>
    <w:rsid w:val="006E5298"/>
    <w:rsid w:val="006F2CE3"/>
    <w:rsid w:val="006F5048"/>
    <w:rsid w:val="006F734A"/>
    <w:rsid w:val="00700D83"/>
    <w:rsid w:val="00701F04"/>
    <w:rsid w:val="00703819"/>
    <w:rsid w:val="00704852"/>
    <w:rsid w:val="00706297"/>
    <w:rsid w:val="007065EA"/>
    <w:rsid w:val="00706AD5"/>
    <w:rsid w:val="007074E9"/>
    <w:rsid w:val="00707FC8"/>
    <w:rsid w:val="00713DA4"/>
    <w:rsid w:val="00714BF1"/>
    <w:rsid w:val="00721383"/>
    <w:rsid w:val="0072554C"/>
    <w:rsid w:val="00725911"/>
    <w:rsid w:val="00731DBD"/>
    <w:rsid w:val="007333CC"/>
    <w:rsid w:val="0073399A"/>
    <w:rsid w:val="00737B64"/>
    <w:rsid w:val="00751F66"/>
    <w:rsid w:val="007603F5"/>
    <w:rsid w:val="00764DB0"/>
    <w:rsid w:val="00766F8A"/>
    <w:rsid w:val="0076764D"/>
    <w:rsid w:val="0077498C"/>
    <w:rsid w:val="00777183"/>
    <w:rsid w:val="007800E3"/>
    <w:rsid w:val="00784128"/>
    <w:rsid w:val="00784B4B"/>
    <w:rsid w:val="007854ED"/>
    <w:rsid w:val="00793173"/>
    <w:rsid w:val="007A6BE5"/>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2388"/>
    <w:rsid w:val="00882F14"/>
    <w:rsid w:val="008837A6"/>
    <w:rsid w:val="0089145D"/>
    <w:rsid w:val="00892D53"/>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6D52"/>
    <w:rsid w:val="00907DC2"/>
    <w:rsid w:val="00912C79"/>
    <w:rsid w:val="009260A2"/>
    <w:rsid w:val="009344C1"/>
    <w:rsid w:val="00942123"/>
    <w:rsid w:val="00947CF3"/>
    <w:rsid w:val="00950BB5"/>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0481"/>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AF3E5D"/>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67DC9"/>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E274A"/>
    <w:rsid w:val="00BF50F7"/>
    <w:rsid w:val="00C00111"/>
    <w:rsid w:val="00C02F29"/>
    <w:rsid w:val="00C059E5"/>
    <w:rsid w:val="00C10C13"/>
    <w:rsid w:val="00C17111"/>
    <w:rsid w:val="00C177B4"/>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6BB2"/>
    <w:rsid w:val="00C67ECE"/>
    <w:rsid w:val="00C7161B"/>
    <w:rsid w:val="00C72848"/>
    <w:rsid w:val="00C7736C"/>
    <w:rsid w:val="00C82D87"/>
    <w:rsid w:val="00C841ED"/>
    <w:rsid w:val="00C85F17"/>
    <w:rsid w:val="00C8712A"/>
    <w:rsid w:val="00C91324"/>
    <w:rsid w:val="00C914F7"/>
    <w:rsid w:val="00C963D3"/>
    <w:rsid w:val="00CA6E0D"/>
    <w:rsid w:val="00CB2CBB"/>
    <w:rsid w:val="00CB4906"/>
    <w:rsid w:val="00CB56CE"/>
    <w:rsid w:val="00CB6A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D7FA8"/>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34ACA"/>
    <w:rsid w:val="00E450A4"/>
    <w:rsid w:val="00E506BE"/>
    <w:rsid w:val="00E55547"/>
    <w:rsid w:val="00E57410"/>
    <w:rsid w:val="00E61C42"/>
    <w:rsid w:val="00E6302B"/>
    <w:rsid w:val="00E6452F"/>
    <w:rsid w:val="00E64619"/>
    <w:rsid w:val="00E64F45"/>
    <w:rsid w:val="00E6742D"/>
    <w:rsid w:val="00E71CB0"/>
    <w:rsid w:val="00E73529"/>
    <w:rsid w:val="00E77C3D"/>
    <w:rsid w:val="00E82BCC"/>
    <w:rsid w:val="00E82E22"/>
    <w:rsid w:val="00E850FE"/>
    <w:rsid w:val="00E909F0"/>
    <w:rsid w:val="00E90D47"/>
    <w:rsid w:val="00E93993"/>
    <w:rsid w:val="00E9597C"/>
    <w:rsid w:val="00EA0913"/>
    <w:rsid w:val="00EA0A2F"/>
    <w:rsid w:val="00EA6D31"/>
    <w:rsid w:val="00EB146B"/>
    <w:rsid w:val="00EB45AC"/>
    <w:rsid w:val="00EB7BD0"/>
    <w:rsid w:val="00EC2AEA"/>
    <w:rsid w:val="00EC7B11"/>
    <w:rsid w:val="00EC7F95"/>
    <w:rsid w:val="00ED0BC4"/>
    <w:rsid w:val="00ED3771"/>
    <w:rsid w:val="00ED4AB7"/>
    <w:rsid w:val="00ED6A32"/>
    <w:rsid w:val="00EE4971"/>
    <w:rsid w:val="00EF090E"/>
    <w:rsid w:val="00EF554A"/>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2DE3"/>
    <w:rsid w:val="00FC374A"/>
    <w:rsid w:val="00FC3967"/>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40AF-3D67-4E04-A3CC-DB9D2602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van Staden</cp:lastModifiedBy>
  <cp:revision>3</cp:revision>
  <cp:lastPrinted>2019-08-27T05:42:00Z</cp:lastPrinted>
  <dcterms:created xsi:type="dcterms:W3CDTF">2024-03-01T17:11:00Z</dcterms:created>
  <dcterms:modified xsi:type="dcterms:W3CDTF">2024-03-01T17:12:00Z</dcterms:modified>
</cp:coreProperties>
</file>