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08580D">
        <w:rPr>
          <w:rFonts w:ascii="Avenir Next" w:hAnsi="Avenir Next"/>
          <w:highlight w:val="yellow"/>
        </w:rPr>
        <w:t>(d)</w:t>
      </w:r>
      <w:r w:rsidRPr="0008580D">
        <w:rPr>
          <w:rFonts w:ascii="Avenir Next" w:hAnsi="Avenir Next"/>
          <w:highlight w:val="yellow"/>
        </w:rPr>
        <w:tab/>
        <w:t>No, because Parts Inc does</w:t>
      </w:r>
      <w:r w:rsidR="00A81F08" w:rsidRPr="0008580D">
        <w:rPr>
          <w:rFonts w:ascii="Avenir Next" w:hAnsi="Avenir Next"/>
          <w:highlight w:val="yellow"/>
        </w:rPr>
        <w:t xml:space="preserve"> not</w:t>
      </w:r>
      <w:r w:rsidRPr="0008580D">
        <w:rPr>
          <w:rFonts w:ascii="Avenir Next" w:hAnsi="Avenir Next"/>
          <w:highlight w:val="yellow"/>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Pr="00B53AAD">
        <w:rPr>
          <w:rFonts w:ascii="Avenir Next" w:hAnsi="Avenir Next"/>
          <w:highlight w:val="yellow"/>
        </w:rPr>
        <w:t>A retired employee of Car Corp who receives payments from the company’s pension plan</w:t>
      </w:r>
      <w:r w:rsidR="00631394" w:rsidRPr="00B53AAD">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B53AAD">
        <w:rPr>
          <w:rFonts w:ascii="Avenir Next" w:hAnsi="Avenir Next"/>
          <w:highlight w:val="yellow"/>
        </w:rPr>
        <w:t xml:space="preserve">Options (a) to (c) </w:t>
      </w:r>
      <w:r w:rsidRPr="00B53AAD">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7202BF">
        <w:rPr>
          <w:rFonts w:ascii="Avenir Next" w:hAnsi="Avenir Next"/>
          <w:highlight w:val="yellow"/>
        </w:rPr>
        <w:t>(e)</w:t>
      </w:r>
      <w:r w:rsidRPr="007202BF">
        <w:rPr>
          <w:rFonts w:ascii="Avenir Next" w:hAnsi="Avenir Next"/>
          <w:highlight w:val="yellow"/>
        </w:rPr>
        <w:tab/>
        <w:t>All of the above</w:t>
      </w:r>
      <w:r w:rsidR="006A42F8" w:rsidRPr="007202BF">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830BEA">
        <w:rPr>
          <w:rFonts w:ascii="Avenir Next" w:hAnsi="Avenir Next"/>
          <w:highlight w:val="yellow"/>
        </w:rPr>
        <w:t>(b)</w:t>
      </w:r>
      <w:r w:rsidRPr="00830BEA">
        <w:rPr>
          <w:rFonts w:ascii="Avenir Next" w:hAnsi="Avenir Next"/>
          <w:highlight w:val="yellow"/>
        </w:rPr>
        <w:tab/>
        <w:t xml:space="preserve">Executory contracts are clearly defined by the </w:t>
      </w:r>
      <w:r w:rsidR="00ED7BF3" w:rsidRPr="00830BEA">
        <w:rPr>
          <w:rFonts w:ascii="Avenir Next" w:hAnsi="Avenir Next"/>
          <w:highlight w:val="yellow"/>
        </w:rPr>
        <w:t>B</w:t>
      </w:r>
      <w:r w:rsidRPr="00830BEA">
        <w:rPr>
          <w:rFonts w:ascii="Avenir Next" w:hAnsi="Avenir Next"/>
          <w:highlight w:val="yellow"/>
        </w:rPr>
        <w:t xml:space="preserve">ankruptcy </w:t>
      </w:r>
      <w:r w:rsidR="00ED7BF3" w:rsidRPr="00830BEA">
        <w:rPr>
          <w:rFonts w:ascii="Avenir Next" w:hAnsi="Avenir Next"/>
          <w:highlight w:val="yellow"/>
        </w:rPr>
        <w:t>C</w:t>
      </w:r>
      <w:r w:rsidRPr="00830BEA">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830BEA">
        <w:rPr>
          <w:rFonts w:ascii="Avenir Next" w:hAnsi="Avenir Next"/>
        </w:rPr>
        <w:t>(c)</w:t>
      </w:r>
      <w:r w:rsidRPr="00830BEA">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9B48CF">
        <w:rPr>
          <w:rFonts w:ascii="Avenir Next" w:hAnsi="Avenir Next"/>
          <w:highlight w:val="yellow"/>
        </w:rPr>
        <w:t>Acceptance of the plan by all classes of secured creditors</w:t>
      </w:r>
      <w:r w:rsidR="006844A8" w:rsidRPr="00352E16">
        <w:rPr>
          <w:rFonts w:ascii="Avenir Next" w:hAnsi="Avenir Next"/>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830BEA" w:rsidRDefault="00C24FAB" w:rsidP="009017A1">
      <w:pPr>
        <w:pStyle w:val="AODocTxt"/>
        <w:numPr>
          <w:ilvl w:val="0"/>
          <w:numId w:val="33"/>
        </w:numPr>
        <w:spacing w:before="0" w:line="240" w:lineRule="auto"/>
        <w:ind w:left="426" w:hanging="426"/>
        <w:rPr>
          <w:rFonts w:ascii="Avenir Next" w:hAnsi="Avenir Next"/>
          <w:highlight w:val="yellow"/>
        </w:rPr>
      </w:pPr>
      <w:r w:rsidRPr="00830BEA">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CD16BD" w:rsidRDefault="00853272" w:rsidP="00BA74EF">
      <w:pPr>
        <w:pStyle w:val="AODocTxt"/>
        <w:numPr>
          <w:ilvl w:val="0"/>
          <w:numId w:val="28"/>
        </w:numPr>
        <w:spacing w:before="0" w:line="240" w:lineRule="auto"/>
        <w:ind w:left="426" w:hanging="426"/>
        <w:rPr>
          <w:rFonts w:ascii="Avenir Next" w:hAnsi="Avenir Next"/>
          <w:highlight w:val="yellow"/>
        </w:rPr>
      </w:pPr>
      <w:r w:rsidRPr="00CD16BD">
        <w:rPr>
          <w:rFonts w:ascii="Avenir Next" w:hAnsi="Avenir Next"/>
          <w:highlight w:val="yellow"/>
        </w:rPr>
        <w:t>Both</w:t>
      </w:r>
      <w:r w:rsidR="0072569E" w:rsidRPr="00CD16BD">
        <w:rPr>
          <w:rFonts w:ascii="Avenir Next" w:hAnsi="Avenir Next"/>
          <w:highlight w:val="yellow"/>
        </w:rPr>
        <w:t xml:space="preserve"> options</w:t>
      </w:r>
      <w:r w:rsidRPr="00CD16BD">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CD16BD" w:rsidRDefault="00334B98" w:rsidP="00676F12">
      <w:pPr>
        <w:pStyle w:val="AODocTxt"/>
        <w:keepNext/>
        <w:numPr>
          <w:ilvl w:val="0"/>
          <w:numId w:val="30"/>
        </w:numPr>
        <w:spacing w:before="0" w:line="240" w:lineRule="auto"/>
        <w:ind w:left="426" w:hanging="426"/>
        <w:rPr>
          <w:rFonts w:ascii="Avenir Next" w:hAnsi="Avenir Next"/>
          <w:highlight w:val="yellow"/>
        </w:rPr>
      </w:pPr>
      <w:r w:rsidRPr="00CD16BD">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830BEA" w:rsidRDefault="00740655" w:rsidP="00DF5F7C">
      <w:pPr>
        <w:pStyle w:val="AODocTxt"/>
        <w:keepNext/>
        <w:numPr>
          <w:ilvl w:val="0"/>
          <w:numId w:val="35"/>
        </w:numPr>
        <w:spacing w:before="0" w:line="240" w:lineRule="auto"/>
        <w:ind w:left="426" w:hanging="426"/>
        <w:rPr>
          <w:rFonts w:ascii="Avenir Next" w:hAnsi="Avenir Next"/>
          <w:highlight w:val="yellow"/>
        </w:rPr>
      </w:pPr>
      <w:r w:rsidRPr="00830BEA">
        <w:rPr>
          <w:rFonts w:ascii="Avenir Next" w:hAnsi="Avenir Next"/>
          <w:highlight w:val="yellow"/>
        </w:rPr>
        <w:t xml:space="preserve">If a creditor can show it extended credit </w:t>
      </w:r>
      <w:proofErr w:type="gramStart"/>
      <w:r w:rsidRPr="00830BEA">
        <w:rPr>
          <w:rFonts w:ascii="Avenir Next" w:hAnsi="Avenir Next"/>
          <w:highlight w:val="yellow"/>
        </w:rPr>
        <w:t>on the basis of</w:t>
      </w:r>
      <w:proofErr w:type="gramEnd"/>
      <w:r w:rsidRPr="00830BEA">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20049" w:rsidRDefault="00323167" w:rsidP="00323167">
      <w:pPr>
        <w:jc w:val="both"/>
        <w:rPr>
          <w:rFonts w:ascii="Avenir Next Demi Bold" w:hAnsi="Avenir Next Demi Bold" w:cs="Arial"/>
          <w:b/>
          <w:bCs/>
          <w:sz w:val="22"/>
          <w:szCs w:val="22"/>
          <w:lang w:val="fr-BE"/>
        </w:rPr>
      </w:pPr>
      <w:r w:rsidRPr="00A20049">
        <w:rPr>
          <w:rFonts w:ascii="Avenir Next Demi Bold" w:hAnsi="Avenir Next Demi Bold" w:cs="Arial"/>
          <w:b/>
          <w:bCs/>
          <w:sz w:val="22"/>
          <w:szCs w:val="22"/>
          <w:lang w:val="fr-BE"/>
        </w:rPr>
        <w:t xml:space="preserve">QUESTION 2 (direct questions) [10 marks] </w:t>
      </w:r>
    </w:p>
    <w:p w14:paraId="0C2E896B" w14:textId="77777777" w:rsidR="00323167" w:rsidRPr="00A20049" w:rsidRDefault="00323167" w:rsidP="00323167">
      <w:pPr>
        <w:pStyle w:val="AODocTxt"/>
        <w:spacing w:before="0" w:line="240" w:lineRule="auto"/>
        <w:rPr>
          <w:rFonts w:ascii="Avenir Next Demi Bold" w:hAnsi="Avenir Next Demi Bold" w:cs="Arial"/>
          <w:b/>
          <w:bCs/>
          <w:lang w:val="fr-BE"/>
        </w:rPr>
      </w:pPr>
    </w:p>
    <w:p w14:paraId="42EC6769" w14:textId="1B13C710" w:rsidR="00323167" w:rsidRPr="00A20049" w:rsidRDefault="00323167" w:rsidP="00323167">
      <w:pPr>
        <w:pStyle w:val="AODocTxt"/>
        <w:spacing w:before="0" w:line="240" w:lineRule="auto"/>
        <w:rPr>
          <w:rFonts w:ascii="Avenir Next Demi Bold" w:hAnsi="Avenir Next Demi Bold" w:cs="Arial"/>
          <w:b/>
          <w:bCs/>
          <w:lang w:val="fr-BE"/>
        </w:rPr>
      </w:pPr>
      <w:r w:rsidRPr="00A20049">
        <w:rPr>
          <w:rFonts w:ascii="Avenir Next Demi Bold" w:hAnsi="Avenir Next Demi Bold" w:cs="Arial"/>
          <w:b/>
          <w:bCs/>
          <w:lang w:val="fr-BE"/>
        </w:rPr>
        <w:t>Question 2.1 (</w:t>
      </w:r>
      <w:r w:rsidR="00AA0280" w:rsidRPr="00A20049">
        <w:rPr>
          <w:rFonts w:ascii="Avenir Next Demi Bold" w:hAnsi="Avenir Next Demi Bold" w:cs="Arial"/>
          <w:b/>
          <w:bCs/>
          <w:lang w:val="fr-BE"/>
        </w:rPr>
        <w:t>1</w:t>
      </w:r>
      <w:r w:rsidRPr="00A20049">
        <w:rPr>
          <w:rFonts w:ascii="Avenir Next Demi Bold" w:hAnsi="Avenir Next Demi Bold" w:cs="Arial"/>
          <w:b/>
          <w:bCs/>
          <w:lang w:val="fr-BE"/>
        </w:rPr>
        <w:t xml:space="preserve"> mark)</w:t>
      </w:r>
    </w:p>
    <w:p w14:paraId="5BFE5B0B" w14:textId="77777777" w:rsidR="00323167" w:rsidRPr="00A20049" w:rsidRDefault="00323167" w:rsidP="00323167">
      <w:pPr>
        <w:pStyle w:val="AODocTxt"/>
        <w:spacing w:before="0" w:line="240" w:lineRule="auto"/>
        <w:rPr>
          <w:rFonts w:ascii="Avenir Next" w:hAnsi="Avenir Next" w:cs="Arial"/>
          <w:lang w:val="fr-BE"/>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70785161" w:rsidR="00323167" w:rsidRPr="00165C1E" w:rsidRDefault="00165C1E" w:rsidP="00323167">
      <w:pPr>
        <w:pStyle w:val="AODocTxt"/>
        <w:spacing w:before="0" w:line="240" w:lineRule="auto"/>
        <w:rPr>
          <w:rFonts w:ascii="Avenir Next" w:hAnsi="Avenir Next"/>
        </w:rPr>
      </w:pPr>
      <w:r w:rsidRPr="00165C1E">
        <w:rPr>
          <w:rFonts w:ascii="Avenir Next" w:hAnsi="Avenir Next"/>
        </w:rPr>
        <w:t xml:space="preserve">The setoff permits a creditor holding a claim against the debtor and simultaneously owing money to the debtor to net out the two (or more) obligations. For example, if the creditor has a claim against the debtor of US$ 100.000 and at the same time owns US$ 80.000 to the debtor, then the setoff would allow the creditor to setoff both obligations </w:t>
      </w:r>
      <w:proofErr w:type="gramStart"/>
      <w:r w:rsidRPr="00165C1E">
        <w:rPr>
          <w:rFonts w:ascii="Avenir Next" w:hAnsi="Avenir Next"/>
        </w:rPr>
        <w:t>so as to</w:t>
      </w:r>
      <w:proofErr w:type="gramEnd"/>
      <w:r w:rsidRPr="00165C1E">
        <w:rPr>
          <w:rFonts w:ascii="Avenir Next" w:hAnsi="Avenir Next"/>
        </w:rPr>
        <w:t xml:space="preserve"> only be involved in the insolvency proceedings as a holder of a credit of US$ 20.000. Setoff rights, which arises under non-bankruptcy law, can improve the position of the creditor (as, in the example case, the creditors reduced by 80% its exposition in the debtor’s insolvency proceedings) as compared to other unsecured creditors who are not owed money by the debtor.</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Pr="00A94148" w:rsidRDefault="001647AD" w:rsidP="00622C36">
      <w:pPr>
        <w:pStyle w:val="AODocTxt"/>
        <w:spacing w:before="0" w:line="240" w:lineRule="auto"/>
        <w:rPr>
          <w:rFonts w:ascii="Avenir Next" w:hAnsi="Avenir Next"/>
        </w:rPr>
      </w:pPr>
      <w:r w:rsidRPr="001647AD">
        <w:rPr>
          <w:rFonts w:ascii="Avenir Next" w:hAnsi="Avenir Next"/>
        </w:rPr>
        <w:t xml:space="preserve">What is a “priming lien” and what requirements must be met for such a lien to be granted to secure </w:t>
      </w:r>
      <w:r w:rsidRPr="00A94148">
        <w:rPr>
          <w:rFonts w:ascii="Avenir Next" w:hAnsi="Avenir Next"/>
        </w:rPr>
        <w:t>DIP financing?</w:t>
      </w:r>
    </w:p>
    <w:p w14:paraId="164E7154" w14:textId="77777777" w:rsidR="001647AD" w:rsidRPr="00A94148" w:rsidRDefault="001647AD" w:rsidP="00622C36">
      <w:pPr>
        <w:pStyle w:val="AODocTxt"/>
        <w:spacing w:before="0" w:line="240" w:lineRule="auto"/>
        <w:rPr>
          <w:rFonts w:ascii="Avenir Next" w:hAnsi="Avenir Next"/>
        </w:rPr>
      </w:pPr>
    </w:p>
    <w:p w14:paraId="34D1FF2C" w14:textId="77777777" w:rsidR="00165C1E" w:rsidRPr="00A94148" w:rsidRDefault="00165C1E" w:rsidP="001D3BAA">
      <w:pPr>
        <w:pStyle w:val="AODocTxt"/>
        <w:spacing w:before="0" w:line="240" w:lineRule="auto"/>
        <w:rPr>
          <w:rFonts w:ascii="Avenir Next" w:hAnsi="Avenir Next"/>
        </w:rPr>
      </w:pPr>
      <w:r w:rsidRPr="00A94148">
        <w:rPr>
          <w:rFonts w:ascii="Avenir Next" w:hAnsi="Avenir Next"/>
        </w:rPr>
        <w:t xml:space="preserve">A “priming lien” is a senior or equal to a pre-petition lien on the estate property to secure post-petition financing. The requirements for a “priming lien” are: </w:t>
      </w:r>
    </w:p>
    <w:p w14:paraId="5FE938D1" w14:textId="77777777" w:rsidR="00A94148" w:rsidRPr="00A94148" w:rsidRDefault="00A94148" w:rsidP="001D3BAA">
      <w:pPr>
        <w:pStyle w:val="AODocTxt"/>
        <w:spacing w:before="0" w:line="240" w:lineRule="auto"/>
        <w:rPr>
          <w:rFonts w:ascii="Avenir Next" w:hAnsi="Avenir Next"/>
        </w:rPr>
      </w:pPr>
    </w:p>
    <w:p w14:paraId="648132B0" w14:textId="588BBB73" w:rsidR="00165C1E" w:rsidRPr="00A94148" w:rsidRDefault="00165C1E" w:rsidP="00165C1E">
      <w:pPr>
        <w:pStyle w:val="AODocTxt"/>
        <w:numPr>
          <w:ilvl w:val="0"/>
          <w:numId w:val="38"/>
        </w:numPr>
        <w:spacing w:before="0" w:line="240" w:lineRule="auto"/>
        <w:rPr>
          <w:rFonts w:ascii="Avenir Next" w:hAnsi="Avenir Next"/>
        </w:rPr>
      </w:pPr>
      <w:r w:rsidRPr="00A94148">
        <w:rPr>
          <w:rFonts w:ascii="Avenir Next" w:hAnsi="Avenir Next"/>
        </w:rPr>
        <w:t xml:space="preserve">The estate shall have any unencumbered assets or </w:t>
      </w:r>
      <w:r w:rsidR="00A94148" w:rsidRPr="00A94148">
        <w:rPr>
          <w:rFonts w:ascii="Avenir Next" w:hAnsi="Avenir Next"/>
        </w:rPr>
        <w:t>encumbered</w:t>
      </w:r>
      <w:r w:rsidRPr="00A94148">
        <w:rPr>
          <w:rFonts w:ascii="Avenir Next" w:hAnsi="Avenir Next"/>
        </w:rPr>
        <w:t xml:space="preserve"> assets with sufficient equity value to support a junior lien. </w:t>
      </w:r>
    </w:p>
    <w:p w14:paraId="36EA47F4" w14:textId="77777777" w:rsidR="00A94148" w:rsidRPr="00A94148" w:rsidRDefault="00A94148" w:rsidP="00A94148">
      <w:pPr>
        <w:pStyle w:val="AODocTxt"/>
        <w:spacing w:before="0" w:line="240" w:lineRule="auto"/>
        <w:ind w:left="720"/>
        <w:rPr>
          <w:rFonts w:ascii="Avenir Next" w:hAnsi="Avenir Next"/>
        </w:rPr>
      </w:pPr>
    </w:p>
    <w:p w14:paraId="473861FC" w14:textId="769CF769" w:rsidR="00435733" w:rsidRPr="00A94148" w:rsidRDefault="00A94148" w:rsidP="00A94148">
      <w:pPr>
        <w:pStyle w:val="AODocTxt"/>
        <w:numPr>
          <w:ilvl w:val="0"/>
          <w:numId w:val="38"/>
        </w:numPr>
        <w:spacing w:before="0" w:line="240" w:lineRule="auto"/>
        <w:rPr>
          <w:rFonts w:ascii="Avenir Next" w:hAnsi="Avenir Next"/>
        </w:rPr>
      </w:pPr>
      <w:r w:rsidRPr="00A94148">
        <w:rPr>
          <w:rFonts w:ascii="Avenir Next" w:hAnsi="Avenir Next"/>
        </w:rPr>
        <w:t xml:space="preserve">The debtor mas demonstrate that the interest of the secured creditor being primed is adequately protected. </w:t>
      </w:r>
    </w:p>
    <w:p w14:paraId="05B4FB87" w14:textId="77777777" w:rsidR="00A94148" w:rsidRPr="00A94148" w:rsidRDefault="00A94148" w:rsidP="00A94148">
      <w:pPr>
        <w:pStyle w:val="AODocTxt"/>
        <w:spacing w:before="0" w:line="240" w:lineRule="auto"/>
        <w:ind w:left="720"/>
        <w:rPr>
          <w:rFonts w:ascii="Avenir Next" w:hAnsi="Avenir Next"/>
          <w:color w:val="808080" w:themeColor="background1" w:themeShade="80"/>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471E034C" w:rsidR="001D3BAA" w:rsidRPr="008807A7" w:rsidRDefault="008807A7" w:rsidP="001D3BAA">
      <w:pPr>
        <w:pStyle w:val="AODocTxt"/>
        <w:spacing w:before="0" w:line="240" w:lineRule="auto"/>
        <w:rPr>
          <w:rFonts w:ascii="Avenir Next" w:hAnsi="Avenir Next"/>
        </w:rPr>
      </w:pPr>
      <w:r w:rsidRPr="008807A7">
        <w:rPr>
          <w:rFonts w:ascii="Avenir Next" w:hAnsi="Avenir Next"/>
        </w:rPr>
        <w:t xml:space="preserve">An act taken in violation of the stay constitutes contempt of court and is void or voidable (depending on the circuit in which the bankruptcy is pending due to a circuit split on this issue) </w:t>
      </w:r>
      <w:proofErr w:type="gramStart"/>
      <w:r w:rsidRPr="008807A7">
        <w:rPr>
          <w:rFonts w:ascii="Avenir Next" w:hAnsi="Avenir Next"/>
        </w:rPr>
        <w:t>and also</w:t>
      </w:r>
      <w:proofErr w:type="gramEnd"/>
      <w:r w:rsidRPr="008807A7">
        <w:rPr>
          <w:rFonts w:ascii="Avenir Next" w:hAnsi="Avenir Next"/>
        </w:rPr>
        <w:t xml:space="preserve"> can lead to the imposition of contempt sanctions against the stay violator. </w:t>
      </w:r>
    </w:p>
    <w:p w14:paraId="589F848C" w14:textId="77777777" w:rsidR="008807A7" w:rsidRDefault="008807A7" w:rsidP="00622C36">
      <w:pPr>
        <w:pStyle w:val="AODocTxt"/>
        <w:spacing w:before="0" w:line="240" w:lineRule="auto"/>
        <w:rPr>
          <w:rFonts w:ascii="Avenir Next Demi Bold" w:hAnsi="Avenir Next Demi Bold"/>
          <w:b/>
          <w:bCs/>
        </w:rPr>
      </w:pPr>
    </w:p>
    <w:p w14:paraId="178848EA" w14:textId="45408E4A"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02EC7A05" w:rsidR="001D3BAA" w:rsidRPr="004574AE" w:rsidRDefault="00CD38A6" w:rsidP="001D3BAA">
      <w:pPr>
        <w:pStyle w:val="AODocTxt"/>
        <w:spacing w:before="0" w:line="240" w:lineRule="auto"/>
        <w:rPr>
          <w:rFonts w:ascii="Avenir Next" w:hAnsi="Avenir Next"/>
        </w:rPr>
      </w:pPr>
      <w:r w:rsidRPr="004574AE">
        <w:rPr>
          <w:rFonts w:ascii="Avenir Next" w:hAnsi="Avenir Next"/>
        </w:rPr>
        <w:t>An unimpaired class is deemed to accept the plan, an impaired class that will receive nothing is deemed to reject to plan, creditors belonging to an impaired class have the right to vote. Finally,</w:t>
      </w:r>
      <w:r w:rsidR="004574AE" w:rsidRPr="004574AE">
        <w:rPr>
          <w:rFonts w:ascii="Avenir Next" w:hAnsi="Avenir Next"/>
        </w:rPr>
        <w:t xml:space="preserve"> the reorganization plan will be approved if</w:t>
      </w:r>
      <w:r w:rsidRPr="004574AE">
        <w:rPr>
          <w:rFonts w:ascii="Avenir Next" w:hAnsi="Avenir Next"/>
        </w:rPr>
        <w:t xml:space="preserve"> a simple majority of the creditors in the class holding </w:t>
      </w:r>
      <w:r w:rsidR="004574AE" w:rsidRPr="004574AE">
        <w:rPr>
          <w:rFonts w:ascii="Avenir Next" w:hAnsi="Avenir Next"/>
        </w:rPr>
        <w:t>at least two-thirds of the value of claims in the class vote in favor, or, for equity interest, if two-thirds in amount of interest vote in favor.</w:t>
      </w:r>
      <w:r w:rsidRPr="004574AE">
        <w:rPr>
          <w:rFonts w:ascii="Avenir Next" w:hAnsi="Avenir Next"/>
        </w:rPr>
        <w:t xml:space="preserve">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5202E6CA" w14:textId="774B6A00" w:rsidR="0098392E" w:rsidRDefault="0098392E" w:rsidP="001D3BAA">
      <w:pPr>
        <w:pStyle w:val="AODocTxt"/>
        <w:spacing w:before="0" w:line="240" w:lineRule="auto"/>
        <w:rPr>
          <w:rFonts w:ascii="Avenir Next" w:hAnsi="Avenir Next"/>
          <w:color w:val="808080" w:themeColor="background1" w:themeShade="80"/>
        </w:rPr>
      </w:pPr>
      <w:r w:rsidRPr="0098392E">
        <w:rPr>
          <w:rFonts w:ascii="Avenir Next" w:hAnsi="Avenir Next"/>
        </w:rPr>
        <w:t xml:space="preserve">The provisions related to preferences </w:t>
      </w:r>
      <w:r>
        <w:rPr>
          <w:rFonts w:ascii="Avenir Next" w:hAnsi="Avenir Next"/>
        </w:rPr>
        <w:t xml:space="preserve">avoidance </w:t>
      </w:r>
      <w:r w:rsidRPr="0098392E">
        <w:rPr>
          <w:rFonts w:ascii="Avenir Next" w:hAnsi="Avenir Next"/>
        </w:rPr>
        <w:t xml:space="preserve">apply to the situation described in paragraph A. Therefore, if a transfer of the debtor’s property is made in a suspect period before the petition date must be returned to the state if it exceeds the amount the recipient would have received in a chapter 7 liquidation had the transfer not been made. </w:t>
      </w:r>
    </w:p>
    <w:p w14:paraId="022EF83A" w14:textId="77777777" w:rsidR="0098392E" w:rsidRDefault="0098392E" w:rsidP="001D3BAA">
      <w:pPr>
        <w:pStyle w:val="AODocTxt"/>
        <w:spacing w:before="0" w:line="240" w:lineRule="auto"/>
        <w:rPr>
          <w:rFonts w:ascii="Avenir Next" w:hAnsi="Avenir Next"/>
          <w:color w:val="808080" w:themeColor="background1" w:themeShade="80"/>
        </w:rPr>
      </w:pPr>
    </w:p>
    <w:p w14:paraId="4723DAA5" w14:textId="07E5395D" w:rsidR="0098392E" w:rsidRDefault="0098392E" w:rsidP="0098392E">
      <w:pPr>
        <w:pStyle w:val="AODocTxt"/>
        <w:spacing w:before="0" w:line="240" w:lineRule="auto"/>
        <w:rPr>
          <w:rFonts w:ascii="Avenir Next" w:hAnsi="Avenir Next"/>
        </w:rPr>
      </w:pPr>
      <w:r w:rsidRPr="0098392E">
        <w:rPr>
          <w:rFonts w:ascii="Avenir Next" w:hAnsi="Avenir Next"/>
        </w:rPr>
        <w:t xml:space="preserve">The provisions related to preferences </w:t>
      </w:r>
      <w:r>
        <w:rPr>
          <w:rFonts w:ascii="Avenir Next" w:hAnsi="Avenir Next"/>
        </w:rPr>
        <w:t xml:space="preserve">avoidance </w:t>
      </w:r>
      <w:r w:rsidRPr="0098392E">
        <w:rPr>
          <w:rFonts w:ascii="Avenir Next" w:hAnsi="Avenir Next"/>
        </w:rPr>
        <w:t xml:space="preserve">apply to the situation described in paragraph </w:t>
      </w:r>
      <w:r>
        <w:rPr>
          <w:rFonts w:ascii="Avenir Next" w:hAnsi="Avenir Next"/>
        </w:rPr>
        <w:t>B</w:t>
      </w:r>
      <w:r w:rsidRPr="0098392E">
        <w:rPr>
          <w:rFonts w:ascii="Avenir Next" w:hAnsi="Avenir Next"/>
        </w:rPr>
        <w:t>.</w:t>
      </w:r>
      <w:r>
        <w:rPr>
          <w:rFonts w:ascii="Avenir Next" w:hAnsi="Avenir Next"/>
        </w:rPr>
        <w:t xml:space="preserve"> In fact, according to the provisions related to preferences avoidance, the debtor is presumed to have been insolvent on and during the 90 days prior to the petition date for purposes of determining preference claims. </w:t>
      </w:r>
    </w:p>
    <w:p w14:paraId="5F1007F9" w14:textId="77777777" w:rsidR="0098392E" w:rsidRDefault="0098392E" w:rsidP="0098392E">
      <w:pPr>
        <w:pStyle w:val="AODocTxt"/>
        <w:spacing w:before="0" w:line="240" w:lineRule="auto"/>
        <w:rPr>
          <w:rFonts w:ascii="Avenir Next" w:hAnsi="Avenir Next"/>
        </w:rPr>
      </w:pPr>
    </w:p>
    <w:p w14:paraId="5573BBA0" w14:textId="3DE7F5DD" w:rsidR="0098392E" w:rsidRDefault="0098392E" w:rsidP="0098392E">
      <w:pPr>
        <w:pStyle w:val="AODocTxt"/>
        <w:spacing w:before="0" w:line="240" w:lineRule="auto"/>
        <w:rPr>
          <w:rFonts w:ascii="Avenir Next" w:hAnsi="Avenir Next"/>
          <w:color w:val="808080" w:themeColor="background1" w:themeShade="80"/>
        </w:rPr>
      </w:pPr>
      <w:r w:rsidRPr="0098392E">
        <w:rPr>
          <w:rFonts w:ascii="Avenir Next" w:hAnsi="Avenir Next"/>
        </w:rPr>
        <w:t xml:space="preserve">The provisions related to </w:t>
      </w:r>
      <w:r>
        <w:rPr>
          <w:rFonts w:ascii="Avenir Next" w:hAnsi="Avenir Next"/>
        </w:rPr>
        <w:t xml:space="preserve">fraudulent conveyances </w:t>
      </w:r>
      <w:r w:rsidRPr="0098392E">
        <w:rPr>
          <w:rFonts w:ascii="Avenir Next" w:hAnsi="Avenir Next"/>
        </w:rPr>
        <w:t xml:space="preserve">apply to the situation described in paragraph </w:t>
      </w:r>
      <w:r>
        <w:rPr>
          <w:rFonts w:ascii="Avenir Next" w:hAnsi="Avenir Next"/>
        </w:rPr>
        <w:t>C</w:t>
      </w:r>
      <w:r w:rsidRPr="0098392E">
        <w:rPr>
          <w:rFonts w:ascii="Avenir Next" w:hAnsi="Avenir Next"/>
        </w:rPr>
        <w:t>.</w:t>
      </w:r>
      <w:r>
        <w:rPr>
          <w:rFonts w:ascii="Avenir Next" w:hAnsi="Avenir Next"/>
        </w:rPr>
        <w:t xml:space="preserve"> In this regard, an actual fraudulent conveyance is proven by showing that the debtor made a transfer or incurred an obligation </w:t>
      </w:r>
      <w:r>
        <w:rPr>
          <w:rFonts w:ascii="Avenir Next" w:hAnsi="Avenir Next"/>
          <w:i/>
          <w:iCs/>
        </w:rPr>
        <w:t xml:space="preserve">“with actual intent to hinder, delay, or defraud any entity to which the debtor was or become…indebted”. </w:t>
      </w:r>
      <w:r w:rsidRPr="0098392E">
        <w:rPr>
          <w:rFonts w:ascii="Avenir Next" w:hAnsi="Avenir Next"/>
        </w:rPr>
        <w:t xml:space="preserve">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1FF686DD" w14:textId="1683136D" w:rsidR="00B96EFD" w:rsidRDefault="00C07BC0" w:rsidP="001D3BAA">
      <w:pPr>
        <w:pStyle w:val="AODocTxt"/>
        <w:spacing w:before="0" w:line="240" w:lineRule="auto"/>
        <w:rPr>
          <w:rFonts w:ascii="Avenir Next" w:hAnsi="Avenir Next"/>
        </w:rPr>
      </w:pPr>
      <w:r w:rsidRPr="00C07BC0">
        <w:rPr>
          <w:rFonts w:ascii="Avenir Next" w:hAnsi="Avenir Next"/>
        </w:rPr>
        <w:t>A bankruptcy court may enter a final order consistent with the US Constitution if</w:t>
      </w:r>
      <w:r>
        <w:rPr>
          <w:rFonts w:ascii="Avenir Next" w:hAnsi="Avenir Next"/>
        </w:rPr>
        <w:t>: 1)</w:t>
      </w:r>
      <w:r w:rsidRPr="00C07BC0">
        <w:rPr>
          <w:rFonts w:ascii="Avenir Next" w:hAnsi="Avenir Next"/>
        </w:rPr>
        <w:t xml:space="preserve"> </w:t>
      </w:r>
      <w:r>
        <w:rPr>
          <w:rFonts w:ascii="Avenir Next" w:hAnsi="Avenir Next"/>
        </w:rPr>
        <w:t xml:space="preserve">such order is </w:t>
      </w:r>
      <w:r w:rsidRPr="00C07BC0">
        <w:rPr>
          <w:rFonts w:ascii="Avenir Next" w:hAnsi="Avenir Next"/>
        </w:rPr>
        <w:t>related to core matters</w:t>
      </w:r>
      <w:r>
        <w:rPr>
          <w:rFonts w:ascii="Avenir Next" w:hAnsi="Avenir Next"/>
        </w:rPr>
        <w:t xml:space="preserve">; and 2) if such order do not invade Article III jurisdiction, according to </w:t>
      </w:r>
      <w:r>
        <w:rPr>
          <w:rFonts w:ascii="Avenir Next" w:hAnsi="Avenir Next"/>
          <w:i/>
          <w:iCs/>
        </w:rPr>
        <w:t>Stern v. Marshall</w:t>
      </w:r>
      <w:r w:rsidRPr="00C07BC0">
        <w:rPr>
          <w:rFonts w:ascii="Avenir Next" w:hAnsi="Avenir Next"/>
        </w:rPr>
        <w:t>.</w:t>
      </w:r>
      <w:r>
        <w:rPr>
          <w:rFonts w:ascii="Avenir Next" w:hAnsi="Avenir Next"/>
        </w:rPr>
        <w:t xml:space="preserve"> Moreover, a </w:t>
      </w:r>
      <w:r w:rsidRPr="00C07BC0">
        <w:rPr>
          <w:rFonts w:ascii="Avenir Next" w:hAnsi="Avenir Next"/>
        </w:rPr>
        <w:t>bankruptcy court may</w:t>
      </w:r>
      <w:r>
        <w:rPr>
          <w:rFonts w:ascii="Avenir Next" w:hAnsi="Avenir Next"/>
        </w:rPr>
        <w:t xml:space="preserve"> exercise a district court’s delegated authority to</w:t>
      </w:r>
      <w:r w:rsidRPr="00C07BC0">
        <w:rPr>
          <w:rFonts w:ascii="Avenir Next" w:hAnsi="Avenir Next"/>
        </w:rPr>
        <w:t xml:space="preserve"> enter a final order consistent with the US Constitution </w:t>
      </w:r>
      <w:r>
        <w:rPr>
          <w:rFonts w:ascii="Avenir Next" w:hAnsi="Avenir Next"/>
        </w:rPr>
        <w:t xml:space="preserve">on a motion challenging the validity of a petition. </w:t>
      </w:r>
      <w:r w:rsidR="00B96EFD">
        <w:rPr>
          <w:rFonts w:ascii="Avenir Next" w:hAnsi="Avenir Next"/>
        </w:rPr>
        <w:lastRenderedPageBreak/>
        <w:t xml:space="preserve">Besides this, bankruptcy courts may determine a core proceeding over which they lack constitutional authority by issuing a final order if it’s consented by the parties. </w:t>
      </w:r>
    </w:p>
    <w:p w14:paraId="50C40B2A" w14:textId="77777777" w:rsidR="00B96EFD" w:rsidRDefault="00B96EFD" w:rsidP="001D3BAA">
      <w:pPr>
        <w:pStyle w:val="AODocTxt"/>
        <w:spacing w:before="0" w:line="240" w:lineRule="auto"/>
        <w:rPr>
          <w:rFonts w:ascii="Avenir Next" w:hAnsi="Avenir Next"/>
        </w:rPr>
      </w:pPr>
    </w:p>
    <w:p w14:paraId="2499F8BB" w14:textId="2257A2D3" w:rsidR="00B96EFD" w:rsidRDefault="00B96EFD" w:rsidP="001D3BAA">
      <w:pPr>
        <w:pStyle w:val="AODocTxt"/>
        <w:spacing w:before="0" w:line="240" w:lineRule="auto"/>
        <w:rPr>
          <w:rFonts w:ascii="Avenir Next" w:hAnsi="Avenir Next"/>
        </w:rPr>
      </w:pPr>
      <w:r>
        <w:rPr>
          <w:rFonts w:ascii="Avenir Next" w:hAnsi="Avenir Next"/>
        </w:rPr>
        <w:t xml:space="preserve">Bankruptcy court orders can be appealed by not only the litigants involved in a particular issue, but also other persons who are adversely affected by the ruling and therefore have standing to seek review. Generally, appeals from bankruptcy court decisions are </w:t>
      </w:r>
      <w:r w:rsidR="00E3146F">
        <w:rPr>
          <w:rFonts w:ascii="Avenir Next" w:hAnsi="Avenir Next"/>
        </w:rPr>
        <w:t>decided by the district court for the district in which they sit. In certain cases, however, the bankruptcy appeals are heard by a Bankruptcy Appellate Panel (“BAP”). Moreover, from the district court or the BAP, there is further appeal of right to the circuit court of appeals.</w:t>
      </w:r>
    </w:p>
    <w:p w14:paraId="1951D68A" w14:textId="77777777" w:rsidR="00E3146F" w:rsidRDefault="00E3146F" w:rsidP="001D3BAA">
      <w:pPr>
        <w:pStyle w:val="AODocTxt"/>
        <w:spacing w:before="0" w:line="240" w:lineRule="auto"/>
        <w:rPr>
          <w:rFonts w:ascii="Avenir Next" w:hAnsi="Avenir Next"/>
        </w:rPr>
      </w:pPr>
    </w:p>
    <w:p w14:paraId="5FEC80B9" w14:textId="3DB394EC" w:rsidR="00E3146F" w:rsidRPr="00B35E58" w:rsidRDefault="00E3146F" w:rsidP="001D3BAA">
      <w:pPr>
        <w:pStyle w:val="AODocTxt"/>
        <w:spacing w:before="0" w:line="240" w:lineRule="auto"/>
        <w:rPr>
          <w:rFonts w:ascii="Avenir Next" w:hAnsi="Avenir Next"/>
        </w:rPr>
      </w:pPr>
      <w:r>
        <w:rPr>
          <w:rFonts w:ascii="Avenir Next" w:hAnsi="Avenir Next"/>
        </w:rPr>
        <w:t xml:space="preserve">With respect to how the bankruptcy appeals are reviewed, is important to highlight that if the ruling being challenged was issued in a core proceedings over which the bankruptcy court had authority to enter a final order, then the district court or BAP reviews conclusions of law </w:t>
      </w:r>
      <w:r>
        <w:rPr>
          <w:rFonts w:ascii="Avenir Next" w:hAnsi="Avenir Next"/>
          <w:i/>
          <w:iCs/>
        </w:rPr>
        <w:t xml:space="preserve">de novo </w:t>
      </w:r>
      <w:r>
        <w:rPr>
          <w:rFonts w:ascii="Avenir Next" w:hAnsi="Avenir Next"/>
        </w:rPr>
        <w:t xml:space="preserve">and reviews findings of fact for abuse of discretion, recognizing that the bankruptcy court had greater opportunity to weight the evidence. If the ruling </w:t>
      </w:r>
      <w:r w:rsidR="00B35E58">
        <w:rPr>
          <w:rFonts w:ascii="Avenir Next" w:hAnsi="Avenir Next"/>
        </w:rPr>
        <w:t xml:space="preserve">was in a noncore proceeding or the bankruptcy court otherwise did not have authority to enter a final order, the district court or BAP reviews </w:t>
      </w:r>
      <w:r w:rsidR="00B35E58">
        <w:rPr>
          <w:rFonts w:ascii="Avenir Next" w:hAnsi="Avenir Next"/>
          <w:i/>
          <w:iCs/>
        </w:rPr>
        <w:t xml:space="preserve">de novo </w:t>
      </w:r>
      <w:r w:rsidR="00B35E58">
        <w:rPr>
          <w:rFonts w:ascii="Avenir Next" w:hAnsi="Avenir Next"/>
        </w:rPr>
        <w:t xml:space="preserve">all findings of fact and conclusions of law which a party has </w:t>
      </w:r>
      <w:r w:rsidR="001873E4">
        <w:rPr>
          <w:rFonts w:ascii="Avenir Next" w:hAnsi="Avenir Next"/>
        </w:rPr>
        <w:t>objected</w:t>
      </w:r>
      <w:r w:rsidR="00B35E58">
        <w:rPr>
          <w:rFonts w:ascii="Avenir Next" w:hAnsi="Avenir Next"/>
        </w:rPr>
        <w:t xml:space="preserve">. </w:t>
      </w:r>
    </w:p>
    <w:p w14:paraId="41284EC0" w14:textId="332EA82D" w:rsidR="001D3BAA" w:rsidRPr="00C07BC0" w:rsidRDefault="00B96EFD" w:rsidP="001D3BAA">
      <w:pPr>
        <w:pStyle w:val="AODocTxt"/>
        <w:spacing w:before="0" w:line="240" w:lineRule="auto"/>
        <w:rPr>
          <w:rFonts w:ascii="Avenir Next" w:hAnsi="Avenir Next"/>
        </w:rPr>
      </w:pPr>
      <w:r>
        <w:rPr>
          <w:rFonts w:ascii="Avenir Next" w:hAnsi="Avenir Next"/>
        </w:rPr>
        <w:t xml:space="preserve">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2FC31DB1" w:rsidR="001D3BAA" w:rsidRPr="00913F0A" w:rsidRDefault="00913F0A" w:rsidP="001D3BAA">
      <w:pPr>
        <w:pStyle w:val="AODocTxt"/>
        <w:spacing w:before="0" w:line="240" w:lineRule="auto"/>
        <w:rPr>
          <w:rFonts w:ascii="Avenir Next" w:hAnsi="Avenir Next"/>
        </w:rPr>
      </w:pPr>
      <w:r w:rsidRPr="00913F0A">
        <w:rPr>
          <w:rFonts w:ascii="Avenir Next" w:hAnsi="Avenir Next"/>
        </w:rPr>
        <w:t>Chapter 15 excludes from the rights granted to foreign representatives the use of avoidance powers provided by the Bankruptcy Code. This provision has been interpreted only to apply to the use of the Bankruptcy Code’s powers of avoidance of preferences and fraudulent conveyances, and not to bar a foreign representative from seeking to avoid pre-petition transaction under other applicable US or foreign law.</w:t>
      </w:r>
      <w:r>
        <w:rPr>
          <w:rFonts w:ascii="Avenir Next" w:hAnsi="Avenir Next"/>
        </w:rPr>
        <w:t xml:space="preserve"> If the foreign representative wants to invoke the Bankruptcy Code avoidance powers, it was to pursue a plenary proceeding such as chapter 11 or 7. This could be achieved by commencing a plenary proceeding by the debtor or its creditors prior to involvement of the foreign representative, or the foreign representative may choose to commence a plenary proceeding under the Bankruptcy Code after recognition of the foreign proceeding under chapter 15.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35565FEB" w:rsidR="001D3BAA" w:rsidRPr="00752C65" w:rsidRDefault="001873E4" w:rsidP="001D3BAA">
      <w:pPr>
        <w:pStyle w:val="AODocTxt"/>
        <w:spacing w:before="0" w:line="240" w:lineRule="auto"/>
        <w:rPr>
          <w:rFonts w:ascii="Avenir Next" w:hAnsi="Avenir Next"/>
        </w:rPr>
      </w:pPr>
      <w:r w:rsidRPr="00752C65">
        <w:rPr>
          <w:rFonts w:ascii="Avenir Next" w:hAnsi="Avenir Next"/>
        </w:rPr>
        <w:t xml:space="preserve">When preparing a filing for a bankruptcy court one should review the </w:t>
      </w:r>
      <w:r w:rsidR="00752C65" w:rsidRPr="00752C65">
        <w:rPr>
          <w:rFonts w:ascii="Avenir Next" w:hAnsi="Avenir Next"/>
        </w:rPr>
        <w:t xml:space="preserve">US Bankruptcy Code, the </w:t>
      </w:r>
      <w:r w:rsidRPr="00752C65">
        <w:rPr>
          <w:rFonts w:ascii="Avenir Next" w:hAnsi="Avenir Next"/>
        </w:rPr>
        <w:t>Bankruptcy Rules (the Federal Rules of Bankruptcy Procedure), the Federal Rules of Civil Procedure when they are incorporated by reference in the Bankruptcy Rules, the forms for common bankruptcy filings if they are required, the local rules of procedure used by each bankruptcy court and the personal practices issued by the judge that could have competence to handle our case</w:t>
      </w:r>
      <w:r w:rsidR="00752C65" w:rsidRPr="00752C65">
        <w:rPr>
          <w:rFonts w:ascii="Avenir Next" w:hAnsi="Avenir Next"/>
        </w:rPr>
        <w:t xml:space="preserve"> and relevant case law of the US Supreme Court.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2238C1FC" w14:textId="32734827" w:rsidR="00752C65" w:rsidRPr="001B41ED" w:rsidRDefault="00752C65" w:rsidP="000778B1">
      <w:pPr>
        <w:pStyle w:val="AODocTxt"/>
        <w:spacing w:before="0" w:line="240" w:lineRule="auto"/>
        <w:rPr>
          <w:rFonts w:ascii="Avenir Next" w:hAnsi="Avenir Next"/>
        </w:rPr>
      </w:pPr>
      <w:r w:rsidRPr="001B41ED">
        <w:rPr>
          <w:rFonts w:ascii="Avenir Next" w:hAnsi="Avenir Next"/>
        </w:rPr>
        <w:lastRenderedPageBreak/>
        <w:t>This question is relevant</w:t>
      </w:r>
      <w:r w:rsidR="001B41ED" w:rsidRPr="001B41ED">
        <w:rPr>
          <w:rFonts w:ascii="Avenir Next" w:hAnsi="Avenir Next"/>
        </w:rPr>
        <w:t xml:space="preserve"> because, according to US law,</w:t>
      </w:r>
      <w:r w:rsidRPr="001B41ED">
        <w:rPr>
          <w:rFonts w:ascii="Avenir Next" w:hAnsi="Avenir Next"/>
        </w:rPr>
        <w:t xml:space="preserve"> director liability is a matter of state law of the state of incorporation. </w:t>
      </w:r>
      <w:r w:rsidR="001B41ED" w:rsidRPr="001B41ED">
        <w:rPr>
          <w:rFonts w:ascii="Avenir Next" w:hAnsi="Avenir Next"/>
        </w:rPr>
        <w:t xml:space="preserve">Delaware is the pre-eminent US jurisdiction for corporate law probably, because US director liability is more limited than that elsewhere. Directors owe a fiduciary duty of loyalty to the corporation’s best interest and a duty of care in educated </w:t>
      </w:r>
      <w:proofErr w:type="gramStart"/>
      <w:r w:rsidR="001B41ED" w:rsidRPr="001B41ED">
        <w:rPr>
          <w:rFonts w:ascii="Avenir Next" w:hAnsi="Avenir Next"/>
        </w:rPr>
        <w:t>decision-making, but</w:t>
      </w:r>
      <w:proofErr w:type="gramEnd"/>
      <w:r w:rsidR="001B41ED" w:rsidRPr="001B41ED">
        <w:rPr>
          <w:rFonts w:ascii="Avenir Next" w:hAnsi="Avenir Next"/>
        </w:rPr>
        <w:t xml:space="preserve"> are protected from liability for errors of judgment by the business judgment rule. </w:t>
      </w:r>
      <w:r w:rsidR="001B41ED">
        <w:rPr>
          <w:rFonts w:ascii="Avenir Next" w:hAnsi="Avenir Next"/>
        </w:rPr>
        <w:t xml:space="preserve">Under the business judgment rule, the board of directors is presumed to have acted in good faith </w:t>
      </w:r>
      <w:proofErr w:type="gramStart"/>
      <w:r w:rsidR="001B41ED">
        <w:rPr>
          <w:rFonts w:ascii="Avenir Next" w:hAnsi="Avenir Next"/>
        </w:rPr>
        <w:t>on the basis of</w:t>
      </w:r>
      <w:proofErr w:type="gramEnd"/>
      <w:r w:rsidR="001B41ED">
        <w:rPr>
          <w:rFonts w:ascii="Avenir Next" w:hAnsi="Avenir Next"/>
        </w:rPr>
        <w:t xml:space="preserve"> reasonable information. </w:t>
      </w:r>
      <w:r w:rsidR="00BF0D9F">
        <w:rPr>
          <w:rFonts w:ascii="Avenir Next" w:hAnsi="Avenir Next"/>
        </w:rPr>
        <w:t xml:space="preserve">Unless the presumption is rebutted, the directors will not be liable in the absence of a showing of gross negligence. In addition, directors may be exculpated by a corporation’s certificate of incorporation from liability for breach of the duty of care. The business judgment rule does not apply where a transaction is approved by a board majority that is not disinterested and independent or a controlling shareholder in on both sides of the transaction. In such circumstances, the transaction will be void unless the entire fairness standard is satisfied. Directors’ duties are owed to the corporation and its shareholders, not to creditors, even in circumstances where the corporation is potentially insolvent and therefore the shareholders stand to receive nothing in bankruptcy.  </w:t>
      </w:r>
    </w:p>
    <w:p w14:paraId="4B8A2776" w14:textId="432CBF41" w:rsidR="00CF12B2" w:rsidRDefault="00CF12B2" w:rsidP="000778B1">
      <w:pPr>
        <w:pStyle w:val="AODocTxt"/>
        <w:spacing w:before="0" w:line="240" w:lineRule="auto"/>
        <w:rPr>
          <w:rFonts w:ascii="Avenir Next" w:hAnsi="Avenir Next"/>
          <w:color w:val="808080" w:themeColor="background1" w:themeShade="80"/>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2FBB7C44" w14:textId="3F37F46F" w:rsidR="001D3BAA" w:rsidRPr="00484430" w:rsidRDefault="00C32CF3" w:rsidP="001D3BAA">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53C2C279" w14:textId="47230DEC" w:rsidR="001D3BAA" w:rsidRPr="002B5D64" w:rsidRDefault="0024452E" w:rsidP="0043016A">
      <w:pPr>
        <w:pStyle w:val="AODocTxt"/>
        <w:rPr>
          <w:rFonts w:ascii="Avenir Next" w:hAnsi="Avenir Next"/>
          <w:color w:val="808080" w:themeColor="background1" w:themeShade="80"/>
        </w:rPr>
      </w:pPr>
      <w:r w:rsidRPr="0043016A">
        <w:rPr>
          <w:rFonts w:ascii="Avenir Next" w:hAnsi="Avenir Next"/>
        </w:rPr>
        <w:t>I believe a clarification should be made before answering the question. The Bankruptcy Code does not provide direct protection mechanism to lessors of office space to iWork Ltd, but certain provisions of the Bankruptcy Code provide the debtor with certain advantages that could indirectly be beneficial to the lessors. As it seems that the debtor is struggling financially and economically because of the effects of remote working after the COVID-19 pandemic, it could be assumed that if this situation is addressed early enough the company could find a long-term solution to its problems. Therefore, I would start mentioning the</w:t>
      </w:r>
      <w:r w:rsidR="0043016A" w:rsidRPr="0043016A">
        <w:rPr>
          <w:rFonts w:ascii="Avenir Next" w:hAnsi="Avenir Next"/>
        </w:rPr>
        <w:t xml:space="preserve"> relevant provisions under chapter 7 of the Bankruptcy Code. The lessors would benefit from the automatic stay of proceedings (preventing the office building owners from </w:t>
      </w:r>
      <w:r w:rsidRPr="0043016A">
        <w:rPr>
          <w:rFonts w:ascii="Avenir Next" w:hAnsi="Avenir Next"/>
        </w:rPr>
        <w:t>taking actions to collect pre-bankruptcy debts</w:t>
      </w:r>
      <w:r w:rsidR="0043016A" w:rsidRPr="0043016A">
        <w:rPr>
          <w:rFonts w:ascii="Avenir Next" w:hAnsi="Avenir Next"/>
        </w:rPr>
        <w:t xml:space="preserve">) and from the provisions related to the executory contracts (which would give the debtor the possibility to assume the leases). Moreover, the debtor could benefit from the reorganization plan provided that the majority required by law are obtained. Similar provisions would be available under Chapter 7 of the Bankruptcy Code, </w:t>
      </w:r>
      <w:proofErr w:type="gramStart"/>
      <w:r w:rsidR="0043016A" w:rsidRPr="0043016A">
        <w:rPr>
          <w:rFonts w:ascii="Avenir Next" w:hAnsi="Avenir Next"/>
        </w:rPr>
        <w:t>with the exception of</w:t>
      </w:r>
      <w:proofErr w:type="gramEnd"/>
      <w:r w:rsidR="0043016A" w:rsidRPr="0043016A">
        <w:rPr>
          <w:rFonts w:ascii="Avenir Next" w:hAnsi="Avenir Next"/>
        </w:rPr>
        <w:t xml:space="preserve"> the reorganization plan</w:t>
      </w:r>
      <w:r w:rsidR="0043016A">
        <w:rPr>
          <w:rFonts w:ascii="Avenir Next" w:hAnsi="Avenir Next"/>
          <w:color w:val="808080" w:themeColor="background1" w:themeShade="80"/>
        </w:rPr>
        <w:t>.</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60697FAB" w14:textId="52A38EA8" w:rsidR="00E46887" w:rsidRDefault="00E46887" w:rsidP="00E46887">
      <w:pPr>
        <w:pStyle w:val="AODocTxt"/>
        <w:spacing w:before="0" w:line="240" w:lineRule="auto"/>
        <w:rPr>
          <w:rFonts w:ascii="Avenir Next" w:hAnsi="Avenir Next"/>
        </w:rPr>
      </w:pPr>
      <w:r w:rsidRPr="005D4357">
        <w:rPr>
          <w:rFonts w:ascii="Avenir Next" w:hAnsi="Avenir Next"/>
        </w:rPr>
        <w:t xml:space="preserve">Skin Luxe is incorporated </w:t>
      </w:r>
      <w:r>
        <w:rPr>
          <w:rFonts w:ascii="Avenir Next" w:hAnsi="Avenir Next"/>
        </w:rPr>
        <w:t xml:space="preserve">in France. Moreover, its </w:t>
      </w:r>
      <w:r w:rsidRPr="005D4357">
        <w:rPr>
          <w:rFonts w:ascii="Avenir Next" w:hAnsi="Avenir Next"/>
        </w:rPr>
        <w:t>principal place of business</w:t>
      </w:r>
      <w:r>
        <w:rPr>
          <w:rFonts w:ascii="Avenir Next" w:hAnsi="Avenir Next"/>
        </w:rPr>
        <w:t xml:space="preserve"> (</w:t>
      </w:r>
      <w:r w:rsidRPr="005D4357">
        <w:rPr>
          <w:rFonts w:ascii="Avenir Next" w:hAnsi="Avenir Next"/>
        </w:rPr>
        <w:t>where it develops and manufactures high end skincare products</w:t>
      </w:r>
      <w:r>
        <w:rPr>
          <w:rFonts w:ascii="Avenir Next" w:hAnsi="Avenir Next"/>
        </w:rPr>
        <w:t>)</w:t>
      </w:r>
      <w:r w:rsidRPr="005D4357">
        <w:rPr>
          <w:rFonts w:ascii="Avenir Next" w:hAnsi="Avenir Next"/>
        </w:rPr>
        <w:t xml:space="preserve"> i</w:t>
      </w:r>
      <w:r>
        <w:rPr>
          <w:rFonts w:ascii="Avenir Next" w:hAnsi="Avenir Next"/>
        </w:rPr>
        <w:t>s also i</w:t>
      </w:r>
      <w:r w:rsidRPr="005D4357">
        <w:rPr>
          <w:rFonts w:ascii="Avenir Next" w:hAnsi="Avenir Next"/>
        </w:rPr>
        <w:t xml:space="preserve">n </w:t>
      </w:r>
      <w:r>
        <w:rPr>
          <w:rFonts w:ascii="Avenir Next" w:hAnsi="Avenir Next"/>
        </w:rPr>
        <w:t xml:space="preserve">France. Therefore, there are solid arguments to consider that Skin Luxe has its COMI in France. Therefore, Skin Luxe shall be entitled to commence the main insolvency proceedings in France. Nevertheless, Skin Luxe </w:t>
      </w:r>
      <w:r w:rsidRPr="005D4357">
        <w:rPr>
          <w:rFonts w:ascii="Avenir Next" w:hAnsi="Avenir Next"/>
        </w:rPr>
        <w:t xml:space="preserve">is considering using an English scheme </w:t>
      </w:r>
      <w:r w:rsidRPr="005D4357">
        <w:rPr>
          <w:rFonts w:ascii="Avenir Next" w:hAnsi="Avenir Next"/>
        </w:rPr>
        <w:lastRenderedPageBreak/>
        <w:t xml:space="preserve">of arrangement to restructure the English law-governed bonds </w:t>
      </w:r>
      <w:r>
        <w:rPr>
          <w:rFonts w:ascii="Avenir Next" w:hAnsi="Avenir Next"/>
        </w:rPr>
        <w:t xml:space="preserve">(which are </w:t>
      </w:r>
      <w:r w:rsidRPr="005D4357">
        <w:rPr>
          <w:rFonts w:ascii="Avenir Next" w:hAnsi="Avenir Next"/>
        </w:rPr>
        <w:t xml:space="preserve">due to mature in </w:t>
      </w:r>
      <w:r>
        <w:rPr>
          <w:rFonts w:ascii="Avenir Next" w:hAnsi="Avenir Next"/>
        </w:rPr>
        <w:t>one</w:t>
      </w:r>
      <w:r w:rsidRPr="005D4357">
        <w:rPr>
          <w:rFonts w:ascii="Avenir Next" w:hAnsi="Avenir Next"/>
        </w:rPr>
        <w:t xml:space="preserve"> year, but it is unable to repay or refinance them</w:t>
      </w:r>
      <w:r>
        <w:rPr>
          <w:rFonts w:ascii="Avenir Next" w:hAnsi="Avenir Next"/>
        </w:rPr>
        <w:t>)</w:t>
      </w:r>
      <w:r w:rsidRPr="005D4357">
        <w:rPr>
          <w:rFonts w:ascii="Avenir Next" w:hAnsi="Avenir Next"/>
        </w:rPr>
        <w:t>.</w:t>
      </w:r>
      <w:r>
        <w:rPr>
          <w:rFonts w:ascii="Avenir Next" w:hAnsi="Avenir Next"/>
        </w:rPr>
        <w:t xml:space="preserve"> It is also important to consider thar Skin Luxe has an establishment in England (a boutique). Therefore, the debtor shall be entitled to commence secondary insolvency proceedings in England. </w:t>
      </w:r>
    </w:p>
    <w:p w14:paraId="6E42CD8C" w14:textId="77777777" w:rsidR="00677D9E" w:rsidRDefault="00677D9E" w:rsidP="00E46887">
      <w:pPr>
        <w:pStyle w:val="AODocTxt"/>
        <w:spacing w:before="0" w:line="240" w:lineRule="auto"/>
        <w:rPr>
          <w:rFonts w:ascii="Avenir Next" w:hAnsi="Avenir Next"/>
        </w:rPr>
      </w:pPr>
    </w:p>
    <w:p w14:paraId="6F904331" w14:textId="54B44EE7" w:rsidR="00677D9E" w:rsidRDefault="00677D9E" w:rsidP="00E46887">
      <w:pPr>
        <w:pStyle w:val="AODocTxt"/>
        <w:spacing w:before="0" w:line="240" w:lineRule="auto"/>
        <w:rPr>
          <w:rFonts w:ascii="Avenir Next" w:hAnsi="Avenir Next"/>
        </w:rPr>
      </w:pPr>
      <w:r>
        <w:rPr>
          <w:rFonts w:ascii="Avenir Next" w:hAnsi="Avenir Next"/>
        </w:rPr>
        <w:t>In this regard, if the debtor commences an insolvency proceeding in England (a place different to that where it has its COMI), that insolvency proceeding would probably be regarded as a foreign non-main proceeding under Chapter 15 of the US Bankruptcy Code, which would limit the scope of the relief available to the debtor following recognition.</w:t>
      </w:r>
    </w:p>
    <w:p w14:paraId="485D4FED" w14:textId="4A53B576" w:rsidR="001D3BAA" w:rsidRPr="002B5D64" w:rsidRDefault="001D3BAA" w:rsidP="001D3BAA">
      <w:pPr>
        <w:pStyle w:val="AODocTxt"/>
        <w:spacing w:before="0" w:line="240" w:lineRule="auto"/>
        <w:rPr>
          <w:rFonts w:ascii="Avenir Next" w:hAnsi="Avenir Next"/>
          <w:color w:val="808080" w:themeColor="background1" w:themeShade="80"/>
        </w:rPr>
      </w:pPr>
    </w:p>
    <w:p w14:paraId="78F624D2" w14:textId="77777777" w:rsidR="0043016A" w:rsidRPr="00E01803" w:rsidRDefault="0043016A"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0A8BD31B" w14:textId="098CE663" w:rsidR="004518E1" w:rsidRPr="004518E1" w:rsidRDefault="004263CB" w:rsidP="004518E1">
      <w:pPr>
        <w:pStyle w:val="AODocTxt"/>
        <w:numPr>
          <w:ilvl w:val="0"/>
          <w:numId w:val="39"/>
        </w:numPr>
        <w:spacing w:before="0" w:after="200" w:line="240" w:lineRule="auto"/>
        <w:ind w:left="1077"/>
        <w:rPr>
          <w:rFonts w:ascii="Avenir Next" w:hAnsi="Avenir Next"/>
          <w:color w:val="808080" w:themeColor="background1" w:themeShade="80"/>
        </w:rPr>
      </w:pPr>
      <w:r>
        <w:rPr>
          <w:rFonts w:ascii="Avenir Next" w:hAnsi="Avenir Next"/>
        </w:rPr>
        <w:t xml:space="preserve">The DOJ investigation would not be subject to the stay of proceedings (because it is a </w:t>
      </w:r>
      <w:r w:rsidR="004518E1">
        <w:rPr>
          <w:rFonts w:ascii="Avenir Next" w:hAnsi="Avenir Next"/>
        </w:rPr>
        <w:t>regulatory proceeding</w:t>
      </w:r>
      <w:r w:rsidR="0028205B">
        <w:rPr>
          <w:rFonts w:ascii="Avenir Next" w:hAnsi="Avenir Next"/>
        </w:rPr>
        <w:t xml:space="preserve"> and, as such, is excepted from that effect</w:t>
      </w:r>
      <w:r>
        <w:rPr>
          <w:rFonts w:ascii="Avenir Next" w:hAnsi="Avenir Next"/>
        </w:rPr>
        <w:t>)</w:t>
      </w:r>
      <w:r w:rsidR="004518E1">
        <w:rPr>
          <w:rFonts w:ascii="Avenir Next" w:hAnsi="Avenir Next"/>
        </w:rPr>
        <w:t>.</w:t>
      </w:r>
    </w:p>
    <w:p w14:paraId="210867E1" w14:textId="77777777" w:rsidR="004518E1" w:rsidRPr="004518E1" w:rsidRDefault="004518E1" w:rsidP="004518E1">
      <w:pPr>
        <w:pStyle w:val="AODocTxt"/>
        <w:numPr>
          <w:ilvl w:val="0"/>
          <w:numId w:val="39"/>
        </w:numPr>
        <w:spacing w:before="0" w:after="200" w:line="240" w:lineRule="auto"/>
        <w:ind w:left="1077"/>
        <w:rPr>
          <w:rFonts w:ascii="Avenir Next" w:hAnsi="Avenir Next"/>
          <w:color w:val="808080" w:themeColor="background1" w:themeShade="80"/>
        </w:rPr>
      </w:pPr>
      <w:r>
        <w:rPr>
          <w:rFonts w:ascii="Avenir Next" w:hAnsi="Avenir Next"/>
        </w:rPr>
        <w:t>T</w:t>
      </w:r>
      <w:r w:rsidR="004263CB">
        <w:rPr>
          <w:rFonts w:ascii="Avenir Next" w:hAnsi="Avenir Next"/>
        </w:rPr>
        <w:t>he margin loan default will be subject to the stay of proceedings and the creditor shall file a petition for recognition of its credit and vote the reorganization plan</w:t>
      </w:r>
      <w:r>
        <w:rPr>
          <w:rFonts w:ascii="Avenir Next" w:hAnsi="Avenir Next"/>
        </w:rPr>
        <w:t>.</w:t>
      </w:r>
    </w:p>
    <w:p w14:paraId="2D87C65A" w14:textId="48F517C8" w:rsidR="004518E1" w:rsidRPr="004518E1" w:rsidRDefault="004518E1" w:rsidP="004518E1">
      <w:pPr>
        <w:pStyle w:val="AODocTxt"/>
        <w:numPr>
          <w:ilvl w:val="0"/>
          <w:numId w:val="39"/>
        </w:numPr>
        <w:spacing w:before="0" w:after="200" w:line="240" w:lineRule="auto"/>
        <w:ind w:left="1077"/>
        <w:rPr>
          <w:rFonts w:ascii="Avenir Next" w:hAnsi="Avenir Next"/>
          <w:color w:val="808080" w:themeColor="background1" w:themeShade="80"/>
        </w:rPr>
      </w:pPr>
      <w:r>
        <w:rPr>
          <w:rFonts w:ascii="Avenir Next" w:hAnsi="Avenir Next"/>
        </w:rPr>
        <w:t>T</w:t>
      </w:r>
      <w:r w:rsidRPr="00FB2838">
        <w:rPr>
          <w:rFonts w:ascii="Avenir Next" w:hAnsi="Avenir Next"/>
        </w:rPr>
        <w:t>he delinquent lease</w:t>
      </w:r>
      <w:r w:rsidR="004263CB">
        <w:rPr>
          <w:rFonts w:ascii="Avenir Next" w:hAnsi="Avenir Next"/>
        </w:rPr>
        <w:t xml:space="preserve"> </w:t>
      </w:r>
      <w:r>
        <w:rPr>
          <w:rFonts w:ascii="Avenir Next" w:hAnsi="Avenir Next"/>
        </w:rPr>
        <w:t>will be subject to the stay of proceedings and the lease will be subject to the executory contract’s provisions.</w:t>
      </w:r>
    </w:p>
    <w:p w14:paraId="30C6EC1C" w14:textId="0830284B" w:rsidR="004D327D" w:rsidRPr="002B5D64" w:rsidRDefault="004D327D" w:rsidP="004D327D">
      <w:pPr>
        <w:pStyle w:val="AODocTxt"/>
        <w:numPr>
          <w:ilvl w:val="0"/>
          <w:numId w:val="39"/>
        </w:numPr>
        <w:spacing w:before="0" w:after="200" w:line="240" w:lineRule="auto"/>
        <w:ind w:left="1077"/>
        <w:rPr>
          <w:rFonts w:ascii="Avenir Next" w:hAnsi="Avenir Next"/>
          <w:color w:val="808080" w:themeColor="background1" w:themeShade="80"/>
        </w:rPr>
      </w:pPr>
      <w:r>
        <w:rPr>
          <w:rFonts w:ascii="Avenir Next" w:hAnsi="Avenir Next"/>
        </w:rPr>
        <w:t xml:space="preserve">If we were to apply literally the US Bankruptcy Code, then </w:t>
      </w:r>
      <w:r w:rsidR="00921856">
        <w:rPr>
          <w:rFonts w:ascii="Avenir Next" w:hAnsi="Avenir Next"/>
        </w:rPr>
        <w:t xml:space="preserve">employment discrimination lawsuit would be subject </w:t>
      </w:r>
      <w:r w:rsidR="00921856" w:rsidRPr="004D327D">
        <w:rPr>
          <w:rFonts w:ascii="Avenir Next" w:hAnsi="Avenir Next"/>
        </w:rPr>
        <w:t>to the stay of proceedings</w:t>
      </w:r>
      <w:r w:rsidRPr="004D327D">
        <w:rPr>
          <w:rFonts w:ascii="Avenir Next" w:hAnsi="Avenir Next"/>
        </w:rPr>
        <w:t xml:space="preserve"> because there no exception on this ground. However, Article 362(b)(4) of the U.S. Bankruptcy Code could be interpreted as also covering this type of personal claims against the debtor and, therefore, not subject to the automatic stay of proceedings.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CE74" w14:textId="77777777" w:rsidR="00255ED0" w:rsidRDefault="00255ED0" w:rsidP="00241B44">
      <w:r>
        <w:separator/>
      </w:r>
    </w:p>
  </w:endnote>
  <w:endnote w:type="continuationSeparator" w:id="0">
    <w:p w14:paraId="405DD6F1" w14:textId="77777777" w:rsidR="00255ED0" w:rsidRDefault="00255ED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Piedepgina"/>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3D1049BD" w:rsidR="00241FA3" w:rsidRPr="00494B81" w:rsidRDefault="00C13766" w:rsidP="009B4976">
    <w:pPr>
      <w:pStyle w:val="Piedepgina"/>
      <w:ind w:right="360"/>
      <w:rPr>
        <w:rFonts w:ascii="Avenir Next" w:hAnsi="Avenir Next" w:cs="Arial"/>
        <w:sz w:val="22"/>
        <w:szCs w:val="22"/>
        <w:lang w:val="en-GB"/>
      </w:rPr>
    </w:pPr>
    <w:r>
      <w:rPr>
        <w:rFonts w:ascii="Avenir Next" w:hAnsi="Avenir Next" w:cs="Arial"/>
        <w:sz w:val="22"/>
        <w:szCs w:val="22"/>
      </w:rPr>
      <w:t>202324-1311</w:t>
    </w:r>
    <w:r w:rsidR="00A20049" w:rsidRPr="00297BDF">
      <w:rPr>
        <w:rFonts w:ascii="Avenir Next" w:hAnsi="Avenir Next" w:cs="Arial"/>
        <w:sz w:val="22"/>
        <w:szCs w:val="22"/>
      </w:rPr>
      <w:t>.</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1B1D" w14:textId="77777777" w:rsidR="00C13766" w:rsidRDefault="00C137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76CE" w14:textId="77777777" w:rsidR="00255ED0" w:rsidRDefault="00255ED0" w:rsidP="00241B44">
      <w:r>
        <w:separator/>
      </w:r>
    </w:p>
  </w:footnote>
  <w:footnote w:type="continuationSeparator" w:id="0">
    <w:p w14:paraId="0D6E1518" w14:textId="77777777" w:rsidR="00255ED0" w:rsidRDefault="00255ED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46E7" w14:textId="77777777" w:rsidR="00C13766" w:rsidRDefault="00C137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1A60" w14:textId="77777777" w:rsidR="00C13766" w:rsidRDefault="00C137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225D" w14:textId="77777777" w:rsidR="00C13766" w:rsidRDefault="00C137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20F01"/>
    <w:multiLevelType w:val="hybridMultilevel"/>
    <w:tmpl w:val="CC52F11C"/>
    <w:lvl w:ilvl="0" w:tplc="65C48480">
      <w:numFmt w:val="bullet"/>
      <w:lvlText w:val="-"/>
      <w:lvlJc w:val="left"/>
      <w:pPr>
        <w:ind w:left="720" w:hanging="360"/>
      </w:pPr>
      <w:rPr>
        <w:rFonts w:ascii="Avenir Next" w:eastAsiaTheme="minorHAnsi" w:hAnsi="Avenir Next"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E4826"/>
    <w:multiLevelType w:val="hybridMultilevel"/>
    <w:tmpl w:val="F9F6DABC"/>
    <w:lvl w:ilvl="0" w:tplc="9244D7BC">
      <w:start w:val="1"/>
      <w:numFmt w:val="lowerRoman"/>
      <w:lvlText w:val="(%1)"/>
      <w:lvlJc w:val="left"/>
      <w:pPr>
        <w:ind w:left="1080" w:hanging="72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29"/>
  </w:num>
  <w:num w:numId="3" w16cid:durableId="1942764495">
    <w:abstractNumId w:val="5"/>
  </w:num>
  <w:num w:numId="4" w16cid:durableId="298269076">
    <w:abstractNumId w:val="9"/>
  </w:num>
  <w:num w:numId="5" w16cid:durableId="730929724">
    <w:abstractNumId w:val="12"/>
  </w:num>
  <w:num w:numId="6" w16cid:durableId="1594360553">
    <w:abstractNumId w:val="32"/>
  </w:num>
  <w:num w:numId="7" w16cid:durableId="1661152946">
    <w:abstractNumId w:val="6"/>
  </w:num>
  <w:num w:numId="8" w16cid:durableId="45877589">
    <w:abstractNumId w:val="35"/>
  </w:num>
  <w:num w:numId="9" w16cid:durableId="876742117">
    <w:abstractNumId w:val="13"/>
  </w:num>
  <w:num w:numId="10" w16cid:durableId="1035689165">
    <w:abstractNumId w:val="28"/>
  </w:num>
  <w:num w:numId="11" w16cid:durableId="926307185">
    <w:abstractNumId w:val="15"/>
  </w:num>
  <w:num w:numId="12" w16cid:durableId="621232781">
    <w:abstractNumId w:val="24"/>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30"/>
  </w:num>
  <w:num w:numId="20" w16cid:durableId="1471096614">
    <w:abstractNumId w:val="7"/>
  </w:num>
  <w:num w:numId="21" w16cid:durableId="398864111">
    <w:abstractNumId w:val="27"/>
  </w:num>
  <w:num w:numId="22" w16cid:durableId="2133940203">
    <w:abstractNumId w:val="37"/>
  </w:num>
  <w:num w:numId="23" w16cid:durableId="950893894">
    <w:abstractNumId w:val="14"/>
  </w:num>
  <w:num w:numId="24" w16cid:durableId="1962497721">
    <w:abstractNumId w:val="31"/>
  </w:num>
  <w:num w:numId="25" w16cid:durableId="869756453">
    <w:abstractNumId w:val="21"/>
  </w:num>
  <w:num w:numId="26" w16cid:durableId="1092049203">
    <w:abstractNumId w:val="22"/>
  </w:num>
  <w:num w:numId="27" w16cid:durableId="1146704350">
    <w:abstractNumId w:val="17"/>
  </w:num>
  <w:num w:numId="28" w16cid:durableId="937979478">
    <w:abstractNumId w:val="33"/>
  </w:num>
  <w:num w:numId="29" w16cid:durableId="1970553734">
    <w:abstractNumId w:val="1"/>
  </w:num>
  <w:num w:numId="30" w16cid:durableId="293563849">
    <w:abstractNumId w:val="18"/>
  </w:num>
  <w:num w:numId="31" w16cid:durableId="2126381093">
    <w:abstractNumId w:val="23"/>
  </w:num>
  <w:num w:numId="32" w16cid:durableId="1605572703">
    <w:abstractNumId w:val="38"/>
  </w:num>
  <w:num w:numId="33" w16cid:durableId="1203253494">
    <w:abstractNumId w:val="16"/>
  </w:num>
  <w:num w:numId="34" w16cid:durableId="1104031608">
    <w:abstractNumId w:val="2"/>
  </w:num>
  <w:num w:numId="35" w16cid:durableId="2144806674">
    <w:abstractNumId w:val="34"/>
  </w:num>
  <w:num w:numId="36" w16cid:durableId="1673992024">
    <w:abstractNumId w:val="36"/>
  </w:num>
  <w:num w:numId="37" w16cid:durableId="2022775299">
    <w:abstractNumId w:val="10"/>
  </w:num>
  <w:num w:numId="38" w16cid:durableId="174002821">
    <w:abstractNumId w:val="20"/>
  </w:num>
  <w:num w:numId="39" w16cid:durableId="66624858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8580D"/>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E7E40"/>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65C1E"/>
    <w:rsid w:val="00180548"/>
    <w:rsid w:val="00180AC4"/>
    <w:rsid w:val="00180CCE"/>
    <w:rsid w:val="0018267A"/>
    <w:rsid w:val="00182779"/>
    <w:rsid w:val="001830DF"/>
    <w:rsid w:val="001873E4"/>
    <w:rsid w:val="001966D9"/>
    <w:rsid w:val="00197E4B"/>
    <w:rsid w:val="001A7E9A"/>
    <w:rsid w:val="001B0F70"/>
    <w:rsid w:val="001B1763"/>
    <w:rsid w:val="001B33F5"/>
    <w:rsid w:val="001B41ED"/>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452E"/>
    <w:rsid w:val="00245EFB"/>
    <w:rsid w:val="0025386E"/>
    <w:rsid w:val="00255ED0"/>
    <w:rsid w:val="00256B74"/>
    <w:rsid w:val="002638B0"/>
    <w:rsid w:val="0026647A"/>
    <w:rsid w:val="002668D3"/>
    <w:rsid w:val="0027299F"/>
    <w:rsid w:val="00274119"/>
    <w:rsid w:val="0028205B"/>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675F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63CB"/>
    <w:rsid w:val="004273B0"/>
    <w:rsid w:val="0043016A"/>
    <w:rsid w:val="00430FED"/>
    <w:rsid w:val="00434A8C"/>
    <w:rsid w:val="00435733"/>
    <w:rsid w:val="00437297"/>
    <w:rsid w:val="00444284"/>
    <w:rsid w:val="00445CE6"/>
    <w:rsid w:val="004518E1"/>
    <w:rsid w:val="004534C2"/>
    <w:rsid w:val="0045446F"/>
    <w:rsid w:val="00455018"/>
    <w:rsid w:val="0045683E"/>
    <w:rsid w:val="004574AE"/>
    <w:rsid w:val="00477C72"/>
    <w:rsid w:val="004830F8"/>
    <w:rsid w:val="00484430"/>
    <w:rsid w:val="00484B73"/>
    <w:rsid w:val="00491675"/>
    <w:rsid w:val="00493855"/>
    <w:rsid w:val="00494B81"/>
    <w:rsid w:val="00495E79"/>
    <w:rsid w:val="004A57DD"/>
    <w:rsid w:val="004A7B51"/>
    <w:rsid w:val="004A7D71"/>
    <w:rsid w:val="004A7EF3"/>
    <w:rsid w:val="004B11FD"/>
    <w:rsid w:val="004B23A2"/>
    <w:rsid w:val="004D1A5A"/>
    <w:rsid w:val="004D2FFF"/>
    <w:rsid w:val="004D327D"/>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77D9E"/>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02BF"/>
    <w:rsid w:val="00721383"/>
    <w:rsid w:val="0072569E"/>
    <w:rsid w:val="00730B0A"/>
    <w:rsid w:val="0073158B"/>
    <w:rsid w:val="007333CC"/>
    <w:rsid w:val="0073399A"/>
    <w:rsid w:val="00740655"/>
    <w:rsid w:val="00741CBF"/>
    <w:rsid w:val="00752C65"/>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0BEA"/>
    <w:rsid w:val="00834F92"/>
    <w:rsid w:val="0083721E"/>
    <w:rsid w:val="00837A43"/>
    <w:rsid w:val="00853272"/>
    <w:rsid w:val="00855BA7"/>
    <w:rsid w:val="0087116D"/>
    <w:rsid w:val="008723F3"/>
    <w:rsid w:val="00872711"/>
    <w:rsid w:val="00875912"/>
    <w:rsid w:val="008807A7"/>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13F0A"/>
    <w:rsid w:val="00921856"/>
    <w:rsid w:val="00921B8C"/>
    <w:rsid w:val="0092565E"/>
    <w:rsid w:val="0093467C"/>
    <w:rsid w:val="00935386"/>
    <w:rsid w:val="00942123"/>
    <w:rsid w:val="009427E0"/>
    <w:rsid w:val="0095207B"/>
    <w:rsid w:val="00962045"/>
    <w:rsid w:val="00963D77"/>
    <w:rsid w:val="00980E61"/>
    <w:rsid w:val="0098392E"/>
    <w:rsid w:val="00991428"/>
    <w:rsid w:val="00992676"/>
    <w:rsid w:val="009954B2"/>
    <w:rsid w:val="00996691"/>
    <w:rsid w:val="009A2F63"/>
    <w:rsid w:val="009B0723"/>
    <w:rsid w:val="009B07AD"/>
    <w:rsid w:val="009B0883"/>
    <w:rsid w:val="009B15E2"/>
    <w:rsid w:val="009B48CF"/>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004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148"/>
    <w:rsid w:val="00A94F58"/>
    <w:rsid w:val="00A95463"/>
    <w:rsid w:val="00A96489"/>
    <w:rsid w:val="00AA0280"/>
    <w:rsid w:val="00AA7B7F"/>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35E58"/>
    <w:rsid w:val="00B44713"/>
    <w:rsid w:val="00B53AAD"/>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96EFD"/>
    <w:rsid w:val="00BA74EF"/>
    <w:rsid w:val="00BB0F2B"/>
    <w:rsid w:val="00BD4A58"/>
    <w:rsid w:val="00BD7337"/>
    <w:rsid w:val="00BE4FF3"/>
    <w:rsid w:val="00BF0003"/>
    <w:rsid w:val="00BF0D9F"/>
    <w:rsid w:val="00BF1B3E"/>
    <w:rsid w:val="00BF50F7"/>
    <w:rsid w:val="00BF6B84"/>
    <w:rsid w:val="00C02F29"/>
    <w:rsid w:val="00C05A9F"/>
    <w:rsid w:val="00C07BC0"/>
    <w:rsid w:val="00C13766"/>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016E"/>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16BD"/>
    <w:rsid w:val="00CD38A6"/>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46F"/>
    <w:rsid w:val="00E31DF3"/>
    <w:rsid w:val="00E421C6"/>
    <w:rsid w:val="00E450A4"/>
    <w:rsid w:val="00E46887"/>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072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1425536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1</Pages>
  <Words>3811</Words>
  <Characters>20965</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Martín Cammarata</cp:lastModifiedBy>
  <cp:revision>29</cp:revision>
  <cp:lastPrinted>2019-08-27T05:42:00Z</cp:lastPrinted>
  <dcterms:created xsi:type="dcterms:W3CDTF">2023-06-27T10:31:00Z</dcterms:created>
  <dcterms:modified xsi:type="dcterms:W3CDTF">2024-02-27T18:32:00Z</dcterms:modified>
</cp:coreProperties>
</file>