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982DDF" w:rsidRDefault="00AE5B6F" w:rsidP="00B04033">
      <w:pPr>
        <w:pStyle w:val="ListParagraph"/>
        <w:numPr>
          <w:ilvl w:val="0"/>
          <w:numId w:val="1"/>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w</w:t>
      </w:r>
      <w:r w:rsidR="00C91062" w:rsidRPr="00982DDF">
        <w:rPr>
          <w:rFonts w:ascii="Avenir Next" w:hAnsi="Avenir Next" w:cs="Arial"/>
          <w:sz w:val="22"/>
          <w:szCs w:val="22"/>
          <w:highlight w:val="yellow"/>
          <w:lang w:val="en-GB"/>
        </w:rPr>
        <w:t xml:space="preserve">ithin </w:t>
      </w:r>
      <w:r w:rsidR="00733A34" w:rsidRPr="00982DDF">
        <w:rPr>
          <w:rFonts w:ascii="Avenir Next" w:hAnsi="Avenir Next" w:cs="Arial"/>
          <w:sz w:val="22"/>
          <w:szCs w:val="22"/>
          <w:highlight w:val="yellow"/>
          <w:lang w:val="en-GB"/>
        </w:rPr>
        <w:t>eight</w:t>
      </w:r>
      <w:r w:rsidR="00C91062" w:rsidRPr="00982DDF">
        <w:rPr>
          <w:rFonts w:ascii="Avenir Next" w:hAnsi="Avenir Next" w:cs="Arial"/>
          <w:sz w:val="22"/>
          <w:szCs w:val="22"/>
          <w:highlight w:val="yellow"/>
          <w:lang w:val="en-GB"/>
        </w:rPr>
        <w:t xml:space="preserve"> weeks of the commencement of the administration</w:t>
      </w:r>
      <w:r w:rsidR="00763348" w:rsidRPr="00982DDF">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982DDF" w:rsidRDefault="00E443D7" w:rsidP="00C55824">
      <w:pPr>
        <w:pStyle w:val="ListParagraph"/>
        <w:numPr>
          <w:ilvl w:val="0"/>
          <w:numId w:val="2"/>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One year</w:t>
      </w:r>
      <w:r w:rsidR="00763348" w:rsidRPr="00982DDF">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982DDF" w:rsidRDefault="00AE5B6F" w:rsidP="00B04033">
      <w:pPr>
        <w:pStyle w:val="ListParagraph"/>
        <w:numPr>
          <w:ilvl w:val="0"/>
          <w:numId w:val="3"/>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T</w:t>
      </w:r>
      <w:r w:rsidR="008D1616" w:rsidRPr="00982DDF">
        <w:rPr>
          <w:rFonts w:ascii="Avenir Next" w:hAnsi="Avenir Next" w:cs="Arial"/>
          <w:sz w:val="22"/>
          <w:szCs w:val="22"/>
          <w:highlight w:val="yellow"/>
          <w:lang w:val="en-GB"/>
        </w:rPr>
        <w:t>he company is, or is likely to become, unable to pay their debts, as defined under s</w:t>
      </w:r>
      <w:r w:rsidR="00E833F4" w:rsidRPr="00982DDF">
        <w:rPr>
          <w:rFonts w:ascii="Avenir Next" w:hAnsi="Avenir Next" w:cs="Arial"/>
          <w:sz w:val="22"/>
          <w:szCs w:val="22"/>
          <w:highlight w:val="yellow"/>
          <w:lang w:val="en-GB"/>
        </w:rPr>
        <w:t>ection</w:t>
      </w:r>
      <w:r w:rsidR="008D1616" w:rsidRPr="00982DDF">
        <w:rPr>
          <w:rFonts w:ascii="Avenir Next" w:hAnsi="Avenir Next" w:cs="Arial"/>
          <w:sz w:val="22"/>
          <w:szCs w:val="22"/>
          <w:highlight w:val="yellow"/>
          <w:lang w:val="en-GB"/>
        </w:rPr>
        <w:t xml:space="preserve"> 123 of the Insolvency Act 1986</w:t>
      </w:r>
      <w:r w:rsidR="00763348" w:rsidRPr="00982DDF">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982DDF" w:rsidRDefault="00C91062" w:rsidP="00B04033">
      <w:pPr>
        <w:pStyle w:val="ListParagraph"/>
        <w:numPr>
          <w:ilvl w:val="0"/>
          <w:numId w:val="4"/>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The purchaser</w:t>
      </w:r>
      <w:r w:rsidR="00763348" w:rsidRPr="00982DDF">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982DDF" w:rsidRDefault="00BA1CFD" w:rsidP="00B04033">
      <w:pPr>
        <w:pStyle w:val="ListParagraph"/>
        <w:numPr>
          <w:ilvl w:val="0"/>
          <w:numId w:val="5"/>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Administration</w:t>
      </w:r>
      <w:r w:rsidR="00763348" w:rsidRPr="00982DDF">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982DDF" w:rsidRDefault="00221444" w:rsidP="00221444">
      <w:pPr>
        <w:pStyle w:val="ListParagraph"/>
        <w:numPr>
          <w:ilvl w:val="0"/>
          <w:numId w:val="6"/>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982DDF" w:rsidRDefault="00BA1CFD" w:rsidP="00B04033">
      <w:pPr>
        <w:pStyle w:val="ListParagraph"/>
        <w:numPr>
          <w:ilvl w:val="0"/>
          <w:numId w:val="7"/>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Breach of fiduciary duty</w:t>
      </w:r>
      <w:r w:rsidR="00763348" w:rsidRPr="00982DDF">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982DDF" w:rsidRDefault="00450393" w:rsidP="00450393">
      <w:pPr>
        <w:pStyle w:val="ListParagraph"/>
        <w:numPr>
          <w:ilvl w:val="0"/>
          <w:numId w:val="8"/>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982DDF" w:rsidRDefault="00E833F4" w:rsidP="00B04033">
      <w:pPr>
        <w:pStyle w:val="ListParagraph"/>
        <w:numPr>
          <w:ilvl w:val="0"/>
          <w:numId w:val="9"/>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A</w:t>
      </w:r>
      <w:r w:rsidR="000D10C6" w:rsidRPr="00982DD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982DDF" w:rsidRDefault="000D4CFA" w:rsidP="004C7A8F">
      <w:pPr>
        <w:pStyle w:val="ListParagraph"/>
        <w:numPr>
          <w:ilvl w:val="0"/>
          <w:numId w:val="10"/>
        </w:numPr>
        <w:ind w:left="426"/>
        <w:jc w:val="both"/>
        <w:rPr>
          <w:rFonts w:ascii="Avenir Next" w:hAnsi="Avenir Next" w:cs="Arial"/>
          <w:sz w:val="22"/>
          <w:szCs w:val="22"/>
          <w:highlight w:val="yellow"/>
          <w:lang w:val="en-GB"/>
        </w:rPr>
      </w:pPr>
      <w:r w:rsidRPr="00982DDF">
        <w:rPr>
          <w:rFonts w:ascii="Avenir Next" w:hAnsi="Avenir Next" w:cs="Arial"/>
          <w:sz w:val="22"/>
          <w:szCs w:val="22"/>
          <w:highlight w:val="yellow"/>
          <w:lang w:val="en-GB"/>
        </w:rPr>
        <w:t>Twelve</w:t>
      </w:r>
      <w:r w:rsidR="004C7A8F" w:rsidRPr="00982DDF">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4D3E15C5"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A314BF">
        <w:rPr>
          <w:rFonts w:ascii="Avenir Next" w:hAnsi="Avenir Next" w:cs="Arial"/>
          <w:color w:val="7B7B7B" w:themeColor="accent3" w:themeShade="BF"/>
          <w:sz w:val="22"/>
          <w:szCs w:val="22"/>
          <w:lang w:val="en-GB"/>
        </w:rPr>
        <w:t xml:space="preserve">(i) Applications are not brought as such under section 245 of the Insolvency Act 1986 which provides for the invalidity of floating charges granted within the relevant time other than for new consideration. However, such a transaction would be a preference and under section 239 such transactions may be avoided by the Court on the application of a liquidator or administrator. This conclusion is supported by the fact that in </w:t>
      </w:r>
      <w:r w:rsidR="00A314BF">
        <w:rPr>
          <w:rFonts w:ascii="Avenir Next" w:hAnsi="Avenir Next" w:cs="Arial"/>
          <w:i/>
          <w:iCs/>
          <w:color w:val="7B7B7B" w:themeColor="accent3" w:themeShade="BF"/>
          <w:sz w:val="22"/>
          <w:szCs w:val="22"/>
          <w:lang w:val="en-GB"/>
        </w:rPr>
        <w:t xml:space="preserve">Re Fairway Magazines </w:t>
      </w:r>
      <w:r w:rsidR="00A314BF">
        <w:rPr>
          <w:rFonts w:ascii="Avenir Next" w:hAnsi="Avenir Next" w:cs="Arial"/>
          <w:color w:val="7B7B7B" w:themeColor="accent3" w:themeShade="BF"/>
          <w:sz w:val="22"/>
          <w:szCs w:val="22"/>
          <w:lang w:val="en-GB"/>
        </w:rPr>
        <w:t xml:space="preserve">the liquidator was the named respondent to an application for a declaration that a floating charge was </w:t>
      </w:r>
      <w:r w:rsidR="00A314BF">
        <w:rPr>
          <w:rFonts w:ascii="Avenir Next" w:hAnsi="Avenir Next" w:cs="Arial"/>
          <w:i/>
          <w:iCs/>
          <w:color w:val="7B7B7B" w:themeColor="accent3" w:themeShade="BF"/>
          <w:sz w:val="22"/>
          <w:szCs w:val="22"/>
          <w:lang w:val="en-GB"/>
        </w:rPr>
        <w:t xml:space="preserve">not </w:t>
      </w:r>
      <w:r w:rsidR="00A314BF">
        <w:rPr>
          <w:rFonts w:ascii="Avenir Next" w:hAnsi="Avenir Next" w:cs="Arial"/>
          <w:color w:val="7B7B7B" w:themeColor="accent3" w:themeShade="BF"/>
          <w:sz w:val="22"/>
          <w:szCs w:val="22"/>
          <w:lang w:val="en-GB"/>
        </w:rPr>
        <w:t xml:space="preserve">invalidated by section 245, (ii) an application under section 6 of the Company Directors Disqualification Act 1986 for the disqualification of a director is made by the Secretary of State, or, where the company in question has been wound up by the Court, by the Official Receiver on the instructions of the Secretary of State. (iii) an application under section 246ZB of the Insolvency Act 1986 </w:t>
      </w:r>
      <w:r w:rsidR="00E519BC">
        <w:rPr>
          <w:rFonts w:ascii="Avenir Next" w:hAnsi="Avenir Next" w:cs="Arial"/>
          <w:color w:val="7B7B7B" w:themeColor="accent3" w:themeShade="BF"/>
          <w:sz w:val="22"/>
          <w:szCs w:val="22"/>
          <w:lang w:val="en-GB"/>
        </w:rPr>
        <w:t>making a director liable for wrongful trading</w:t>
      </w:r>
      <w:r w:rsidR="00A314BF">
        <w:rPr>
          <w:rFonts w:ascii="Avenir Next" w:hAnsi="Avenir Next" w:cs="Arial"/>
          <w:color w:val="7B7B7B" w:themeColor="accent3" w:themeShade="BF"/>
          <w:sz w:val="22"/>
          <w:szCs w:val="22"/>
          <w:lang w:val="en-GB"/>
        </w:rPr>
        <w:t xml:space="preserve"> is brought by the liquidator, and (iv) an application under section 127 of the Insolvency Act </w:t>
      </w:r>
      <w:r w:rsidR="00E519BC">
        <w:rPr>
          <w:rFonts w:ascii="Avenir Next" w:hAnsi="Avenir Next" w:cs="Arial"/>
          <w:color w:val="7B7B7B" w:themeColor="accent3" w:themeShade="BF"/>
          <w:sz w:val="22"/>
          <w:szCs w:val="22"/>
          <w:lang w:val="en-GB"/>
        </w:rPr>
        <w:t xml:space="preserve">to avoid a disposition made after commencement of the winding up </w:t>
      </w:r>
      <w:r w:rsidR="00A314BF">
        <w:rPr>
          <w:rFonts w:ascii="Avenir Next" w:hAnsi="Avenir Next" w:cs="Arial"/>
          <w:color w:val="7B7B7B" w:themeColor="accent3" w:themeShade="BF"/>
          <w:sz w:val="22"/>
          <w:szCs w:val="22"/>
          <w:lang w:val="en-GB"/>
        </w:rPr>
        <w:t xml:space="preserve">is brought by the liquidator, but </w:t>
      </w:r>
      <w:r w:rsidR="00E519BC">
        <w:rPr>
          <w:rFonts w:ascii="Avenir Next" w:hAnsi="Avenir Next" w:cs="Arial"/>
          <w:color w:val="7B7B7B" w:themeColor="accent3" w:themeShade="BF"/>
          <w:sz w:val="22"/>
          <w:szCs w:val="22"/>
          <w:lang w:val="en-GB"/>
        </w:rPr>
        <w:t>an affected person may seek a validation order declaring that the disposition is not void</w:t>
      </w:r>
      <w:r w:rsidRPr="00197F24">
        <w:rPr>
          <w:rFonts w:ascii="Avenir Next" w:hAnsi="Avenir Next" w:cs="Arial"/>
          <w:color w:val="7B7B7B" w:themeColor="accent3" w:themeShade="BF"/>
          <w:sz w:val="22"/>
          <w:szCs w:val="22"/>
          <w:lang w:val="en-GB"/>
        </w:rPr>
        <w: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61FE4A2E" w14:textId="48D7E9B0" w:rsidR="00187AD8"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187AD8">
        <w:rPr>
          <w:rFonts w:ascii="Avenir Next" w:hAnsi="Avenir Next" w:cs="Arial"/>
          <w:color w:val="7B7B7B" w:themeColor="accent3" w:themeShade="BF"/>
          <w:sz w:val="22"/>
          <w:szCs w:val="22"/>
          <w:lang w:val="en-GB"/>
        </w:rPr>
        <w:t>i</w:t>
      </w:r>
      <w:r w:rsidR="00FC106B">
        <w:rPr>
          <w:rFonts w:ascii="Avenir Next" w:hAnsi="Avenir Next" w:cs="Arial"/>
          <w:color w:val="7B7B7B" w:themeColor="accent3" w:themeShade="BF"/>
          <w:sz w:val="22"/>
          <w:szCs w:val="22"/>
          <w:lang w:val="en-GB"/>
        </w:rPr>
        <w:t>)</w:t>
      </w:r>
      <w:r w:rsidR="00187AD8">
        <w:rPr>
          <w:rFonts w:ascii="Avenir Next" w:hAnsi="Avenir Next" w:cs="Arial"/>
          <w:color w:val="7B7B7B" w:themeColor="accent3" w:themeShade="BF"/>
          <w:sz w:val="22"/>
          <w:szCs w:val="22"/>
          <w:lang w:val="en-GB"/>
        </w:rPr>
        <w:t xml:space="preserve"> the monitor’s remuneration or expenses;</w:t>
      </w:r>
    </w:p>
    <w:p w14:paraId="1190CF4C" w14:textId="1F6C7B77" w:rsidR="00187AD8" w:rsidRDefault="00187A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ii)the cost of goods or services supplied during the Moratorium;</w:t>
      </w:r>
    </w:p>
    <w:p w14:paraId="4F627F15" w14:textId="77777777" w:rsidR="00187AD8" w:rsidRDefault="00187A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 wages or salary payable under a contract of employment;</w:t>
      </w:r>
    </w:p>
    <w:p w14:paraId="020590D9" w14:textId="0160D7EB" w:rsidR="00187AD8" w:rsidRDefault="00187A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iv) redundancy payments; or </w:t>
      </w:r>
    </w:p>
    <w:p w14:paraId="74FF5947" w14:textId="1F0A6282" w:rsidR="00197F24" w:rsidRPr="00197F24" w:rsidRDefault="00187A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 rent falling due during the Moratorium</w:t>
      </w:r>
      <w:r w:rsidR="00197F24" w:rsidRPr="00197F24">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1C56225D" w:rsid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7E7928">
        <w:rPr>
          <w:rFonts w:ascii="Avenir Next" w:hAnsi="Avenir Next" w:cs="Arial"/>
          <w:color w:val="7B7B7B" w:themeColor="accent3" w:themeShade="BF"/>
          <w:sz w:val="22"/>
          <w:szCs w:val="22"/>
          <w:lang w:val="en-GB"/>
        </w:rPr>
        <w:t>Yes. Under section 233</w:t>
      </w:r>
      <w:r w:rsidR="00D534F6">
        <w:rPr>
          <w:rFonts w:ascii="Avenir Next" w:hAnsi="Avenir Next" w:cs="Arial"/>
          <w:color w:val="7B7B7B" w:themeColor="accent3" w:themeShade="BF"/>
          <w:sz w:val="22"/>
          <w:szCs w:val="22"/>
          <w:lang w:val="en-GB"/>
        </w:rPr>
        <w:t>A</w:t>
      </w:r>
      <w:r w:rsidR="007E7928">
        <w:rPr>
          <w:rFonts w:ascii="Avenir Next" w:hAnsi="Avenir Next" w:cs="Arial"/>
          <w:color w:val="7B7B7B" w:themeColor="accent3" w:themeShade="BF"/>
          <w:sz w:val="22"/>
          <w:szCs w:val="22"/>
          <w:lang w:val="en-GB"/>
        </w:rPr>
        <w:t xml:space="preserve"> of the Insolvency Acy 1986, a supplier to a company in administration of gas, electricity, water and communication services (such as point of sale terminals, computers, website hosting, etc.) cannot rely on any </w:t>
      </w:r>
      <w:r w:rsidR="007E7928">
        <w:rPr>
          <w:rFonts w:ascii="Avenir Next" w:hAnsi="Avenir Next" w:cs="Arial"/>
          <w:i/>
          <w:iCs/>
          <w:color w:val="7B7B7B" w:themeColor="accent3" w:themeShade="BF"/>
          <w:sz w:val="22"/>
          <w:szCs w:val="22"/>
          <w:lang w:val="en-GB"/>
        </w:rPr>
        <w:t xml:space="preserve">ipso facto </w:t>
      </w:r>
      <w:r w:rsidR="007E7928">
        <w:rPr>
          <w:rFonts w:ascii="Avenir Next" w:hAnsi="Avenir Next" w:cs="Arial"/>
          <w:color w:val="7B7B7B" w:themeColor="accent3" w:themeShade="BF"/>
          <w:sz w:val="22"/>
          <w:szCs w:val="22"/>
          <w:lang w:val="en-GB"/>
        </w:rPr>
        <w:t>clauses in their contracts with the company under which the fact o</w:t>
      </w:r>
      <w:r w:rsidR="00D534F6">
        <w:rPr>
          <w:rFonts w:ascii="Avenir Next" w:hAnsi="Avenir Next" w:cs="Arial"/>
          <w:color w:val="7B7B7B" w:themeColor="accent3" w:themeShade="BF"/>
          <w:sz w:val="22"/>
          <w:szCs w:val="22"/>
          <w:lang w:val="en-GB"/>
        </w:rPr>
        <w:t xml:space="preserve">f insolvency or administration would have been a basis for termination of the contract. Further, such suppliers cannot require satisfaction of arrears of payment as a precondition of continued supply. However, by section 233 of the Insolvency Act 1986, such suppliers can require that the administrator personally guarantee payment of charges for new supply. </w:t>
      </w:r>
    </w:p>
    <w:p w14:paraId="1EB62DBC" w14:textId="31786883" w:rsidR="00D534F6" w:rsidRPr="00D534F6" w:rsidRDefault="00D534F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Suppliers of other goods and services are similarly precluded for insisting on arrears of payment as a precondition of further supply and from relying on </w:t>
      </w:r>
      <w:r>
        <w:rPr>
          <w:rFonts w:ascii="Avenir Next" w:hAnsi="Avenir Next" w:cs="Arial"/>
          <w:i/>
          <w:iCs/>
          <w:color w:val="7B7B7B" w:themeColor="accent3" w:themeShade="BF"/>
          <w:sz w:val="22"/>
          <w:szCs w:val="22"/>
          <w:lang w:val="en-GB"/>
        </w:rPr>
        <w:t xml:space="preserve">ipso facto </w:t>
      </w:r>
      <w:r>
        <w:rPr>
          <w:rFonts w:ascii="Avenir Next" w:hAnsi="Avenir Next" w:cs="Arial"/>
          <w:color w:val="7B7B7B" w:themeColor="accent3" w:themeShade="BF"/>
          <w:sz w:val="22"/>
          <w:szCs w:val="22"/>
          <w:lang w:val="en-GB"/>
        </w:rPr>
        <w:t xml:space="preserve">clauses in their contracts of supply, by virtue of section 233B of the Insolvency Act 1986. However, they do not have the right to demand a personal guarantee as security for payment for new supply. In order to terminate the contract in administration, the supplier requires the consent of the company or administrator or (pursuant to an application) </w:t>
      </w:r>
      <w:r w:rsidR="00BC23A5">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the Court. The Court may grant such an application where it is satisfied that to oblige the supplier to continue to supply the company in administration would cause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905D984" w14:textId="77777777" w:rsidR="00AB484B"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AB484B">
        <w:rPr>
          <w:rFonts w:ascii="Avenir Next" w:hAnsi="Avenir Next" w:cs="Arial"/>
          <w:color w:val="7B7B7B" w:themeColor="accent3" w:themeShade="BF"/>
          <w:sz w:val="22"/>
          <w:szCs w:val="22"/>
          <w:lang w:val="en-GB"/>
        </w:rPr>
        <w:t>The order of priority of payments is:</w:t>
      </w:r>
    </w:p>
    <w:p w14:paraId="5D7D83EB" w14:textId="77777777" w:rsidR="00AB484B" w:rsidRDefault="00AB484B" w:rsidP="00AB484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of winding up;</w:t>
      </w:r>
    </w:p>
    <w:p w14:paraId="6445BB77" w14:textId="77777777" w:rsidR="00AB484B" w:rsidRDefault="00AB484B" w:rsidP="00AB484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p>
    <w:p w14:paraId="39D0DE1A" w14:textId="77777777" w:rsidR="00AB484B" w:rsidRDefault="00AB484B" w:rsidP="00AB484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holders;</w:t>
      </w:r>
    </w:p>
    <w:p w14:paraId="7FB7110A" w14:textId="77777777" w:rsidR="00AB484B" w:rsidRDefault="00AB484B" w:rsidP="00AB484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 then</w:t>
      </w:r>
    </w:p>
    <w:p w14:paraId="03216EDD" w14:textId="77777777" w:rsidR="00AB484B" w:rsidRDefault="00AB484B" w:rsidP="00AB484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p>
    <w:p w14:paraId="1FC50B16" w14:textId="77777777" w:rsidR="00AB484B" w:rsidRDefault="00AB484B" w:rsidP="00AB484B">
      <w:pPr>
        <w:ind w:left="360"/>
        <w:jc w:val="both"/>
        <w:rPr>
          <w:rFonts w:ascii="Avenir Next" w:hAnsi="Avenir Next" w:cs="Arial"/>
          <w:color w:val="7B7B7B" w:themeColor="accent3" w:themeShade="BF"/>
          <w:sz w:val="22"/>
          <w:szCs w:val="22"/>
          <w:lang w:val="en-GB"/>
        </w:rPr>
      </w:pPr>
    </w:p>
    <w:p w14:paraId="69BF6FC0" w14:textId="36FFF969" w:rsidR="00AB484B" w:rsidRDefault="00AB484B" w:rsidP="00AB484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expenses of winding up are also ranked in priority: first are expenses incurred by the liquidator in getting in the assets of the company, including litigation; then the cost of any security provided by the liquidator; then disbursements; then the remuneration of persons employed by the liquidator to provide services for the company and </w:t>
      </w:r>
      <w:r>
        <w:rPr>
          <w:rFonts w:ascii="Avenir Next" w:hAnsi="Avenir Next" w:cs="Arial"/>
          <w:i/>
          <w:iCs/>
          <w:color w:val="7B7B7B" w:themeColor="accent3" w:themeShade="BF"/>
          <w:sz w:val="22"/>
          <w:szCs w:val="22"/>
          <w:lang w:val="en-GB"/>
        </w:rPr>
        <w:t xml:space="preserve">then </w:t>
      </w:r>
      <w:r>
        <w:rPr>
          <w:rFonts w:ascii="Avenir Next" w:hAnsi="Avenir Next" w:cs="Arial"/>
          <w:color w:val="7B7B7B" w:themeColor="accent3" w:themeShade="BF"/>
          <w:sz w:val="22"/>
          <w:szCs w:val="22"/>
          <w:lang w:val="en-GB"/>
        </w:rPr>
        <w:t>the liquidator’s remuneration</w:t>
      </w:r>
      <w:r w:rsidR="0048327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followed by corporate tax on chargeable gains accruing on realisation of any asset of the company; and last, any other expenses. </w:t>
      </w:r>
    </w:p>
    <w:p w14:paraId="7E133813" w14:textId="77777777" w:rsidR="00AB484B" w:rsidRDefault="00AB484B" w:rsidP="00AB484B">
      <w:pPr>
        <w:ind w:left="360"/>
        <w:jc w:val="both"/>
        <w:rPr>
          <w:rFonts w:ascii="Avenir Next" w:hAnsi="Avenir Next" w:cs="Arial"/>
          <w:color w:val="7B7B7B" w:themeColor="accent3" w:themeShade="BF"/>
          <w:sz w:val="22"/>
          <w:szCs w:val="22"/>
          <w:lang w:val="en-GB"/>
        </w:rPr>
      </w:pPr>
    </w:p>
    <w:p w14:paraId="55EA49C4" w14:textId="29CCEFBF" w:rsidR="00AB484B" w:rsidRDefault="00AB484B" w:rsidP="00AB484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include employees’ claims such as accrued holiday or outstanding remuneration to the statutory limit of GBP800, and tax liabilities of the company. Preferential debts may be ordinary or secondary – ordinary preferential debts are paid first. Within each class (ordinary or secondary), preferential debts rank equally amongst themselves, and abate rateably if the company’s assets net of the expenses of winding up are insufficient to discharge them in full.</w:t>
      </w:r>
    </w:p>
    <w:p w14:paraId="2345EB90" w14:textId="77777777" w:rsidR="00AB484B" w:rsidRDefault="00AB484B" w:rsidP="00AB484B">
      <w:pPr>
        <w:ind w:left="360"/>
        <w:jc w:val="both"/>
        <w:rPr>
          <w:rFonts w:ascii="Avenir Next" w:hAnsi="Avenir Next" w:cs="Arial"/>
          <w:color w:val="7B7B7B" w:themeColor="accent3" w:themeShade="BF"/>
          <w:sz w:val="22"/>
          <w:szCs w:val="22"/>
          <w:lang w:val="en-GB"/>
        </w:rPr>
      </w:pPr>
    </w:p>
    <w:p w14:paraId="006F69C6" w14:textId="77777777" w:rsidR="001D5D30" w:rsidRDefault="00AB484B" w:rsidP="00AB484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debts of floating charge owners are ranked according to the order of creation: the first created being paid first. </w:t>
      </w:r>
      <w:r w:rsidR="001D5D30">
        <w:rPr>
          <w:rFonts w:ascii="Avenir Next" w:hAnsi="Avenir Next" w:cs="Arial"/>
          <w:color w:val="7B7B7B" w:themeColor="accent3" w:themeShade="BF"/>
          <w:sz w:val="22"/>
          <w:szCs w:val="22"/>
          <w:lang w:val="en-GB"/>
        </w:rPr>
        <w:t>Where the charge was created on or after September 15, 2003, the payment of debts of floating charge holders is subject to the provision of a “prescribed part” to satisfy unsecured creditors, and where the assets are insufficient to satisfy the floating charge holders, they are not permitted to share with the unsecured creditors in the prescribed part.</w:t>
      </w:r>
    </w:p>
    <w:p w14:paraId="64D3AA5C" w14:textId="77777777" w:rsidR="001D5D30" w:rsidRDefault="001D5D30" w:rsidP="00AB484B">
      <w:pPr>
        <w:ind w:left="360"/>
        <w:jc w:val="both"/>
        <w:rPr>
          <w:rFonts w:ascii="Avenir Next" w:hAnsi="Avenir Next" w:cs="Arial"/>
          <w:color w:val="7B7B7B" w:themeColor="accent3" w:themeShade="BF"/>
          <w:sz w:val="22"/>
          <w:szCs w:val="22"/>
          <w:lang w:val="en-GB"/>
        </w:rPr>
      </w:pPr>
    </w:p>
    <w:p w14:paraId="6E63C5F5" w14:textId="77777777" w:rsidR="001D5D30" w:rsidRDefault="001D5D30" w:rsidP="00AB484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Next fall unsecured creditors; and finally (if any assets remain thereafter) the shareholders who share according to the terms of the company’s constitution. </w:t>
      </w:r>
    </w:p>
    <w:p w14:paraId="2D70E6DD" w14:textId="77777777" w:rsidR="001D5D30" w:rsidRDefault="001D5D30" w:rsidP="00AB484B">
      <w:pPr>
        <w:ind w:left="360"/>
        <w:jc w:val="both"/>
        <w:rPr>
          <w:rFonts w:ascii="Avenir Next" w:hAnsi="Avenir Next" w:cs="Arial"/>
          <w:color w:val="7B7B7B" w:themeColor="accent3" w:themeShade="BF"/>
          <w:sz w:val="22"/>
          <w:szCs w:val="22"/>
          <w:lang w:val="en-GB"/>
        </w:rPr>
      </w:pPr>
    </w:p>
    <w:p w14:paraId="2D76528D" w14:textId="2C858B97" w:rsidR="00197F24" w:rsidRPr="00AB484B" w:rsidRDefault="001D5D30" w:rsidP="00AB484B">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company enters liquidation within 12 weeks of the end of a Moratorium, section 174A(2) of the Insolvency Act 1986 provides that any prescribed fees or expenses of the official receiver and moratorium debts and priority pre-moratorium debts rank prior to the expenses of winding up. Priority pre-moratorium expenses include debts owed to employees</w:t>
      </w:r>
      <w:r w:rsidR="00B9538A">
        <w:rPr>
          <w:rFonts w:ascii="Avenir Next" w:hAnsi="Avenir Next" w:cs="Arial"/>
          <w:color w:val="7B7B7B" w:themeColor="accent3" w:themeShade="BF"/>
          <w:sz w:val="22"/>
          <w:szCs w:val="22"/>
          <w:lang w:val="en-GB"/>
        </w:rPr>
        <w:t>, the monitor’s remuneration and debts in relation to financial services rendered to the company (other than accelerated debt).</w:t>
      </w:r>
      <w:r w:rsidR="00197F24" w:rsidRPr="00AB484B">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C0EB972" w14:textId="77777777" w:rsidR="00AF7FA3"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2209B7">
        <w:rPr>
          <w:rFonts w:ascii="Avenir Next" w:hAnsi="Avenir Next" w:cs="Arial"/>
          <w:color w:val="7B7B7B" w:themeColor="accent3" w:themeShade="BF"/>
          <w:sz w:val="22"/>
          <w:szCs w:val="22"/>
          <w:lang w:val="en-GB"/>
        </w:rPr>
        <w:t>The liquidator should apply to Court for a declaration of the invalidity of the floating charge, under section 245 of the Insolvency Act 1986. The facts do not suggest that Ambitus Bank pl</w:t>
      </w:r>
      <w:r w:rsidR="00C77C45">
        <w:rPr>
          <w:rFonts w:ascii="Avenir Next" w:hAnsi="Avenir Next" w:cs="Arial"/>
          <w:color w:val="7B7B7B" w:themeColor="accent3" w:themeShade="BF"/>
          <w:sz w:val="22"/>
          <w:szCs w:val="22"/>
          <w:lang w:val="en-GB"/>
        </w:rPr>
        <w:t>c</w:t>
      </w:r>
      <w:r w:rsidR="002209B7">
        <w:rPr>
          <w:rFonts w:ascii="Avenir Next" w:hAnsi="Avenir Next" w:cs="Arial"/>
          <w:color w:val="7B7B7B" w:themeColor="accent3" w:themeShade="BF"/>
          <w:sz w:val="22"/>
          <w:szCs w:val="22"/>
          <w:lang w:val="en-GB"/>
        </w:rPr>
        <w:t xml:space="preserve"> is a person connected to the </w:t>
      </w:r>
      <w:r w:rsidR="002577F7">
        <w:rPr>
          <w:rFonts w:ascii="Avenir Next" w:hAnsi="Avenir Next" w:cs="Arial"/>
          <w:color w:val="7B7B7B" w:themeColor="accent3" w:themeShade="BF"/>
          <w:sz w:val="22"/>
          <w:szCs w:val="22"/>
          <w:lang w:val="en-GB"/>
        </w:rPr>
        <w:t>C</w:t>
      </w:r>
      <w:r w:rsidR="002209B7">
        <w:rPr>
          <w:rFonts w:ascii="Avenir Next" w:hAnsi="Avenir Next" w:cs="Arial"/>
          <w:color w:val="7B7B7B" w:themeColor="accent3" w:themeShade="BF"/>
          <w:sz w:val="22"/>
          <w:szCs w:val="22"/>
          <w:lang w:val="en-GB"/>
        </w:rPr>
        <w:t xml:space="preserve">ompany. </w:t>
      </w:r>
    </w:p>
    <w:p w14:paraId="70DFE273" w14:textId="77777777" w:rsidR="00AF7FA3" w:rsidRDefault="00AF7FA3" w:rsidP="00197F24">
      <w:pPr>
        <w:jc w:val="both"/>
        <w:rPr>
          <w:rFonts w:ascii="Avenir Next" w:hAnsi="Avenir Next" w:cs="Arial"/>
          <w:color w:val="7B7B7B" w:themeColor="accent3" w:themeShade="BF"/>
          <w:sz w:val="22"/>
          <w:szCs w:val="22"/>
          <w:lang w:val="en-GB"/>
        </w:rPr>
      </w:pPr>
    </w:p>
    <w:p w14:paraId="47A4D245" w14:textId="1BED1233" w:rsidR="002209B7" w:rsidRDefault="002209B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Floating charges in favour of unconnected persons may be invalid where granted less than 1 year before the onset of insolvency </w:t>
      </w:r>
      <w:r w:rsidR="007109AE">
        <w:rPr>
          <w:rFonts w:ascii="Avenir Next" w:hAnsi="Avenir Next" w:cs="Arial"/>
          <w:color w:val="7B7B7B" w:themeColor="accent3" w:themeShade="BF"/>
          <w:sz w:val="22"/>
          <w:szCs w:val="22"/>
          <w:lang w:val="en-GB"/>
        </w:rPr>
        <w:t xml:space="preserve">(that is the date of commencement of ending up – section 245(5)(d) of the Insolvency Act 1986) </w:t>
      </w:r>
      <w:r>
        <w:rPr>
          <w:rFonts w:ascii="Avenir Next" w:hAnsi="Avenir Next" w:cs="Arial"/>
          <w:color w:val="7B7B7B" w:themeColor="accent3" w:themeShade="BF"/>
          <w:sz w:val="22"/>
          <w:szCs w:val="22"/>
          <w:lang w:val="en-GB"/>
        </w:rPr>
        <w:t xml:space="preserve">if at that time the </w:t>
      </w:r>
      <w:r w:rsidR="004670CB">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ompany was unable to pay its debts, unless new consideration was conferred for the charge. New consideration would include money paid or goods or services supplied to the company at the time of or after creation of the charge, or the discharge or reduction of debts due from the company at the time of or after creation of the charge. </w:t>
      </w:r>
    </w:p>
    <w:p w14:paraId="040BE6FB" w14:textId="77777777" w:rsidR="002209B7" w:rsidRDefault="002209B7" w:rsidP="00197F24">
      <w:pPr>
        <w:jc w:val="both"/>
        <w:rPr>
          <w:rFonts w:ascii="Avenir Next" w:hAnsi="Avenir Next" w:cs="Arial"/>
          <w:color w:val="7B7B7B" w:themeColor="accent3" w:themeShade="BF"/>
          <w:sz w:val="22"/>
          <w:szCs w:val="22"/>
          <w:lang w:val="en-GB"/>
        </w:rPr>
      </w:pPr>
    </w:p>
    <w:p w14:paraId="76E83B6C" w14:textId="4696A99F" w:rsidR="00197F24" w:rsidRPr="00197F24" w:rsidRDefault="002209B7" w:rsidP="007109A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facts, the </w:t>
      </w:r>
      <w:r w:rsidR="00342396">
        <w:rPr>
          <w:rFonts w:ascii="Avenir Next" w:hAnsi="Avenir Next" w:cs="Arial"/>
          <w:color w:val="7B7B7B" w:themeColor="accent3" w:themeShade="BF"/>
          <w:sz w:val="22"/>
          <w:szCs w:val="22"/>
          <w:lang w:val="en-GB"/>
        </w:rPr>
        <w:t xml:space="preserve">floating </w:t>
      </w:r>
      <w:r>
        <w:rPr>
          <w:rFonts w:ascii="Avenir Next" w:hAnsi="Avenir Next" w:cs="Arial"/>
          <w:color w:val="7B7B7B" w:themeColor="accent3" w:themeShade="BF"/>
          <w:sz w:val="22"/>
          <w:szCs w:val="22"/>
          <w:lang w:val="en-GB"/>
        </w:rPr>
        <w:t xml:space="preserve">charge was created </w:t>
      </w:r>
      <w:r w:rsidR="007109AE">
        <w:rPr>
          <w:rFonts w:ascii="Avenir Next" w:hAnsi="Avenir Next" w:cs="Arial"/>
          <w:color w:val="7B7B7B" w:themeColor="accent3" w:themeShade="BF"/>
          <w:sz w:val="22"/>
          <w:szCs w:val="22"/>
          <w:lang w:val="en-GB"/>
        </w:rPr>
        <w:t>7 months before the onset of insolvency, and no new consideration was conferred – the floating charge merely secures the existing debt. However, while the invalidity of the floating charge will preclude the bank from taking the priority status in the winding up of a floating charge holder, it does not invalidate the debts that the floating charge purported to secure</w:t>
      </w:r>
      <w:r w:rsidR="00217AE5">
        <w:rPr>
          <w:rFonts w:ascii="Avenir Next" w:hAnsi="Avenir Next" w:cs="Arial"/>
          <w:color w:val="7B7B7B" w:themeColor="accent3" w:themeShade="BF"/>
          <w:sz w:val="22"/>
          <w:szCs w:val="22"/>
          <w:lang w:val="en-GB"/>
        </w:rPr>
        <w:t>.</w:t>
      </w:r>
      <w:r w:rsidR="00197F24" w:rsidRPr="00197F24">
        <w:rPr>
          <w:rFonts w:ascii="Avenir Next" w:hAnsi="Avenir Next" w:cs="Arial"/>
          <w:color w:val="7B7B7B" w:themeColor="accent3" w:themeShade="BF"/>
          <w:sz w:val="22"/>
          <w:szCs w:val="22"/>
          <w:lang w:val="en-GB"/>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1B443AB" w14:textId="5E9FD1C7" w:rsidR="008E1CC9" w:rsidRDefault="00197F24" w:rsidP="008E1CC9">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7109AE">
        <w:rPr>
          <w:rFonts w:ascii="Avenir Next" w:hAnsi="Avenir Next" w:cs="Arial"/>
          <w:color w:val="7B7B7B" w:themeColor="accent3" w:themeShade="BF"/>
          <w:sz w:val="22"/>
          <w:szCs w:val="22"/>
          <w:lang w:val="en-GB"/>
        </w:rPr>
        <w:t xml:space="preserve">The laser cutting machines have been sold to </w:t>
      </w:r>
      <w:r w:rsidR="008E1CC9">
        <w:rPr>
          <w:rFonts w:ascii="Avenir Next" w:hAnsi="Avenir Next" w:cs="Arial"/>
          <w:color w:val="7B7B7B" w:themeColor="accent3" w:themeShade="BF"/>
          <w:sz w:val="22"/>
          <w:szCs w:val="22"/>
          <w:lang w:val="en-GB"/>
        </w:rPr>
        <w:t xml:space="preserve">Angela, </w:t>
      </w:r>
      <w:r w:rsidR="007109AE">
        <w:rPr>
          <w:rFonts w:ascii="Avenir Next" w:hAnsi="Avenir Next" w:cs="Arial"/>
          <w:color w:val="7B7B7B" w:themeColor="accent3" w:themeShade="BF"/>
          <w:sz w:val="22"/>
          <w:szCs w:val="22"/>
          <w:lang w:val="en-GB"/>
        </w:rPr>
        <w:t>a director</w:t>
      </w:r>
      <w:r w:rsidR="008E1CC9">
        <w:rPr>
          <w:rFonts w:ascii="Avenir Next" w:hAnsi="Avenir Next" w:cs="Arial"/>
          <w:color w:val="7B7B7B" w:themeColor="accent3" w:themeShade="BF"/>
          <w:sz w:val="22"/>
          <w:szCs w:val="22"/>
          <w:lang w:val="en-GB"/>
        </w:rPr>
        <w:t>,</w:t>
      </w:r>
      <w:r w:rsidR="007109AE">
        <w:rPr>
          <w:rFonts w:ascii="Avenir Next" w:hAnsi="Avenir Next" w:cs="Arial"/>
          <w:color w:val="7B7B7B" w:themeColor="accent3" w:themeShade="BF"/>
          <w:sz w:val="22"/>
          <w:szCs w:val="22"/>
          <w:lang w:val="en-GB"/>
        </w:rPr>
        <w:t xml:space="preserve"> at a value less than half what was paid for them a year before. Unless laser cutting machines depreciate very rapidly, this was a disposition at a significant undervalue. </w:t>
      </w:r>
      <w:r w:rsidR="008E1CC9">
        <w:rPr>
          <w:rFonts w:ascii="Avenir Next" w:hAnsi="Avenir Next" w:cs="Arial"/>
          <w:color w:val="7B7B7B" w:themeColor="accent3" w:themeShade="BF"/>
          <w:sz w:val="22"/>
          <w:szCs w:val="22"/>
          <w:lang w:val="en-GB"/>
        </w:rPr>
        <w:t xml:space="preserve">The transaction took place just one year before the commencement of liquidation, and so clearly within 2 years of that date. As such, there is the possibility that the liquidator can successfully attach this sale under section 238 of the Insolvency Act 1986 as a transaction at an undervalue. (Because the transaction took place before the commencement of liquidation, section 127 cannot be employed.) </w:t>
      </w:r>
    </w:p>
    <w:p w14:paraId="3067F74C" w14:textId="77777777" w:rsidR="008E1CC9" w:rsidRDefault="008E1CC9" w:rsidP="008E1CC9">
      <w:pPr>
        <w:jc w:val="both"/>
        <w:rPr>
          <w:rFonts w:ascii="Avenir Next" w:hAnsi="Avenir Next" w:cs="Arial"/>
          <w:color w:val="7B7B7B" w:themeColor="accent3" w:themeShade="BF"/>
          <w:sz w:val="22"/>
          <w:szCs w:val="22"/>
          <w:lang w:val="en-GB"/>
        </w:rPr>
      </w:pPr>
    </w:p>
    <w:p w14:paraId="3D39A0FE" w14:textId="142FF064" w:rsidR="008E1CC9" w:rsidRDefault="008E1CC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must also be shown that at the time of the transaction, the Company was unable to pay its debts as they fell due or became unable to do so as a result of the transaction. The liquidator will be assisted in this regard by the fact that Angela is a connected person, so that the Company’s insolvency or resulting insolvency is presumed unless the contrary is proved. </w:t>
      </w:r>
    </w:p>
    <w:p w14:paraId="07DBD586" w14:textId="77777777" w:rsidR="008E1CC9" w:rsidRDefault="008E1CC9" w:rsidP="00197F24">
      <w:pPr>
        <w:jc w:val="both"/>
        <w:rPr>
          <w:rFonts w:ascii="Avenir Next" w:hAnsi="Avenir Next" w:cs="Arial"/>
          <w:color w:val="7B7B7B" w:themeColor="accent3" w:themeShade="BF"/>
          <w:sz w:val="22"/>
          <w:szCs w:val="22"/>
          <w:lang w:val="en-GB"/>
        </w:rPr>
      </w:pPr>
    </w:p>
    <w:p w14:paraId="7E9A2374" w14:textId="77777777" w:rsidR="008E1CC9" w:rsidRDefault="008E1CC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facts, the Company was “[continuing] … to suffer cash flow problems” This is at least suggestive of the Company being insolvent at the relevant time.</w:t>
      </w:r>
    </w:p>
    <w:p w14:paraId="465B646D" w14:textId="77777777" w:rsidR="008E1CC9" w:rsidRDefault="008E1CC9" w:rsidP="00197F24">
      <w:pPr>
        <w:jc w:val="both"/>
        <w:rPr>
          <w:rFonts w:ascii="Avenir Next" w:hAnsi="Avenir Next" w:cs="Arial"/>
          <w:color w:val="7B7B7B" w:themeColor="accent3" w:themeShade="BF"/>
          <w:sz w:val="22"/>
          <w:szCs w:val="22"/>
          <w:lang w:val="en-GB"/>
        </w:rPr>
      </w:pPr>
    </w:p>
    <w:p w14:paraId="2048FCA2" w14:textId="5954B63A" w:rsidR="00197F24" w:rsidRPr="00197F24" w:rsidRDefault="008E1CC9" w:rsidP="00311D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it appears from the facts that the motive was not the preferment of Angela but the amelioration of the Company’s cash flow problems. The decision to sell to Angela may have been made in good faith having regard to liquidity needs, and thus done or the purpose of carrying in the Company’s business, to benefit the Company. If Angela is able to persuade the Court of this </w:t>
      </w:r>
      <w:r w:rsidR="00311D53">
        <w:rPr>
          <w:rFonts w:ascii="Avenir Next" w:hAnsi="Avenir Next" w:cs="Arial"/>
          <w:color w:val="7B7B7B" w:themeColor="accent3" w:themeShade="BF"/>
          <w:sz w:val="22"/>
          <w:szCs w:val="22"/>
          <w:lang w:val="en-GB"/>
        </w:rPr>
        <w:t>bona fides, the Court would not make an order under section 238</w:t>
      </w:r>
      <w:r w:rsidR="00197F24" w:rsidRPr="00197F2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73A787D" w14:textId="77777777" w:rsidR="008736A2"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8736A2">
        <w:rPr>
          <w:rFonts w:ascii="Avenir Next" w:hAnsi="Avenir Next" w:cs="Arial"/>
          <w:color w:val="7B7B7B" w:themeColor="accent3" w:themeShade="BF"/>
          <w:sz w:val="22"/>
          <w:szCs w:val="22"/>
          <w:lang w:val="en-GB"/>
        </w:rPr>
        <w:t>The liquidator may consider seeking to avoid the payments to Aluminium Alumini Ltd (“AAL”) as being a preference, by making an application under section 239 of the Insolvency Act 1986. Such an application may be made where the party to the transaction was at the time a creditor of the company, the transaction put the party in a better position in the company’s insolvency than they would have been in but for the transaction, the preference was given within 6 months of the onset of insolvency (where the party is not a connected person), and the company in effecting the transaction, was motivated by a desire to grant the party that advantage in the insolvency.</w:t>
      </w:r>
    </w:p>
    <w:p w14:paraId="249E0864" w14:textId="77777777" w:rsidR="008736A2" w:rsidRDefault="008736A2" w:rsidP="00CF3708">
      <w:pPr>
        <w:jc w:val="both"/>
        <w:rPr>
          <w:rFonts w:ascii="Avenir Next" w:hAnsi="Avenir Next" w:cs="Arial"/>
          <w:color w:val="7B7B7B" w:themeColor="accent3" w:themeShade="BF"/>
          <w:sz w:val="22"/>
          <w:szCs w:val="22"/>
          <w:lang w:val="en-GB"/>
        </w:rPr>
      </w:pPr>
    </w:p>
    <w:p w14:paraId="5AB3225B" w14:textId="02DEFC69" w:rsidR="00CF3708" w:rsidRPr="00197F24" w:rsidRDefault="008736A2"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the last requirement which the liquidator, on the facts, will be unlikely to be able to satisfy. It has been held in decided cases that where the company’s aim was to ensure that the company continued trading, the transaction will not be impugned as a preference. Here, the Company was responding to pressure by AAL as it needed the continuation of supply by AAL in order to continue trading. In the absence of other evidence of a different, preferential motive, the liquidator will therefore not be able to establish a preference.</w:t>
      </w:r>
      <w:r w:rsidR="00CF3708" w:rsidRPr="00197F24">
        <w:rPr>
          <w:rFonts w:ascii="Avenir Next" w:hAnsi="Avenir Next" w:cs="Arial"/>
          <w:color w:val="7B7B7B" w:themeColor="accent3" w:themeShade="BF"/>
          <w:sz w:val="22"/>
          <w:szCs w:val="22"/>
          <w:lang w:val="en-GB"/>
        </w:rPr>
        <w: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B36B44">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4DCA" w14:textId="77777777" w:rsidR="00B36B44" w:rsidRDefault="00B36B44" w:rsidP="00241B44">
      <w:r>
        <w:separator/>
      </w:r>
    </w:p>
  </w:endnote>
  <w:endnote w:type="continuationSeparator" w:id="0">
    <w:p w14:paraId="7F053ECC" w14:textId="77777777" w:rsidR="00B36B44" w:rsidRDefault="00B36B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46B8C95" w:rsidR="00241FA3" w:rsidRPr="00A84235" w:rsidRDefault="001F41D6" w:rsidP="009B4976">
    <w:pPr>
      <w:pStyle w:val="Footer"/>
      <w:ind w:right="360"/>
      <w:rPr>
        <w:rFonts w:ascii="Avenir Next" w:hAnsi="Avenir Next" w:cs="Arial"/>
        <w:sz w:val="22"/>
        <w:szCs w:val="22"/>
        <w:lang w:val="en-GB"/>
      </w:rPr>
    </w:pPr>
    <w:r w:rsidRPr="001F41D6">
      <w:rPr>
        <w:rFonts w:ascii="Avenir Next" w:hAnsi="Avenir Next" w:cs="Arial"/>
        <w:sz w:val="22"/>
        <w:szCs w:val="22"/>
        <w:lang w:val="en-GB"/>
      </w:rPr>
      <w:t>FC202324-1420.assessment3B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AD39" w14:textId="77777777" w:rsidR="00B36B44" w:rsidRDefault="00B36B44" w:rsidP="00241B44">
      <w:r>
        <w:separator/>
      </w:r>
    </w:p>
  </w:footnote>
  <w:footnote w:type="continuationSeparator" w:id="0">
    <w:p w14:paraId="3F384DB3" w14:textId="77777777" w:rsidR="00B36B44" w:rsidRDefault="00B36B4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42148"/>
    <w:multiLevelType w:val="hybridMultilevel"/>
    <w:tmpl w:val="D11EEACC"/>
    <w:lvl w:ilvl="0" w:tplc="7B0E5C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8"/>
  </w:num>
  <w:num w:numId="5" w16cid:durableId="1338728706">
    <w:abstractNumId w:val="11"/>
  </w:num>
  <w:num w:numId="6" w16cid:durableId="376245857">
    <w:abstractNumId w:val="2"/>
  </w:num>
  <w:num w:numId="7" w16cid:durableId="1396392877">
    <w:abstractNumId w:val="12"/>
  </w:num>
  <w:num w:numId="8" w16cid:durableId="1599950421">
    <w:abstractNumId w:val="16"/>
  </w:num>
  <w:num w:numId="9" w16cid:durableId="858857530">
    <w:abstractNumId w:val="9"/>
  </w:num>
  <w:num w:numId="10" w16cid:durableId="619802517">
    <w:abstractNumId w:val="17"/>
  </w:num>
  <w:num w:numId="11" w16cid:durableId="1831171333">
    <w:abstractNumId w:val="5"/>
  </w:num>
  <w:num w:numId="12" w16cid:durableId="84155222">
    <w:abstractNumId w:val="14"/>
  </w:num>
  <w:num w:numId="13" w16cid:durableId="1163352382">
    <w:abstractNumId w:val="10"/>
  </w:num>
  <w:num w:numId="14" w16cid:durableId="19356955">
    <w:abstractNumId w:val="4"/>
  </w:num>
  <w:num w:numId="15" w16cid:durableId="439304345">
    <w:abstractNumId w:val="13"/>
  </w:num>
  <w:num w:numId="16" w16cid:durableId="1126969584">
    <w:abstractNumId w:val="15"/>
  </w:num>
  <w:num w:numId="17" w16cid:durableId="1710716489">
    <w:abstractNumId w:val="7"/>
  </w:num>
  <w:num w:numId="18" w16cid:durableId="13855661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375C6"/>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7AD8"/>
    <w:rsid w:val="001966D9"/>
    <w:rsid w:val="00197F24"/>
    <w:rsid w:val="001A007A"/>
    <w:rsid w:val="001A7E9A"/>
    <w:rsid w:val="001B0F70"/>
    <w:rsid w:val="001B5016"/>
    <w:rsid w:val="001C45FC"/>
    <w:rsid w:val="001D0469"/>
    <w:rsid w:val="001D29C0"/>
    <w:rsid w:val="001D4862"/>
    <w:rsid w:val="001D5D30"/>
    <w:rsid w:val="001E25B9"/>
    <w:rsid w:val="001E49E0"/>
    <w:rsid w:val="001E7B5A"/>
    <w:rsid w:val="001F3C98"/>
    <w:rsid w:val="001F41D6"/>
    <w:rsid w:val="001F7412"/>
    <w:rsid w:val="0020090A"/>
    <w:rsid w:val="0020204E"/>
    <w:rsid w:val="00202DFE"/>
    <w:rsid w:val="0020725B"/>
    <w:rsid w:val="002110F1"/>
    <w:rsid w:val="00217AE5"/>
    <w:rsid w:val="002209B7"/>
    <w:rsid w:val="00221444"/>
    <w:rsid w:val="002356EA"/>
    <w:rsid w:val="00237A00"/>
    <w:rsid w:val="0024116D"/>
    <w:rsid w:val="00241B44"/>
    <w:rsid w:val="00241FA3"/>
    <w:rsid w:val="00245EFB"/>
    <w:rsid w:val="0025386E"/>
    <w:rsid w:val="002577F7"/>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1D53"/>
    <w:rsid w:val="003144EF"/>
    <w:rsid w:val="00314F32"/>
    <w:rsid w:val="00326292"/>
    <w:rsid w:val="00326415"/>
    <w:rsid w:val="00330937"/>
    <w:rsid w:val="00330F31"/>
    <w:rsid w:val="00334648"/>
    <w:rsid w:val="0033768C"/>
    <w:rsid w:val="00337938"/>
    <w:rsid w:val="00340769"/>
    <w:rsid w:val="00341AA6"/>
    <w:rsid w:val="0034239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670CB"/>
    <w:rsid w:val="00474C2B"/>
    <w:rsid w:val="00477C72"/>
    <w:rsid w:val="0048327D"/>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09AE"/>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E7928"/>
    <w:rsid w:val="007F41F8"/>
    <w:rsid w:val="007F659B"/>
    <w:rsid w:val="0080441E"/>
    <w:rsid w:val="0080454E"/>
    <w:rsid w:val="00804C32"/>
    <w:rsid w:val="00806302"/>
    <w:rsid w:val="00807119"/>
    <w:rsid w:val="00820376"/>
    <w:rsid w:val="0082483F"/>
    <w:rsid w:val="008279C0"/>
    <w:rsid w:val="00831550"/>
    <w:rsid w:val="008605A7"/>
    <w:rsid w:val="00867701"/>
    <w:rsid w:val="00871C74"/>
    <w:rsid w:val="008723F3"/>
    <w:rsid w:val="008736A2"/>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1CC9"/>
    <w:rsid w:val="008E3339"/>
    <w:rsid w:val="008F20FC"/>
    <w:rsid w:val="008F5FFE"/>
    <w:rsid w:val="00905A43"/>
    <w:rsid w:val="00912C79"/>
    <w:rsid w:val="00921B8C"/>
    <w:rsid w:val="00924DAF"/>
    <w:rsid w:val="00931D14"/>
    <w:rsid w:val="00942123"/>
    <w:rsid w:val="00951AA8"/>
    <w:rsid w:val="0095207B"/>
    <w:rsid w:val="00962045"/>
    <w:rsid w:val="00980E61"/>
    <w:rsid w:val="00982DDF"/>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14BF"/>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484B"/>
    <w:rsid w:val="00AB685C"/>
    <w:rsid w:val="00AB6C2D"/>
    <w:rsid w:val="00AC08F7"/>
    <w:rsid w:val="00AC317D"/>
    <w:rsid w:val="00AC3839"/>
    <w:rsid w:val="00AC7082"/>
    <w:rsid w:val="00AD4BE8"/>
    <w:rsid w:val="00AE5B6F"/>
    <w:rsid w:val="00AF228E"/>
    <w:rsid w:val="00AF7FA3"/>
    <w:rsid w:val="00B016A8"/>
    <w:rsid w:val="00B04033"/>
    <w:rsid w:val="00B14819"/>
    <w:rsid w:val="00B15E2F"/>
    <w:rsid w:val="00B17AA9"/>
    <w:rsid w:val="00B36B44"/>
    <w:rsid w:val="00B44713"/>
    <w:rsid w:val="00B455E5"/>
    <w:rsid w:val="00B51B95"/>
    <w:rsid w:val="00B56103"/>
    <w:rsid w:val="00B64929"/>
    <w:rsid w:val="00B736DF"/>
    <w:rsid w:val="00B743D6"/>
    <w:rsid w:val="00B74FBD"/>
    <w:rsid w:val="00B77F46"/>
    <w:rsid w:val="00B82586"/>
    <w:rsid w:val="00B829A3"/>
    <w:rsid w:val="00B86DB1"/>
    <w:rsid w:val="00B87869"/>
    <w:rsid w:val="00B9538A"/>
    <w:rsid w:val="00B9639B"/>
    <w:rsid w:val="00BA1CFD"/>
    <w:rsid w:val="00BB0F2B"/>
    <w:rsid w:val="00BC231B"/>
    <w:rsid w:val="00BC23A5"/>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C45"/>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4F6"/>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9BC"/>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106B"/>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Koeiman, Michael</cp:lastModifiedBy>
  <cp:revision>22</cp:revision>
  <cp:lastPrinted>2024-03-01T16:08:00Z</cp:lastPrinted>
  <dcterms:created xsi:type="dcterms:W3CDTF">2024-03-01T13:59:00Z</dcterms:created>
  <dcterms:modified xsi:type="dcterms:W3CDTF">2024-03-01T16:37:00Z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