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176B51">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B263D0">
      <w:pPr>
        <w:pStyle w:val="ListParagraph"/>
        <w:numPr>
          <w:ilvl w:val="0"/>
          <w:numId w:val="14"/>
        </w:numPr>
        <w:ind w:left="426" w:hanging="426"/>
        <w:jc w:val="both"/>
        <w:rPr>
          <w:rFonts w:ascii="Avenir Next" w:hAnsi="Avenir Next" w:cs="Arial"/>
          <w:sz w:val="22"/>
          <w:szCs w:val="22"/>
          <w:lang w:val="en-GB"/>
        </w:rPr>
      </w:pPr>
      <w:r w:rsidRPr="00CB4C1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CB4C13"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B4C13">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520385"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520385">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520385" w:rsidRDefault="00893A03" w:rsidP="00893A03">
      <w:pPr>
        <w:pStyle w:val="ListParagraph"/>
        <w:numPr>
          <w:ilvl w:val="0"/>
          <w:numId w:val="16"/>
        </w:numPr>
        <w:ind w:left="426" w:hanging="426"/>
        <w:jc w:val="both"/>
        <w:rPr>
          <w:rFonts w:ascii="Avenir Next" w:hAnsi="Avenir Next" w:cs="Arial"/>
          <w:sz w:val="22"/>
          <w:szCs w:val="22"/>
          <w:lang w:val="en-GB"/>
        </w:rPr>
      </w:pPr>
      <w:r w:rsidRPr="00520385">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00111">
      <w:pPr>
        <w:pStyle w:val="ListParagraph"/>
        <w:numPr>
          <w:ilvl w:val="0"/>
          <w:numId w:val="18"/>
        </w:numPr>
        <w:ind w:left="426" w:hanging="426"/>
        <w:jc w:val="both"/>
        <w:rPr>
          <w:rFonts w:ascii="Avenir Next" w:hAnsi="Avenir Next" w:cs="Arial"/>
          <w:sz w:val="22"/>
          <w:szCs w:val="22"/>
          <w:lang w:val="en-GB"/>
        </w:rPr>
      </w:pPr>
      <w:r w:rsidRPr="00711558">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1F25B7"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1F25B7">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1F25B7" w:rsidRDefault="003220BA" w:rsidP="00C00111">
      <w:pPr>
        <w:pStyle w:val="ListParagraph"/>
        <w:numPr>
          <w:ilvl w:val="0"/>
          <w:numId w:val="20"/>
        </w:numPr>
        <w:ind w:left="426" w:hanging="426"/>
        <w:jc w:val="both"/>
        <w:rPr>
          <w:rFonts w:ascii="Avenir Next" w:hAnsi="Avenir Next" w:cs="Arial"/>
          <w:sz w:val="22"/>
          <w:szCs w:val="22"/>
          <w:lang w:val="en-GB"/>
        </w:rPr>
      </w:pPr>
      <w:r w:rsidRPr="001F25B7">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D76663"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76663">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165438"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165438">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BA3480"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BA3480">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BA3480"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BA3480">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423286"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42328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0A92179D" w:rsidR="00CB56CE" w:rsidRPr="00B77352" w:rsidRDefault="00B77352" w:rsidP="007D25C5">
      <w:pPr>
        <w:ind w:left="709" w:hanging="709"/>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9B5EEF">
        <w:rPr>
          <w:rFonts w:ascii="Avenir Next" w:hAnsi="Avenir Next" w:cs="Arial"/>
          <w:color w:val="808080" w:themeColor="background1" w:themeShade="80"/>
          <w:sz w:val="22"/>
          <w:szCs w:val="22"/>
          <w:lang w:val="en-GB"/>
        </w:rPr>
        <w:t xml:space="preserve">The MLCBI is a legislative framework, whereas the EIR is a part of the domestic law of the EU Member States. As such, the MLCBI as soft law, provides a more flexible and adaptable solution to legislative disparities between nations, and facilitates cooperation among a wider network of nations, within a relatively short period of time. Concerns of sovereignty and different legislative approaches meant that the negotiation and adoption of the EIR was a much lengthier process. Further, its application is by definition limited to the EU. </w:t>
      </w:r>
      <w:r w:rsidR="00F778F6">
        <w:rPr>
          <w:rFonts w:ascii="Avenir Next" w:hAnsi="Avenir Next" w:cs="Arial"/>
          <w:color w:val="808080" w:themeColor="background1" w:themeShade="80"/>
          <w:sz w:val="22"/>
          <w:szCs w:val="22"/>
          <w:lang w:val="en-GB"/>
        </w:rPr>
        <w:t>However</w:t>
      </w:r>
      <w:r w:rsidR="009B5EEF">
        <w:rPr>
          <w:rFonts w:ascii="Avenir Next" w:hAnsi="Avenir Next" w:cs="Arial"/>
          <w:color w:val="808080" w:themeColor="background1" w:themeShade="80"/>
          <w:sz w:val="22"/>
          <w:szCs w:val="22"/>
          <w:lang w:val="en-GB"/>
        </w:rPr>
        <w:t xml:space="preserve">, once enacted it would </w:t>
      </w:r>
      <w:r w:rsidR="00F778F6">
        <w:rPr>
          <w:rFonts w:ascii="Avenir Next" w:hAnsi="Avenir Next" w:cs="Arial"/>
          <w:color w:val="808080" w:themeColor="background1" w:themeShade="80"/>
          <w:sz w:val="22"/>
          <w:szCs w:val="22"/>
          <w:lang w:val="en-GB"/>
        </w:rPr>
        <w:t>facilitate</w:t>
      </w:r>
      <w:r w:rsidR="009B5EEF">
        <w:rPr>
          <w:rFonts w:ascii="Avenir Next" w:hAnsi="Avenir Next" w:cs="Arial"/>
          <w:color w:val="808080" w:themeColor="background1" w:themeShade="80"/>
          <w:sz w:val="22"/>
          <w:szCs w:val="22"/>
          <w:lang w:val="en-GB"/>
        </w:rPr>
        <w:t xml:space="preserve"> a much greater degree or harmony and efficient resolution of difficulties attending a cross-border insolvency</w:t>
      </w:r>
      <w:r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2C12697" w:rsidR="00867A8F" w:rsidRPr="00B77352" w:rsidRDefault="00867A8F" w:rsidP="007D25C5">
      <w:pPr>
        <w:ind w:left="709" w:hanging="709"/>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64217">
        <w:rPr>
          <w:rFonts w:ascii="Avenir Next" w:hAnsi="Avenir Next" w:cs="Arial"/>
          <w:color w:val="808080" w:themeColor="background1" w:themeShade="80"/>
          <w:sz w:val="22"/>
          <w:szCs w:val="22"/>
          <w:lang w:val="en-GB"/>
        </w:rPr>
        <w:t xml:space="preserve">In exercising its discretionary power in relation to a foreign representative of a foreign, non-main proceeding, the Court in the enacting State must </w:t>
      </w:r>
      <w:r w:rsidR="006C1B65">
        <w:rPr>
          <w:rFonts w:ascii="Avenir Next" w:hAnsi="Avenir Next" w:cs="Arial"/>
          <w:color w:val="808080" w:themeColor="background1" w:themeShade="80"/>
          <w:sz w:val="22"/>
          <w:szCs w:val="22"/>
          <w:lang w:val="en-GB"/>
        </w:rPr>
        <w:t xml:space="preserve">strike a balance between the interests of the foreign representative in the relief sought, and the interests of </w:t>
      </w:r>
      <w:r w:rsidR="00F778F6">
        <w:rPr>
          <w:rFonts w:ascii="Avenir Next" w:hAnsi="Avenir Next" w:cs="Arial"/>
          <w:color w:val="808080" w:themeColor="background1" w:themeShade="80"/>
          <w:sz w:val="22"/>
          <w:szCs w:val="22"/>
          <w:lang w:val="en-GB"/>
        </w:rPr>
        <w:t>persons</w:t>
      </w:r>
      <w:r w:rsidR="006C1B65">
        <w:rPr>
          <w:rFonts w:ascii="Avenir Next" w:hAnsi="Avenir Next" w:cs="Arial"/>
          <w:color w:val="808080" w:themeColor="background1" w:themeShade="80"/>
          <w:sz w:val="22"/>
          <w:szCs w:val="22"/>
          <w:lang w:val="en-GB"/>
        </w:rPr>
        <w:t xml:space="preserve"> who may be affected by the relief (Article 22 of the Model Law). It must also </w:t>
      </w:r>
      <w:r w:rsidR="00D64217">
        <w:rPr>
          <w:rFonts w:ascii="Avenir Next" w:hAnsi="Avenir Next" w:cs="Arial"/>
          <w:color w:val="808080" w:themeColor="background1" w:themeShade="80"/>
          <w:sz w:val="22"/>
          <w:szCs w:val="22"/>
          <w:lang w:val="en-GB"/>
        </w:rPr>
        <w:t xml:space="preserve">consider the likely impact on other insolvency proceedings, especially the main proceeding. Another central consideration as shown in UK cases such as </w:t>
      </w:r>
      <w:r w:rsidR="00D64217" w:rsidRPr="00F778F6">
        <w:rPr>
          <w:rFonts w:ascii="Avenir Next" w:hAnsi="Avenir Next" w:cs="Arial"/>
          <w:i/>
          <w:iCs/>
          <w:color w:val="808080" w:themeColor="background1" w:themeShade="80"/>
          <w:sz w:val="22"/>
          <w:szCs w:val="22"/>
          <w:lang w:val="en-GB"/>
        </w:rPr>
        <w:t>Fibria Celulose S/A v Pan Ocean Co Ltd</w:t>
      </w:r>
      <w:r w:rsidR="00D64217">
        <w:rPr>
          <w:rFonts w:ascii="Avenir Next" w:hAnsi="Avenir Next" w:cs="Arial"/>
          <w:color w:val="808080" w:themeColor="background1" w:themeShade="80"/>
          <w:sz w:val="22"/>
          <w:szCs w:val="22"/>
          <w:lang w:val="en-GB"/>
        </w:rPr>
        <w:t xml:space="preserve"> and “the IBA Case” is whether </w:t>
      </w:r>
      <w:r w:rsidR="00D64217">
        <w:rPr>
          <w:rFonts w:ascii="Avenir Next" w:hAnsi="Avenir Next" w:cs="Arial"/>
          <w:color w:val="808080" w:themeColor="background1" w:themeShade="80"/>
          <w:sz w:val="22"/>
          <w:szCs w:val="22"/>
          <w:lang w:val="en-GB"/>
        </w:rPr>
        <w:lastRenderedPageBreak/>
        <w:t>the relief sought would be in conflict with substantive rights or settled public policy under the domestic law of the enacting State.</w:t>
      </w:r>
      <w:r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445800D" w:rsidR="00867A8F" w:rsidRPr="00B77352" w:rsidRDefault="00867A8F" w:rsidP="007D25C5">
      <w:pPr>
        <w:ind w:left="709" w:hanging="709"/>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D244C">
        <w:rPr>
          <w:rFonts w:ascii="Avenir Next" w:hAnsi="Avenir Next" w:cs="Arial"/>
          <w:color w:val="808080" w:themeColor="background1" w:themeShade="80"/>
          <w:sz w:val="22"/>
          <w:szCs w:val="22"/>
          <w:lang w:val="en-GB"/>
        </w:rPr>
        <w:t>Article 13 protects creditors in a foreign proceeding from discrimination before the Court in the enacting State, so that foreign creditors have the same rights as domestic creditors to commence and participate in domestic proceedings in the enacting State. It extends to ensuring that the claims of domestic creditors are not to be given priority over those of foreign creditors by reason only that the foreign creditor is foreign</w:t>
      </w:r>
      <w:r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C3FA702" w:rsidR="00867A8F" w:rsidRDefault="00867A8F" w:rsidP="007D25C5">
      <w:pPr>
        <w:ind w:left="709" w:hanging="709"/>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7D25C5">
        <w:rPr>
          <w:rFonts w:ascii="Avenir Next" w:hAnsi="Avenir Next" w:cs="Arial"/>
          <w:color w:val="808080" w:themeColor="background1" w:themeShade="80"/>
          <w:sz w:val="22"/>
          <w:szCs w:val="22"/>
          <w:lang w:val="en-GB"/>
        </w:rPr>
        <w:t xml:space="preserve">Recognition of a foreign proceeding as a foreign main proceeding affords automatic relief under Article 20 of the Model Law in the form of a stay of the commencement of proceedings against the debtor; a stay of execution against the debtor’s assets; and a suspension of the right to transfer; charge or otherwise dispose of the debtor’s assets. Such relief in a non-main proceeding may only be obtained pursuant to a request by the foreign representative prior to recognition (under Article 19 of the Model Law) or post-recognition (under Article 21 of the Model Law). </w:t>
      </w:r>
      <w:r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B9177A5"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3554F">
        <w:rPr>
          <w:rFonts w:ascii="Avenir Next" w:hAnsi="Avenir Next" w:cs="Arial"/>
          <w:color w:val="808080" w:themeColor="background1" w:themeShade="80"/>
          <w:sz w:val="22"/>
          <w:szCs w:val="22"/>
          <w:lang w:val="en-GB"/>
        </w:rPr>
        <w:t>Since the COMI is in G</w:t>
      </w:r>
      <w:r w:rsidR="00751573">
        <w:rPr>
          <w:rFonts w:ascii="Avenir Next" w:hAnsi="Avenir Next" w:cs="Arial"/>
          <w:color w:val="808080" w:themeColor="background1" w:themeShade="80"/>
          <w:sz w:val="22"/>
          <w:szCs w:val="22"/>
          <w:lang w:val="en-GB"/>
        </w:rPr>
        <w:t>e</w:t>
      </w:r>
      <w:r w:rsidR="00D3554F">
        <w:rPr>
          <w:rFonts w:ascii="Avenir Next" w:hAnsi="Avenir Next" w:cs="Arial"/>
          <w:color w:val="808080" w:themeColor="background1" w:themeShade="80"/>
          <w:sz w:val="22"/>
          <w:szCs w:val="22"/>
          <w:lang w:val="en-GB"/>
        </w:rPr>
        <w:t xml:space="preserve">rmany, the proceeding filed in Germany will be the foreign main proceeding and so the proceeding filed in Bermuda will be a foregn non-main proceeding. As a result, an automatic stay of actions against the debtor in the US in favour of the German insolvency representative will be granted by the Court in the US upon recognition of the German proceedings. Further, </w:t>
      </w:r>
      <w:r w:rsidR="00751573">
        <w:rPr>
          <w:rFonts w:ascii="Avenir Next" w:hAnsi="Avenir Next" w:cs="Arial"/>
          <w:color w:val="808080" w:themeColor="background1" w:themeShade="80"/>
          <w:sz w:val="22"/>
          <w:szCs w:val="22"/>
          <w:lang w:val="en-GB"/>
        </w:rPr>
        <w:t>if the Bermudian proceedings were recognised first, and any pre-recognition or post-recognition relief was granted in favour of the Bermudian insolvency representative, it will have to be reviewed and modified or terminated if inconsistent with the German proceeedings which take precedence. Of course, of the German proceedings are recognised first, relief in favour of the Bermudian insolvency representative must be consistent with the German proceedings.</w:t>
      </w:r>
      <w:r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6F428D80"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C6A1D">
        <w:rPr>
          <w:rFonts w:ascii="Avenir Next" w:hAnsi="Avenir Next" w:cs="Arial"/>
          <w:color w:val="808080" w:themeColor="background1" w:themeShade="80"/>
          <w:sz w:val="22"/>
          <w:szCs w:val="22"/>
          <w:lang w:val="en-GB"/>
        </w:rPr>
        <w:t>Even if the foreign proceeding is a foreign main proceeding (which is suggeste</w:t>
      </w:r>
      <w:r w:rsidR="00B041AF">
        <w:rPr>
          <w:rFonts w:ascii="Avenir Next" w:hAnsi="Avenir Next" w:cs="Arial"/>
          <w:color w:val="808080" w:themeColor="background1" w:themeShade="80"/>
          <w:sz w:val="22"/>
          <w:szCs w:val="22"/>
          <w:lang w:val="en-GB"/>
        </w:rPr>
        <w:t>d</w:t>
      </w:r>
      <w:r w:rsidR="004C6A1D">
        <w:rPr>
          <w:rFonts w:ascii="Avenir Next" w:hAnsi="Avenir Next" w:cs="Arial"/>
          <w:color w:val="808080" w:themeColor="background1" w:themeShade="80"/>
          <w:sz w:val="22"/>
          <w:szCs w:val="22"/>
          <w:lang w:val="en-GB"/>
        </w:rPr>
        <w:t xml:space="preserve"> by the nature of the office of the foreign representative), so attracting automatic relief under Article 20 of the Model Law, this would not affect the right of domestic creditors to commence and continue individual actions in order to </w:t>
      </w:r>
      <w:r w:rsidR="003031BD">
        <w:rPr>
          <w:rFonts w:ascii="Avenir Next" w:hAnsi="Avenir Next" w:cs="Arial"/>
          <w:color w:val="808080" w:themeColor="background1" w:themeShade="80"/>
          <w:sz w:val="22"/>
          <w:szCs w:val="22"/>
          <w:lang w:val="en-GB"/>
        </w:rPr>
        <w:t>preserve</w:t>
      </w:r>
      <w:r w:rsidR="004C6A1D">
        <w:rPr>
          <w:rFonts w:ascii="Avenir Next" w:hAnsi="Avenir Next" w:cs="Arial"/>
          <w:color w:val="808080" w:themeColor="background1" w:themeShade="80"/>
          <w:sz w:val="22"/>
          <w:szCs w:val="22"/>
          <w:lang w:val="en-GB"/>
        </w:rPr>
        <w:t xml:space="preserve"> their claims against the debtor. </w:t>
      </w:r>
      <w:r w:rsidR="00B041AF">
        <w:rPr>
          <w:rFonts w:ascii="Avenir Next" w:hAnsi="Avenir Next" w:cs="Arial"/>
          <w:color w:val="808080" w:themeColor="background1" w:themeShade="80"/>
          <w:sz w:val="22"/>
          <w:szCs w:val="22"/>
          <w:lang w:val="en-GB"/>
        </w:rPr>
        <w:t>However, th</w:t>
      </w:r>
      <w:r w:rsidR="003031BD">
        <w:rPr>
          <w:rFonts w:ascii="Avenir Next" w:hAnsi="Avenir Next" w:cs="Arial"/>
          <w:color w:val="808080" w:themeColor="background1" w:themeShade="80"/>
          <w:sz w:val="22"/>
          <w:szCs w:val="22"/>
          <w:lang w:val="en-GB"/>
        </w:rPr>
        <w:t>e continuation of the actions against liquidators</w:t>
      </w:r>
      <w:r w:rsidR="00B041AF">
        <w:rPr>
          <w:rFonts w:ascii="Avenir Next" w:hAnsi="Avenir Next" w:cs="Arial"/>
          <w:color w:val="808080" w:themeColor="background1" w:themeShade="80"/>
          <w:sz w:val="22"/>
          <w:szCs w:val="22"/>
          <w:lang w:val="en-GB"/>
        </w:rPr>
        <w:t xml:space="preserve"> would not preclude the foreign proceeding from being recognised nor prevent the joint provisional liquidators from applying for and obtaining relief not inconsistent with the domestic regime</w:t>
      </w:r>
      <w:r w:rsidR="002C0ABC">
        <w:rPr>
          <w:rFonts w:ascii="Avenir Next" w:hAnsi="Avenir Next" w:cs="Arial"/>
          <w:color w:val="808080" w:themeColor="background1" w:themeShade="80"/>
          <w:sz w:val="22"/>
          <w:szCs w:val="22"/>
          <w:lang w:val="en-GB"/>
        </w:rPr>
        <w:t>, having regard to the balancing exercise required under Article 22 of the Model Law</w:t>
      </w:r>
      <w:r w:rsidR="00B041AF">
        <w:rPr>
          <w:rFonts w:ascii="Avenir Next" w:hAnsi="Avenir Next" w:cs="Arial"/>
          <w:color w:val="808080" w:themeColor="background1" w:themeShade="80"/>
          <w:sz w:val="22"/>
          <w:szCs w:val="22"/>
          <w:lang w:val="en-GB"/>
        </w:rPr>
        <w:t>.</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5C5D751A"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0F7D5A">
        <w:rPr>
          <w:rFonts w:ascii="Avenir Next" w:hAnsi="Avenir Next" w:cs="Arial"/>
          <w:color w:val="808080" w:themeColor="background1" w:themeShade="80"/>
          <w:sz w:val="22"/>
          <w:szCs w:val="22"/>
          <w:lang w:val="en-GB"/>
        </w:rPr>
        <w:t xml:space="preserve">On these facts, the foreign representative does not need to take any steps in the US to protect the assets, as (following authorities such as </w:t>
      </w:r>
      <w:r w:rsidR="000F7D5A">
        <w:rPr>
          <w:rFonts w:ascii="Avenir Next" w:hAnsi="Avenir Next" w:cs="Arial"/>
          <w:i/>
          <w:iCs/>
          <w:color w:val="808080" w:themeColor="background1" w:themeShade="80"/>
          <w:sz w:val="22"/>
          <w:szCs w:val="22"/>
          <w:lang w:val="en-GB"/>
        </w:rPr>
        <w:t xml:space="preserve">Fibria Celulose S/A v Pan Ocean Co Ltd </w:t>
      </w:r>
      <w:r w:rsidR="000F7D5A">
        <w:rPr>
          <w:rFonts w:ascii="Avenir Next" w:hAnsi="Avenir Next" w:cs="Arial"/>
          <w:color w:val="808080" w:themeColor="background1" w:themeShade="80"/>
          <w:sz w:val="22"/>
          <w:szCs w:val="22"/>
          <w:lang w:val="en-GB"/>
        </w:rPr>
        <w:t xml:space="preserve">the acceptance or rejection of </w:t>
      </w:r>
      <w:r w:rsidR="000F7D5A">
        <w:rPr>
          <w:rFonts w:ascii="Avenir Next" w:hAnsi="Avenir Next" w:cs="Arial"/>
          <w:i/>
          <w:iCs/>
          <w:color w:val="808080" w:themeColor="background1" w:themeShade="80"/>
          <w:sz w:val="22"/>
          <w:szCs w:val="22"/>
          <w:lang w:val="en-GB"/>
        </w:rPr>
        <w:t xml:space="preserve">ipso facto </w:t>
      </w:r>
      <w:r w:rsidR="000F7D5A">
        <w:rPr>
          <w:rFonts w:ascii="Avenir Next" w:hAnsi="Avenir Next" w:cs="Arial"/>
          <w:color w:val="808080" w:themeColor="background1" w:themeShade="80"/>
          <w:sz w:val="22"/>
          <w:szCs w:val="22"/>
          <w:lang w:val="en-GB"/>
        </w:rPr>
        <w:t>clauses is a policy decision and the US domestic court will apply the policy decisions of the US</w:t>
      </w:r>
      <w:r w:rsidR="005F2115">
        <w:rPr>
          <w:rFonts w:ascii="Avenir Next" w:hAnsi="Avenir Next" w:cs="Arial"/>
          <w:color w:val="808080" w:themeColor="background1" w:themeShade="80"/>
          <w:sz w:val="22"/>
          <w:szCs w:val="22"/>
          <w:lang w:val="en-GB"/>
        </w:rPr>
        <w:t xml:space="preserve"> – </w:t>
      </w:r>
      <w:r w:rsidR="000F7D5A">
        <w:rPr>
          <w:rFonts w:ascii="Avenir Next" w:hAnsi="Avenir Next" w:cs="Arial"/>
          <w:color w:val="808080" w:themeColor="background1" w:themeShade="80"/>
          <w:sz w:val="22"/>
          <w:szCs w:val="22"/>
          <w:lang w:val="en-GB"/>
        </w:rPr>
        <w:t xml:space="preserve"> in this case</w:t>
      </w:r>
      <w:r w:rsidR="005F2115">
        <w:rPr>
          <w:rFonts w:ascii="Avenir Next" w:hAnsi="Avenir Next" w:cs="Arial"/>
          <w:color w:val="808080" w:themeColor="background1" w:themeShade="80"/>
          <w:sz w:val="22"/>
          <w:szCs w:val="22"/>
          <w:lang w:val="en-GB"/>
        </w:rPr>
        <w:t>,</w:t>
      </w:r>
      <w:r w:rsidR="000F7D5A">
        <w:rPr>
          <w:rFonts w:ascii="Avenir Next" w:hAnsi="Avenir Next" w:cs="Arial"/>
          <w:color w:val="808080" w:themeColor="background1" w:themeShade="80"/>
          <w:sz w:val="22"/>
          <w:szCs w:val="22"/>
          <w:lang w:val="en-GB"/>
        </w:rPr>
        <w:t xml:space="preserve"> that </w:t>
      </w:r>
      <w:r w:rsidR="000F7D5A">
        <w:rPr>
          <w:rFonts w:ascii="Avenir Next" w:hAnsi="Avenir Next" w:cs="Arial"/>
          <w:i/>
          <w:iCs/>
          <w:color w:val="808080" w:themeColor="background1" w:themeShade="80"/>
          <w:sz w:val="22"/>
          <w:szCs w:val="22"/>
          <w:lang w:val="en-GB"/>
        </w:rPr>
        <w:t xml:space="preserve">ipso facto </w:t>
      </w:r>
      <w:r w:rsidR="000F7D5A">
        <w:rPr>
          <w:rFonts w:ascii="Avenir Next" w:hAnsi="Avenir Next" w:cs="Arial"/>
          <w:color w:val="808080" w:themeColor="background1" w:themeShade="80"/>
          <w:sz w:val="22"/>
          <w:szCs w:val="22"/>
          <w:lang w:val="en-GB"/>
        </w:rPr>
        <w:t>clauses are unenforceable.</w:t>
      </w:r>
      <w:r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982AFF7" w14:textId="2819EB17" w:rsidR="00A05AA9" w:rsidRDefault="00867A8F" w:rsidP="00A05AA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05AA9">
        <w:rPr>
          <w:rFonts w:ascii="Avenir Next" w:hAnsi="Avenir Next" w:cs="Arial"/>
          <w:color w:val="808080" w:themeColor="background1" w:themeShade="80"/>
          <w:sz w:val="22"/>
          <w:szCs w:val="22"/>
          <w:lang w:val="en-GB"/>
        </w:rPr>
        <w:t xml:space="preserve">The foreign representative ought at the outset to have applied pursuant to Article 19 for interim relief, in this case a stay of execution against the debtor’s assets to preserve them pending the application, and (if the assets are in jeopardy) entrusting the administration and realisation of the assets to the foreign representative or some other person appointed bt the Court. This relief can be obtained whether the foreign proceedings are recognised and main or non main. It is not clear from the facts whether the </w:t>
      </w:r>
      <w:r w:rsidR="00691CDA">
        <w:rPr>
          <w:rFonts w:ascii="Avenir Next" w:hAnsi="Avenir Next" w:cs="Arial"/>
          <w:color w:val="808080" w:themeColor="background1" w:themeShade="80"/>
          <w:sz w:val="22"/>
          <w:szCs w:val="22"/>
          <w:lang w:val="en-GB"/>
        </w:rPr>
        <w:t>foreign</w:t>
      </w:r>
      <w:r w:rsidR="00A05AA9">
        <w:rPr>
          <w:rFonts w:ascii="Avenir Next" w:hAnsi="Avenir Next" w:cs="Arial"/>
          <w:color w:val="808080" w:themeColor="background1" w:themeShade="80"/>
          <w:sz w:val="22"/>
          <w:szCs w:val="22"/>
          <w:lang w:val="en-GB"/>
        </w:rPr>
        <w:t xml:space="preserve"> proceedings were recognised as non-main. In such a case, post-recognition relief under Article 21, in </w:t>
      </w:r>
      <w:r w:rsidR="00691CDA">
        <w:rPr>
          <w:rFonts w:ascii="Avenir Next" w:hAnsi="Avenir Next" w:cs="Arial"/>
          <w:color w:val="808080" w:themeColor="background1" w:themeShade="80"/>
          <w:sz w:val="22"/>
          <w:szCs w:val="22"/>
          <w:lang w:val="en-GB"/>
        </w:rPr>
        <w:t>similar</w:t>
      </w:r>
      <w:r w:rsidR="00A05AA9">
        <w:rPr>
          <w:rFonts w:ascii="Avenir Next" w:hAnsi="Avenir Next" w:cs="Arial"/>
          <w:color w:val="808080" w:themeColor="background1" w:themeShade="80"/>
          <w:sz w:val="22"/>
          <w:szCs w:val="22"/>
          <w:lang w:val="en-GB"/>
        </w:rPr>
        <w:t xml:space="preserve"> terms to the pre-recognition relief mentioned above, could be applied for to preserve the assets in Country B. </w:t>
      </w:r>
    </w:p>
    <w:p w14:paraId="55D111B1" w14:textId="4EE92AF2" w:rsidR="00867A8F" w:rsidRPr="00B77352" w:rsidRDefault="00A05AA9" w:rsidP="00A05AA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event, the foreign representative should seek the co-</w:t>
      </w:r>
      <w:r w:rsidR="00DF50C5">
        <w:rPr>
          <w:rFonts w:ascii="Avenir Next" w:hAnsi="Avenir Next" w:cs="Arial"/>
          <w:color w:val="808080" w:themeColor="background1" w:themeShade="80"/>
          <w:sz w:val="22"/>
          <w:szCs w:val="22"/>
          <w:lang w:val="en-GB"/>
        </w:rPr>
        <w:t>operation</w:t>
      </w:r>
      <w:r>
        <w:rPr>
          <w:rFonts w:ascii="Avenir Next" w:hAnsi="Avenir Next" w:cs="Arial"/>
          <w:color w:val="808080" w:themeColor="background1" w:themeShade="80"/>
          <w:sz w:val="22"/>
          <w:szCs w:val="22"/>
          <w:lang w:val="en-GB"/>
        </w:rPr>
        <w:t xml:space="preserve"> of the Courts in Country B to facilitate the Country A proceedings, pursuant to Article 25 of the Model Law. Co-operation is not dependent on recognition at all, and could include the appointment of a person or body to act at the direction of the Court. If the foreign proceeding has not been recognised at all</w:t>
      </w:r>
      <w:r w:rsidR="00FF1A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foreign representative could seek to initiate domestic insolvency proceedings in Country B </w:t>
      </w:r>
      <w:r w:rsidR="00FF1A09">
        <w:rPr>
          <w:rFonts w:ascii="Avenir Next" w:hAnsi="Avenir Next" w:cs="Arial"/>
          <w:color w:val="808080" w:themeColor="background1" w:themeShade="80"/>
          <w:sz w:val="22"/>
          <w:szCs w:val="22"/>
          <w:lang w:val="en-GB"/>
        </w:rPr>
        <w:t xml:space="preserve">pursuant to their standing under </w:t>
      </w:r>
      <w:r w:rsidR="00DF50C5">
        <w:rPr>
          <w:rFonts w:ascii="Avenir Next" w:hAnsi="Avenir Next" w:cs="Arial"/>
          <w:color w:val="808080" w:themeColor="background1" w:themeShade="80"/>
          <w:sz w:val="22"/>
          <w:szCs w:val="22"/>
          <w:lang w:val="en-GB"/>
        </w:rPr>
        <w:t>Article</w:t>
      </w:r>
      <w:r w:rsidR="00FF1A09">
        <w:rPr>
          <w:rFonts w:ascii="Avenir Next" w:hAnsi="Avenir Next" w:cs="Arial"/>
          <w:color w:val="808080" w:themeColor="background1" w:themeShade="80"/>
          <w:sz w:val="22"/>
          <w:szCs w:val="22"/>
          <w:lang w:val="en-GB"/>
        </w:rPr>
        <w:t xml:space="preserve"> 11 of the Model Law, </w:t>
      </w:r>
      <w:r>
        <w:rPr>
          <w:rFonts w:ascii="Avenir Next" w:hAnsi="Avenir Next" w:cs="Arial"/>
          <w:color w:val="808080" w:themeColor="background1" w:themeShade="80"/>
          <w:sz w:val="22"/>
          <w:szCs w:val="22"/>
          <w:lang w:val="en-GB"/>
        </w:rPr>
        <w:t xml:space="preserve">and co-operation could then </w:t>
      </w:r>
      <w:r>
        <w:rPr>
          <w:rFonts w:ascii="Avenir Next" w:hAnsi="Avenir Next" w:cs="Arial"/>
          <w:color w:val="808080" w:themeColor="background1" w:themeShade="80"/>
          <w:sz w:val="22"/>
          <w:szCs w:val="22"/>
          <w:lang w:val="en-GB"/>
        </w:rPr>
        <w:lastRenderedPageBreak/>
        <w:t>include communication of information touching and concerning the assets, so as to co-ordinate the two proceedings for the more effective disposal a</w:t>
      </w:r>
      <w:r w:rsidR="00DF50C5">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d distribution of the assets.</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5A74803B" w14:textId="77777777" w:rsidR="009917B3"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9917B3">
        <w:rPr>
          <w:rFonts w:ascii="Avenir Next" w:hAnsi="Avenir Next"/>
          <w:color w:val="808080" w:themeColor="background1" w:themeShade="80"/>
          <w:sz w:val="22"/>
          <w:szCs w:val="28"/>
        </w:rPr>
        <w:t>Having already commenced a Cayman Islands proceeding, the client should immediately seek recognition of this proceeding in the US. It will be vital to the success of the Scheme that it, and the Cayman Islands proceedings which led to it are given effect to in the USA since the bulk of the client’s assets are located in the US where they are vulnerable to the claimants in the class action.</w:t>
      </w:r>
    </w:p>
    <w:p w14:paraId="3392EC74" w14:textId="77777777" w:rsidR="009917B3" w:rsidRDefault="009917B3" w:rsidP="009E3CA7">
      <w:pPr>
        <w:jc w:val="both"/>
        <w:rPr>
          <w:rFonts w:ascii="Avenir Next" w:hAnsi="Avenir Next"/>
          <w:color w:val="808080" w:themeColor="background1" w:themeShade="80"/>
          <w:sz w:val="22"/>
          <w:szCs w:val="28"/>
        </w:rPr>
      </w:pPr>
    </w:p>
    <w:p w14:paraId="739DFBC7" w14:textId="77777777" w:rsidR="009917B3" w:rsidRDefault="009917B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would be advised to seek recognition of the Cayman Islands proceedings as both non-main and main proceedings. If recognised as a foreign main proceedings, then there would be an automatic stay pursuant to Article 20 of the Model Law, which would prevent the class action from being instituted (unless any of the exceptions apply). </w:t>
      </w:r>
    </w:p>
    <w:p w14:paraId="01BD87B3" w14:textId="77777777" w:rsidR="009917B3" w:rsidRDefault="009917B3" w:rsidP="009E3CA7">
      <w:pPr>
        <w:jc w:val="both"/>
        <w:rPr>
          <w:rFonts w:ascii="Avenir Next" w:hAnsi="Avenir Next"/>
          <w:color w:val="808080" w:themeColor="background1" w:themeShade="80"/>
          <w:sz w:val="22"/>
          <w:szCs w:val="28"/>
        </w:rPr>
      </w:pPr>
    </w:p>
    <w:p w14:paraId="08512740" w14:textId="1E802425" w:rsidR="009917B3" w:rsidRDefault="009917B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main question determining whether the Cayman Islands proceeding can be recognised as a foreign main proceeding is where the centre of main </w:t>
      </w:r>
      <w:r w:rsidR="00BC4E07">
        <w:rPr>
          <w:rFonts w:ascii="Avenir Next" w:hAnsi="Avenir Next"/>
          <w:color w:val="808080" w:themeColor="background1" w:themeShade="80"/>
          <w:sz w:val="22"/>
          <w:szCs w:val="28"/>
        </w:rPr>
        <w:t>interest</w:t>
      </w:r>
      <w:r>
        <w:rPr>
          <w:rFonts w:ascii="Avenir Next" w:hAnsi="Avenir Next"/>
          <w:color w:val="808080" w:themeColor="background1" w:themeShade="80"/>
          <w:sz w:val="22"/>
          <w:szCs w:val="28"/>
        </w:rPr>
        <w:t xml:space="preserve"> or “COMI” of the client is. While not defined in the Model Law, it has been established that the COMI for the purposes of the Model Law will be held to be where the central administration of the debtor takes place; and a place which is readily ascertainable as such by the debtors’ creditors. In </w:t>
      </w:r>
      <w:r w:rsidR="00BC4E07">
        <w:rPr>
          <w:rFonts w:ascii="Avenir Next" w:hAnsi="Avenir Next"/>
          <w:color w:val="808080" w:themeColor="background1" w:themeShade="80"/>
          <w:sz w:val="22"/>
          <w:szCs w:val="28"/>
        </w:rPr>
        <w:t>addition</w:t>
      </w:r>
      <w:r>
        <w:rPr>
          <w:rFonts w:ascii="Avenir Next" w:hAnsi="Avenir Next"/>
          <w:color w:val="808080" w:themeColor="background1" w:themeShade="80"/>
          <w:sz w:val="22"/>
          <w:szCs w:val="28"/>
        </w:rPr>
        <w:t xml:space="preserve"> to these considerations, the Court will consider a number of other factors such as the location of the debtor’s books and records; the location of employees; the location of the debtor’s principal assets or operations; the site of the </w:t>
      </w:r>
      <w:r>
        <w:rPr>
          <w:rFonts w:ascii="Avenir Next" w:hAnsi="Avenir Next"/>
          <w:color w:val="808080" w:themeColor="background1" w:themeShade="80"/>
          <w:sz w:val="22"/>
          <w:szCs w:val="28"/>
        </w:rPr>
        <w:lastRenderedPageBreak/>
        <w:t xml:space="preserve">controlling law or the law governing the debtor’s main contracts and the location from which reorganisation of the debtor is being conducted. Finally, there is a </w:t>
      </w:r>
      <w:r w:rsidR="00936CC4">
        <w:rPr>
          <w:rFonts w:ascii="Avenir Next" w:hAnsi="Avenir Next"/>
          <w:color w:val="808080" w:themeColor="background1" w:themeShade="80"/>
          <w:sz w:val="22"/>
          <w:szCs w:val="28"/>
        </w:rPr>
        <w:t xml:space="preserve">presumption under article 16 paragraph 3 of the Model Law that the registered office of the debtor is the COMI. </w:t>
      </w:r>
    </w:p>
    <w:p w14:paraId="49DA6819" w14:textId="77777777" w:rsidR="009917B3" w:rsidRDefault="009917B3" w:rsidP="009E3CA7">
      <w:pPr>
        <w:jc w:val="both"/>
        <w:rPr>
          <w:rFonts w:ascii="Avenir Next" w:hAnsi="Avenir Next"/>
          <w:color w:val="808080" w:themeColor="background1" w:themeShade="80"/>
          <w:sz w:val="22"/>
          <w:szCs w:val="28"/>
        </w:rPr>
      </w:pPr>
    </w:p>
    <w:p w14:paraId="378CBE75" w14:textId="77777777" w:rsidR="00936CC4" w:rsidRDefault="009917B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date for determining the COMI is the date of commencement of the foreign proceedings, though the court in the enacting State can consider circumstances surrounding that date, particularly where recent changes make the purported COMI less likely to be so ascertained by relevant third parties.</w:t>
      </w:r>
    </w:p>
    <w:p w14:paraId="3C912B02" w14:textId="77777777" w:rsidR="00936CC4" w:rsidRDefault="00936CC4" w:rsidP="009E3CA7">
      <w:pPr>
        <w:jc w:val="both"/>
        <w:rPr>
          <w:rFonts w:ascii="Avenir Next" w:hAnsi="Avenir Next"/>
          <w:color w:val="808080" w:themeColor="background1" w:themeShade="80"/>
          <w:sz w:val="22"/>
          <w:szCs w:val="28"/>
        </w:rPr>
      </w:pPr>
    </w:p>
    <w:p w14:paraId="6D2F023A" w14:textId="34A542F1" w:rsidR="00936CC4" w:rsidRPr="00C10D5A" w:rsidRDefault="00936CC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may be seen then, it is not clear whether or not the Cayman Islands will be held to be the client’s COMI </w:t>
      </w:r>
      <w:r w:rsidR="00BC4E07">
        <w:rPr>
          <w:rFonts w:ascii="Avenir Next" w:hAnsi="Avenir Next"/>
          <w:color w:val="808080" w:themeColor="background1" w:themeShade="80"/>
          <w:sz w:val="22"/>
          <w:szCs w:val="28"/>
        </w:rPr>
        <w:t>notwithstanding</w:t>
      </w:r>
      <w:r>
        <w:rPr>
          <w:rFonts w:ascii="Avenir Next" w:hAnsi="Avenir Next"/>
          <w:color w:val="808080" w:themeColor="background1" w:themeShade="80"/>
          <w:sz w:val="22"/>
          <w:szCs w:val="28"/>
        </w:rPr>
        <w:t xml:space="preserve"> that its registered office is located there (and has been located there for several years). While other factor</w:t>
      </w:r>
      <w:r w:rsidR="00BC4E07">
        <w:rPr>
          <w:rFonts w:ascii="Avenir Next" w:hAnsi="Avenir Next"/>
          <w:color w:val="808080" w:themeColor="background1" w:themeShade="80"/>
          <w:sz w:val="22"/>
          <w:szCs w:val="28"/>
        </w:rPr>
        <w:t>s</w:t>
      </w:r>
      <w:r>
        <w:rPr>
          <w:rFonts w:ascii="Avenir Next" w:hAnsi="Avenir Next"/>
          <w:color w:val="808080" w:themeColor="background1" w:themeShade="80"/>
          <w:sz w:val="22"/>
          <w:szCs w:val="28"/>
        </w:rPr>
        <w:t xml:space="preserve"> support </w:t>
      </w:r>
      <w:r w:rsidR="00BC4E07">
        <w:rPr>
          <w:rFonts w:ascii="Avenir Next" w:hAnsi="Avenir Next"/>
          <w:color w:val="808080" w:themeColor="background1" w:themeShade="80"/>
          <w:sz w:val="22"/>
          <w:szCs w:val="28"/>
        </w:rPr>
        <w:t>the Cayman Islands as the COMI</w:t>
      </w:r>
      <w:r>
        <w:rPr>
          <w:rFonts w:ascii="Avenir Next" w:hAnsi="Avenir Next"/>
          <w:color w:val="808080" w:themeColor="background1" w:themeShade="80"/>
          <w:sz w:val="22"/>
          <w:szCs w:val="28"/>
        </w:rPr>
        <w:t xml:space="preserve">, such as the fact that the restructuring proceedings are taking place in the Cayman Islands, and its books and records are located there, there are competing considerations, most importantly that the client’s substantive business is conducted in the US, its headquarters and employees are in the US and US law governs its principal contracts. </w:t>
      </w:r>
      <w:r w:rsidR="00B5610F">
        <w:rPr>
          <w:rFonts w:ascii="Avenir Next" w:hAnsi="Avenir Next"/>
          <w:color w:val="808080" w:themeColor="background1" w:themeShade="80"/>
          <w:sz w:val="22"/>
          <w:szCs w:val="28"/>
        </w:rPr>
        <w:t xml:space="preserve">However, it is submitted that it is significant that creditors and others dealing with the client were clearly advised that its </w:t>
      </w:r>
      <w:r w:rsidR="00716091">
        <w:rPr>
          <w:rFonts w:ascii="Avenir Next" w:hAnsi="Avenir Next"/>
          <w:color w:val="808080" w:themeColor="background1" w:themeShade="80"/>
          <w:sz w:val="22"/>
          <w:szCs w:val="28"/>
        </w:rPr>
        <w:t>registered</w:t>
      </w:r>
      <w:r w:rsidR="00B5610F">
        <w:rPr>
          <w:rFonts w:ascii="Avenir Next" w:hAnsi="Avenir Next"/>
          <w:color w:val="808080" w:themeColor="background1" w:themeShade="80"/>
          <w:sz w:val="22"/>
          <w:szCs w:val="28"/>
        </w:rPr>
        <w:t xml:space="preserve"> office is in the Cayman Islands, as well as the tax consequences associated therewith. Moreover, the Noteholders indicated that they expected the restructuring to take place in the Cayman Islands as plainly disclosed to them in the RSA. </w:t>
      </w:r>
      <w:r w:rsidR="00C10D5A">
        <w:rPr>
          <w:rFonts w:ascii="Avenir Next" w:hAnsi="Avenir Next"/>
          <w:color w:val="808080" w:themeColor="background1" w:themeShade="80"/>
          <w:sz w:val="22"/>
          <w:szCs w:val="28"/>
        </w:rPr>
        <w:t xml:space="preserve">As such, not only was the Cayman Islands </w:t>
      </w:r>
      <w:r w:rsidR="00C10D5A">
        <w:rPr>
          <w:rFonts w:ascii="Avenir Next" w:hAnsi="Avenir Next"/>
          <w:i/>
          <w:iCs/>
          <w:color w:val="808080" w:themeColor="background1" w:themeShade="80"/>
          <w:sz w:val="22"/>
          <w:szCs w:val="28"/>
        </w:rPr>
        <w:t xml:space="preserve">ascertainable </w:t>
      </w:r>
      <w:r w:rsidR="00C10D5A">
        <w:rPr>
          <w:rFonts w:ascii="Avenir Next" w:hAnsi="Avenir Next"/>
          <w:color w:val="808080" w:themeColor="background1" w:themeShade="80"/>
          <w:sz w:val="22"/>
          <w:szCs w:val="28"/>
        </w:rPr>
        <w:t xml:space="preserve">as the COMI, it was </w:t>
      </w:r>
      <w:r w:rsidR="00C10D5A">
        <w:rPr>
          <w:rFonts w:ascii="Avenir Next" w:hAnsi="Avenir Next"/>
          <w:i/>
          <w:iCs/>
          <w:color w:val="808080" w:themeColor="background1" w:themeShade="80"/>
          <w:sz w:val="22"/>
          <w:szCs w:val="28"/>
        </w:rPr>
        <w:t xml:space="preserve">ascertained </w:t>
      </w:r>
      <w:r w:rsidR="00C10D5A">
        <w:rPr>
          <w:rFonts w:ascii="Avenir Next" w:hAnsi="Avenir Next"/>
          <w:color w:val="808080" w:themeColor="background1" w:themeShade="80"/>
          <w:sz w:val="22"/>
          <w:szCs w:val="28"/>
        </w:rPr>
        <w:t>to be such by a significant class of creditors!</w:t>
      </w:r>
    </w:p>
    <w:p w14:paraId="1567DC5A" w14:textId="77777777" w:rsidR="00936CC4" w:rsidRDefault="00936CC4" w:rsidP="009E3CA7">
      <w:pPr>
        <w:jc w:val="both"/>
        <w:rPr>
          <w:rFonts w:ascii="Avenir Next" w:hAnsi="Avenir Next"/>
          <w:color w:val="808080" w:themeColor="background1" w:themeShade="80"/>
          <w:sz w:val="22"/>
          <w:szCs w:val="28"/>
        </w:rPr>
      </w:pPr>
    </w:p>
    <w:p w14:paraId="499E5CBB" w14:textId="4A22A792" w:rsidR="00936CC4" w:rsidRDefault="0071609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Nevertheless</w:t>
      </w:r>
      <w:r w:rsidR="00936CC4">
        <w:rPr>
          <w:rFonts w:ascii="Avenir Next" w:hAnsi="Avenir Next"/>
          <w:color w:val="808080" w:themeColor="background1" w:themeShade="80"/>
          <w:sz w:val="22"/>
          <w:szCs w:val="28"/>
        </w:rPr>
        <w:t xml:space="preserve">, even if only recognised as a non-main proceeding, a number of reliefs can still be obtained to assist in the preservation of the assets in the US. Indeed under Article 19 of the Model Law the </w:t>
      </w:r>
      <w:r w:rsidR="00EF24AF">
        <w:rPr>
          <w:rFonts w:ascii="Avenir Next" w:hAnsi="Avenir Next"/>
          <w:color w:val="808080" w:themeColor="background1" w:themeShade="80"/>
          <w:sz w:val="22"/>
          <w:szCs w:val="28"/>
        </w:rPr>
        <w:t>client</w:t>
      </w:r>
      <w:r w:rsidR="00936CC4">
        <w:rPr>
          <w:rFonts w:ascii="Avenir Next" w:hAnsi="Avenir Next"/>
          <w:color w:val="808080" w:themeColor="background1" w:themeShade="80"/>
          <w:sz w:val="22"/>
          <w:szCs w:val="28"/>
        </w:rPr>
        <w:t xml:space="preserve"> can seek pre-recognition relief in the form of a stay, and under Article 21 a stay post-recognition, though here the Court will pursuant to Article 22 perform a balancing exercise having regard to the interests of the claimants in the class-action suit. The client would be well advised to seek these reliefs </w:t>
      </w:r>
      <w:r w:rsidR="00EF24AF">
        <w:rPr>
          <w:rFonts w:ascii="Avenir Next" w:hAnsi="Avenir Next"/>
          <w:color w:val="808080" w:themeColor="background1" w:themeShade="80"/>
          <w:sz w:val="22"/>
          <w:szCs w:val="28"/>
        </w:rPr>
        <w:t>on</w:t>
      </w:r>
      <w:r w:rsidR="00936CC4">
        <w:rPr>
          <w:rFonts w:ascii="Avenir Next" w:hAnsi="Avenir Next"/>
          <w:color w:val="808080" w:themeColor="background1" w:themeShade="80"/>
          <w:sz w:val="22"/>
          <w:szCs w:val="28"/>
        </w:rPr>
        <w:t xml:space="preserve"> day 1 of the filing without awaiting the determination of the recognition proceedings.</w:t>
      </w:r>
    </w:p>
    <w:p w14:paraId="671D488E" w14:textId="77777777" w:rsidR="00936CC4" w:rsidRDefault="00936CC4" w:rsidP="009E3CA7">
      <w:pPr>
        <w:jc w:val="both"/>
        <w:rPr>
          <w:rFonts w:ascii="Avenir Next" w:hAnsi="Avenir Next"/>
          <w:color w:val="808080" w:themeColor="background1" w:themeShade="80"/>
          <w:sz w:val="22"/>
          <w:szCs w:val="28"/>
        </w:rPr>
      </w:pPr>
    </w:p>
    <w:p w14:paraId="048535B2" w14:textId="7FE2D1AF" w:rsidR="000D7295" w:rsidRDefault="000D729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application for recognition must allow the Court to satisfy itself that the foreign representative and foreign proceeding qualify for recognition. Thus, pursuant to Article 15, the application must be accompanied by a certified copy of the </w:t>
      </w:r>
      <w:r w:rsidR="00EF24AF">
        <w:rPr>
          <w:rFonts w:ascii="Avenir Next" w:hAnsi="Avenir Next"/>
          <w:color w:val="808080" w:themeColor="background1" w:themeShade="80"/>
          <w:sz w:val="22"/>
          <w:szCs w:val="28"/>
        </w:rPr>
        <w:t>decision</w:t>
      </w:r>
      <w:r>
        <w:rPr>
          <w:rFonts w:ascii="Avenir Next" w:hAnsi="Avenir Next"/>
          <w:color w:val="808080" w:themeColor="background1" w:themeShade="80"/>
          <w:sz w:val="22"/>
          <w:szCs w:val="28"/>
        </w:rPr>
        <w:t xml:space="preserve"> commencing the proceeding and appointing the representative; a certificate from the foreign Court to this effect; or some other evidence acceptable to the Court of the existence of the foreign proceeding and the appointment of the representative</w:t>
      </w:r>
      <w:r w:rsidR="00CD5D6B">
        <w:rPr>
          <w:rFonts w:ascii="Avenir Next" w:hAnsi="Avenir Next"/>
          <w:color w:val="808080" w:themeColor="background1" w:themeShade="80"/>
          <w:sz w:val="22"/>
          <w:szCs w:val="28"/>
        </w:rPr>
        <w:t xml:space="preserve"> – in this case, the Sanction Order</w:t>
      </w:r>
      <w:r w:rsidR="00C2408C">
        <w:rPr>
          <w:rFonts w:ascii="Avenir Next" w:hAnsi="Avenir Next"/>
          <w:color w:val="808080" w:themeColor="background1" w:themeShade="80"/>
          <w:sz w:val="22"/>
          <w:szCs w:val="28"/>
        </w:rPr>
        <w:t xml:space="preserve"> would satisfy this requirement</w:t>
      </w:r>
      <w:r>
        <w:rPr>
          <w:rFonts w:ascii="Avenir Next" w:hAnsi="Avenir Next"/>
          <w:color w:val="808080" w:themeColor="background1" w:themeShade="80"/>
          <w:sz w:val="22"/>
          <w:szCs w:val="28"/>
        </w:rPr>
        <w:t xml:space="preserve">. </w:t>
      </w:r>
    </w:p>
    <w:p w14:paraId="413DA967" w14:textId="77777777" w:rsidR="000D7295" w:rsidRDefault="000D7295" w:rsidP="009E3CA7">
      <w:pPr>
        <w:jc w:val="both"/>
        <w:rPr>
          <w:rFonts w:ascii="Avenir Next" w:hAnsi="Avenir Next"/>
          <w:color w:val="808080" w:themeColor="background1" w:themeShade="80"/>
          <w:sz w:val="22"/>
          <w:szCs w:val="28"/>
        </w:rPr>
      </w:pPr>
    </w:p>
    <w:p w14:paraId="30D7E6F9" w14:textId="2C08FF9F" w:rsidR="009E3CA7" w:rsidRPr="00710C24" w:rsidRDefault="000D729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restructuring under the Scheme is a proceeding which is administrative, collective in nature, authorised under a law related to insolvency, for the purpose of reorganisation, in a foreign state and under which the assets of the </w:t>
      </w:r>
      <w:r w:rsidR="00EF24AF">
        <w:rPr>
          <w:rFonts w:ascii="Avenir Next" w:hAnsi="Avenir Next"/>
          <w:color w:val="808080" w:themeColor="background1" w:themeShade="80"/>
          <w:sz w:val="22"/>
          <w:szCs w:val="28"/>
        </w:rPr>
        <w:t>debtor</w:t>
      </w:r>
      <w:r>
        <w:rPr>
          <w:rFonts w:ascii="Avenir Next" w:hAnsi="Avenir Next"/>
          <w:color w:val="808080" w:themeColor="background1" w:themeShade="80"/>
          <w:sz w:val="22"/>
          <w:szCs w:val="28"/>
        </w:rPr>
        <w:t xml:space="preserve"> are subject to control and supervision of a foreign Court. As such, it would meet the definition of a foreign proceeding within the meaning of Article 2 of the Model Law. </w:t>
      </w:r>
      <w:r w:rsidR="00CD5D6B">
        <w:rPr>
          <w:rFonts w:ascii="Avenir Next" w:hAnsi="Avenir Next"/>
          <w:color w:val="808080" w:themeColor="background1" w:themeShade="80"/>
          <w:sz w:val="22"/>
          <w:szCs w:val="28"/>
        </w:rPr>
        <w:t>Provided that a person or body presides over the proceeding, that person or body would qualify as the foreign representative. On the facts it appears that there was such a body, led by a chairman</w:t>
      </w:r>
      <w:r w:rsidR="00EF24AF">
        <w:rPr>
          <w:rFonts w:ascii="Avenir Next" w:hAnsi="Avenir Next"/>
          <w:color w:val="808080" w:themeColor="background1" w:themeShade="80"/>
          <w:sz w:val="22"/>
          <w:szCs w:val="28"/>
        </w:rPr>
        <w:t>.</w:t>
      </w:r>
      <w:r w:rsidR="009E3CA7" w:rsidRPr="009E3CA7">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176B5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52DD" w14:textId="77777777" w:rsidR="00176B51" w:rsidRDefault="00176B51" w:rsidP="00241B44">
      <w:r>
        <w:separator/>
      </w:r>
    </w:p>
  </w:endnote>
  <w:endnote w:type="continuationSeparator" w:id="0">
    <w:p w14:paraId="73469F2B" w14:textId="77777777" w:rsidR="00176B51" w:rsidRDefault="00176B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735F53C" w:rsidR="000300E0" w:rsidRPr="00B46CE2" w:rsidRDefault="006908F7" w:rsidP="000300E0">
    <w:pPr>
      <w:pStyle w:val="Footer"/>
      <w:ind w:right="360"/>
      <w:rPr>
        <w:rFonts w:ascii="Avenir Next" w:hAnsi="Avenir Next"/>
        <w:sz w:val="22"/>
        <w:szCs w:val="22"/>
      </w:rPr>
    </w:pPr>
    <w:r w:rsidRPr="006908F7">
      <w:rPr>
        <w:rFonts w:ascii="Avenir Next" w:hAnsi="Avenir Next"/>
        <w:sz w:val="22"/>
        <w:szCs w:val="22"/>
      </w:rPr>
      <w:t>FC202324-1420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8B2" w14:textId="77777777" w:rsidR="00176B51" w:rsidRDefault="00176B51" w:rsidP="00241B44">
      <w:r>
        <w:separator/>
      </w:r>
    </w:p>
  </w:footnote>
  <w:footnote w:type="continuationSeparator" w:id="0">
    <w:p w14:paraId="0C7C499F" w14:textId="77777777" w:rsidR="00176B51" w:rsidRDefault="00176B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244C"/>
    <w:rsid w:val="000D32A9"/>
    <w:rsid w:val="000D55A8"/>
    <w:rsid w:val="000D7295"/>
    <w:rsid w:val="000E4841"/>
    <w:rsid w:val="000E6325"/>
    <w:rsid w:val="000F1677"/>
    <w:rsid w:val="000F3D6C"/>
    <w:rsid w:val="000F579C"/>
    <w:rsid w:val="000F7D5A"/>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5438"/>
    <w:rsid w:val="001672E0"/>
    <w:rsid w:val="00167C32"/>
    <w:rsid w:val="0017257C"/>
    <w:rsid w:val="00176079"/>
    <w:rsid w:val="0017652E"/>
    <w:rsid w:val="00176B51"/>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25B7"/>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0ABC"/>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1BD"/>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3286"/>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C6A1D"/>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0385"/>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4958"/>
    <w:rsid w:val="005D58A3"/>
    <w:rsid w:val="005E1B79"/>
    <w:rsid w:val="005E5C28"/>
    <w:rsid w:val="005F026D"/>
    <w:rsid w:val="005F2115"/>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08F7"/>
    <w:rsid w:val="00691CDA"/>
    <w:rsid w:val="006920CC"/>
    <w:rsid w:val="00692AB2"/>
    <w:rsid w:val="0069647C"/>
    <w:rsid w:val="00697EA1"/>
    <w:rsid w:val="006A1850"/>
    <w:rsid w:val="006A2646"/>
    <w:rsid w:val="006A3DF0"/>
    <w:rsid w:val="006A6530"/>
    <w:rsid w:val="006B435A"/>
    <w:rsid w:val="006B4C64"/>
    <w:rsid w:val="006B4FFC"/>
    <w:rsid w:val="006C1B65"/>
    <w:rsid w:val="006D0E6E"/>
    <w:rsid w:val="006D6BD5"/>
    <w:rsid w:val="006E481A"/>
    <w:rsid w:val="006E5298"/>
    <w:rsid w:val="006F2CE3"/>
    <w:rsid w:val="006F734A"/>
    <w:rsid w:val="00700D83"/>
    <w:rsid w:val="00703819"/>
    <w:rsid w:val="00704852"/>
    <w:rsid w:val="00706297"/>
    <w:rsid w:val="00706AD5"/>
    <w:rsid w:val="007074E9"/>
    <w:rsid w:val="00707FC8"/>
    <w:rsid w:val="00711558"/>
    <w:rsid w:val="00713DA4"/>
    <w:rsid w:val="00714BF1"/>
    <w:rsid w:val="00716091"/>
    <w:rsid w:val="00721383"/>
    <w:rsid w:val="0072554C"/>
    <w:rsid w:val="00725911"/>
    <w:rsid w:val="00731DBD"/>
    <w:rsid w:val="007333CC"/>
    <w:rsid w:val="0073399A"/>
    <w:rsid w:val="00751573"/>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5C5"/>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36CC4"/>
    <w:rsid w:val="00942123"/>
    <w:rsid w:val="00951031"/>
    <w:rsid w:val="0095207B"/>
    <w:rsid w:val="00954461"/>
    <w:rsid w:val="00956085"/>
    <w:rsid w:val="00957951"/>
    <w:rsid w:val="00962045"/>
    <w:rsid w:val="00967EDA"/>
    <w:rsid w:val="00970897"/>
    <w:rsid w:val="0097337E"/>
    <w:rsid w:val="00980314"/>
    <w:rsid w:val="009816D0"/>
    <w:rsid w:val="00991428"/>
    <w:rsid w:val="009917B3"/>
    <w:rsid w:val="00992676"/>
    <w:rsid w:val="00996691"/>
    <w:rsid w:val="009A4880"/>
    <w:rsid w:val="009A58D1"/>
    <w:rsid w:val="009A7865"/>
    <w:rsid w:val="009B0723"/>
    <w:rsid w:val="009B07AD"/>
    <w:rsid w:val="009B0883"/>
    <w:rsid w:val="009B15E2"/>
    <w:rsid w:val="009B5832"/>
    <w:rsid w:val="009B5EEF"/>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05AA9"/>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6A93"/>
    <w:rsid w:val="00AD7BBD"/>
    <w:rsid w:val="00AF228E"/>
    <w:rsid w:val="00AF302B"/>
    <w:rsid w:val="00B04137"/>
    <w:rsid w:val="00B041AF"/>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610F"/>
    <w:rsid w:val="00B60190"/>
    <w:rsid w:val="00B61419"/>
    <w:rsid w:val="00B66441"/>
    <w:rsid w:val="00B72F5F"/>
    <w:rsid w:val="00B736DF"/>
    <w:rsid w:val="00B74FBD"/>
    <w:rsid w:val="00B77352"/>
    <w:rsid w:val="00B82586"/>
    <w:rsid w:val="00B829A3"/>
    <w:rsid w:val="00B86DB1"/>
    <w:rsid w:val="00B87869"/>
    <w:rsid w:val="00B953BD"/>
    <w:rsid w:val="00BA0E44"/>
    <w:rsid w:val="00BA3480"/>
    <w:rsid w:val="00BA47C5"/>
    <w:rsid w:val="00BB0F2B"/>
    <w:rsid w:val="00BC4E07"/>
    <w:rsid w:val="00BD0D57"/>
    <w:rsid w:val="00BE1A50"/>
    <w:rsid w:val="00BF4A8C"/>
    <w:rsid w:val="00BF50F7"/>
    <w:rsid w:val="00C00111"/>
    <w:rsid w:val="00C02F29"/>
    <w:rsid w:val="00C10C13"/>
    <w:rsid w:val="00C10D5A"/>
    <w:rsid w:val="00C17111"/>
    <w:rsid w:val="00C20747"/>
    <w:rsid w:val="00C20AFE"/>
    <w:rsid w:val="00C22A25"/>
    <w:rsid w:val="00C23B79"/>
    <w:rsid w:val="00C2408C"/>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4C13"/>
    <w:rsid w:val="00CB56CE"/>
    <w:rsid w:val="00CB7CAC"/>
    <w:rsid w:val="00CC0EA0"/>
    <w:rsid w:val="00CC5335"/>
    <w:rsid w:val="00CC5BA4"/>
    <w:rsid w:val="00CC70BB"/>
    <w:rsid w:val="00CD3420"/>
    <w:rsid w:val="00CD4998"/>
    <w:rsid w:val="00CD5D6B"/>
    <w:rsid w:val="00CE1035"/>
    <w:rsid w:val="00CE2A6A"/>
    <w:rsid w:val="00CF2819"/>
    <w:rsid w:val="00CF4F9D"/>
    <w:rsid w:val="00CF70DC"/>
    <w:rsid w:val="00D148DC"/>
    <w:rsid w:val="00D17FDC"/>
    <w:rsid w:val="00D3554F"/>
    <w:rsid w:val="00D444C5"/>
    <w:rsid w:val="00D45AEA"/>
    <w:rsid w:val="00D5244F"/>
    <w:rsid w:val="00D52E4F"/>
    <w:rsid w:val="00D56A37"/>
    <w:rsid w:val="00D57202"/>
    <w:rsid w:val="00D6386E"/>
    <w:rsid w:val="00D63EFD"/>
    <w:rsid w:val="00D64217"/>
    <w:rsid w:val="00D64826"/>
    <w:rsid w:val="00D7080A"/>
    <w:rsid w:val="00D76663"/>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2C67"/>
    <w:rsid w:val="00DE3705"/>
    <w:rsid w:val="00DE6633"/>
    <w:rsid w:val="00DF50C5"/>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24AF"/>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778F6"/>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1A0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Koeiman, Michael</cp:lastModifiedBy>
  <cp:revision>48</cp:revision>
  <cp:lastPrinted>2019-08-27T05:42:00Z</cp:lastPrinted>
  <dcterms:created xsi:type="dcterms:W3CDTF">2024-02-29T21:15:00Z</dcterms:created>
  <dcterms:modified xsi:type="dcterms:W3CDTF">2024-03-01T16:30:00Z</dcterms:modified>
</cp:coreProperties>
</file>