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136971">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891A47"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891A47">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9A1822"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9A1822">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lastRenderedPageBreak/>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9A1822"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9A1822">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9A1822"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9A1822">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932F45"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932F45">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C00111">
      <w:pPr>
        <w:pStyle w:val="ListParagraph"/>
        <w:numPr>
          <w:ilvl w:val="0"/>
          <w:numId w:val="20"/>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932F45"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932F45">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4627DF"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4627DF">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D12404"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D12404">
        <w:rPr>
          <w:rFonts w:ascii="Avenir Next" w:hAnsi="Avenir Next" w:cs="Arial"/>
          <w:sz w:val="22"/>
          <w:szCs w:val="22"/>
          <w:highlight w:val="yellow"/>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025D4C"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025D4C">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D36E76"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D36E76">
        <w:rPr>
          <w:rFonts w:ascii="Avenir Next" w:hAnsi="Avenir Next" w:cs="Arial"/>
          <w:sz w:val="22"/>
          <w:szCs w:val="22"/>
          <w:highlight w:val="yellow"/>
          <w:lang w:val="en-GB"/>
        </w:rPr>
        <w:t>None of the above are correct.</w:t>
      </w:r>
    </w:p>
    <w:p w14:paraId="358FE774" w14:textId="77777777" w:rsidR="00C00111" w:rsidRDefault="00C00111" w:rsidP="00707FC8">
      <w:pPr>
        <w:jc w:val="both"/>
        <w:rPr>
          <w:rFonts w:ascii="Avenir Next Demi Bold" w:hAnsi="Avenir Next Demi Bold" w:cs="Arial"/>
          <w:b/>
          <w:bCs/>
          <w:sz w:val="22"/>
          <w:szCs w:val="22"/>
          <w:lang w:val="en-GB"/>
        </w:rPr>
      </w:pPr>
    </w:p>
    <w:p w14:paraId="0370F3C8" w14:textId="77777777" w:rsidR="00D36E76" w:rsidRDefault="00D36E76"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346F123F" w14:textId="65BA9CAE" w:rsidR="00F004A5" w:rsidRPr="00C96166" w:rsidRDefault="00F004A5" w:rsidP="00B36270">
      <w:pPr>
        <w:jc w:val="both"/>
        <w:rPr>
          <w:rFonts w:ascii="Avenir Next" w:hAnsi="Avenir Next" w:cs="Arial"/>
          <w:bCs/>
          <w:color w:val="808080" w:themeColor="background1" w:themeShade="80"/>
          <w:sz w:val="22"/>
          <w:szCs w:val="22"/>
          <w:lang w:val="en-GB"/>
        </w:rPr>
      </w:pPr>
      <w:r w:rsidRPr="00C96166">
        <w:rPr>
          <w:rFonts w:ascii="Avenir Next" w:hAnsi="Avenir Next" w:cs="Arial"/>
          <w:bCs/>
          <w:color w:val="808080" w:themeColor="background1" w:themeShade="80"/>
          <w:sz w:val="22"/>
          <w:szCs w:val="22"/>
          <w:lang w:val="en-GB"/>
        </w:rPr>
        <w:t>The Model Law</w:t>
      </w:r>
      <w:r w:rsidR="0065753E" w:rsidRPr="00C96166">
        <w:rPr>
          <w:rFonts w:ascii="Avenir Next" w:hAnsi="Avenir Next" w:cs="Arial"/>
          <w:bCs/>
          <w:color w:val="808080" w:themeColor="background1" w:themeShade="80"/>
          <w:sz w:val="22"/>
          <w:szCs w:val="22"/>
          <w:lang w:val="en-GB"/>
        </w:rPr>
        <w:t>, in a rather literal sense, presents a model that can be followed by states</w:t>
      </w:r>
      <w:r w:rsidR="00B36270" w:rsidRPr="00C96166">
        <w:rPr>
          <w:rFonts w:ascii="Avenir Next" w:hAnsi="Avenir Next" w:cs="Arial"/>
          <w:bCs/>
          <w:color w:val="808080" w:themeColor="background1" w:themeShade="80"/>
          <w:sz w:val="22"/>
          <w:szCs w:val="22"/>
          <w:lang w:val="en-GB"/>
        </w:rPr>
        <w:t xml:space="preserve"> when passing legislations. </w:t>
      </w:r>
      <w:r w:rsidRPr="00C96166">
        <w:rPr>
          <w:rFonts w:ascii="Avenir Next" w:hAnsi="Avenir Next" w:cs="Arial"/>
          <w:bCs/>
          <w:color w:val="808080" w:themeColor="background1" w:themeShade="80"/>
          <w:sz w:val="22"/>
          <w:szCs w:val="22"/>
          <w:lang w:val="en-GB"/>
        </w:rPr>
        <w:t xml:space="preserve">In comparison, the EIR is a </w:t>
      </w:r>
      <w:r w:rsidR="00B36270" w:rsidRPr="00C96166">
        <w:rPr>
          <w:rFonts w:ascii="Avenir Next" w:hAnsi="Avenir Next" w:cs="Arial"/>
          <w:bCs/>
          <w:color w:val="808080" w:themeColor="background1" w:themeShade="80"/>
          <w:sz w:val="22"/>
          <w:szCs w:val="22"/>
          <w:lang w:val="en-GB"/>
        </w:rPr>
        <w:t>binding regulation</w:t>
      </w:r>
      <w:r w:rsidRPr="00C96166">
        <w:rPr>
          <w:rFonts w:ascii="Avenir Next" w:hAnsi="Avenir Next" w:cs="Arial"/>
          <w:bCs/>
          <w:color w:val="808080" w:themeColor="background1" w:themeShade="80"/>
          <w:sz w:val="22"/>
          <w:szCs w:val="22"/>
          <w:lang w:val="en-GB"/>
        </w:rPr>
        <w:t xml:space="preserve"> amongst member states of the European Union</w:t>
      </w:r>
      <w:r w:rsidR="000F7728" w:rsidRPr="00C96166">
        <w:rPr>
          <w:rFonts w:ascii="Avenir Next" w:hAnsi="Avenir Next" w:cs="Arial"/>
          <w:bCs/>
          <w:color w:val="808080" w:themeColor="background1" w:themeShade="80"/>
          <w:sz w:val="22"/>
          <w:szCs w:val="22"/>
          <w:lang w:val="en-GB"/>
        </w:rPr>
        <w:t xml:space="preserve"> that is enforced accordingly</w:t>
      </w:r>
      <w:r w:rsidR="00B36270" w:rsidRPr="00C96166">
        <w:rPr>
          <w:rFonts w:ascii="Avenir Next" w:hAnsi="Avenir Next" w:cs="Arial"/>
          <w:bCs/>
          <w:color w:val="808080" w:themeColor="background1" w:themeShade="80"/>
          <w:sz w:val="22"/>
          <w:szCs w:val="22"/>
          <w:lang w:val="en-GB"/>
        </w:rPr>
        <w:t xml:space="preserve"> and in a uniform manner</w:t>
      </w:r>
      <w:r w:rsidR="000F7728" w:rsidRPr="00C96166">
        <w:rPr>
          <w:rFonts w:ascii="Avenir Next" w:hAnsi="Avenir Next" w:cs="Arial"/>
          <w:bCs/>
          <w:color w:val="808080" w:themeColor="background1" w:themeShade="80"/>
          <w:sz w:val="22"/>
          <w:szCs w:val="22"/>
          <w:lang w:val="en-GB"/>
        </w:rPr>
        <w:t>. One key advantage of the MLCBI is that it allows states to tailor its law according to its own requirements</w:t>
      </w:r>
      <w:r w:rsidR="00B36270" w:rsidRPr="00C96166">
        <w:rPr>
          <w:rFonts w:ascii="Avenir Next" w:hAnsi="Avenir Next" w:cs="Arial"/>
          <w:bCs/>
          <w:color w:val="808080" w:themeColor="background1" w:themeShade="80"/>
          <w:sz w:val="22"/>
          <w:szCs w:val="22"/>
          <w:lang w:val="en-GB"/>
        </w:rPr>
        <w:t xml:space="preserve"> and unique context</w:t>
      </w:r>
      <w:r w:rsidR="000F7728" w:rsidRPr="00C96166">
        <w:rPr>
          <w:rFonts w:ascii="Avenir Next" w:hAnsi="Avenir Next" w:cs="Arial"/>
          <w:bCs/>
          <w:color w:val="808080" w:themeColor="background1" w:themeShade="80"/>
          <w:sz w:val="22"/>
          <w:szCs w:val="22"/>
          <w:lang w:val="en-GB"/>
        </w:rPr>
        <w:t>. The ‘one size fits all’ approach of the EIR</w:t>
      </w:r>
      <w:r w:rsidR="00B36270" w:rsidRPr="00C96166">
        <w:rPr>
          <w:rFonts w:ascii="Avenir Next" w:hAnsi="Avenir Next" w:cs="Arial"/>
          <w:bCs/>
          <w:color w:val="808080" w:themeColor="background1" w:themeShade="80"/>
          <w:sz w:val="22"/>
          <w:szCs w:val="22"/>
          <w:lang w:val="en-GB"/>
        </w:rPr>
        <w:t>, on the other hand, easily applies across the EU</w:t>
      </w:r>
      <w:r w:rsidR="007F71D9">
        <w:rPr>
          <w:rFonts w:ascii="Avenir Next" w:hAnsi="Avenir Next" w:cs="Arial"/>
          <w:bCs/>
          <w:color w:val="808080" w:themeColor="background1" w:themeShade="80"/>
          <w:sz w:val="22"/>
          <w:szCs w:val="22"/>
          <w:lang w:val="en-GB"/>
        </w:rPr>
        <w:t xml:space="preserve"> (member states)</w:t>
      </w:r>
      <w:r w:rsidR="00B36270" w:rsidRPr="00C96166">
        <w:rPr>
          <w:rFonts w:ascii="Avenir Next" w:hAnsi="Avenir Next" w:cs="Arial"/>
          <w:bCs/>
          <w:color w:val="808080" w:themeColor="background1" w:themeShade="80"/>
          <w:sz w:val="22"/>
          <w:szCs w:val="22"/>
          <w:lang w:val="en-GB"/>
        </w:rPr>
        <w:t xml:space="preserve"> in such cases as recognition, ease of process and certainty of rulings.</w:t>
      </w:r>
      <w:r w:rsidR="00232311">
        <w:rPr>
          <w:rFonts w:ascii="Avenir Next" w:hAnsi="Avenir Next" w:cs="Arial"/>
          <w:bCs/>
          <w:color w:val="808080" w:themeColor="background1" w:themeShade="80"/>
          <w:sz w:val="22"/>
          <w:szCs w:val="22"/>
          <w:lang w:val="en-GB"/>
        </w:rPr>
        <w:t xml:space="preserve"> For the MLCBI, the clear disadvantage would be the obverse in which contextualized application would produce inconsistencies </w:t>
      </w:r>
      <w:r w:rsidR="008E6D59">
        <w:rPr>
          <w:rFonts w:ascii="Avenir Next" w:hAnsi="Avenir Next" w:cs="Arial"/>
          <w:bCs/>
          <w:color w:val="808080" w:themeColor="background1" w:themeShade="80"/>
          <w:sz w:val="22"/>
          <w:szCs w:val="22"/>
          <w:lang w:val="en-GB"/>
        </w:rPr>
        <w:t xml:space="preserve">across states for certain aspects of the law. A disadvantage of the EIR would be the way in which uniform applications apply to </w:t>
      </w:r>
      <w:r w:rsidR="007F71D9">
        <w:rPr>
          <w:rFonts w:ascii="Avenir Next" w:hAnsi="Avenir Next" w:cs="Arial"/>
          <w:bCs/>
          <w:color w:val="808080" w:themeColor="background1" w:themeShade="80"/>
          <w:sz w:val="22"/>
          <w:szCs w:val="22"/>
          <w:lang w:val="en-GB"/>
        </w:rPr>
        <w:t xml:space="preserve">the </w:t>
      </w:r>
      <w:r w:rsidR="008E6D59">
        <w:rPr>
          <w:rFonts w:ascii="Avenir Next" w:hAnsi="Avenir Next" w:cs="Arial"/>
          <w:bCs/>
          <w:color w:val="808080" w:themeColor="background1" w:themeShade="80"/>
          <w:sz w:val="22"/>
          <w:szCs w:val="22"/>
          <w:lang w:val="en-GB"/>
        </w:rPr>
        <w:t xml:space="preserve">EU, but not anywhere else, creating a dissonance for bankruptcies involving multiple </w:t>
      </w:r>
      <w:r w:rsidR="009B176B">
        <w:rPr>
          <w:rFonts w:ascii="Avenir Next" w:hAnsi="Avenir Next" w:cs="Arial"/>
          <w:bCs/>
          <w:color w:val="808080" w:themeColor="background1" w:themeShade="80"/>
          <w:sz w:val="22"/>
          <w:szCs w:val="22"/>
          <w:lang w:val="en-GB"/>
        </w:rPr>
        <w:t>entities</w:t>
      </w:r>
      <w:r w:rsidR="007F71D9">
        <w:rPr>
          <w:rFonts w:ascii="Avenir Next" w:hAnsi="Avenir Next" w:cs="Arial"/>
          <w:bCs/>
          <w:color w:val="808080" w:themeColor="background1" w:themeShade="80"/>
          <w:sz w:val="22"/>
          <w:szCs w:val="22"/>
          <w:lang w:val="en-GB"/>
        </w:rPr>
        <w:t xml:space="preserve"> such as those</w:t>
      </w:r>
      <w:r w:rsidR="009B176B">
        <w:rPr>
          <w:rFonts w:ascii="Avenir Next" w:hAnsi="Avenir Next" w:cs="Arial"/>
          <w:bCs/>
          <w:color w:val="808080" w:themeColor="background1" w:themeShade="80"/>
          <w:sz w:val="22"/>
          <w:szCs w:val="22"/>
          <w:lang w:val="en-GB"/>
        </w:rPr>
        <w:t xml:space="preserve"> within the Eurozone and, say, one in the United States (which would apply for quite </w:t>
      </w:r>
      <w:proofErr w:type="gramStart"/>
      <w:r w:rsidR="009B176B">
        <w:rPr>
          <w:rFonts w:ascii="Avenir Next" w:hAnsi="Avenir Next" w:cs="Arial"/>
          <w:bCs/>
          <w:color w:val="808080" w:themeColor="background1" w:themeShade="80"/>
          <w:sz w:val="22"/>
          <w:szCs w:val="22"/>
          <w:lang w:val="en-GB"/>
        </w:rPr>
        <w:t>a number of</w:t>
      </w:r>
      <w:proofErr w:type="gramEnd"/>
      <w:r w:rsidR="009B176B">
        <w:rPr>
          <w:rFonts w:ascii="Avenir Next" w:hAnsi="Avenir Next" w:cs="Arial"/>
          <w:bCs/>
          <w:color w:val="808080" w:themeColor="background1" w:themeShade="80"/>
          <w:sz w:val="22"/>
          <w:szCs w:val="22"/>
          <w:lang w:val="en-GB"/>
        </w:rPr>
        <w:t xml:space="preserve"> </w:t>
      </w:r>
      <w:r w:rsidR="007F71D9">
        <w:rPr>
          <w:rFonts w:ascii="Avenir Next" w:hAnsi="Avenir Next" w:cs="Arial"/>
          <w:bCs/>
          <w:color w:val="808080" w:themeColor="background1" w:themeShade="80"/>
          <w:sz w:val="22"/>
          <w:szCs w:val="22"/>
          <w:lang w:val="en-GB"/>
        </w:rPr>
        <w:t xml:space="preserve">modern </w:t>
      </w:r>
      <w:r w:rsidR="009B176B">
        <w:rPr>
          <w:rFonts w:ascii="Avenir Next" w:hAnsi="Avenir Next" w:cs="Arial"/>
          <w:bCs/>
          <w:color w:val="808080" w:themeColor="background1" w:themeShade="80"/>
          <w:sz w:val="22"/>
          <w:szCs w:val="22"/>
          <w:lang w:val="en-GB"/>
        </w:rPr>
        <w:t>companies).</w:t>
      </w:r>
    </w:p>
    <w:p w14:paraId="31545CE4" w14:textId="77777777" w:rsidR="00B36270" w:rsidRDefault="00B36270" w:rsidP="00B36270">
      <w:pPr>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Default="000E6325" w:rsidP="00ED6A32">
      <w:pPr>
        <w:ind w:left="1440" w:hanging="1440"/>
        <w:jc w:val="both"/>
        <w:rPr>
          <w:rFonts w:ascii="Avenir Next" w:hAnsi="Avenir Next" w:cs="Arial"/>
          <w:iCs/>
          <w:sz w:val="22"/>
          <w:szCs w:val="22"/>
        </w:rPr>
      </w:pPr>
    </w:p>
    <w:p w14:paraId="132BCE6B" w14:textId="625C2E07" w:rsidR="00F004A5" w:rsidRPr="00C96166" w:rsidRDefault="007B16F9" w:rsidP="0065753E">
      <w:pPr>
        <w:jc w:val="both"/>
        <w:rPr>
          <w:rFonts w:ascii="Avenir Next" w:hAnsi="Avenir Next" w:cs="Arial"/>
          <w:bCs/>
          <w:color w:val="808080" w:themeColor="background1" w:themeShade="80"/>
          <w:sz w:val="22"/>
          <w:szCs w:val="22"/>
          <w:lang w:val="en-GB"/>
        </w:rPr>
      </w:pPr>
      <w:r w:rsidRPr="00C96166">
        <w:rPr>
          <w:rFonts w:ascii="Avenir Next" w:hAnsi="Avenir Next" w:cs="Arial"/>
          <w:bCs/>
          <w:color w:val="808080" w:themeColor="background1" w:themeShade="80"/>
          <w:sz w:val="22"/>
          <w:szCs w:val="22"/>
          <w:lang w:val="en-GB"/>
        </w:rPr>
        <w:t xml:space="preserve">The court should find itself satisfied that there </w:t>
      </w:r>
      <w:r w:rsidR="002567A6" w:rsidRPr="00C96166">
        <w:rPr>
          <w:rFonts w:ascii="Avenir Next" w:hAnsi="Avenir Next" w:cs="Arial"/>
          <w:bCs/>
          <w:color w:val="808080" w:themeColor="background1" w:themeShade="80"/>
          <w:sz w:val="22"/>
          <w:szCs w:val="22"/>
          <w:lang w:val="en-GB"/>
        </w:rPr>
        <w:t>i</w:t>
      </w:r>
      <w:r w:rsidRPr="00C96166">
        <w:rPr>
          <w:rFonts w:ascii="Avenir Next" w:hAnsi="Avenir Next" w:cs="Arial"/>
          <w:bCs/>
          <w:color w:val="808080" w:themeColor="background1" w:themeShade="80"/>
          <w:sz w:val="22"/>
          <w:szCs w:val="22"/>
          <w:lang w:val="en-GB"/>
        </w:rPr>
        <w:t xml:space="preserve">s adequate protection amongst all creditors, including non-foreign creditors, </w:t>
      </w:r>
      <w:r w:rsidR="002D4F2C">
        <w:rPr>
          <w:rFonts w:ascii="Avenir Next" w:hAnsi="Avenir Next" w:cs="Arial"/>
          <w:bCs/>
          <w:color w:val="808080" w:themeColor="background1" w:themeShade="80"/>
          <w:sz w:val="22"/>
          <w:szCs w:val="22"/>
          <w:lang w:val="en-GB"/>
        </w:rPr>
        <w:t xml:space="preserve">and other such conditions which may be deemed proper </w:t>
      </w:r>
      <w:r w:rsidRPr="00C96166">
        <w:rPr>
          <w:rFonts w:ascii="Avenir Next" w:hAnsi="Avenir Next" w:cs="Arial"/>
          <w:bCs/>
          <w:color w:val="808080" w:themeColor="background1" w:themeShade="80"/>
          <w:sz w:val="22"/>
          <w:szCs w:val="22"/>
          <w:lang w:val="en-GB"/>
        </w:rPr>
        <w:t xml:space="preserve">when entrusting </w:t>
      </w:r>
      <w:r w:rsidR="00E57717" w:rsidRPr="00C96166">
        <w:rPr>
          <w:rFonts w:ascii="Avenir Next" w:hAnsi="Avenir Next" w:cs="Arial"/>
          <w:bCs/>
          <w:color w:val="808080" w:themeColor="background1" w:themeShade="80"/>
          <w:sz w:val="22"/>
          <w:szCs w:val="22"/>
          <w:lang w:val="en-GB"/>
        </w:rPr>
        <w:t>distributions of assets (in full or partially) to a foreign representative or one designated by the court.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6B76AF5B" w14:textId="036E54B9" w:rsidR="00E57717" w:rsidRPr="00C96166" w:rsidRDefault="008B74F3" w:rsidP="00707FC8">
      <w:pPr>
        <w:jc w:val="both"/>
        <w:rPr>
          <w:rFonts w:ascii="Avenir Next" w:hAnsi="Avenir Next" w:cs="Arial"/>
          <w:bCs/>
          <w:color w:val="808080" w:themeColor="background1" w:themeShade="80"/>
          <w:sz w:val="22"/>
          <w:szCs w:val="22"/>
          <w:lang w:val="en-GB"/>
        </w:rPr>
      </w:pPr>
      <w:r w:rsidRPr="00C96166">
        <w:rPr>
          <w:rFonts w:ascii="Avenir Next" w:hAnsi="Avenir Next" w:cs="Arial"/>
          <w:bCs/>
          <w:color w:val="808080" w:themeColor="background1" w:themeShade="80"/>
          <w:sz w:val="22"/>
          <w:szCs w:val="22"/>
          <w:lang w:val="en-GB"/>
        </w:rPr>
        <w:t>Article 13 of the MLCBI states that</w:t>
      </w:r>
      <w:r w:rsidR="00C4695B" w:rsidRPr="00C96166">
        <w:rPr>
          <w:rFonts w:ascii="Avenir Next" w:hAnsi="Avenir Next" w:cs="Arial"/>
          <w:bCs/>
          <w:color w:val="808080" w:themeColor="background1" w:themeShade="80"/>
          <w:sz w:val="22"/>
          <w:szCs w:val="22"/>
          <w:lang w:val="en-GB"/>
        </w:rPr>
        <w:t xml:space="preserve">, subject to </w:t>
      </w:r>
      <w:r w:rsidR="007B3B46" w:rsidRPr="00C96166">
        <w:rPr>
          <w:rFonts w:ascii="Avenir Next" w:hAnsi="Avenir Next" w:cs="Arial"/>
          <w:bCs/>
          <w:color w:val="808080" w:themeColor="background1" w:themeShade="80"/>
          <w:sz w:val="22"/>
          <w:szCs w:val="22"/>
          <w:lang w:val="en-GB"/>
        </w:rPr>
        <w:t>equivalent seniority treatment amongst creditors of the same class,</w:t>
      </w:r>
      <w:r w:rsidRPr="00C96166">
        <w:rPr>
          <w:rFonts w:ascii="Avenir Next" w:hAnsi="Avenir Next" w:cs="Arial"/>
          <w:bCs/>
          <w:color w:val="808080" w:themeColor="background1" w:themeShade="80"/>
          <w:sz w:val="22"/>
          <w:szCs w:val="22"/>
          <w:lang w:val="en-GB"/>
        </w:rPr>
        <w:t xml:space="preserve"> foreign creditors</w:t>
      </w:r>
      <w:r w:rsidR="007B3B46" w:rsidRPr="00C96166">
        <w:rPr>
          <w:rFonts w:ascii="Avenir Next" w:hAnsi="Avenir Next" w:cs="Arial"/>
          <w:bCs/>
          <w:color w:val="808080" w:themeColor="background1" w:themeShade="80"/>
          <w:sz w:val="22"/>
          <w:szCs w:val="22"/>
          <w:lang w:val="en-GB"/>
        </w:rPr>
        <w:t xml:space="preserve"> (</w:t>
      </w:r>
      <w:r w:rsidR="00E25767" w:rsidRPr="00C96166">
        <w:rPr>
          <w:rFonts w:ascii="Avenir Next" w:hAnsi="Avenir Next" w:cs="Arial"/>
          <w:bCs/>
          <w:color w:val="808080" w:themeColor="background1" w:themeShade="80"/>
          <w:sz w:val="22"/>
          <w:szCs w:val="22"/>
          <w:lang w:val="en-GB"/>
        </w:rPr>
        <w:t>compared to non-foreign creditors</w:t>
      </w:r>
      <w:r w:rsidR="007B3B46" w:rsidRPr="00C96166">
        <w:rPr>
          <w:rFonts w:ascii="Avenir Next" w:hAnsi="Avenir Next" w:cs="Arial"/>
          <w:bCs/>
          <w:color w:val="808080" w:themeColor="background1" w:themeShade="80"/>
          <w:sz w:val="22"/>
          <w:szCs w:val="22"/>
          <w:lang w:val="en-GB"/>
        </w:rPr>
        <w:t>)</w:t>
      </w:r>
      <w:r w:rsidRPr="00C96166">
        <w:rPr>
          <w:rFonts w:ascii="Avenir Next" w:hAnsi="Avenir Next" w:cs="Arial"/>
          <w:bCs/>
          <w:color w:val="808080" w:themeColor="background1" w:themeShade="80"/>
          <w:sz w:val="22"/>
          <w:szCs w:val="22"/>
          <w:lang w:val="en-GB"/>
        </w:rPr>
        <w:t>,</w:t>
      </w:r>
      <w:r w:rsidR="00E25767" w:rsidRPr="00C96166">
        <w:rPr>
          <w:rFonts w:ascii="Avenir Next" w:hAnsi="Avenir Next" w:cs="Arial"/>
          <w:bCs/>
          <w:color w:val="808080" w:themeColor="background1" w:themeShade="80"/>
          <w:sz w:val="22"/>
          <w:szCs w:val="22"/>
          <w:lang w:val="en-GB"/>
        </w:rPr>
        <w:t xml:space="preserve"> </w:t>
      </w:r>
      <w:r w:rsidRPr="00C96166">
        <w:rPr>
          <w:rFonts w:ascii="Avenir Next" w:hAnsi="Avenir Next" w:cs="Arial"/>
          <w:bCs/>
          <w:color w:val="808080" w:themeColor="background1" w:themeShade="80"/>
          <w:sz w:val="22"/>
          <w:szCs w:val="22"/>
          <w:lang w:val="en-GB"/>
        </w:rPr>
        <w:t xml:space="preserve">have equitable rights </w:t>
      </w:r>
      <w:r w:rsidR="00E57717" w:rsidRPr="00C96166">
        <w:rPr>
          <w:rFonts w:ascii="Avenir Next" w:hAnsi="Avenir Next" w:cs="Arial"/>
          <w:bCs/>
          <w:color w:val="808080" w:themeColor="background1" w:themeShade="80"/>
          <w:sz w:val="22"/>
          <w:szCs w:val="22"/>
          <w:lang w:val="en-GB"/>
        </w:rPr>
        <w:t xml:space="preserve">pertaining to both </w:t>
      </w:r>
      <w:r w:rsidR="00E25767" w:rsidRPr="00C96166">
        <w:rPr>
          <w:rFonts w:ascii="Avenir Next" w:hAnsi="Avenir Next" w:cs="Arial"/>
          <w:bCs/>
          <w:color w:val="808080" w:themeColor="background1" w:themeShade="80"/>
          <w:sz w:val="22"/>
          <w:szCs w:val="22"/>
          <w:lang w:val="en-GB"/>
        </w:rPr>
        <w:t>commencement and participation relative to proceedings in a specific State</w:t>
      </w:r>
      <w:r w:rsidRPr="00C96166">
        <w:rPr>
          <w:rFonts w:ascii="Avenir Next" w:hAnsi="Avenir Next" w:cs="Arial"/>
          <w:bCs/>
          <w:color w:val="808080" w:themeColor="background1" w:themeShade="80"/>
          <w:sz w:val="22"/>
          <w:szCs w:val="22"/>
          <w:lang w:val="en-GB"/>
        </w:rPr>
        <w:t xml:space="preserve"> as implemented under the </w:t>
      </w:r>
      <w:r w:rsidR="00C4695B" w:rsidRPr="00C96166">
        <w:rPr>
          <w:rFonts w:ascii="Avenir Next" w:hAnsi="Avenir Next" w:cs="Arial"/>
          <w:bCs/>
          <w:color w:val="808080" w:themeColor="background1" w:themeShade="80"/>
          <w:sz w:val="22"/>
          <w:szCs w:val="22"/>
          <w:lang w:val="en-GB"/>
        </w:rPr>
        <w:t>relevant and applicable domestic insolvency law.</w:t>
      </w:r>
    </w:p>
    <w:p w14:paraId="5E243FCD" w14:textId="77777777" w:rsidR="003676D9" w:rsidRPr="00E2622D" w:rsidRDefault="003676D9"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4127391E" w14:textId="31C1C7D8" w:rsidR="00100E8F" w:rsidRPr="00B81F82" w:rsidRDefault="00AE2665" w:rsidP="00AE2665">
      <w:pPr>
        <w:jc w:val="both"/>
        <w:rPr>
          <w:rFonts w:ascii="Avenir Next" w:hAnsi="Avenir Next" w:cs="Arial"/>
          <w:color w:val="808080" w:themeColor="background1" w:themeShade="80"/>
          <w:sz w:val="22"/>
          <w:szCs w:val="22"/>
          <w:lang w:val="en-GB"/>
        </w:rPr>
      </w:pPr>
      <w:r w:rsidRPr="00B81F82">
        <w:rPr>
          <w:rFonts w:ascii="Avenir Next" w:hAnsi="Avenir Next" w:cs="Arial"/>
          <w:bCs/>
          <w:color w:val="808080" w:themeColor="background1" w:themeShade="80"/>
          <w:sz w:val="22"/>
          <w:szCs w:val="22"/>
          <w:lang w:val="en-GB"/>
        </w:rPr>
        <w:t xml:space="preserve">Foreign main proceedings, which are typically held in a debtor’s Center of Main Interest (‘COMI’), are normally granted an automatic stay order </w:t>
      </w:r>
      <w:r w:rsidR="00CA59D5">
        <w:rPr>
          <w:rFonts w:ascii="Avenir Next" w:hAnsi="Avenir Next" w:cs="Arial"/>
          <w:bCs/>
          <w:color w:val="808080" w:themeColor="background1" w:themeShade="80"/>
          <w:sz w:val="22"/>
          <w:szCs w:val="22"/>
          <w:lang w:val="en-GB"/>
        </w:rPr>
        <w:t xml:space="preserve">upon recognition, in line with Article 20 of the Model Law, </w:t>
      </w:r>
      <w:r w:rsidRPr="00B81F82">
        <w:rPr>
          <w:rFonts w:ascii="Avenir Next" w:hAnsi="Avenir Next" w:cs="Arial"/>
          <w:bCs/>
          <w:color w:val="808080" w:themeColor="background1" w:themeShade="80"/>
          <w:sz w:val="22"/>
          <w:szCs w:val="22"/>
          <w:lang w:val="en-GB"/>
        </w:rPr>
        <w:t xml:space="preserve">while foreign non-main proceedings, which are ancillary, must </w:t>
      </w:r>
      <w:r w:rsidR="0010606A">
        <w:rPr>
          <w:rFonts w:ascii="Avenir Next" w:hAnsi="Avenir Next" w:cs="Arial"/>
          <w:bCs/>
          <w:color w:val="808080" w:themeColor="background1" w:themeShade="80"/>
          <w:sz w:val="22"/>
          <w:szCs w:val="22"/>
          <w:lang w:val="en-GB"/>
        </w:rPr>
        <w:t>still apply</w:t>
      </w:r>
      <w:r w:rsidRPr="00B81F82">
        <w:rPr>
          <w:rFonts w:ascii="Avenir Next" w:hAnsi="Avenir Next" w:cs="Arial"/>
          <w:bCs/>
          <w:color w:val="808080" w:themeColor="background1" w:themeShade="80"/>
          <w:sz w:val="22"/>
          <w:szCs w:val="22"/>
          <w:lang w:val="en-GB"/>
        </w:rPr>
        <w:t xml:space="preserve"> to be granted relief</w:t>
      </w:r>
      <w:r w:rsidR="00220C94">
        <w:rPr>
          <w:rFonts w:ascii="Avenir Next" w:hAnsi="Avenir Next" w:cs="Arial"/>
          <w:bCs/>
          <w:color w:val="808080" w:themeColor="background1" w:themeShade="80"/>
          <w:sz w:val="22"/>
          <w:szCs w:val="22"/>
          <w:lang w:val="en-GB"/>
        </w:rPr>
        <w:t>, in line with Article 21 of the Model Law</w:t>
      </w:r>
      <w:r w:rsidRPr="00B81F82">
        <w:rPr>
          <w:rFonts w:ascii="Avenir Next" w:hAnsi="Avenir Next" w:cs="Arial"/>
          <w:bCs/>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Default="00C550C8" w:rsidP="00707FC8">
      <w:pPr>
        <w:jc w:val="both"/>
        <w:rPr>
          <w:rFonts w:ascii="Avenir Next" w:hAnsi="Avenir Next" w:cs="Arial"/>
          <w:sz w:val="22"/>
          <w:szCs w:val="22"/>
          <w:lang w:val="en-GB"/>
        </w:rPr>
      </w:pPr>
    </w:p>
    <w:p w14:paraId="5297BB24" w14:textId="3F1939E5" w:rsidR="00AE2665" w:rsidRPr="0010606A" w:rsidRDefault="00AE2665" w:rsidP="00707FC8">
      <w:pPr>
        <w:jc w:val="both"/>
        <w:rPr>
          <w:rFonts w:ascii="Avenir Next" w:hAnsi="Avenir Next" w:cs="Arial"/>
          <w:color w:val="808080" w:themeColor="background1" w:themeShade="80"/>
          <w:sz w:val="22"/>
          <w:szCs w:val="22"/>
          <w:lang w:val="en-GB"/>
        </w:rPr>
      </w:pPr>
      <w:r w:rsidRPr="0010606A">
        <w:rPr>
          <w:rFonts w:ascii="Avenir Next" w:hAnsi="Avenir Next" w:cs="Arial"/>
          <w:color w:val="808080" w:themeColor="background1" w:themeShade="80"/>
          <w:sz w:val="22"/>
          <w:szCs w:val="22"/>
          <w:lang w:val="en-GB"/>
        </w:rPr>
        <w:t xml:space="preserve">Main proceedings </w:t>
      </w:r>
      <w:r w:rsidR="0010606A" w:rsidRPr="0010606A">
        <w:rPr>
          <w:rFonts w:ascii="Avenir Next" w:hAnsi="Avenir Next" w:cs="Arial"/>
          <w:color w:val="808080" w:themeColor="background1" w:themeShade="80"/>
          <w:sz w:val="22"/>
          <w:szCs w:val="22"/>
          <w:lang w:val="en-GB"/>
        </w:rPr>
        <w:t>would have been</w:t>
      </w:r>
      <w:r w:rsidRPr="0010606A">
        <w:rPr>
          <w:rFonts w:ascii="Avenir Next" w:hAnsi="Avenir Next" w:cs="Arial"/>
          <w:color w:val="808080" w:themeColor="background1" w:themeShade="80"/>
          <w:sz w:val="22"/>
          <w:szCs w:val="22"/>
          <w:lang w:val="en-GB"/>
        </w:rPr>
        <w:t xml:space="preserve"> filed in the debtor’s COMI, </w:t>
      </w:r>
      <w:r w:rsidR="00274732" w:rsidRPr="0010606A">
        <w:rPr>
          <w:rFonts w:ascii="Avenir Next" w:hAnsi="Avenir Next" w:cs="Arial"/>
          <w:color w:val="808080" w:themeColor="background1" w:themeShade="80"/>
          <w:sz w:val="22"/>
          <w:szCs w:val="22"/>
          <w:lang w:val="en-GB"/>
        </w:rPr>
        <w:t xml:space="preserve">which </w:t>
      </w:r>
      <w:r w:rsidRPr="0010606A">
        <w:rPr>
          <w:rFonts w:ascii="Avenir Next" w:hAnsi="Avenir Next" w:cs="Arial"/>
          <w:color w:val="808080" w:themeColor="background1" w:themeShade="80"/>
          <w:sz w:val="22"/>
          <w:szCs w:val="22"/>
          <w:lang w:val="en-GB"/>
        </w:rPr>
        <w:t xml:space="preserve">in this case </w:t>
      </w:r>
      <w:r w:rsidR="00274732" w:rsidRPr="0010606A">
        <w:rPr>
          <w:rFonts w:ascii="Avenir Next" w:hAnsi="Avenir Next" w:cs="Arial"/>
          <w:color w:val="808080" w:themeColor="background1" w:themeShade="80"/>
          <w:sz w:val="22"/>
          <w:szCs w:val="22"/>
          <w:lang w:val="en-GB"/>
        </w:rPr>
        <w:t xml:space="preserve">is </w:t>
      </w:r>
      <w:r w:rsidRPr="0010606A">
        <w:rPr>
          <w:rFonts w:ascii="Avenir Next" w:hAnsi="Avenir Next" w:cs="Arial"/>
          <w:color w:val="808080" w:themeColor="background1" w:themeShade="80"/>
          <w:sz w:val="22"/>
          <w:szCs w:val="22"/>
          <w:lang w:val="en-GB"/>
        </w:rPr>
        <w:t>Germany</w:t>
      </w:r>
      <w:r w:rsidR="00274732" w:rsidRPr="0010606A">
        <w:rPr>
          <w:rFonts w:ascii="Avenir Next" w:hAnsi="Avenir Next" w:cs="Arial"/>
          <w:color w:val="808080" w:themeColor="background1" w:themeShade="80"/>
          <w:sz w:val="22"/>
          <w:szCs w:val="22"/>
          <w:lang w:val="en-GB"/>
        </w:rPr>
        <w:t>, with a non-main proceeding filed in Bermuda</w:t>
      </w:r>
      <w:r w:rsidR="006F341B" w:rsidRPr="0010606A">
        <w:rPr>
          <w:rFonts w:ascii="Avenir Next" w:hAnsi="Avenir Next" w:cs="Arial"/>
          <w:color w:val="808080" w:themeColor="background1" w:themeShade="80"/>
          <w:sz w:val="22"/>
          <w:szCs w:val="22"/>
          <w:lang w:val="en-GB"/>
        </w:rPr>
        <w:t xml:space="preserve"> due to the presence of an establishment</w:t>
      </w:r>
      <w:r w:rsidR="0078053A">
        <w:rPr>
          <w:rFonts w:ascii="Avenir Next" w:hAnsi="Avenir Next" w:cs="Arial"/>
          <w:color w:val="808080" w:themeColor="background1" w:themeShade="80"/>
          <w:sz w:val="22"/>
          <w:szCs w:val="22"/>
          <w:lang w:val="en-GB"/>
        </w:rPr>
        <w:t xml:space="preserve"> and</w:t>
      </w:r>
      <w:r w:rsidR="00B81F82" w:rsidRPr="0010606A">
        <w:rPr>
          <w:rFonts w:ascii="Avenir Next" w:hAnsi="Avenir Next" w:cs="Arial"/>
          <w:color w:val="808080" w:themeColor="background1" w:themeShade="80"/>
          <w:sz w:val="22"/>
          <w:szCs w:val="22"/>
          <w:lang w:val="en-GB"/>
        </w:rPr>
        <w:t xml:space="preserve"> recognition proceedings </w:t>
      </w:r>
      <w:r w:rsidR="0010606A" w:rsidRPr="0010606A">
        <w:rPr>
          <w:rFonts w:ascii="Avenir Next" w:hAnsi="Avenir Next" w:cs="Arial"/>
          <w:color w:val="808080" w:themeColor="background1" w:themeShade="80"/>
          <w:sz w:val="22"/>
          <w:szCs w:val="22"/>
          <w:lang w:val="en-GB"/>
        </w:rPr>
        <w:t xml:space="preserve">likewise </w:t>
      </w:r>
      <w:r w:rsidR="00B81F82" w:rsidRPr="0010606A">
        <w:rPr>
          <w:rFonts w:ascii="Avenir Next" w:hAnsi="Avenir Next" w:cs="Arial"/>
          <w:color w:val="808080" w:themeColor="background1" w:themeShade="80"/>
          <w:sz w:val="22"/>
          <w:szCs w:val="22"/>
          <w:lang w:val="en-GB"/>
        </w:rPr>
        <w:t>filed in the U</w:t>
      </w:r>
      <w:r w:rsidR="0097758D">
        <w:rPr>
          <w:rFonts w:ascii="Avenir Next" w:hAnsi="Avenir Next" w:cs="Arial"/>
          <w:color w:val="808080" w:themeColor="background1" w:themeShade="80"/>
          <w:sz w:val="22"/>
          <w:szCs w:val="22"/>
          <w:lang w:val="en-GB"/>
        </w:rPr>
        <w:t xml:space="preserve">nited </w:t>
      </w:r>
      <w:r w:rsidR="00B81F82" w:rsidRPr="0010606A">
        <w:rPr>
          <w:rFonts w:ascii="Avenir Next" w:hAnsi="Avenir Next" w:cs="Arial"/>
          <w:color w:val="808080" w:themeColor="background1" w:themeShade="80"/>
          <w:sz w:val="22"/>
          <w:szCs w:val="22"/>
          <w:lang w:val="en-GB"/>
        </w:rPr>
        <w:t>S</w:t>
      </w:r>
      <w:r w:rsidR="0097758D">
        <w:rPr>
          <w:rFonts w:ascii="Avenir Next" w:hAnsi="Avenir Next" w:cs="Arial"/>
          <w:color w:val="808080" w:themeColor="background1" w:themeShade="80"/>
          <w:sz w:val="22"/>
          <w:szCs w:val="22"/>
          <w:lang w:val="en-GB"/>
        </w:rPr>
        <w:t>tates</w:t>
      </w:r>
      <w:r w:rsidR="00B81F82" w:rsidRPr="0010606A">
        <w:rPr>
          <w:rFonts w:ascii="Avenir Next" w:hAnsi="Avenir Next" w:cs="Arial"/>
          <w:color w:val="808080" w:themeColor="background1" w:themeShade="80"/>
          <w:sz w:val="22"/>
          <w:szCs w:val="22"/>
          <w:lang w:val="en-GB"/>
        </w:rPr>
        <w:t>. Recognition was likely acknowledged for both proceedings in Germany (due to the presence of the COMI in the state) and Bermuda (given the presence of an establishment in the state</w:t>
      </w:r>
      <w:r w:rsidR="00827A0E">
        <w:rPr>
          <w:rFonts w:ascii="Avenir Next" w:hAnsi="Avenir Next" w:cs="Arial"/>
          <w:color w:val="808080" w:themeColor="background1" w:themeShade="80"/>
          <w:sz w:val="22"/>
          <w:szCs w:val="22"/>
          <w:lang w:val="en-GB"/>
        </w:rPr>
        <w:t>, as defined in the Model Law</w:t>
      </w:r>
      <w:r w:rsidR="00B81F82" w:rsidRPr="0010606A">
        <w:rPr>
          <w:rFonts w:ascii="Avenir Next" w:hAnsi="Avenir Next" w:cs="Arial"/>
          <w:color w:val="808080" w:themeColor="background1" w:themeShade="80"/>
          <w:sz w:val="22"/>
          <w:szCs w:val="22"/>
          <w:lang w:val="en-GB"/>
        </w:rPr>
        <w:t>).</w:t>
      </w:r>
    </w:p>
    <w:p w14:paraId="2E4EF0BF" w14:textId="77777777" w:rsidR="00AE2665" w:rsidRPr="00E2622D" w:rsidRDefault="00AE2665" w:rsidP="00707FC8">
      <w:pPr>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79DC3CA6" w:rsidR="00867A8F" w:rsidRPr="00C96166" w:rsidRDefault="006E4BBA" w:rsidP="00C96166">
      <w:pPr>
        <w:jc w:val="both"/>
        <w:rPr>
          <w:rFonts w:ascii="Avenir Next" w:hAnsi="Avenir Next" w:cs="Arial"/>
          <w:color w:val="808080" w:themeColor="background1" w:themeShade="80"/>
          <w:sz w:val="22"/>
          <w:szCs w:val="22"/>
          <w:lang w:val="en-GB"/>
        </w:rPr>
      </w:pPr>
      <w:r w:rsidRPr="00C96166">
        <w:rPr>
          <w:rFonts w:ascii="Avenir Next" w:hAnsi="Avenir Next" w:cs="Arial"/>
          <w:color w:val="808080" w:themeColor="background1" w:themeShade="80"/>
          <w:sz w:val="22"/>
          <w:szCs w:val="22"/>
          <w:lang w:val="en-GB"/>
        </w:rPr>
        <w:t xml:space="preserve">It is noteworthy that the United States follows the Model Law through Chapter 15 of the U.S. Bankruptcy Code. </w:t>
      </w:r>
      <w:r w:rsidR="00F25DA4" w:rsidRPr="00C96166">
        <w:rPr>
          <w:rFonts w:ascii="Avenir Next" w:hAnsi="Avenir Next" w:cs="Arial"/>
          <w:color w:val="808080" w:themeColor="background1" w:themeShade="80"/>
          <w:sz w:val="22"/>
          <w:szCs w:val="22"/>
          <w:lang w:val="en-GB"/>
        </w:rPr>
        <w:t xml:space="preserve">The </w:t>
      </w:r>
      <w:r w:rsidR="0031734C" w:rsidRPr="00C96166">
        <w:rPr>
          <w:rFonts w:ascii="Avenir Next" w:hAnsi="Avenir Next" w:cs="Arial"/>
          <w:color w:val="808080" w:themeColor="background1" w:themeShade="80"/>
          <w:sz w:val="22"/>
          <w:szCs w:val="22"/>
          <w:lang w:val="en-GB"/>
        </w:rPr>
        <w:t xml:space="preserve">intervention of joint provisional liquidators is valid under Article 24 of the Model Law, if the requirements are met as set forth in the </w:t>
      </w:r>
      <w:r w:rsidR="0097758D">
        <w:rPr>
          <w:rFonts w:ascii="Avenir Next" w:hAnsi="Avenir Next" w:cs="Arial"/>
          <w:color w:val="808080" w:themeColor="background1" w:themeShade="80"/>
          <w:sz w:val="22"/>
          <w:szCs w:val="22"/>
          <w:lang w:val="en-GB"/>
        </w:rPr>
        <w:t>said article</w:t>
      </w:r>
      <w:r w:rsidR="002A62ED">
        <w:rPr>
          <w:rFonts w:ascii="Avenir Next" w:hAnsi="Avenir Next" w:cs="Arial"/>
          <w:color w:val="808080" w:themeColor="background1" w:themeShade="80"/>
          <w:sz w:val="22"/>
          <w:szCs w:val="22"/>
          <w:lang w:val="en-GB"/>
        </w:rPr>
        <w:t>, inclusive of not being stayed for proceedings under Articles 20 and 21</w:t>
      </w:r>
      <w:r w:rsidR="0031734C" w:rsidRPr="00C96166">
        <w:rPr>
          <w:rFonts w:ascii="Avenir Next" w:hAnsi="Avenir Next" w:cs="Arial"/>
          <w:color w:val="808080" w:themeColor="background1" w:themeShade="80"/>
          <w:sz w:val="22"/>
          <w:szCs w:val="22"/>
          <w:lang w:val="en-GB"/>
        </w:rPr>
        <w: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lastRenderedPageBreak/>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1B858D12" w:rsidR="00867A8F" w:rsidRDefault="00B14BB0" w:rsidP="00F82D9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Ipso facto clauses are generally unenforceable</w:t>
      </w:r>
      <w:r w:rsidR="00737ECE">
        <w:rPr>
          <w:rFonts w:ascii="Avenir Next" w:hAnsi="Avenir Next" w:cs="Arial"/>
          <w:color w:val="808080" w:themeColor="background1" w:themeShade="80"/>
          <w:sz w:val="22"/>
          <w:szCs w:val="22"/>
          <w:lang w:val="en-GB"/>
        </w:rPr>
        <w:t xml:space="preserve"> in the United States due to multiple provisions in the</w:t>
      </w:r>
      <w:r w:rsidR="00F82D96">
        <w:rPr>
          <w:rFonts w:ascii="Avenir Next" w:hAnsi="Avenir Next" w:cs="Arial"/>
          <w:color w:val="808080" w:themeColor="background1" w:themeShade="80"/>
          <w:sz w:val="22"/>
          <w:szCs w:val="22"/>
          <w:lang w:val="en-GB"/>
        </w:rPr>
        <w:t xml:space="preserve"> </w:t>
      </w:r>
      <w:r w:rsidR="00737ECE">
        <w:rPr>
          <w:rFonts w:ascii="Avenir Next" w:hAnsi="Avenir Next" w:cs="Arial"/>
          <w:color w:val="808080" w:themeColor="background1" w:themeShade="80"/>
          <w:sz w:val="22"/>
          <w:szCs w:val="22"/>
          <w:lang w:val="en-GB"/>
        </w:rPr>
        <w:t xml:space="preserve">Bankruptcy Code, specifically </w:t>
      </w:r>
      <w:r w:rsidR="00737ECE" w:rsidRPr="00737ECE">
        <w:rPr>
          <w:rFonts w:ascii="Avenir Next" w:hAnsi="Avenir Next" w:cs="Arial"/>
          <w:color w:val="808080" w:themeColor="background1" w:themeShade="80"/>
          <w:sz w:val="22"/>
          <w:szCs w:val="22"/>
          <w:lang w:val="en-GB"/>
        </w:rPr>
        <w:t>11 U.S.C. §541(c)</w:t>
      </w:r>
      <w:r w:rsidR="00737ECE">
        <w:rPr>
          <w:rFonts w:ascii="Avenir Next" w:hAnsi="Avenir Next" w:cs="Arial"/>
          <w:color w:val="808080" w:themeColor="background1" w:themeShade="80"/>
          <w:sz w:val="22"/>
          <w:szCs w:val="22"/>
          <w:lang w:val="en-GB"/>
        </w:rPr>
        <w:t xml:space="preserve"> and </w:t>
      </w:r>
      <w:r w:rsidR="00737ECE" w:rsidRPr="00737ECE">
        <w:rPr>
          <w:rFonts w:ascii="Avenir Next" w:hAnsi="Avenir Next" w:cs="Arial"/>
          <w:color w:val="808080" w:themeColor="background1" w:themeShade="80"/>
          <w:sz w:val="22"/>
          <w:szCs w:val="22"/>
          <w:lang w:val="en-GB"/>
        </w:rPr>
        <w:t>11 U.S.C. §365(e)(1)</w:t>
      </w:r>
      <w:r w:rsidR="00737ECE">
        <w:rPr>
          <w:rFonts w:ascii="Avenir Next" w:hAnsi="Avenir Next" w:cs="Arial"/>
          <w:color w:val="808080" w:themeColor="background1" w:themeShade="80"/>
          <w:sz w:val="22"/>
          <w:szCs w:val="22"/>
          <w:lang w:val="en-GB"/>
        </w:rPr>
        <w:t xml:space="preserve">. Given the protections granted to debtors in such cases, the foreign representative should </w:t>
      </w:r>
      <w:r w:rsidR="008C6BE3">
        <w:rPr>
          <w:rFonts w:ascii="Avenir Next" w:hAnsi="Avenir Next" w:cs="Arial"/>
          <w:color w:val="808080" w:themeColor="background1" w:themeShade="80"/>
          <w:sz w:val="22"/>
          <w:szCs w:val="22"/>
          <w:lang w:val="en-GB"/>
        </w:rPr>
        <w:t>ensure that evidential requirements are filed and met as per Articl</w:t>
      </w:r>
      <w:r w:rsidR="00C9418F">
        <w:rPr>
          <w:rFonts w:ascii="Avenir Next" w:hAnsi="Avenir Next" w:cs="Arial"/>
          <w:color w:val="808080" w:themeColor="background1" w:themeShade="80"/>
          <w:sz w:val="22"/>
          <w:szCs w:val="22"/>
          <w:lang w:val="en-GB"/>
        </w:rPr>
        <w:t>e 15 of the Model Law.</w:t>
      </w:r>
    </w:p>
    <w:p w14:paraId="0F6EB7C7" w14:textId="77777777" w:rsidR="000F7728" w:rsidRDefault="000F7728" w:rsidP="00F31EE9">
      <w:pPr>
        <w:ind w:left="720" w:hanging="720"/>
        <w:jc w:val="both"/>
        <w:rPr>
          <w:rFonts w:ascii="Avenir Next" w:hAnsi="Avenir Next" w:cs="Arial"/>
          <w:color w:val="808080" w:themeColor="background1" w:themeShade="80"/>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0C2B10D3" w:rsidR="00867A8F" w:rsidRPr="0010606A" w:rsidRDefault="00B14BB0" w:rsidP="0010606A">
      <w:pPr>
        <w:jc w:val="both"/>
        <w:rPr>
          <w:rFonts w:ascii="Avenir Next" w:hAnsi="Avenir Next" w:cs="Arial"/>
          <w:color w:val="808080" w:themeColor="background1" w:themeShade="80"/>
          <w:sz w:val="22"/>
          <w:szCs w:val="22"/>
          <w:lang w:val="en-GB"/>
        </w:rPr>
      </w:pPr>
      <w:r w:rsidRPr="0010606A">
        <w:rPr>
          <w:rFonts w:ascii="Avenir Next" w:hAnsi="Avenir Next" w:cs="Arial"/>
          <w:color w:val="808080" w:themeColor="background1" w:themeShade="80"/>
          <w:sz w:val="22"/>
          <w:szCs w:val="22"/>
          <w:lang w:val="en-GB"/>
        </w:rPr>
        <w:t>The foreign representative</w:t>
      </w:r>
      <w:r w:rsidR="002567A6">
        <w:rPr>
          <w:rFonts w:ascii="Avenir Next" w:hAnsi="Avenir Next" w:cs="Arial"/>
          <w:color w:val="808080" w:themeColor="background1" w:themeShade="80"/>
          <w:sz w:val="22"/>
          <w:szCs w:val="22"/>
          <w:lang w:val="en-GB"/>
        </w:rPr>
        <w:t xml:space="preserve"> may ask the courts to </w:t>
      </w:r>
      <w:r w:rsidR="00D27C0F">
        <w:rPr>
          <w:rFonts w:ascii="Avenir Next" w:hAnsi="Avenir Next" w:cs="Arial"/>
          <w:color w:val="808080" w:themeColor="background1" w:themeShade="80"/>
          <w:sz w:val="22"/>
          <w:szCs w:val="22"/>
          <w:lang w:val="en-GB"/>
        </w:rPr>
        <w:t>re-</w:t>
      </w:r>
      <w:r w:rsidR="002567A6">
        <w:rPr>
          <w:rFonts w:ascii="Avenir Next" w:hAnsi="Avenir Next" w:cs="Arial"/>
          <w:color w:val="808080" w:themeColor="background1" w:themeShade="80"/>
          <w:sz w:val="22"/>
          <w:szCs w:val="22"/>
          <w:lang w:val="en-GB"/>
        </w:rPr>
        <w:t xml:space="preserve">assess </w:t>
      </w:r>
      <w:r w:rsidR="00194456">
        <w:rPr>
          <w:rFonts w:ascii="Avenir Next" w:hAnsi="Avenir Next" w:cs="Arial"/>
          <w:color w:val="808080" w:themeColor="background1" w:themeShade="80"/>
          <w:sz w:val="22"/>
          <w:szCs w:val="22"/>
          <w:lang w:val="en-GB"/>
        </w:rPr>
        <w:t xml:space="preserve">the foreign main </w:t>
      </w:r>
      <w:proofErr w:type="gramStart"/>
      <w:r w:rsidR="00194456">
        <w:rPr>
          <w:rFonts w:ascii="Avenir Next" w:hAnsi="Avenir Next" w:cs="Arial"/>
          <w:color w:val="808080" w:themeColor="background1" w:themeShade="80"/>
          <w:sz w:val="22"/>
          <w:szCs w:val="22"/>
          <w:lang w:val="en-GB"/>
        </w:rPr>
        <w:t>proceeding</w:t>
      </w:r>
      <w:r w:rsidR="002567A6">
        <w:rPr>
          <w:rFonts w:ascii="Avenir Next" w:hAnsi="Avenir Next" w:cs="Arial"/>
          <w:color w:val="808080" w:themeColor="background1" w:themeShade="80"/>
          <w:sz w:val="22"/>
          <w:szCs w:val="22"/>
          <w:lang w:val="en-GB"/>
        </w:rPr>
        <w:t>, but</w:t>
      </w:r>
      <w:proofErr w:type="gramEnd"/>
      <w:r w:rsidR="002567A6">
        <w:rPr>
          <w:rFonts w:ascii="Avenir Next" w:hAnsi="Avenir Next" w:cs="Arial"/>
          <w:color w:val="808080" w:themeColor="background1" w:themeShade="80"/>
          <w:sz w:val="22"/>
          <w:szCs w:val="22"/>
          <w:lang w:val="en-GB"/>
        </w:rPr>
        <w:t xml:space="preserve"> must provide ‘absence of proof to the contrary’ that the registered office is indeed the COMI of the insolvent debtor.</w:t>
      </w:r>
      <w:r w:rsidR="00A668BB">
        <w:rPr>
          <w:rFonts w:ascii="Avenir Next" w:hAnsi="Avenir Next" w:cs="Arial"/>
          <w:color w:val="808080" w:themeColor="background1" w:themeShade="80"/>
          <w:sz w:val="22"/>
          <w:szCs w:val="22"/>
          <w:lang w:val="en-GB"/>
        </w:rPr>
        <w:t xml:space="preserve"> </w:t>
      </w:r>
      <w:r w:rsidRPr="0010606A">
        <w:rPr>
          <w:rFonts w:ascii="Avenir Next" w:hAnsi="Avenir Next" w:cs="Arial"/>
          <w:color w:val="808080" w:themeColor="background1" w:themeShade="80"/>
          <w:sz w:val="22"/>
          <w:szCs w:val="22"/>
          <w:lang w:val="en-GB"/>
        </w:rPr>
        <w:t xml:space="preserve">On the outset, </w:t>
      </w:r>
      <w:r w:rsidR="00A668BB">
        <w:rPr>
          <w:rFonts w:ascii="Avenir Next" w:hAnsi="Avenir Next" w:cs="Arial"/>
          <w:color w:val="808080" w:themeColor="background1" w:themeShade="80"/>
          <w:sz w:val="22"/>
          <w:szCs w:val="22"/>
          <w:lang w:val="en-GB"/>
        </w:rPr>
        <w:t xml:space="preserve">it would have been more effective if </w:t>
      </w:r>
      <w:r w:rsidRPr="0010606A">
        <w:rPr>
          <w:rFonts w:ascii="Avenir Next" w:hAnsi="Avenir Next" w:cs="Arial"/>
          <w:color w:val="808080" w:themeColor="background1" w:themeShade="80"/>
          <w:sz w:val="22"/>
          <w:szCs w:val="22"/>
          <w:lang w:val="en-GB"/>
        </w:rPr>
        <w:t xml:space="preserve">the representative </w:t>
      </w:r>
      <w:r w:rsidR="00B81F82" w:rsidRPr="0010606A">
        <w:rPr>
          <w:rFonts w:ascii="Avenir Next" w:hAnsi="Avenir Next" w:cs="Arial"/>
          <w:color w:val="808080" w:themeColor="background1" w:themeShade="80"/>
          <w:sz w:val="22"/>
          <w:szCs w:val="22"/>
          <w:lang w:val="en-GB"/>
        </w:rPr>
        <w:t>checked whether Country B could have been considered as the COMI</w:t>
      </w:r>
      <w:r w:rsidR="00BD3D6A">
        <w:rPr>
          <w:rFonts w:ascii="Avenir Next" w:hAnsi="Avenir Next" w:cs="Arial"/>
          <w:color w:val="808080" w:themeColor="background1" w:themeShade="80"/>
          <w:sz w:val="22"/>
          <w:szCs w:val="22"/>
          <w:lang w:val="en-GB"/>
        </w:rPr>
        <w:t xml:space="preserve"> by the insolvency court</w:t>
      </w:r>
      <w:r w:rsidR="00A33A7B">
        <w:rPr>
          <w:rFonts w:ascii="Avenir Next" w:hAnsi="Avenir Next" w:cs="Arial"/>
          <w:color w:val="808080" w:themeColor="background1" w:themeShade="80"/>
          <w:sz w:val="22"/>
          <w:szCs w:val="22"/>
          <w:lang w:val="en-GB"/>
        </w:rPr>
        <w:t>, in alignments with Article 17.2.(a).</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 xml:space="preserve">The Sanction Hearing was held, and an order </w:t>
      </w:r>
      <w:r w:rsidRPr="00E61F6E">
        <w:rPr>
          <w:rFonts w:ascii="Avenir Next" w:hAnsi="Avenir Next"/>
          <w:sz w:val="22"/>
          <w:szCs w:val="28"/>
        </w:rPr>
        <w:lastRenderedPageBreak/>
        <w:t>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6C2DEC7F"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t>
      </w:r>
      <w:r w:rsidRPr="00983CFC">
        <w:rPr>
          <w:rFonts w:ascii="Avenir Next" w:hAnsi="Avenir Next"/>
          <w:strike/>
          <w:sz w:val="22"/>
          <w:szCs w:val="28"/>
        </w:rPr>
        <w:t xml:space="preserve">was </w:t>
      </w:r>
      <w:r>
        <w:rPr>
          <w:rFonts w:ascii="Avenir Next" w:hAnsi="Avenir Next"/>
          <w:sz w:val="22"/>
          <w:szCs w:val="28"/>
        </w:rPr>
        <w:t>in the US was brewing but has</w:t>
      </w:r>
      <w:r w:rsidR="00983CFC">
        <w:rPr>
          <w:rFonts w:ascii="Avenir Next" w:hAnsi="Avenir Next"/>
          <w:sz w:val="22"/>
          <w:szCs w:val="28"/>
        </w:rPr>
        <w:t xml:space="preserve"> </w:t>
      </w:r>
      <w:r w:rsidR="00983CFC" w:rsidRPr="00983CFC">
        <w:rPr>
          <w:rFonts w:ascii="Avenir Next" w:hAnsi="Avenir Next"/>
          <w:i/>
          <w:iCs/>
          <w:sz w:val="22"/>
          <w:szCs w:val="28"/>
          <w:u w:val="single"/>
        </w:rPr>
        <w:t>NOT</w:t>
      </w:r>
      <w:r w:rsidR="00983CFC">
        <w:rPr>
          <w:rFonts w:ascii="Avenir Next" w:hAnsi="Avenir Next"/>
          <w:sz w:val="22"/>
          <w:szCs w:val="28"/>
        </w:rPr>
        <w:t xml:space="preserve"> </w:t>
      </w:r>
      <w:r>
        <w:rPr>
          <w:rFonts w:ascii="Avenir Next" w:hAnsi="Avenir Next"/>
          <w:sz w:val="22"/>
          <w:szCs w:val="28"/>
        </w:rPr>
        <w:t xml:space="preserve">been filed yet. </w:t>
      </w:r>
    </w:p>
    <w:p w14:paraId="36BAA1A4" w14:textId="77777777" w:rsidR="009E3CA7" w:rsidRDefault="009E3CA7" w:rsidP="009E3CA7">
      <w:pPr>
        <w:jc w:val="both"/>
        <w:rPr>
          <w:rFonts w:ascii="Avenir Next" w:hAnsi="Avenir Next"/>
          <w:sz w:val="22"/>
          <w:szCs w:val="28"/>
        </w:rPr>
      </w:pPr>
    </w:p>
    <w:p w14:paraId="2FF2D5C3" w14:textId="5B1B30AC" w:rsidR="00150B48" w:rsidRDefault="007A2FCE" w:rsidP="009E3C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details presented, the most crucial step is filing for the </w:t>
      </w:r>
      <w:r w:rsidR="006B0BC0">
        <w:rPr>
          <w:rFonts w:ascii="Avenir Next" w:hAnsi="Avenir Next" w:cs="Arial"/>
          <w:color w:val="808080" w:themeColor="background1" w:themeShade="80"/>
          <w:sz w:val="22"/>
          <w:szCs w:val="22"/>
          <w:lang w:val="en-GB"/>
        </w:rPr>
        <w:t xml:space="preserve">established </w:t>
      </w:r>
      <w:r>
        <w:rPr>
          <w:rFonts w:ascii="Avenir Next" w:hAnsi="Avenir Next" w:cs="Arial"/>
          <w:color w:val="808080" w:themeColor="background1" w:themeShade="80"/>
          <w:sz w:val="22"/>
          <w:szCs w:val="22"/>
          <w:lang w:val="en-GB"/>
        </w:rPr>
        <w:t xml:space="preserve">Cayman Islands scheme as a main foreign proceeding with a request for recognition by the United States bankruptcy court by way of </w:t>
      </w:r>
      <w:r w:rsidR="00F250C6">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Chapter 15</w:t>
      </w:r>
      <w:r w:rsidR="00F250C6">
        <w:rPr>
          <w:rFonts w:ascii="Avenir Next" w:hAnsi="Avenir Next" w:cs="Arial"/>
          <w:color w:val="808080" w:themeColor="background1" w:themeShade="80"/>
          <w:sz w:val="22"/>
          <w:szCs w:val="22"/>
          <w:lang w:val="en-GB"/>
        </w:rPr>
        <w:t xml:space="preserve"> petition</w:t>
      </w:r>
      <w:r>
        <w:rPr>
          <w:rFonts w:ascii="Avenir Next" w:hAnsi="Avenir Next" w:cs="Arial"/>
          <w:color w:val="808080" w:themeColor="background1" w:themeShade="80"/>
          <w:sz w:val="22"/>
          <w:szCs w:val="22"/>
          <w:lang w:val="en-GB"/>
        </w:rPr>
        <w:t xml:space="preserve">. The documents that are crucial include the RSA and all relevant </w:t>
      </w:r>
      <w:r w:rsidR="00C733B4">
        <w:rPr>
          <w:rFonts w:ascii="Avenir Next" w:hAnsi="Avenir Next" w:cs="Arial"/>
          <w:color w:val="808080" w:themeColor="background1" w:themeShade="80"/>
          <w:sz w:val="22"/>
          <w:szCs w:val="22"/>
          <w:lang w:val="en-GB"/>
        </w:rPr>
        <w:t xml:space="preserve">documents pertaining to the Cayman Islands scheme, restructuring plan and </w:t>
      </w:r>
      <w:r w:rsidR="00DD6242">
        <w:rPr>
          <w:rFonts w:ascii="Avenir Next" w:hAnsi="Avenir Next" w:cs="Arial"/>
          <w:color w:val="808080" w:themeColor="background1" w:themeShade="80"/>
          <w:sz w:val="22"/>
          <w:szCs w:val="22"/>
          <w:lang w:val="en-GB"/>
        </w:rPr>
        <w:t>all orders from the Grand Court.</w:t>
      </w:r>
    </w:p>
    <w:p w14:paraId="36982E3C" w14:textId="77777777" w:rsidR="00506F0D" w:rsidRDefault="00506F0D" w:rsidP="009E3CA7">
      <w:pPr>
        <w:jc w:val="both"/>
        <w:rPr>
          <w:rFonts w:ascii="Avenir Next" w:hAnsi="Avenir Next" w:cs="Arial"/>
          <w:color w:val="808080" w:themeColor="background1" w:themeShade="80"/>
          <w:sz w:val="22"/>
          <w:szCs w:val="22"/>
          <w:lang w:val="en-GB"/>
        </w:rPr>
      </w:pPr>
    </w:p>
    <w:p w14:paraId="39A7156E" w14:textId="2EACA414" w:rsidR="00506F0D" w:rsidRDefault="00506F0D" w:rsidP="009E3C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should be noted that the COMI in this case may not be straightforward. </w:t>
      </w:r>
      <w:r w:rsidR="00DA0C3B">
        <w:rPr>
          <w:rFonts w:ascii="Avenir Next" w:hAnsi="Avenir Next" w:cs="Arial"/>
          <w:color w:val="808080" w:themeColor="background1" w:themeShade="80"/>
          <w:sz w:val="22"/>
          <w:szCs w:val="22"/>
          <w:lang w:val="en-GB"/>
        </w:rPr>
        <w:t>Although locations of management, key assets</w:t>
      </w:r>
      <w:r w:rsidR="003C0E38">
        <w:rPr>
          <w:rFonts w:ascii="Avenir Next" w:hAnsi="Avenir Next" w:cs="Arial"/>
          <w:color w:val="808080" w:themeColor="background1" w:themeShade="80"/>
          <w:sz w:val="22"/>
          <w:szCs w:val="22"/>
          <w:lang w:val="en-GB"/>
        </w:rPr>
        <w:t xml:space="preserve">, </w:t>
      </w:r>
      <w:proofErr w:type="gramStart"/>
      <w:r w:rsidR="003C0E38">
        <w:rPr>
          <w:rFonts w:ascii="Avenir Next" w:hAnsi="Avenir Next" w:cs="Arial"/>
          <w:color w:val="808080" w:themeColor="background1" w:themeShade="80"/>
          <w:sz w:val="22"/>
          <w:szCs w:val="22"/>
          <w:lang w:val="en-GB"/>
        </w:rPr>
        <w:t>creditors</w:t>
      </w:r>
      <w:proofErr w:type="gramEnd"/>
      <w:r w:rsidR="00DA0C3B">
        <w:rPr>
          <w:rFonts w:ascii="Avenir Next" w:hAnsi="Avenir Next" w:cs="Arial"/>
          <w:color w:val="808080" w:themeColor="background1" w:themeShade="80"/>
          <w:sz w:val="22"/>
          <w:szCs w:val="22"/>
          <w:lang w:val="en-GB"/>
        </w:rPr>
        <w:t xml:space="preserve"> and headquarters, in addition to applicable jurisdictions</w:t>
      </w:r>
      <w:r w:rsidR="003C0E38">
        <w:rPr>
          <w:rFonts w:ascii="Avenir Next" w:hAnsi="Avenir Next" w:cs="Arial"/>
          <w:color w:val="808080" w:themeColor="background1" w:themeShade="80"/>
          <w:sz w:val="22"/>
          <w:szCs w:val="22"/>
          <w:lang w:val="en-GB"/>
        </w:rPr>
        <w:t xml:space="preserve"> must be discerned</w:t>
      </w:r>
      <w:r w:rsidR="00164ACC">
        <w:rPr>
          <w:rFonts w:ascii="Avenir Next" w:hAnsi="Avenir Next" w:cs="Arial"/>
          <w:color w:val="808080" w:themeColor="background1" w:themeShade="80"/>
          <w:sz w:val="22"/>
          <w:szCs w:val="22"/>
          <w:lang w:val="en-GB"/>
        </w:rPr>
        <w:t xml:space="preserve"> and indeed a number of these criteria qualify in the Cayman Islan</w:t>
      </w:r>
      <w:r w:rsidR="000B5A95">
        <w:rPr>
          <w:rFonts w:ascii="Avenir Next" w:hAnsi="Avenir Next" w:cs="Arial"/>
          <w:color w:val="808080" w:themeColor="background1" w:themeShade="80"/>
          <w:sz w:val="22"/>
          <w:szCs w:val="22"/>
          <w:lang w:val="en-GB"/>
        </w:rPr>
        <w:t>ds</w:t>
      </w:r>
      <w:r w:rsidR="0011127B">
        <w:rPr>
          <w:rFonts w:ascii="Avenir Next" w:hAnsi="Avenir Next" w:cs="Arial"/>
          <w:color w:val="808080" w:themeColor="background1" w:themeShade="80"/>
          <w:sz w:val="22"/>
          <w:szCs w:val="22"/>
          <w:lang w:val="en-GB"/>
        </w:rPr>
        <w:t>,</w:t>
      </w:r>
      <w:r w:rsidR="00164ACC">
        <w:rPr>
          <w:rFonts w:ascii="Avenir Next" w:hAnsi="Avenir Next" w:cs="Arial"/>
          <w:color w:val="808080" w:themeColor="background1" w:themeShade="80"/>
          <w:sz w:val="22"/>
          <w:szCs w:val="22"/>
          <w:lang w:val="en-GB"/>
        </w:rPr>
        <w:t xml:space="preserve"> courts have also communicated decisions in the past whereby ‘rubber stamping’</w:t>
      </w:r>
      <w:r w:rsidR="00F47848">
        <w:rPr>
          <w:rStyle w:val="FootnoteReference"/>
          <w:rFonts w:ascii="Avenir Next" w:hAnsi="Avenir Next" w:cs="Arial"/>
          <w:color w:val="808080" w:themeColor="background1" w:themeShade="80"/>
          <w:sz w:val="22"/>
          <w:szCs w:val="22"/>
          <w:lang w:val="en-GB"/>
        </w:rPr>
        <w:footnoteReference w:id="1"/>
      </w:r>
      <w:r w:rsidR="00164ACC">
        <w:rPr>
          <w:rFonts w:ascii="Avenir Next" w:hAnsi="Avenir Next" w:cs="Arial"/>
          <w:color w:val="808080" w:themeColor="background1" w:themeShade="80"/>
          <w:sz w:val="22"/>
          <w:szCs w:val="22"/>
          <w:lang w:val="en-GB"/>
        </w:rPr>
        <w:t xml:space="preserve"> </w:t>
      </w:r>
      <w:r w:rsidR="0011127B">
        <w:rPr>
          <w:rFonts w:ascii="Avenir Next" w:hAnsi="Avenir Next" w:cs="Arial"/>
          <w:color w:val="808080" w:themeColor="background1" w:themeShade="80"/>
          <w:sz w:val="22"/>
          <w:szCs w:val="22"/>
          <w:lang w:val="en-GB"/>
        </w:rPr>
        <w:t>is not simply a given and it must be discerned appropriately.</w:t>
      </w:r>
      <w:r w:rsidR="000B5A95">
        <w:rPr>
          <w:rFonts w:ascii="Avenir Next" w:hAnsi="Avenir Next" w:cs="Arial"/>
          <w:color w:val="808080" w:themeColor="background1" w:themeShade="80"/>
          <w:sz w:val="22"/>
          <w:szCs w:val="22"/>
          <w:lang w:val="en-GB"/>
        </w:rPr>
        <w:t xml:space="preserve"> This must be noted closely as the petition is filed, especially if the court communicates</w:t>
      </w:r>
      <w:r w:rsidR="00A27B71">
        <w:rPr>
          <w:rFonts w:ascii="Avenir Next" w:hAnsi="Avenir Next" w:cs="Arial"/>
          <w:color w:val="808080" w:themeColor="background1" w:themeShade="80"/>
          <w:sz w:val="22"/>
          <w:szCs w:val="22"/>
          <w:lang w:val="en-GB"/>
        </w:rPr>
        <w:t xml:space="preserve"> its view on</w:t>
      </w:r>
      <w:r w:rsidR="000B5A95">
        <w:rPr>
          <w:rFonts w:ascii="Avenir Next" w:hAnsi="Avenir Next" w:cs="Arial"/>
          <w:color w:val="808080" w:themeColor="background1" w:themeShade="80"/>
          <w:sz w:val="22"/>
          <w:szCs w:val="22"/>
          <w:lang w:val="en-GB"/>
        </w:rPr>
        <w:t xml:space="preserve"> the recently opened bank accounts and holding of virtual meetings</w:t>
      </w:r>
      <w:r w:rsidR="0004644F">
        <w:rPr>
          <w:rFonts w:ascii="Avenir Next" w:hAnsi="Avenir Next" w:cs="Arial"/>
          <w:color w:val="808080" w:themeColor="background1" w:themeShade="80"/>
          <w:sz w:val="22"/>
          <w:szCs w:val="22"/>
          <w:lang w:val="en-GB"/>
        </w:rPr>
        <w:t xml:space="preserve">. Given that there has been </w:t>
      </w:r>
      <w:r w:rsidR="00713E41">
        <w:rPr>
          <w:rFonts w:ascii="Avenir Next" w:hAnsi="Avenir Next" w:cs="Arial"/>
          <w:color w:val="808080" w:themeColor="background1" w:themeShade="80"/>
          <w:sz w:val="22"/>
          <w:szCs w:val="22"/>
          <w:lang w:val="en-GB"/>
        </w:rPr>
        <w:t>no mention of Globe Holdings as a</w:t>
      </w:r>
      <w:r w:rsidR="0004644F">
        <w:rPr>
          <w:rFonts w:ascii="Avenir Next" w:hAnsi="Avenir Next" w:cs="Arial"/>
          <w:color w:val="808080" w:themeColor="background1" w:themeShade="80"/>
          <w:sz w:val="22"/>
          <w:szCs w:val="22"/>
          <w:lang w:val="en-GB"/>
        </w:rPr>
        <w:t xml:space="preserve">n exempt company and it is incorporated in the Cayman Islands with bank accounts and filings established prior the recognition request, </w:t>
      </w:r>
      <w:r w:rsidR="00CA1742">
        <w:rPr>
          <w:rFonts w:ascii="Avenir Next" w:hAnsi="Avenir Next" w:cs="Arial"/>
          <w:color w:val="808080" w:themeColor="background1" w:themeShade="80"/>
          <w:sz w:val="22"/>
          <w:szCs w:val="22"/>
          <w:lang w:val="en-GB"/>
        </w:rPr>
        <w:t xml:space="preserve">it is worth attempting the main proceeding recognition petition with the Cayman Islands as COMI for best </w:t>
      </w:r>
      <w:r w:rsidR="00886630">
        <w:rPr>
          <w:rFonts w:ascii="Avenir Next" w:hAnsi="Avenir Next" w:cs="Arial"/>
          <w:color w:val="808080" w:themeColor="background1" w:themeShade="80"/>
          <w:sz w:val="22"/>
          <w:szCs w:val="22"/>
          <w:lang w:val="en-GB"/>
        </w:rPr>
        <w:t>outcomes.</w:t>
      </w:r>
    </w:p>
    <w:p w14:paraId="6A0EA413" w14:textId="77777777" w:rsidR="00550D2F" w:rsidRDefault="00550D2F" w:rsidP="009E3CA7">
      <w:pPr>
        <w:jc w:val="both"/>
        <w:rPr>
          <w:rFonts w:ascii="Avenir Next" w:hAnsi="Avenir Next" w:cs="Arial"/>
          <w:color w:val="808080" w:themeColor="background1" w:themeShade="80"/>
          <w:sz w:val="22"/>
          <w:szCs w:val="22"/>
          <w:lang w:val="en-GB"/>
        </w:rPr>
      </w:pPr>
    </w:p>
    <w:p w14:paraId="517ECB53" w14:textId="0EBF67D8" w:rsidR="004C281E" w:rsidRPr="00C96166" w:rsidRDefault="00F47848" w:rsidP="009E3C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any case, r</w:t>
      </w:r>
      <w:r w:rsidR="00C733B4">
        <w:rPr>
          <w:rFonts w:ascii="Avenir Next" w:hAnsi="Avenir Next" w:cs="Arial"/>
          <w:color w:val="808080" w:themeColor="background1" w:themeShade="80"/>
          <w:sz w:val="22"/>
          <w:szCs w:val="22"/>
          <w:lang w:val="en-GB"/>
        </w:rPr>
        <w:t xml:space="preserve">esponsibilities based on protocols between a Cayman Islands liquidator and </w:t>
      </w:r>
      <w:r w:rsidR="00C64FEE">
        <w:rPr>
          <w:rFonts w:ascii="Avenir Next" w:hAnsi="Avenir Next" w:cs="Arial"/>
          <w:color w:val="808080" w:themeColor="background1" w:themeShade="80"/>
          <w:sz w:val="22"/>
          <w:szCs w:val="22"/>
          <w:lang w:val="en-GB"/>
        </w:rPr>
        <w:t>officeholders from another jurisdiction</w:t>
      </w:r>
      <w:r>
        <w:rPr>
          <w:rFonts w:ascii="Avenir Next" w:hAnsi="Avenir Next" w:cs="Arial"/>
          <w:color w:val="808080" w:themeColor="background1" w:themeShade="80"/>
          <w:sz w:val="22"/>
          <w:szCs w:val="22"/>
          <w:lang w:val="en-GB"/>
        </w:rPr>
        <w:t xml:space="preserve"> are</w:t>
      </w:r>
      <w:r w:rsidR="00C64FEE">
        <w:rPr>
          <w:rFonts w:ascii="Avenir Next" w:hAnsi="Avenir Next" w:cs="Arial"/>
          <w:color w:val="808080" w:themeColor="background1" w:themeShade="80"/>
          <w:sz w:val="22"/>
          <w:szCs w:val="22"/>
          <w:lang w:val="en-GB"/>
        </w:rPr>
        <w:t xml:space="preserve"> as </w:t>
      </w:r>
      <w:r w:rsidR="00C733B4">
        <w:rPr>
          <w:rFonts w:ascii="Avenir Next" w:hAnsi="Avenir Next" w:cs="Arial"/>
          <w:color w:val="808080" w:themeColor="background1" w:themeShade="80"/>
          <w:sz w:val="22"/>
          <w:szCs w:val="22"/>
          <w:lang w:val="en-GB"/>
        </w:rPr>
        <w:t>set forth by t</w:t>
      </w:r>
      <w:r w:rsidR="00550D2F">
        <w:rPr>
          <w:rFonts w:ascii="Avenir Next" w:hAnsi="Avenir Next" w:cs="Arial"/>
          <w:color w:val="808080" w:themeColor="background1" w:themeShade="80"/>
          <w:sz w:val="22"/>
          <w:szCs w:val="22"/>
          <w:lang w:val="en-GB"/>
        </w:rPr>
        <w:t xml:space="preserve">he </w:t>
      </w:r>
      <w:r w:rsidR="00DE151F">
        <w:rPr>
          <w:rFonts w:ascii="Avenir Next" w:hAnsi="Avenir Next" w:cs="Arial"/>
          <w:color w:val="808080" w:themeColor="background1" w:themeShade="80"/>
          <w:sz w:val="22"/>
          <w:szCs w:val="22"/>
          <w:lang w:val="en-GB"/>
        </w:rPr>
        <w:t xml:space="preserve">Companies Act Part XVII, </w:t>
      </w:r>
      <w:r w:rsidR="00C64FEE">
        <w:rPr>
          <w:rFonts w:ascii="Avenir Next" w:hAnsi="Avenir Next" w:cs="Arial"/>
          <w:color w:val="808080" w:themeColor="background1" w:themeShade="80"/>
          <w:sz w:val="22"/>
          <w:szCs w:val="22"/>
          <w:lang w:val="en-GB"/>
        </w:rPr>
        <w:t xml:space="preserve">Grand Court Practice Direction 1 (2018), Grand Court Act section 11A and </w:t>
      </w:r>
      <w:r w:rsidR="00550D2F">
        <w:rPr>
          <w:rFonts w:ascii="Avenir Next" w:hAnsi="Avenir Next" w:cs="Arial"/>
          <w:color w:val="808080" w:themeColor="background1" w:themeShade="80"/>
          <w:sz w:val="22"/>
          <w:szCs w:val="22"/>
          <w:lang w:val="en-GB"/>
        </w:rPr>
        <w:t>Companies Winding Up Rules Order 21</w:t>
      </w:r>
      <w:r>
        <w:rPr>
          <w:rFonts w:ascii="Avenir Next" w:hAnsi="Avenir Next" w:cs="Arial"/>
          <w:color w:val="808080" w:themeColor="background1" w:themeShade="80"/>
          <w:sz w:val="22"/>
          <w:szCs w:val="22"/>
          <w:lang w:val="en-GB"/>
        </w:rPr>
        <w:t>, all of which</w:t>
      </w:r>
      <w:r w:rsidR="00C64FEE">
        <w:rPr>
          <w:rFonts w:ascii="Avenir Next" w:hAnsi="Avenir Next" w:cs="Arial"/>
          <w:color w:val="808080" w:themeColor="background1" w:themeShade="80"/>
          <w:sz w:val="22"/>
          <w:szCs w:val="22"/>
          <w:lang w:val="en-GB"/>
        </w:rPr>
        <w:t xml:space="preserve"> must be considered.</w:t>
      </w:r>
      <w:r w:rsidR="00DE151F">
        <w:rPr>
          <w:rFonts w:ascii="Avenir Next" w:hAnsi="Avenir Next" w:cs="Arial"/>
          <w:color w:val="808080" w:themeColor="background1" w:themeShade="80"/>
          <w:sz w:val="22"/>
          <w:szCs w:val="22"/>
          <w:lang w:val="en-GB"/>
        </w:rPr>
        <w:t xml:space="preserve"> It is important to note that there is not yet any clear implementation of the MLCBI by the Cayman Islands even though the jurisdiction applies </w:t>
      </w:r>
      <w:proofErr w:type="gramStart"/>
      <w:r w:rsidR="00DE151F">
        <w:rPr>
          <w:rFonts w:ascii="Avenir Next" w:hAnsi="Avenir Next" w:cs="Arial"/>
          <w:color w:val="808080" w:themeColor="background1" w:themeShade="80"/>
          <w:sz w:val="22"/>
          <w:szCs w:val="22"/>
          <w:lang w:val="en-GB"/>
        </w:rPr>
        <w:t>a number of</w:t>
      </w:r>
      <w:proofErr w:type="gramEnd"/>
      <w:r w:rsidR="00DE151F">
        <w:rPr>
          <w:rFonts w:ascii="Avenir Next" w:hAnsi="Avenir Next" w:cs="Arial"/>
          <w:color w:val="808080" w:themeColor="background1" w:themeShade="80"/>
          <w:sz w:val="22"/>
          <w:szCs w:val="22"/>
          <w:lang w:val="en-GB"/>
        </w:rPr>
        <w:t xml:space="preserve"> its guiding principles.</w:t>
      </w:r>
    </w:p>
    <w:p w14:paraId="1D458897" w14:textId="77777777" w:rsidR="00172F43" w:rsidRPr="00C96166" w:rsidRDefault="00172F43" w:rsidP="009E3CA7">
      <w:pPr>
        <w:jc w:val="both"/>
        <w:rPr>
          <w:rFonts w:ascii="Avenir Next" w:hAnsi="Avenir Next" w:cs="Arial"/>
          <w:color w:val="808080" w:themeColor="background1" w:themeShade="80"/>
          <w:sz w:val="22"/>
          <w:szCs w:val="22"/>
          <w:lang w:val="en-GB"/>
        </w:rPr>
      </w:pPr>
    </w:p>
    <w:p w14:paraId="2AE7D672" w14:textId="3D642A52" w:rsidR="00750279" w:rsidRDefault="00AF007C" w:rsidP="009E3C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2E1A1A">
        <w:rPr>
          <w:rFonts w:ascii="Avenir Next" w:hAnsi="Avenir Next" w:cs="Arial"/>
          <w:color w:val="808080" w:themeColor="background1" w:themeShade="80"/>
          <w:sz w:val="22"/>
          <w:szCs w:val="22"/>
          <w:lang w:val="en-GB"/>
        </w:rPr>
        <w:t xml:space="preserve">he independent determination of the United States court as to whether the Cayman Islands proceeding </w:t>
      </w:r>
      <w:proofErr w:type="gramStart"/>
      <w:r w:rsidR="002E1A1A">
        <w:rPr>
          <w:rFonts w:ascii="Avenir Next" w:hAnsi="Avenir Next" w:cs="Arial"/>
          <w:color w:val="808080" w:themeColor="background1" w:themeShade="80"/>
          <w:sz w:val="22"/>
          <w:szCs w:val="22"/>
          <w:lang w:val="en-GB"/>
        </w:rPr>
        <w:t>is able to</w:t>
      </w:r>
      <w:proofErr w:type="gramEnd"/>
      <w:r w:rsidR="002E1A1A">
        <w:rPr>
          <w:rFonts w:ascii="Avenir Next" w:hAnsi="Avenir Next" w:cs="Arial"/>
          <w:color w:val="808080" w:themeColor="background1" w:themeShade="80"/>
          <w:sz w:val="22"/>
          <w:szCs w:val="22"/>
          <w:lang w:val="en-GB"/>
        </w:rPr>
        <w:t xml:space="preserve"> qualify based on the provisions set forth in the Bankruptcy Code, Chapter 15, sections 1502 and 1517</w:t>
      </w:r>
      <w:r>
        <w:rPr>
          <w:rFonts w:ascii="Avenir Next" w:hAnsi="Avenir Next" w:cs="Arial"/>
          <w:color w:val="808080" w:themeColor="background1" w:themeShade="80"/>
          <w:sz w:val="22"/>
          <w:szCs w:val="22"/>
          <w:lang w:val="en-GB"/>
        </w:rPr>
        <w:t xml:space="preserve"> is indeed of utmost importance</w:t>
      </w:r>
      <w:r w:rsidR="002E1A1A">
        <w:rPr>
          <w:rFonts w:ascii="Avenir Next" w:hAnsi="Avenir Next" w:cs="Arial"/>
          <w:color w:val="808080" w:themeColor="background1" w:themeShade="80"/>
          <w:sz w:val="22"/>
          <w:szCs w:val="22"/>
          <w:lang w:val="en-GB"/>
        </w:rPr>
        <w:t>.</w:t>
      </w:r>
      <w:r w:rsidR="00124F1F">
        <w:rPr>
          <w:rFonts w:ascii="Avenir Next" w:hAnsi="Avenir Next" w:cs="Arial"/>
          <w:color w:val="808080" w:themeColor="background1" w:themeShade="80"/>
          <w:sz w:val="22"/>
          <w:szCs w:val="22"/>
          <w:lang w:val="en-GB"/>
        </w:rPr>
        <w:t xml:space="preserve"> Relief should be </w:t>
      </w:r>
      <w:r w:rsidR="0034783C">
        <w:rPr>
          <w:rFonts w:ascii="Avenir Next" w:hAnsi="Avenir Next" w:cs="Arial"/>
          <w:color w:val="808080" w:themeColor="background1" w:themeShade="80"/>
          <w:sz w:val="22"/>
          <w:szCs w:val="22"/>
          <w:lang w:val="en-GB"/>
        </w:rPr>
        <w:t xml:space="preserve">sought by </w:t>
      </w:r>
      <w:r w:rsidR="00EF3C8D">
        <w:rPr>
          <w:rFonts w:ascii="Avenir Next" w:hAnsi="Avenir Next" w:cs="Arial"/>
          <w:color w:val="808080" w:themeColor="background1" w:themeShade="80"/>
          <w:sz w:val="22"/>
          <w:szCs w:val="22"/>
          <w:lang w:val="en-GB"/>
        </w:rPr>
        <w:t xml:space="preserve">a foreign representative through a petition, though it should be noted that this </w:t>
      </w:r>
      <w:r w:rsidR="00CF2FBB">
        <w:rPr>
          <w:rFonts w:ascii="Avenir Next" w:hAnsi="Avenir Next" w:cs="Arial"/>
          <w:color w:val="808080" w:themeColor="background1" w:themeShade="80"/>
          <w:sz w:val="22"/>
          <w:szCs w:val="22"/>
          <w:lang w:val="en-GB"/>
        </w:rPr>
        <w:t xml:space="preserve">automatic stay </w:t>
      </w:r>
      <w:r w:rsidR="00EF3C8D">
        <w:rPr>
          <w:rFonts w:ascii="Avenir Next" w:hAnsi="Avenir Next" w:cs="Arial"/>
          <w:color w:val="808080" w:themeColor="background1" w:themeShade="80"/>
          <w:sz w:val="22"/>
          <w:szCs w:val="22"/>
          <w:lang w:val="en-GB"/>
        </w:rPr>
        <w:t>is exclusive to the United States’ territorial jurisdiction.</w:t>
      </w:r>
      <w:r w:rsidR="0015718F">
        <w:rPr>
          <w:rFonts w:ascii="Avenir Next" w:hAnsi="Avenir Next" w:cs="Arial"/>
          <w:color w:val="808080" w:themeColor="background1" w:themeShade="80"/>
          <w:sz w:val="22"/>
          <w:szCs w:val="22"/>
          <w:lang w:val="en-GB"/>
        </w:rPr>
        <w:t xml:space="preserve"> </w:t>
      </w:r>
    </w:p>
    <w:p w14:paraId="664DACA0" w14:textId="77777777" w:rsidR="00750279" w:rsidRDefault="00750279" w:rsidP="009E3CA7">
      <w:pPr>
        <w:jc w:val="both"/>
        <w:rPr>
          <w:rFonts w:ascii="Avenir Next" w:hAnsi="Avenir Next" w:cs="Arial"/>
          <w:color w:val="808080" w:themeColor="background1" w:themeShade="80"/>
          <w:sz w:val="22"/>
          <w:szCs w:val="22"/>
          <w:lang w:val="en-GB"/>
        </w:rPr>
      </w:pPr>
    </w:p>
    <w:p w14:paraId="6AF94474" w14:textId="7A0934DA" w:rsidR="00EF3C8D" w:rsidRDefault="003A55FC" w:rsidP="009E3C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petition should include the following, English-translated documents as set forth in verbatim from Chapter 15 Section 1515 (b) and (c)</w:t>
      </w:r>
      <w:r w:rsidR="00750279">
        <w:rPr>
          <w:rFonts w:ascii="Avenir Next" w:hAnsi="Avenir Next" w:cs="Arial"/>
          <w:color w:val="808080" w:themeColor="background1" w:themeShade="80"/>
          <w:sz w:val="22"/>
          <w:szCs w:val="22"/>
          <w:lang w:val="en-GB"/>
        </w:rPr>
        <w:t xml:space="preserve"> of the Bankruptcy Code</w:t>
      </w:r>
      <w:r>
        <w:rPr>
          <w:rFonts w:ascii="Avenir Next" w:hAnsi="Avenir Next" w:cs="Arial"/>
          <w:color w:val="808080" w:themeColor="background1" w:themeShade="80"/>
          <w:sz w:val="22"/>
          <w:szCs w:val="22"/>
          <w:lang w:val="en-GB"/>
        </w:rPr>
        <w:t>:</w:t>
      </w:r>
    </w:p>
    <w:p w14:paraId="5CA5B666" w14:textId="77777777" w:rsidR="003A55FC" w:rsidRDefault="003A55FC" w:rsidP="009E3CA7">
      <w:pPr>
        <w:jc w:val="both"/>
        <w:rPr>
          <w:rFonts w:ascii="Avenir Next" w:hAnsi="Avenir Next" w:cs="Arial"/>
          <w:color w:val="808080" w:themeColor="background1" w:themeShade="80"/>
          <w:sz w:val="22"/>
          <w:szCs w:val="22"/>
          <w:lang w:val="en-GB"/>
        </w:rPr>
      </w:pPr>
    </w:p>
    <w:p w14:paraId="3A71784F" w14:textId="51F8C929" w:rsidR="003A55FC" w:rsidRPr="003A55FC" w:rsidRDefault="003A55FC" w:rsidP="003A55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3A55FC">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 xml:space="preserve"> </w:t>
      </w:r>
      <w:r w:rsidRPr="003A55FC">
        <w:rPr>
          <w:rFonts w:ascii="Avenir Next" w:hAnsi="Avenir Next" w:cs="Arial"/>
          <w:color w:val="808080" w:themeColor="background1" w:themeShade="80"/>
          <w:sz w:val="22"/>
          <w:szCs w:val="22"/>
          <w:lang w:val="en-GB"/>
        </w:rPr>
        <w:t xml:space="preserve">a certified copy of the decision commencing such foreign proceeding and appointing the foreign </w:t>
      </w:r>
      <w:proofErr w:type="gramStart"/>
      <w:r w:rsidRPr="003A55FC">
        <w:rPr>
          <w:rFonts w:ascii="Avenir Next" w:hAnsi="Avenir Next" w:cs="Arial"/>
          <w:color w:val="808080" w:themeColor="background1" w:themeShade="80"/>
          <w:sz w:val="22"/>
          <w:szCs w:val="22"/>
          <w:lang w:val="en-GB"/>
        </w:rPr>
        <w:t>representative;</w:t>
      </w:r>
      <w:proofErr w:type="gramEnd"/>
    </w:p>
    <w:p w14:paraId="2E21513B" w14:textId="504A10C5" w:rsidR="003A55FC" w:rsidRPr="003A55FC" w:rsidRDefault="003A55FC" w:rsidP="003A55FC">
      <w:pPr>
        <w:jc w:val="both"/>
        <w:rPr>
          <w:rFonts w:ascii="Avenir Next" w:hAnsi="Avenir Next" w:cs="Arial"/>
          <w:color w:val="808080" w:themeColor="background1" w:themeShade="80"/>
          <w:sz w:val="22"/>
          <w:szCs w:val="22"/>
          <w:lang w:val="en-GB"/>
        </w:rPr>
      </w:pPr>
      <w:r w:rsidRPr="003A55FC">
        <w:rPr>
          <w:rFonts w:ascii="Avenir Next" w:hAnsi="Avenir Next" w:cs="Arial"/>
          <w:color w:val="808080" w:themeColor="background1" w:themeShade="80"/>
          <w:sz w:val="22"/>
          <w:szCs w:val="22"/>
          <w:lang w:val="en-GB"/>
        </w:rPr>
        <w:t>(2)</w:t>
      </w:r>
      <w:r>
        <w:rPr>
          <w:rFonts w:ascii="Avenir Next" w:hAnsi="Avenir Next" w:cs="Arial"/>
          <w:color w:val="808080" w:themeColor="background1" w:themeShade="80"/>
          <w:sz w:val="22"/>
          <w:szCs w:val="22"/>
          <w:lang w:val="en-GB"/>
        </w:rPr>
        <w:t xml:space="preserve"> </w:t>
      </w:r>
      <w:r w:rsidRPr="003A55FC">
        <w:rPr>
          <w:rFonts w:ascii="Avenir Next" w:hAnsi="Avenir Next" w:cs="Arial"/>
          <w:color w:val="808080" w:themeColor="background1" w:themeShade="80"/>
          <w:sz w:val="22"/>
          <w:szCs w:val="22"/>
          <w:lang w:val="en-GB"/>
        </w:rPr>
        <w:t>a certificate from the foreign court affirming the existence of such foreign proceeding and of the appointment of the foreign representative; or</w:t>
      </w:r>
    </w:p>
    <w:p w14:paraId="4F3618CD" w14:textId="44723E77" w:rsidR="003A55FC" w:rsidRPr="003A55FC" w:rsidRDefault="003A55FC" w:rsidP="003A55FC">
      <w:pPr>
        <w:jc w:val="both"/>
        <w:rPr>
          <w:rFonts w:ascii="Avenir Next" w:hAnsi="Avenir Next" w:cs="Arial"/>
          <w:color w:val="808080" w:themeColor="background1" w:themeShade="80"/>
          <w:sz w:val="22"/>
          <w:szCs w:val="22"/>
          <w:lang w:val="en-GB"/>
        </w:rPr>
      </w:pPr>
      <w:r w:rsidRPr="003A55FC">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 xml:space="preserve"> </w:t>
      </w:r>
      <w:r w:rsidRPr="003A55FC">
        <w:rPr>
          <w:rFonts w:ascii="Avenir Next" w:hAnsi="Avenir Next" w:cs="Arial"/>
          <w:color w:val="808080" w:themeColor="background1" w:themeShade="80"/>
          <w:sz w:val="22"/>
          <w:szCs w:val="22"/>
          <w:lang w:val="en-GB"/>
        </w:rPr>
        <w:t>in the absence of evidence referred to in paragraphs (1) and (2), any other evidence acceptable to the court of the existence of such foreign proceeding and of the appointment of the foreign representative.</w:t>
      </w:r>
    </w:p>
    <w:p w14:paraId="7E803372" w14:textId="77777777" w:rsidR="005A4C48" w:rsidRDefault="005A4C48" w:rsidP="003A55FC">
      <w:pPr>
        <w:jc w:val="both"/>
        <w:rPr>
          <w:rFonts w:ascii="Avenir Next" w:hAnsi="Avenir Next" w:cs="Arial"/>
          <w:color w:val="808080" w:themeColor="background1" w:themeShade="80"/>
          <w:sz w:val="22"/>
          <w:szCs w:val="22"/>
          <w:lang w:val="en-GB"/>
        </w:rPr>
      </w:pPr>
    </w:p>
    <w:p w14:paraId="03E160DB" w14:textId="3AEF042E" w:rsidR="003A55FC" w:rsidRDefault="003A55FC" w:rsidP="003A55FC">
      <w:pPr>
        <w:jc w:val="both"/>
        <w:rPr>
          <w:rFonts w:ascii="Avenir Next" w:hAnsi="Avenir Next" w:cs="Arial"/>
          <w:color w:val="808080" w:themeColor="background1" w:themeShade="80"/>
          <w:sz w:val="22"/>
          <w:szCs w:val="22"/>
          <w:lang w:val="en-GB"/>
        </w:rPr>
      </w:pPr>
      <w:r w:rsidRPr="003A55FC">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 </w:t>
      </w:r>
      <w:r w:rsidRPr="003A55FC">
        <w:rPr>
          <w:rFonts w:ascii="Avenir Next" w:hAnsi="Avenir Next" w:cs="Arial"/>
          <w:color w:val="808080" w:themeColor="background1" w:themeShade="80"/>
          <w:sz w:val="22"/>
          <w:szCs w:val="22"/>
          <w:lang w:val="en-GB"/>
        </w:rPr>
        <w:t>A petition for recognition shall also be accompanied by a statement identifying all foreign proceedings with respect to the debtor that are known to the foreign representative.</w:t>
      </w:r>
      <w:r>
        <w:rPr>
          <w:rFonts w:ascii="Avenir Next" w:hAnsi="Avenir Next" w:cs="Arial"/>
          <w:color w:val="808080" w:themeColor="background1" w:themeShade="80"/>
          <w:sz w:val="22"/>
          <w:szCs w:val="22"/>
          <w:lang w:val="en-GB"/>
        </w:rPr>
        <w:t>”</w:t>
      </w:r>
    </w:p>
    <w:p w14:paraId="1720FF40" w14:textId="77777777" w:rsidR="003A55FC" w:rsidRDefault="003A55FC" w:rsidP="009E3CA7">
      <w:pPr>
        <w:jc w:val="both"/>
        <w:rPr>
          <w:rFonts w:ascii="Avenir Next" w:hAnsi="Avenir Next" w:cs="Arial"/>
          <w:color w:val="808080" w:themeColor="background1" w:themeShade="80"/>
          <w:sz w:val="22"/>
          <w:szCs w:val="22"/>
          <w:lang w:val="en-GB"/>
        </w:rPr>
      </w:pPr>
    </w:p>
    <w:p w14:paraId="72A4F050" w14:textId="67478DDD" w:rsidR="00F032A4" w:rsidRDefault="00F032A4" w:rsidP="009E3C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class action litigation in the US, brewing as it is, but not yet filed means that there may be ample room for the foreign representative to prepare accordingly</w:t>
      </w:r>
      <w:r w:rsidR="00730344">
        <w:rPr>
          <w:rFonts w:ascii="Avenir Next" w:hAnsi="Avenir Next" w:cs="Arial"/>
          <w:color w:val="808080" w:themeColor="background1" w:themeShade="80"/>
          <w:sz w:val="22"/>
          <w:szCs w:val="22"/>
          <w:lang w:val="en-GB"/>
        </w:rPr>
        <w:t>, although it should be noted that</w:t>
      </w:r>
      <w:r>
        <w:rPr>
          <w:rFonts w:ascii="Avenir Next" w:hAnsi="Avenir Next" w:cs="Arial"/>
          <w:color w:val="808080" w:themeColor="background1" w:themeShade="80"/>
          <w:sz w:val="22"/>
          <w:szCs w:val="22"/>
          <w:lang w:val="en-GB"/>
        </w:rPr>
        <w:t xml:space="preserve"> </w:t>
      </w:r>
      <w:r w:rsidR="00730344">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uch a claim</w:t>
      </w:r>
      <w:r w:rsidR="00730344">
        <w:rPr>
          <w:rFonts w:ascii="Avenir Next" w:hAnsi="Avenir Next" w:cs="Arial"/>
          <w:color w:val="808080" w:themeColor="background1" w:themeShade="80"/>
          <w:sz w:val="22"/>
          <w:szCs w:val="22"/>
          <w:lang w:val="en-GB"/>
        </w:rPr>
        <w:t>, of course,</w:t>
      </w:r>
      <w:r>
        <w:rPr>
          <w:rFonts w:ascii="Avenir Next" w:hAnsi="Avenir Next" w:cs="Arial"/>
          <w:color w:val="808080" w:themeColor="background1" w:themeShade="80"/>
          <w:sz w:val="22"/>
          <w:szCs w:val="22"/>
          <w:lang w:val="en-GB"/>
        </w:rPr>
        <w:t xml:space="preserve"> will be </w:t>
      </w:r>
      <w:r w:rsidR="00730344">
        <w:rPr>
          <w:rFonts w:ascii="Avenir Next" w:hAnsi="Avenir Next" w:cs="Arial"/>
          <w:color w:val="808080" w:themeColor="background1" w:themeShade="80"/>
          <w:sz w:val="22"/>
          <w:szCs w:val="22"/>
          <w:lang w:val="en-GB"/>
        </w:rPr>
        <w:t xml:space="preserve">considered as </w:t>
      </w:r>
      <w:r w:rsidR="004F7262">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post-petition</w:t>
      </w:r>
      <w:r w:rsidR="004F7262">
        <w:rPr>
          <w:rFonts w:ascii="Avenir Next" w:hAnsi="Avenir Next" w:cs="Arial"/>
          <w:color w:val="808080" w:themeColor="background1" w:themeShade="80"/>
          <w:sz w:val="22"/>
          <w:szCs w:val="22"/>
          <w:lang w:val="en-GB"/>
        </w:rPr>
        <w:t xml:space="preserve"> claim</w:t>
      </w:r>
      <w:r w:rsidR="00730344">
        <w:rPr>
          <w:rFonts w:ascii="Avenir Next" w:hAnsi="Avenir Next" w:cs="Arial"/>
          <w:color w:val="808080" w:themeColor="background1" w:themeShade="80"/>
          <w:sz w:val="22"/>
          <w:szCs w:val="22"/>
          <w:lang w:val="en-GB"/>
        </w:rPr>
        <w:t>.</w:t>
      </w:r>
    </w:p>
    <w:p w14:paraId="09C1186E" w14:textId="77777777" w:rsidR="00172F43" w:rsidRPr="00C96166" w:rsidRDefault="00172F43" w:rsidP="009E3CA7">
      <w:pPr>
        <w:jc w:val="both"/>
        <w:rPr>
          <w:rFonts w:ascii="Avenir Next" w:hAnsi="Avenir Next" w:cs="Arial"/>
          <w:color w:val="808080" w:themeColor="background1" w:themeShade="80"/>
          <w:sz w:val="22"/>
          <w:szCs w:val="22"/>
          <w:lang w:val="en-GB"/>
        </w:rPr>
      </w:pP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sectPr w:rsidR="009B0723" w:rsidRPr="00E2622D" w:rsidSect="00136971">
      <w:footerReference w:type="even" r:id="rId12"/>
      <w:footerReference w:type="defaul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6499" w14:textId="77777777" w:rsidR="00136971" w:rsidRDefault="00136971" w:rsidP="00241B44">
      <w:r>
        <w:separator/>
      </w:r>
    </w:p>
  </w:endnote>
  <w:endnote w:type="continuationSeparator" w:id="0">
    <w:p w14:paraId="64A7B1BF" w14:textId="77777777" w:rsidR="00136971" w:rsidRDefault="0013697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A1A2" w14:textId="39F3513A" w:rsidR="00A70BBC" w:rsidRDefault="00A70BBC" w:rsidP="000300E0">
    <w:pPr>
      <w:pStyle w:val="Footer"/>
      <w:framePr w:wrap="none" w:vAnchor="text" w:hAnchor="margin" w:xAlign="right" w:y="1"/>
      <w:rPr>
        <w:rStyle w:val="PageNumber"/>
      </w:rPr>
    </w:pPr>
  </w:p>
  <w:sdt>
    <w:sdtPr>
      <w:rPr>
        <w:rStyle w:val="PageNumber"/>
      </w:rPr>
      <w:id w:val="-1568880920"/>
      <w:docPartObj>
        <w:docPartGallery w:val="Page Numbers (Bottom of Page)"/>
        <w:docPartUnique/>
      </w:docPartObj>
    </w:sdtPr>
    <w:sdtContent>
      <w:p w14:paraId="6FAA2B5E" w14:textId="59C8027C"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3362">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50CF40BC"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18A2" w14:textId="41400A13" w:rsidR="000300E0" w:rsidRDefault="000300E0" w:rsidP="00B22F9A">
    <w:pPr>
      <w:pStyle w:val="Footer"/>
      <w:framePr w:wrap="none" w:vAnchor="text" w:hAnchor="margin" w:xAlign="right" w:y="1"/>
      <w:rPr>
        <w:rStyle w:val="PageNumber"/>
      </w:rPr>
    </w:pPr>
  </w:p>
  <w:sdt>
    <w:sdtPr>
      <w:rPr>
        <w:rStyle w:val="PageNumber"/>
      </w:rPr>
      <w:id w:val="-996495926"/>
      <w:docPartObj>
        <w:docPartGallery w:val="Page Numbers (Bottom of Page)"/>
        <w:docPartUnique/>
      </w:docPartObj>
    </w:sdtPr>
    <w:sdtContent>
      <w:p w14:paraId="5FA3410A" w14:textId="77777777"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2718" w14:textId="647A41ED" w:rsidR="00F66193" w:rsidRDefault="00F661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DD94D61" w:rsidR="000300E0" w:rsidRPr="00B46CE2" w:rsidRDefault="00014AEF" w:rsidP="000300E0">
    <w:pPr>
      <w:pStyle w:val="Footer"/>
      <w:ind w:right="360"/>
      <w:rPr>
        <w:rFonts w:ascii="Avenir Next" w:hAnsi="Avenir Next"/>
        <w:sz w:val="22"/>
        <w:szCs w:val="22"/>
      </w:rPr>
    </w:pPr>
    <w:bookmarkStart w:id="5" w:name="_Hlk160132163"/>
    <w:r w:rsidRPr="00014AEF">
      <w:rPr>
        <w:rFonts w:ascii="Avenir Next" w:hAnsi="Avenir Next"/>
        <w:sz w:val="22"/>
        <w:szCs w:val="22"/>
      </w:rPr>
      <w:t>FC202324-1385</w:t>
    </w:r>
    <w:bookmarkEnd w:id="5"/>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A59C" w14:textId="3060D507" w:rsidR="00F66193" w:rsidRDefault="00F66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D9CE" w14:textId="77777777" w:rsidR="00136971" w:rsidRDefault="00136971" w:rsidP="00241B44">
      <w:r>
        <w:separator/>
      </w:r>
    </w:p>
  </w:footnote>
  <w:footnote w:type="continuationSeparator" w:id="0">
    <w:p w14:paraId="57A8C2D4" w14:textId="77777777" w:rsidR="00136971" w:rsidRDefault="00136971" w:rsidP="00241B44">
      <w:r>
        <w:continuationSeparator/>
      </w:r>
    </w:p>
  </w:footnote>
  <w:footnote w:id="1">
    <w:p w14:paraId="7101476D" w14:textId="12C05BA3" w:rsidR="00F47848" w:rsidRDefault="00F47848">
      <w:pPr>
        <w:pStyle w:val="FootnoteText"/>
      </w:pPr>
      <w:r>
        <w:rPr>
          <w:rStyle w:val="FootnoteReference"/>
        </w:rPr>
        <w:footnoteRef/>
      </w:r>
      <w:r>
        <w:t xml:space="preserve"> </w:t>
      </w:r>
      <w:proofErr w:type="spellStart"/>
      <w:r>
        <w:t>Casetext</w:t>
      </w:r>
      <w:proofErr w:type="spellEnd"/>
      <w:r>
        <w:t xml:space="preserve">: </w:t>
      </w:r>
      <w:r w:rsidR="003B5DB8" w:rsidRPr="003B5DB8">
        <w:t>In re Bear Stearns High-Grade Structured Credit, 374 B.R. 122 (</w:t>
      </w:r>
      <w:proofErr w:type="spellStart"/>
      <w:r w:rsidR="003B5DB8" w:rsidRPr="003B5DB8">
        <w:t>Bankr</w:t>
      </w:r>
      <w:proofErr w:type="spellEnd"/>
      <w:r w:rsidR="003B5DB8" w:rsidRPr="003B5DB8">
        <w:t>. S.D.N.Y. 2007)</w:t>
      </w:r>
      <w:r>
        <w:t xml:space="preserve"> </w:t>
      </w:r>
      <w:r w:rsidRPr="00F47848">
        <w:t>https://casetext.com/case/in-re-bear-stearns-high-grade-structured-credit-1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6"/>
  </w:num>
  <w:num w:numId="3" w16cid:durableId="1837500537">
    <w:abstractNumId w:val="41"/>
  </w:num>
  <w:num w:numId="4" w16cid:durableId="577205504">
    <w:abstractNumId w:val="51"/>
  </w:num>
  <w:num w:numId="5" w16cid:durableId="587693970">
    <w:abstractNumId w:val="8"/>
  </w:num>
  <w:num w:numId="6" w16cid:durableId="937175523">
    <w:abstractNumId w:val="49"/>
  </w:num>
  <w:num w:numId="7" w16cid:durableId="1654067440">
    <w:abstractNumId w:val="23"/>
  </w:num>
  <w:num w:numId="8" w16cid:durableId="1105736194">
    <w:abstractNumId w:val="43"/>
  </w:num>
  <w:num w:numId="9" w16cid:durableId="337470287">
    <w:abstractNumId w:val="26"/>
  </w:num>
  <w:num w:numId="10" w16cid:durableId="409736686">
    <w:abstractNumId w:val="15"/>
  </w:num>
  <w:num w:numId="11" w16cid:durableId="2113239495">
    <w:abstractNumId w:val="30"/>
  </w:num>
  <w:num w:numId="12" w16cid:durableId="277688465">
    <w:abstractNumId w:val="47"/>
  </w:num>
  <w:num w:numId="13" w16cid:durableId="2058502388">
    <w:abstractNumId w:val="6"/>
  </w:num>
  <w:num w:numId="14" w16cid:durableId="1848598104">
    <w:abstractNumId w:val="37"/>
  </w:num>
  <w:num w:numId="15" w16cid:durableId="634214434">
    <w:abstractNumId w:val="16"/>
  </w:num>
  <w:num w:numId="16" w16cid:durableId="1164055646">
    <w:abstractNumId w:val="17"/>
  </w:num>
  <w:num w:numId="17" w16cid:durableId="4065661">
    <w:abstractNumId w:val="32"/>
  </w:num>
  <w:num w:numId="18" w16cid:durableId="970591766">
    <w:abstractNumId w:val="7"/>
  </w:num>
  <w:num w:numId="19" w16cid:durableId="1299339140">
    <w:abstractNumId w:val="31"/>
  </w:num>
  <w:num w:numId="20" w16cid:durableId="1327175081">
    <w:abstractNumId w:val="55"/>
  </w:num>
  <w:num w:numId="21" w16cid:durableId="2089498112">
    <w:abstractNumId w:val="21"/>
  </w:num>
  <w:num w:numId="22" w16cid:durableId="221064104">
    <w:abstractNumId w:val="46"/>
  </w:num>
  <w:num w:numId="23" w16cid:durableId="860243873">
    <w:abstractNumId w:val="53"/>
  </w:num>
  <w:num w:numId="24" w16cid:durableId="1555506834">
    <w:abstractNumId w:val="45"/>
  </w:num>
  <w:num w:numId="25" w16cid:durableId="1954677308">
    <w:abstractNumId w:val="36"/>
  </w:num>
  <w:num w:numId="26" w16cid:durableId="998270126">
    <w:abstractNumId w:val="54"/>
  </w:num>
  <w:num w:numId="27" w16cid:durableId="657656171">
    <w:abstractNumId w:val="50"/>
  </w:num>
  <w:num w:numId="28" w16cid:durableId="1116829249">
    <w:abstractNumId w:val="11"/>
  </w:num>
  <w:num w:numId="29" w16cid:durableId="1055274873">
    <w:abstractNumId w:val="12"/>
  </w:num>
  <w:num w:numId="30" w16cid:durableId="790785319">
    <w:abstractNumId w:val="33"/>
  </w:num>
  <w:num w:numId="31" w16cid:durableId="781922295">
    <w:abstractNumId w:val="4"/>
  </w:num>
  <w:num w:numId="32" w16cid:durableId="268047206">
    <w:abstractNumId w:val="35"/>
  </w:num>
  <w:num w:numId="33" w16cid:durableId="198930779">
    <w:abstractNumId w:val="0"/>
  </w:num>
  <w:num w:numId="34" w16cid:durableId="480577945">
    <w:abstractNumId w:val="42"/>
  </w:num>
  <w:num w:numId="35" w16cid:durableId="984242224">
    <w:abstractNumId w:val="25"/>
  </w:num>
  <w:num w:numId="36" w16cid:durableId="485898662">
    <w:abstractNumId w:val="44"/>
  </w:num>
  <w:num w:numId="37" w16cid:durableId="1147433143">
    <w:abstractNumId w:val="28"/>
  </w:num>
  <w:num w:numId="38" w16cid:durableId="827285019">
    <w:abstractNumId w:val="39"/>
  </w:num>
  <w:num w:numId="39" w16cid:durableId="128666775">
    <w:abstractNumId w:val="5"/>
  </w:num>
  <w:num w:numId="40" w16cid:durableId="1339426664">
    <w:abstractNumId w:val="24"/>
  </w:num>
  <w:num w:numId="41" w16cid:durableId="1969971734">
    <w:abstractNumId w:val="48"/>
  </w:num>
  <w:num w:numId="42" w16cid:durableId="368453801">
    <w:abstractNumId w:val="20"/>
  </w:num>
  <w:num w:numId="43" w16cid:durableId="51392340">
    <w:abstractNumId w:val="34"/>
  </w:num>
  <w:num w:numId="44" w16cid:durableId="1531332188">
    <w:abstractNumId w:val="14"/>
  </w:num>
  <w:num w:numId="45" w16cid:durableId="8337133">
    <w:abstractNumId w:val="13"/>
  </w:num>
  <w:num w:numId="46" w16cid:durableId="1612931796">
    <w:abstractNumId w:val="38"/>
  </w:num>
  <w:num w:numId="47" w16cid:durableId="89930162">
    <w:abstractNumId w:val="22"/>
  </w:num>
  <w:num w:numId="48" w16cid:durableId="1477838578">
    <w:abstractNumId w:val="9"/>
  </w:num>
  <w:num w:numId="49" w16cid:durableId="2073384460">
    <w:abstractNumId w:val="52"/>
  </w:num>
  <w:num w:numId="50" w16cid:durableId="59720369">
    <w:abstractNumId w:val="29"/>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14AEF"/>
    <w:rsid w:val="00020557"/>
    <w:rsid w:val="000232A1"/>
    <w:rsid w:val="000250C7"/>
    <w:rsid w:val="00025CCF"/>
    <w:rsid w:val="00025D4C"/>
    <w:rsid w:val="000300E0"/>
    <w:rsid w:val="0003114A"/>
    <w:rsid w:val="000352C1"/>
    <w:rsid w:val="0003619C"/>
    <w:rsid w:val="0003743B"/>
    <w:rsid w:val="00037621"/>
    <w:rsid w:val="00044D46"/>
    <w:rsid w:val="00045088"/>
    <w:rsid w:val="00045904"/>
    <w:rsid w:val="0004644F"/>
    <w:rsid w:val="000464F7"/>
    <w:rsid w:val="0005141D"/>
    <w:rsid w:val="00060E02"/>
    <w:rsid w:val="00065166"/>
    <w:rsid w:val="00065C84"/>
    <w:rsid w:val="00067A88"/>
    <w:rsid w:val="00070B92"/>
    <w:rsid w:val="00073474"/>
    <w:rsid w:val="00077D49"/>
    <w:rsid w:val="00082609"/>
    <w:rsid w:val="00083B38"/>
    <w:rsid w:val="000851CC"/>
    <w:rsid w:val="00093406"/>
    <w:rsid w:val="00093BE8"/>
    <w:rsid w:val="000A68ED"/>
    <w:rsid w:val="000B4FEB"/>
    <w:rsid w:val="000B5A95"/>
    <w:rsid w:val="000B5FF1"/>
    <w:rsid w:val="000B609F"/>
    <w:rsid w:val="000C147F"/>
    <w:rsid w:val="000C6BB9"/>
    <w:rsid w:val="000C79AB"/>
    <w:rsid w:val="000D32A9"/>
    <w:rsid w:val="000D55A8"/>
    <w:rsid w:val="000E4841"/>
    <w:rsid w:val="000E6325"/>
    <w:rsid w:val="000F1677"/>
    <w:rsid w:val="000F3D6C"/>
    <w:rsid w:val="000F579C"/>
    <w:rsid w:val="000F7728"/>
    <w:rsid w:val="00100E8F"/>
    <w:rsid w:val="00101707"/>
    <w:rsid w:val="00101A9E"/>
    <w:rsid w:val="0010606A"/>
    <w:rsid w:val="0011127B"/>
    <w:rsid w:val="00114082"/>
    <w:rsid w:val="0011473D"/>
    <w:rsid w:val="00115C85"/>
    <w:rsid w:val="001202E3"/>
    <w:rsid w:val="00123855"/>
    <w:rsid w:val="00124F1F"/>
    <w:rsid w:val="00126A4D"/>
    <w:rsid w:val="00126E19"/>
    <w:rsid w:val="00136971"/>
    <w:rsid w:val="001374D8"/>
    <w:rsid w:val="00140E0A"/>
    <w:rsid w:val="0014171F"/>
    <w:rsid w:val="0014622C"/>
    <w:rsid w:val="00150B48"/>
    <w:rsid w:val="00151F58"/>
    <w:rsid w:val="00152348"/>
    <w:rsid w:val="00152845"/>
    <w:rsid w:val="0015456D"/>
    <w:rsid w:val="0015549B"/>
    <w:rsid w:val="00155FA2"/>
    <w:rsid w:val="0015718F"/>
    <w:rsid w:val="001578CB"/>
    <w:rsid w:val="00161F1B"/>
    <w:rsid w:val="00162829"/>
    <w:rsid w:val="00164ACC"/>
    <w:rsid w:val="001672E0"/>
    <w:rsid w:val="00167C32"/>
    <w:rsid w:val="0017257C"/>
    <w:rsid w:val="00172F43"/>
    <w:rsid w:val="00176079"/>
    <w:rsid w:val="0017652E"/>
    <w:rsid w:val="00177F38"/>
    <w:rsid w:val="00180548"/>
    <w:rsid w:val="00180AC4"/>
    <w:rsid w:val="00180CCE"/>
    <w:rsid w:val="00182648"/>
    <w:rsid w:val="0018267A"/>
    <w:rsid w:val="00182779"/>
    <w:rsid w:val="001830DF"/>
    <w:rsid w:val="00190FD2"/>
    <w:rsid w:val="00194456"/>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0C94"/>
    <w:rsid w:val="0022599E"/>
    <w:rsid w:val="00227C5E"/>
    <w:rsid w:val="002305E8"/>
    <w:rsid w:val="0023198D"/>
    <w:rsid w:val="00232311"/>
    <w:rsid w:val="0023317E"/>
    <w:rsid w:val="00234F2C"/>
    <w:rsid w:val="00240B0E"/>
    <w:rsid w:val="00240D33"/>
    <w:rsid w:val="0024116D"/>
    <w:rsid w:val="00241B44"/>
    <w:rsid w:val="00245EFB"/>
    <w:rsid w:val="00250E19"/>
    <w:rsid w:val="0025386E"/>
    <w:rsid w:val="002539D7"/>
    <w:rsid w:val="002567A6"/>
    <w:rsid w:val="00257437"/>
    <w:rsid w:val="00263644"/>
    <w:rsid w:val="002638B0"/>
    <w:rsid w:val="00264FFF"/>
    <w:rsid w:val="002650D7"/>
    <w:rsid w:val="002654E8"/>
    <w:rsid w:val="0026647A"/>
    <w:rsid w:val="002668D3"/>
    <w:rsid w:val="002675BE"/>
    <w:rsid w:val="0027299F"/>
    <w:rsid w:val="00274732"/>
    <w:rsid w:val="00276913"/>
    <w:rsid w:val="0028135B"/>
    <w:rsid w:val="00282480"/>
    <w:rsid w:val="00284EBE"/>
    <w:rsid w:val="0029433F"/>
    <w:rsid w:val="00294829"/>
    <w:rsid w:val="00294F3B"/>
    <w:rsid w:val="0029690F"/>
    <w:rsid w:val="002A1EEC"/>
    <w:rsid w:val="002A29FB"/>
    <w:rsid w:val="002A2A60"/>
    <w:rsid w:val="002A62ED"/>
    <w:rsid w:val="002B1C45"/>
    <w:rsid w:val="002C13C8"/>
    <w:rsid w:val="002C3547"/>
    <w:rsid w:val="002D0021"/>
    <w:rsid w:val="002D3473"/>
    <w:rsid w:val="002D4F2C"/>
    <w:rsid w:val="002D5C95"/>
    <w:rsid w:val="002E00F8"/>
    <w:rsid w:val="002E1A1A"/>
    <w:rsid w:val="002E1BB5"/>
    <w:rsid w:val="002E2322"/>
    <w:rsid w:val="002E38E2"/>
    <w:rsid w:val="002F1956"/>
    <w:rsid w:val="002F3440"/>
    <w:rsid w:val="002F4EC0"/>
    <w:rsid w:val="002F71BE"/>
    <w:rsid w:val="002F75A3"/>
    <w:rsid w:val="002F78CA"/>
    <w:rsid w:val="00303C2F"/>
    <w:rsid w:val="0031046A"/>
    <w:rsid w:val="00312911"/>
    <w:rsid w:val="003144EF"/>
    <w:rsid w:val="003148CA"/>
    <w:rsid w:val="00315506"/>
    <w:rsid w:val="0031734C"/>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4783C"/>
    <w:rsid w:val="00361A0A"/>
    <w:rsid w:val="0036565C"/>
    <w:rsid w:val="0036625E"/>
    <w:rsid w:val="0036760B"/>
    <w:rsid w:val="003676D9"/>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A55FC"/>
    <w:rsid w:val="003B1310"/>
    <w:rsid w:val="003B170F"/>
    <w:rsid w:val="003B3C5F"/>
    <w:rsid w:val="003B5DB8"/>
    <w:rsid w:val="003C080A"/>
    <w:rsid w:val="003C089D"/>
    <w:rsid w:val="003C0E38"/>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27DF"/>
    <w:rsid w:val="0047025B"/>
    <w:rsid w:val="00491675"/>
    <w:rsid w:val="00493855"/>
    <w:rsid w:val="0049508F"/>
    <w:rsid w:val="004A171E"/>
    <w:rsid w:val="004A57DD"/>
    <w:rsid w:val="004A7B51"/>
    <w:rsid w:val="004A7D71"/>
    <w:rsid w:val="004A7EF3"/>
    <w:rsid w:val="004B11FD"/>
    <w:rsid w:val="004B23A2"/>
    <w:rsid w:val="004C076B"/>
    <w:rsid w:val="004C281E"/>
    <w:rsid w:val="004C4E97"/>
    <w:rsid w:val="004D1A5A"/>
    <w:rsid w:val="004D2FFF"/>
    <w:rsid w:val="004D3721"/>
    <w:rsid w:val="004D64F9"/>
    <w:rsid w:val="004E0549"/>
    <w:rsid w:val="004E1674"/>
    <w:rsid w:val="004E2E92"/>
    <w:rsid w:val="004E30B0"/>
    <w:rsid w:val="004E622C"/>
    <w:rsid w:val="004F5FDF"/>
    <w:rsid w:val="004F7262"/>
    <w:rsid w:val="0050157D"/>
    <w:rsid w:val="00506803"/>
    <w:rsid w:val="0050682B"/>
    <w:rsid w:val="00506F0D"/>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0D2F"/>
    <w:rsid w:val="00553EB2"/>
    <w:rsid w:val="00556777"/>
    <w:rsid w:val="0055688E"/>
    <w:rsid w:val="00560534"/>
    <w:rsid w:val="0056391B"/>
    <w:rsid w:val="005650E2"/>
    <w:rsid w:val="00565292"/>
    <w:rsid w:val="0056535A"/>
    <w:rsid w:val="00565DEE"/>
    <w:rsid w:val="00566DA1"/>
    <w:rsid w:val="00567AD7"/>
    <w:rsid w:val="00567F31"/>
    <w:rsid w:val="00573E73"/>
    <w:rsid w:val="00575B2D"/>
    <w:rsid w:val="005833D0"/>
    <w:rsid w:val="005846F3"/>
    <w:rsid w:val="0058622F"/>
    <w:rsid w:val="00587461"/>
    <w:rsid w:val="00590023"/>
    <w:rsid w:val="00592F82"/>
    <w:rsid w:val="005A0CCA"/>
    <w:rsid w:val="005A4C48"/>
    <w:rsid w:val="005A726D"/>
    <w:rsid w:val="005B67AC"/>
    <w:rsid w:val="005C2C94"/>
    <w:rsid w:val="005C36BC"/>
    <w:rsid w:val="005C4865"/>
    <w:rsid w:val="005D43E0"/>
    <w:rsid w:val="005D58A3"/>
    <w:rsid w:val="005E1B79"/>
    <w:rsid w:val="005E5C28"/>
    <w:rsid w:val="005F026D"/>
    <w:rsid w:val="005F21F4"/>
    <w:rsid w:val="005F2D0B"/>
    <w:rsid w:val="005F4B31"/>
    <w:rsid w:val="00601249"/>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5753E"/>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0BC0"/>
    <w:rsid w:val="006B12A8"/>
    <w:rsid w:val="006B435A"/>
    <w:rsid w:val="006B4C64"/>
    <w:rsid w:val="006B4FFC"/>
    <w:rsid w:val="006D00AB"/>
    <w:rsid w:val="006D0E6E"/>
    <w:rsid w:val="006D6BD5"/>
    <w:rsid w:val="006E481A"/>
    <w:rsid w:val="006E4BBA"/>
    <w:rsid w:val="006E5298"/>
    <w:rsid w:val="006F2CE3"/>
    <w:rsid w:val="006F341B"/>
    <w:rsid w:val="006F734A"/>
    <w:rsid w:val="00700D83"/>
    <w:rsid w:val="00703819"/>
    <w:rsid w:val="00704852"/>
    <w:rsid w:val="007057EB"/>
    <w:rsid w:val="00706297"/>
    <w:rsid w:val="00706AD5"/>
    <w:rsid w:val="007074E9"/>
    <w:rsid w:val="00707FC8"/>
    <w:rsid w:val="00713DA4"/>
    <w:rsid w:val="00713E41"/>
    <w:rsid w:val="00714BF1"/>
    <w:rsid w:val="00721383"/>
    <w:rsid w:val="0072554C"/>
    <w:rsid w:val="00725911"/>
    <w:rsid w:val="00730344"/>
    <w:rsid w:val="00731DBD"/>
    <w:rsid w:val="007333CC"/>
    <w:rsid w:val="0073399A"/>
    <w:rsid w:val="00737ECE"/>
    <w:rsid w:val="00750279"/>
    <w:rsid w:val="00751F66"/>
    <w:rsid w:val="007603F5"/>
    <w:rsid w:val="00764DB0"/>
    <w:rsid w:val="00766F8A"/>
    <w:rsid w:val="0076764D"/>
    <w:rsid w:val="0077498C"/>
    <w:rsid w:val="00777183"/>
    <w:rsid w:val="0078053A"/>
    <w:rsid w:val="00784082"/>
    <w:rsid w:val="00784128"/>
    <w:rsid w:val="00784B4B"/>
    <w:rsid w:val="007854ED"/>
    <w:rsid w:val="00793173"/>
    <w:rsid w:val="007A2FCE"/>
    <w:rsid w:val="007B16F9"/>
    <w:rsid w:val="007B2C52"/>
    <w:rsid w:val="007B3AC7"/>
    <w:rsid w:val="007B3B46"/>
    <w:rsid w:val="007B497A"/>
    <w:rsid w:val="007C1FCC"/>
    <w:rsid w:val="007C32A8"/>
    <w:rsid w:val="007C3FE5"/>
    <w:rsid w:val="007C6201"/>
    <w:rsid w:val="007C6988"/>
    <w:rsid w:val="007D28A1"/>
    <w:rsid w:val="007D7C92"/>
    <w:rsid w:val="007E1154"/>
    <w:rsid w:val="007E6BA4"/>
    <w:rsid w:val="007E7678"/>
    <w:rsid w:val="007F3470"/>
    <w:rsid w:val="007F41F8"/>
    <w:rsid w:val="007F60D0"/>
    <w:rsid w:val="007F71D9"/>
    <w:rsid w:val="00801F72"/>
    <w:rsid w:val="0080454E"/>
    <w:rsid w:val="00804C32"/>
    <w:rsid w:val="00806302"/>
    <w:rsid w:val="00807119"/>
    <w:rsid w:val="00812AFE"/>
    <w:rsid w:val="00817D57"/>
    <w:rsid w:val="00822764"/>
    <w:rsid w:val="008241C4"/>
    <w:rsid w:val="0082483F"/>
    <w:rsid w:val="008264CB"/>
    <w:rsid w:val="008279C0"/>
    <w:rsid w:val="00827A0E"/>
    <w:rsid w:val="00835FD1"/>
    <w:rsid w:val="0084683C"/>
    <w:rsid w:val="008512FA"/>
    <w:rsid w:val="00853A74"/>
    <w:rsid w:val="00857763"/>
    <w:rsid w:val="00860E61"/>
    <w:rsid w:val="00867A8F"/>
    <w:rsid w:val="008723F3"/>
    <w:rsid w:val="00881DE6"/>
    <w:rsid w:val="008837A6"/>
    <w:rsid w:val="00886630"/>
    <w:rsid w:val="0089145D"/>
    <w:rsid w:val="00891A47"/>
    <w:rsid w:val="00893A03"/>
    <w:rsid w:val="008A0C6E"/>
    <w:rsid w:val="008A46CF"/>
    <w:rsid w:val="008A4DF2"/>
    <w:rsid w:val="008A6CFE"/>
    <w:rsid w:val="008A7470"/>
    <w:rsid w:val="008B03AA"/>
    <w:rsid w:val="008B1A08"/>
    <w:rsid w:val="008B2DE3"/>
    <w:rsid w:val="008B5333"/>
    <w:rsid w:val="008B6223"/>
    <w:rsid w:val="008B74F3"/>
    <w:rsid w:val="008C66E0"/>
    <w:rsid w:val="008C6BE3"/>
    <w:rsid w:val="008E2DFA"/>
    <w:rsid w:val="008E3339"/>
    <w:rsid w:val="008E549B"/>
    <w:rsid w:val="008E6D59"/>
    <w:rsid w:val="008F18EF"/>
    <w:rsid w:val="008F20FC"/>
    <w:rsid w:val="008F2B24"/>
    <w:rsid w:val="008F5FFE"/>
    <w:rsid w:val="00902235"/>
    <w:rsid w:val="0090421A"/>
    <w:rsid w:val="00905A43"/>
    <w:rsid w:val="00907DC2"/>
    <w:rsid w:val="00912C79"/>
    <w:rsid w:val="009260A2"/>
    <w:rsid w:val="00932F45"/>
    <w:rsid w:val="009344C1"/>
    <w:rsid w:val="00942123"/>
    <w:rsid w:val="00951031"/>
    <w:rsid w:val="0095207B"/>
    <w:rsid w:val="00954461"/>
    <w:rsid w:val="00956085"/>
    <w:rsid w:val="00957726"/>
    <w:rsid w:val="00957951"/>
    <w:rsid w:val="00962045"/>
    <w:rsid w:val="00967EDA"/>
    <w:rsid w:val="00970897"/>
    <w:rsid w:val="0097337E"/>
    <w:rsid w:val="0097758D"/>
    <w:rsid w:val="00980314"/>
    <w:rsid w:val="009816D0"/>
    <w:rsid w:val="00983CFC"/>
    <w:rsid w:val="00991428"/>
    <w:rsid w:val="00992676"/>
    <w:rsid w:val="00996691"/>
    <w:rsid w:val="009A1822"/>
    <w:rsid w:val="009A4880"/>
    <w:rsid w:val="009A48ED"/>
    <w:rsid w:val="009A58D1"/>
    <w:rsid w:val="009A7865"/>
    <w:rsid w:val="009B0723"/>
    <w:rsid w:val="009B07AD"/>
    <w:rsid w:val="009B0883"/>
    <w:rsid w:val="009B15E2"/>
    <w:rsid w:val="009B176B"/>
    <w:rsid w:val="009B5832"/>
    <w:rsid w:val="009B6312"/>
    <w:rsid w:val="009B640D"/>
    <w:rsid w:val="009C0850"/>
    <w:rsid w:val="009C0B8E"/>
    <w:rsid w:val="009C1BC8"/>
    <w:rsid w:val="009C2442"/>
    <w:rsid w:val="009D0811"/>
    <w:rsid w:val="009D0EE1"/>
    <w:rsid w:val="009D238F"/>
    <w:rsid w:val="009D30BB"/>
    <w:rsid w:val="009E2AEB"/>
    <w:rsid w:val="009E2E27"/>
    <w:rsid w:val="009E3CA7"/>
    <w:rsid w:val="009E4DE3"/>
    <w:rsid w:val="009E6D73"/>
    <w:rsid w:val="009F7562"/>
    <w:rsid w:val="00A047EE"/>
    <w:rsid w:val="00A114EA"/>
    <w:rsid w:val="00A153F7"/>
    <w:rsid w:val="00A17461"/>
    <w:rsid w:val="00A2274A"/>
    <w:rsid w:val="00A235B7"/>
    <w:rsid w:val="00A27A7A"/>
    <w:rsid w:val="00A27B71"/>
    <w:rsid w:val="00A33A7B"/>
    <w:rsid w:val="00A407EF"/>
    <w:rsid w:val="00A46B4C"/>
    <w:rsid w:val="00A5117B"/>
    <w:rsid w:val="00A54000"/>
    <w:rsid w:val="00A54689"/>
    <w:rsid w:val="00A60074"/>
    <w:rsid w:val="00A6627C"/>
    <w:rsid w:val="00A6649C"/>
    <w:rsid w:val="00A668BB"/>
    <w:rsid w:val="00A70BBC"/>
    <w:rsid w:val="00A71019"/>
    <w:rsid w:val="00A76F6C"/>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E2665"/>
    <w:rsid w:val="00AE3362"/>
    <w:rsid w:val="00AF007C"/>
    <w:rsid w:val="00AF228E"/>
    <w:rsid w:val="00AF302B"/>
    <w:rsid w:val="00AF7639"/>
    <w:rsid w:val="00B04137"/>
    <w:rsid w:val="00B1112C"/>
    <w:rsid w:val="00B11D19"/>
    <w:rsid w:val="00B12936"/>
    <w:rsid w:val="00B12C2D"/>
    <w:rsid w:val="00B14819"/>
    <w:rsid w:val="00B14BB0"/>
    <w:rsid w:val="00B15031"/>
    <w:rsid w:val="00B17AA9"/>
    <w:rsid w:val="00B263D0"/>
    <w:rsid w:val="00B32DE4"/>
    <w:rsid w:val="00B33578"/>
    <w:rsid w:val="00B36270"/>
    <w:rsid w:val="00B370C3"/>
    <w:rsid w:val="00B411AE"/>
    <w:rsid w:val="00B413F5"/>
    <w:rsid w:val="00B457BF"/>
    <w:rsid w:val="00B46CE2"/>
    <w:rsid w:val="00B60190"/>
    <w:rsid w:val="00B61419"/>
    <w:rsid w:val="00B66441"/>
    <w:rsid w:val="00B72F5F"/>
    <w:rsid w:val="00B736DF"/>
    <w:rsid w:val="00B74FBD"/>
    <w:rsid w:val="00B77352"/>
    <w:rsid w:val="00B81F82"/>
    <w:rsid w:val="00B82586"/>
    <w:rsid w:val="00B829A3"/>
    <w:rsid w:val="00B86DB1"/>
    <w:rsid w:val="00B87869"/>
    <w:rsid w:val="00B953BD"/>
    <w:rsid w:val="00BA0E44"/>
    <w:rsid w:val="00BA47C5"/>
    <w:rsid w:val="00BB0F2B"/>
    <w:rsid w:val="00BD0378"/>
    <w:rsid w:val="00BD0D57"/>
    <w:rsid w:val="00BD3D6A"/>
    <w:rsid w:val="00BE1A50"/>
    <w:rsid w:val="00BF50F7"/>
    <w:rsid w:val="00C00111"/>
    <w:rsid w:val="00C02F29"/>
    <w:rsid w:val="00C03775"/>
    <w:rsid w:val="00C10C13"/>
    <w:rsid w:val="00C17111"/>
    <w:rsid w:val="00C20747"/>
    <w:rsid w:val="00C20AFE"/>
    <w:rsid w:val="00C22A25"/>
    <w:rsid w:val="00C23B79"/>
    <w:rsid w:val="00C33D50"/>
    <w:rsid w:val="00C35671"/>
    <w:rsid w:val="00C35B77"/>
    <w:rsid w:val="00C370D3"/>
    <w:rsid w:val="00C376EB"/>
    <w:rsid w:val="00C4003A"/>
    <w:rsid w:val="00C40CAD"/>
    <w:rsid w:val="00C4510C"/>
    <w:rsid w:val="00C4695B"/>
    <w:rsid w:val="00C46EC1"/>
    <w:rsid w:val="00C504E5"/>
    <w:rsid w:val="00C53E2C"/>
    <w:rsid w:val="00C550C8"/>
    <w:rsid w:val="00C56B61"/>
    <w:rsid w:val="00C606C3"/>
    <w:rsid w:val="00C620F4"/>
    <w:rsid w:val="00C64FEE"/>
    <w:rsid w:val="00C668B6"/>
    <w:rsid w:val="00C67ECE"/>
    <w:rsid w:val="00C7161B"/>
    <w:rsid w:val="00C72848"/>
    <w:rsid w:val="00C733B4"/>
    <w:rsid w:val="00C7736C"/>
    <w:rsid w:val="00C82D87"/>
    <w:rsid w:val="00C841ED"/>
    <w:rsid w:val="00C85F17"/>
    <w:rsid w:val="00C8712A"/>
    <w:rsid w:val="00C91324"/>
    <w:rsid w:val="00C914F7"/>
    <w:rsid w:val="00C9418F"/>
    <w:rsid w:val="00C96166"/>
    <w:rsid w:val="00C963D3"/>
    <w:rsid w:val="00CA1742"/>
    <w:rsid w:val="00CA59D5"/>
    <w:rsid w:val="00CA6E0D"/>
    <w:rsid w:val="00CB16F0"/>
    <w:rsid w:val="00CB2CBB"/>
    <w:rsid w:val="00CB56CE"/>
    <w:rsid w:val="00CB7CAC"/>
    <w:rsid w:val="00CC0EA0"/>
    <w:rsid w:val="00CC5335"/>
    <w:rsid w:val="00CC5BA4"/>
    <w:rsid w:val="00CC70BB"/>
    <w:rsid w:val="00CD3420"/>
    <w:rsid w:val="00CD4998"/>
    <w:rsid w:val="00CE1035"/>
    <w:rsid w:val="00CE2A6A"/>
    <w:rsid w:val="00CF2819"/>
    <w:rsid w:val="00CF2FBB"/>
    <w:rsid w:val="00CF4F9D"/>
    <w:rsid w:val="00CF70DC"/>
    <w:rsid w:val="00D12404"/>
    <w:rsid w:val="00D148DC"/>
    <w:rsid w:val="00D17FDC"/>
    <w:rsid w:val="00D27C0F"/>
    <w:rsid w:val="00D36E76"/>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0C3B"/>
    <w:rsid w:val="00DA1083"/>
    <w:rsid w:val="00DA26C8"/>
    <w:rsid w:val="00DA3D8A"/>
    <w:rsid w:val="00DA6131"/>
    <w:rsid w:val="00DB243C"/>
    <w:rsid w:val="00DB45DD"/>
    <w:rsid w:val="00DB482A"/>
    <w:rsid w:val="00DB56F2"/>
    <w:rsid w:val="00DB6EF5"/>
    <w:rsid w:val="00DC3089"/>
    <w:rsid w:val="00DC4420"/>
    <w:rsid w:val="00DD0802"/>
    <w:rsid w:val="00DD0A50"/>
    <w:rsid w:val="00DD0C8C"/>
    <w:rsid w:val="00DD2E11"/>
    <w:rsid w:val="00DD5D99"/>
    <w:rsid w:val="00DD6242"/>
    <w:rsid w:val="00DE03AF"/>
    <w:rsid w:val="00DE121C"/>
    <w:rsid w:val="00DE151F"/>
    <w:rsid w:val="00DE2A27"/>
    <w:rsid w:val="00DE3705"/>
    <w:rsid w:val="00DE6633"/>
    <w:rsid w:val="00DE6B1A"/>
    <w:rsid w:val="00DF75F8"/>
    <w:rsid w:val="00DF7A3A"/>
    <w:rsid w:val="00E00C00"/>
    <w:rsid w:val="00E04A7C"/>
    <w:rsid w:val="00E059FB"/>
    <w:rsid w:val="00E069C4"/>
    <w:rsid w:val="00E07275"/>
    <w:rsid w:val="00E07866"/>
    <w:rsid w:val="00E07C5A"/>
    <w:rsid w:val="00E15BA9"/>
    <w:rsid w:val="00E25767"/>
    <w:rsid w:val="00E25B22"/>
    <w:rsid w:val="00E2622D"/>
    <w:rsid w:val="00E26E19"/>
    <w:rsid w:val="00E27E3C"/>
    <w:rsid w:val="00E31DF3"/>
    <w:rsid w:val="00E32814"/>
    <w:rsid w:val="00E33448"/>
    <w:rsid w:val="00E33486"/>
    <w:rsid w:val="00E34181"/>
    <w:rsid w:val="00E450A4"/>
    <w:rsid w:val="00E506BE"/>
    <w:rsid w:val="00E54A8F"/>
    <w:rsid w:val="00E55547"/>
    <w:rsid w:val="00E57410"/>
    <w:rsid w:val="00E57717"/>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EF3C8D"/>
    <w:rsid w:val="00F004A5"/>
    <w:rsid w:val="00F032A4"/>
    <w:rsid w:val="00F033DA"/>
    <w:rsid w:val="00F11AAB"/>
    <w:rsid w:val="00F13FB1"/>
    <w:rsid w:val="00F17BC1"/>
    <w:rsid w:val="00F17C87"/>
    <w:rsid w:val="00F20272"/>
    <w:rsid w:val="00F223E7"/>
    <w:rsid w:val="00F2288D"/>
    <w:rsid w:val="00F250C6"/>
    <w:rsid w:val="00F25779"/>
    <w:rsid w:val="00F25DA4"/>
    <w:rsid w:val="00F2750A"/>
    <w:rsid w:val="00F27CD8"/>
    <w:rsid w:val="00F30351"/>
    <w:rsid w:val="00F31EE9"/>
    <w:rsid w:val="00F3323E"/>
    <w:rsid w:val="00F341F4"/>
    <w:rsid w:val="00F34F9D"/>
    <w:rsid w:val="00F35CCE"/>
    <w:rsid w:val="00F47848"/>
    <w:rsid w:val="00F51EE5"/>
    <w:rsid w:val="00F55241"/>
    <w:rsid w:val="00F5524B"/>
    <w:rsid w:val="00F60538"/>
    <w:rsid w:val="00F61DD2"/>
    <w:rsid w:val="00F6523A"/>
    <w:rsid w:val="00F66193"/>
    <w:rsid w:val="00F66AFF"/>
    <w:rsid w:val="00F71433"/>
    <w:rsid w:val="00F7241A"/>
    <w:rsid w:val="00F76F2C"/>
    <w:rsid w:val="00F82D96"/>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UnresolvedMention">
    <w:name w:val="Unresolved Mention"/>
    <w:basedOn w:val="DefaultParagraphFont"/>
    <w:uiPriority w:val="99"/>
    <w:semiHidden/>
    <w:unhideWhenUsed/>
    <w:rsid w:val="00177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74457204">
      <w:bodyDiv w:val="1"/>
      <w:marLeft w:val="0"/>
      <w:marRight w:val="0"/>
      <w:marTop w:val="0"/>
      <w:marBottom w:val="0"/>
      <w:divBdr>
        <w:top w:val="none" w:sz="0" w:space="0" w:color="auto"/>
        <w:left w:val="none" w:sz="0" w:space="0" w:color="auto"/>
        <w:bottom w:val="none" w:sz="0" w:space="0" w:color="auto"/>
        <w:right w:val="none" w:sz="0" w:space="0" w:color="auto"/>
      </w:divBdr>
      <w:divsChild>
        <w:div w:id="435030029">
          <w:marLeft w:val="240"/>
          <w:marRight w:val="0"/>
          <w:marTop w:val="60"/>
          <w:marBottom w:val="60"/>
          <w:divBdr>
            <w:top w:val="none" w:sz="0" w:space="0" w:color="auto"/>
            <w:left w:val="none" w:sz="0" w:space="0" w:color="auto"/>
            <w:bottom w:val="none" w:sz="0" w:space="0" w:color="auto"/>
            <w:right w:val="none" w:sz="0" w:space="0" w:color="auto"/>
          </w:divBdr>
          <w:divsChild>
            <w:div w:id="1748917682">
              <w:marLeft w:val="240"/>
              <w:marRight w:val="0"/>
              <w:marTop w:val="60"/>
              <w:marBottom w:val="60"/>
              <w:divBdr>
                <w:top w:val="none" w:sz="0" w:space="0" w:color="auto"/>
                <w:left w:val="none" w:sz="0" w:space="0" w:color="auto"/>
                <w:bottom w:val="none" w:sz="0" w:space="0" w:color="auto"/>
                <w:right w:val="none" w:sz="0" w:space="0" w:color="auto"/>
              </w:divBdr>
              <w:divsChild>
                <w:div w:id="1438981071">
                  <w:marLeft w:val="0"/>
                  <w:marRight w:val="0"/>
                  <w:marTop w:val="0"/>
                  <w:marBottom w:val="0"/>
                  <w:divBdr>
                    <w:top w:val="none" w:sz="0" w:space="0" w:color="auto"/>
                    <w:left w:val="none" w:sz="0" w:space="0" w:color="auto"/>
                    <w:bottom w:val="none" w:sz="0" w:space="0" w:color="auto"/>
                    <w:right w:val="none" w:sz="0" w:space="0" w:color="auto"/>
                  </w:divBdr>
                </w:div>
              </w:divsChild>
            </w:div>
            <w:div w:id="1026449712">
              <w:marLeft w:val="240"/>
              <w:marRight w:val="0"/>
              <w:marTop w:val="60"/>
              <w:marBottom w:val="60"/>
              <w:divBdr>
                <w:top w:val="none" w:sz="0" w:space="0" w:color="auto"/>
                <w:left w:val="none" w:sz="0" w:space="0" w:color="auto"/>
                <w:bottom w:val="none" w:sz="0" w:space="0" w:color="auto"/>
                <w:right w:val="none" w:sz="0" w:space="0" w:color="auto"/>
              </w:divBdr>
              <w:divsChild>
                <w:div w:id="366297881">
                  <w:marLeft w:val="0"/>
                  <w:marRight w:val="0"/>
                  <w:marTop w:val="0"/>
                  <w:marBottom w:val="0"/>
                  <w:divBdr>
                    <w:top w:val="none" w:sz="0" w:space="0" w:color="auto"/>
                    <w:left w:val="none" w:sz="0" w:space="0" w:color="auto"/>
                    <w:bottom w:val="none" w:sz="0" w:space="0" w:color="auto"/>
                    <w:right w:val="none" w:sz="0" w:space="0" w:color="auto"/>
                  </w:divBdr>
                </w:div>
              </w:divsChild>
            </w:div>
            <w:div w:id="1999455027">
              <w:marLeft w:val="240"/>
              <w:marRight w:val="0"/>
              <w:marTop w:val="60"/>
              <w:marBottom w:val="60"/>
              <w:divBdr>
                <w:top w:val="none" w:sz="0" w:space="0" w:color="auto"/>
                <w:left w:val="none" w:sz="0" w:space="0" w:color="auto"/>
                <w:bottom w:val="none" w:sz="0" w:space="0" w:color="auto"/>
                <w:right w:val="none" w:sz="0" w:space="0" w:color="auto"/>
              </w:divBdr>
              <w:divsChild>
                <w:div w:id="656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18320">
          <w:marLeft w:val="240"/>
          <w:marRight w:val="0"/>
          <w:marTop w:val="60"/>
          <w:marBottom w:val="60"/>
          <w:divBdr>
            <w:top w:val="none" w:sz="0" w:space="0" w:color="auto"/>
            <w:left w:val="none" w:sz="0" w:space="0" w:color="auto"/>
            <w:bottom w:val="none" w:sz="0" w:space="0" w:color="auto"/>
            <w:right w:val="none" w:sz="0" w:space="0" w:color="auto"/>
          </w:divBdr>
          <w:divsChild>
            <w:div w:id="17570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6499</TotalTime>
  <Pages>12</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Kyle Caesar R. Filomeno</cp:lastModifiedBy>
  <cp:revision>85</cp:revision>
  <cp:lastPrinted>2019-08-27T05:42:00Z</cp:lastPrinted>
  <dcterms:created xsi:type="dcterms:W3CDTF">2023-01-19T09:32:00Z</dcterms:created>
  <dcterms:modified xsi:type="dcterms:W3CDTF">2024-03-01T15:42:00Z</dcterms:modified>
</cp:coreProperties>
</file>