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E901D6">
        <w:rPr>
          <w:rFonts w:ascii="Avenir Next" w:hAnsi="Avenir Next"/>
          <w:highlight w:val="yellow"/>
        </w:rPr>
        <w:t>(a)</w:t>
      </w:r>
      <w:r w:rsidRPr="00E901D6">
        <w:rPr>
          <w:rFonts w:ascii="Avenir Next" w:hAnsi="Avenir Next"/>
          <w:highlight w:val="yellow"/>
        </w:rPr>
        <w:tab/>
        <w:t>Yes</w:t>
      </w:r>
      <w:r w:rsidR="004D36D5" w:rsidRPr="00E901D6">
        <w:rPr>
          <w:rFonts w:ascii="Avenir Next" w:hAnsi="Avenir Next"/>
          <w:highlight w:val="yellow"/>
        </w:rPr>
        <w:t>,</w:t>
      </w:r>
      <w:r w:rsidR="002A16B3" w:rsidRPr="00E901D6">
        <w:rPr>
          <w:rFonts w:ascii="Avenir Next" w:hAnsi="Avenir Next"/>
          <w:highlight w:val="yellow"/>
        </w:rPr>
        <w:t xml:space="preserve"> </w:t>
      </w:r>
      <w:r w:rsidR="000968D6" w:rsidRPr="00E901D6">
        <w:rPr>
          <w:rFonts w:ascii="Avenir Next" w:hAnsi="Avenir Next"/>
          <w:highlight w:val="yellow"/>
        </w:rPr>
        <w:t>regardless</w:t>
      </w:r>
      <w:r w:rsidR="0083721E" w:rsidRPr="00E901D6">
        <w:rPr>
          <w:rFonts w:ascii="Avenir Next" w:hAnsi="Avenir Next"/>
          <w:highlight w:val="yellow"/>
        </w:rPr>
        <w:t xml:space="preserve"> of</w:t>
      </w:r>
      <w:r w:rsidR="000968D6" w:rsidRPr="00E901D6">
        <w:rPr>
          <w:rFonts w:ascii="Avenir Next" w:hAnsi="Avenir Next"/>
          <w:highlight w:val="yellow"/>
        </w:rPr>
        <w:t xml:space="preserve"> </w:t>
      </w:r>
      <w:r w:rsidR="0083721E" w:rsidRPr="00E901D6">
        <w:rPr>
          <w:rFonts w:ascii="Avenir Next" w:hAnsi="Avenir Next"/>
          <w:highlight w:val="yellow"/>
        </w:rPr>
        <w:t xml:space="preserve">the </w:t>
      </w:r>
      <w:r w:rsidR="004D36D5" w:rsidRPr="00E901D6">
        <w:rPr>
          <w:rFonts w:ascii="Avenir Next" w:hAnsi="Avenir Next"/>
          <w:highlight w:val="yellow"/>
        </w:rPr>
        <w:t>circumstances</w:t>
      </w:r>
      <w:r w:rsidRPr="00E901D6">
        <w:rPr>
          <w:rFonts w:ascii="Avenir Next" w:hAnsi="Avenir Next"/>
          <w:highlight w:val="yellow"/>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E901D6">
        <w:rPr>
          <w:rFonts w:ascii="Avenir Next" w:hAnsi="Avenir Next"/>
          <w:highlight w:val="yellow"/>
        </w:rPr>
        <w:t>(a)</w:t>
      </w:r>
      <w:r w:rsidRPr="00E901D6">
        <w:rPr>
          <w:rFonts w:ascii="Avenir Next" w:hAnsi="Avenir Next"/>
          <w:highlight w:val="yellow"/>
        </w:rPr>
        <w:tab/>
        <w:t>A shareholder in Parts Inc, to which Car Corp is indebted</w:t>
      </w:r>
      <w:r w:rsidR="00631394" w:rsidRPr="00E901D6">
        <w:rPr>
          <w:rFonts w:ascii="Avenir Next" w:hAnsi="Avenir Next"/>
          <w:highlight w:val="yellow"/>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E901D6">
        <w:rPr>
          <w:rFonts w:ascii="Avenir Next" w:hAnsi="Avenir Next"/>
          <w:highlight w:val="yellow"/>
        </w:rPr>
        <w:t>(c)</w:t>
      </w:r>
      <w:r w:rsidRPr="00E901D6">
        <w:rPr>
          <w:rFonts w:ascii="Avenir Next" w:hAnsi="Avenir Next"/>
          <w:highlight w:val="yellow"/>
        </w:rPr>
        <w:tab/>
        <w:t>A shareholder in Investment Corp, Car Corp’s parent company</w:t>
      </w:r>
      <w:r w:rsidR="00631394" w:rsidRPr="00E901D6">
        <w:rPr>
          <w:rFonts w:ascii="Avenir Next" w:hAnsi="Avenir Next"/>
          <w:highlight w:val="yellow"/>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E901D6">
        <w:rPr>
          <w:rFonts w:ascii="Avenir Next" w:hAnsi="Avenir Next"/>
          <w:highlight w:val="yellow"/>
        </w:rPr>
        <w:t>(d)</w:t>
      </w:r>
      <w:r w:rsidRPr="00E901D6">
        <w:rPr>
          <w:rFonts w:ascii="Avenir Next" w:hAnsi="Avenir Next"/>
          <w:highlight w:val="yellow"/>
        </w:rPr>
        <w:tab/>
        <w:t>A retired employee of Car Corp who receives payments from the company’s pension plan</w:t>
      </w:r>
      <w:r w:rsidR="00631394" w:rsidRPr="00E901D6">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5E151D">
        <w:rPr>
          <w:rFonts w:ascii="Avenir Next" w:hAnsi="Avenir Next"/>
          <w:highlight w:val="yellow"/>
        </w:rPr>
        <w:t xml:space="preserve">Options (a) to (c) </w:t>
      </w:r>
      <w:r w:rsidRPr="005E151D">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FA0F55">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A0F55">
        <w:rPr>
          <w:rFonts w:ascii="Avenir Next" w:hAnsi="Avenir Next"/>
        </w:rPr>
        <w:t>(c)</w:t>
      </w:r>
      <w:r w:rsidRPr="00FA0F55">
        <w:rPr>
          <w:rFonts w:ascii="Avenir Next" w:hAnsi="Avenir Next"/>
        </w:rPr>
        <w:tab/>
        <w:t>An insolvency professional appointed by the court overseeing the foreign proceeding</w:t>
      </w:r>
      <w:r w:rsidR="0036662D" w:rsidRPr="00FA0F55">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FA0F55">
        <w:rPr>
          <w:rFonts w:ascii="Avenir Next" w:hAnsi="Avenir Next"/>
          <w:highlight w:val="yellow"/>
        </w:rPr>
        <w:t>(e)</w:t>
      </w:r>
      <w:r w:rsidRPr="00FA0F55">
        <w:rPr>
          <w:rFonts w:ascii="Avenir Next" w:hAnsi="Avenir Next"/>
          <w:highlight w:val="yellow"/>
        </w:rPr>
        <w:tab/>
        <w:t>All of the above</w:t>
      </w:r>
      <w:r w:rsidR="006A42F8" w:rsidRPr="00FA0F55">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D4538F">
        <w:rPr>
          <w:rFonts w:ascii="Avenir Next" w:hAnsi="Avenir Next"/>
          <w:highlight w:val="yellow"/>
        </w:rPr>
        <w:t>(b)</w:t>
      </w:r>
      <w:r w:rsidRPr="00D4538F">
        <w:rPr>
          <w:rFonts w:ascii="Avenir Next" w:hAnsi="Avenir Next"/>
          <w:highlight w:val="yellow"/>
        </w:rPr>
        <w:tab/>
        <w:t xml:space="preserve">Executory contracts are clearly defined by the </w:t>
      </w:r>
      <w:r w:rsidR="00ED7BF3" w:rsidRPr="00D4538F">
        <w:rPr>
          <w:rFonts w:ascii="Avenir Next" w:hAnsi="Avenir Next"/>
          <w:highlight w:val="yellow"/>
        </w:rPr>
        <w:t>B</w:t>
      </w:r>
      <w:r w:rsidRPr="00D4538F">
        <w:rPr>
          <w:rFonts w:ascii="Avenir Next" w:hAnsi="Avenir Next"/>
          <w:highlight w:val="yellow"/>
        </w:rPr>
        <w:t xml:space="preserve">ankruptcy </w:t>
      </w:r>
      <w:r w:rsidR="00ED7BF3" w:rsidRPr="00D4538F">
        <w:rPr>
          <w:rFonts w:ascii="Avenir Next" w:hAnsi="Avenir Next"/>
          <w:highlight w:val="yellow"/>
        </w:rPr>
        <w:t>C</w:t>
      </w:r>
      <w:r w:rsidRPr="00D4538F">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E901D6" w:rsidRDefault="000643AB" w:rsidP="00875912">
      <w:pPr>
        <w:pStyle w:val="AODocTxt"/>
        <w:numPr>
          <w:ilvl w:val="0"/>
          <w:numId w:val="24"/>
        </w:numPr>
        <w:spacing w:before="0" w:line="240" w:lineRule="auto"/>
        <w:ind w:left="426" w:hanging="426"/>
        <w:rPr>
          <w:rFonts w:ascii="Avenir Next" w:hAnsi="Avenir Next"/>
          <w:highlight w:val="yellow"/>
        </w:rPr>
      </w:pPr>
      <w:r w:rsidRPr="00E901D6">
        <w:rPr>
          <w:rFonts w:ascii="Avenir Next" w:hAnsi="Avenir Next"/>
          <w:highlight w:val="yellow"/>
        </w:rPr>
        <w:t>Acceptance of the plan by all classes of secured creditors</w:t>
      </w:r>
      <w:r w:rsidR="006844A8" w:rsidRPr="00E901D6">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D4538F" w:rsidRDefault="00C24FAB" w:rsidP="009017A1">
      <w:pPr>
        <w:pStyle w:val="AODocTxt"/>
        <w:numPr>
          <w:ilvl w:val="0"/>
          <w:numId w:val="33"/>
        </w:numPr>
        <w:spacing w:before="0" w:line="240" w:lineRule="auto"/>
        <w:ind w:left="426" w:hanging="426"/>
        <w:rPr>
          <w:rFonts w:ascii="Avenir Next" w:hAnsi="Avenir Next"/>
          <w:highlight w:val="yellow"/>
        </w:rPr>
      </w:pPr>
      <w:r w:rsidRPr="00D4538F">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02E1C9DF" w14:textId="77777777" w:rsidR="005E151D" w:rsidRDefault="005E151D" w:rsidP="005E151D">
      <w:pPr>
        <w:pStyle w:val="ListParagraph"/>
        <w:rPr>
          <w:rFonts w:ascii="Avenir Next" w:hAnsi="Avenir Next"/>
        </w:rPr>
      </w:pPr>
    </w:p>
    <w:p w14:paraId="3915581B" w14:textId="77777777" w:rsidR="005E151D" w:rsidRPr="00821F0A" w:rsidRDefault="005E151D" w:rsidP="005E151D">
      <w:pPr>
        <w:pStyle w:val="AODocTxt"/>
        <w:spacing w:before="0" w:line="240" w:lineRule="auto"/>
        <w:ind w:left="426"/>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9578FD">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5E151D" w:rsidRDefault="00853272" w:rsidP="00BA74EF">
      <w:pPr>
        <w:pStyle w:val="AODocTxt"/>
        <w:numPr>
          <w:ilvl w:val="0"/>
          <w:numId w:val="28"/>
        </w:numPr>
        <w:spacing w:before="0" w:line="240" w:lineRule="auto"/>
        <w:ind w:left="426" w:hanging="426"/>
        <w:rPr>
          <w:rFonts w:ascii="Avenir Next" w:hAnsi="Avenir Next"/>
          <w:highlight w:val="yellow"/>
        </w:rPr>
      </w:pPr>
      <w:r w:rsidRPr="005E151D">
        <w:rPr>
          <w:rFonts w:ascii="Avenir Next" w:hAnsi="Avenir Next"/>
          <w:highlight w:val="yellow"/>
        </w:rPr>
        <w:t xml:space="preserve">Both </w:t>
      </w:r>
      <w:r w:rsidR="0072569E" w:rsidRPr="005E151D">
        <w:rPr>
          <w:rFonts w:ascii="Avenir Next" w:hAnsi="Avenir Next"/>
          <w:highlight w:val="yellow"/>
        </w:rPr>
        <w:t xml:space="preserve">options </w:t>
      </w:r>
      <w:r w:rsidRPr="005E151D">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5E7849">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AF6A25" w:rsidRDefault="00334B98" w:rsidP="00676F12">
      <w:pPr>
        <w:pStyle w:val="AODocTxt"/>
        <w:keepNext/>
        <w:numPr>
          <w:ilvl w:val="0"/>
          <w:numId w:val="30"/>
        </w:numPr>
        <w:spacing w:before="0" w:line="240" w:lineRule="auto"/>
        <w:ind w:left="426" w:hanging="426"/>
        <w:rPr>
          <w:rFonts w:ascii="Avenir Next" w:hAnsi="Avenir Next"/>
          <w:highlight w:val="yellow"/>
        </w:rPr>
      </w:pPr>
      <w:r w:rsidRPr="00AF6A25">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Pr="00AF6A25" w:rsidRDefault="00334B98" w:rsidP="00676F12">
      <w:pPr>
        <w:pStyle w:val="AODocTxt"/>
        <w:keepNext/>
        <w:numPr>
          <w:ilvl w:val="0"/>
          <w:numId w:val="30"/>
        </w:numPr>
        <w:spacing w:before="0" w:line="240" w:lineRule="auto"/>
        <w:ind w:left="426" w:hanging="426"/>
        <w:rPr>
          <w:rFonts w:ascii="Avenir Next" w:hAnsi="Avenir Next"/>
          <w:highlight w:val="yellow"/>
        </w:rPr>
      </w:pPr>
      <w:r w:rsidRPr="00AF6A25">
        <w:rPr>
          <w:rFonts w:ascii="Avenir Next" w:hAnsi="Avenir Next"/>
          <w:highlight w:val="yellow"/>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D4538F" w:rsidRDefault="00740655" w:rsidP="00DF5F7C">
      <w:pPr>
        <w:pStyle w:val="AODocTxt"/>
        <w:keepNext/>
        <w:numPr>
          <w:ilvl w:val="0"/>
          <w:numId w:val="35"/>
        </w:numPr>
        <w:spacing w:before="0" w:line="240" w:lineRule="auto"/>
        <w:ind w:left="426" w:hanging="426"/>
        <w:rPr>
          <w:rFonts w:ascii="Avenir Next" w:hAnsi="Avenir Next"/>
          <w:highlight w:val="yellow"/>
        </w:rPr>
      </w:pPr>
      <w:r w:rsidRPr="00D4538F">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52DBD222" w:rsidR="00323167" w:rsidRPr="002B5D64" w:rsidRDefault="00F027F0"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Setoff is the process of netting the position when a creditor has both a claim against a debtor and also owes money to the debtor – the claim and the debt will be set off against each other to arrive at a net position. However, setoff is not permitted in many circumstances because it can improve the position of the creditor as compared to other unsecured creditors.   </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32A38917" w:rsidR="001D3BAA" w:rsidRPr="002B5D64" w:rsidRDefault="005E151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priming lien </w:t>
      </w:r>
      <w:r w:rsidR="005D1CA5">
        <w:rPr>
          <w:rFonts w:ascii="Avenir Next" w:hAnsi="Avenir Next"/>
          <w:color w:val="808080" w:themeColor="background1" w:themeShade="80"/>
        </w:rPr>
        <w:t xml:space="preserve">is a lien over estate property which </w:t>
      </w:r>
      <w:r>
        <w:rPr>
          <w:rFonts w:ascii="Avenir Next" w:hAnsi="Avenir Next"/>
          <w:color w:val="808080" w:themeColor="background1" w:themeShade="80"/>
        </w:rPr>
        <w:t>has priority</w:t>
      </w:r>
      <w:r w:rsidR="00F027F0">
        <w:rPr>
          <w:rFonts w:ascii="Avenir Next" w:hAnsi="Avenir Next"/>
          <w:color w:val="808080" w:themeColor="background1" w:themeShade="80"/>
        </w:rPr>
        <w:t xml:space="preserve"> or is equal to any pre-petition liens,</w:t>
      </w:r>
      <w:r>
        <w:rPr>
          <w:rFonts w:ascii="Avenir Next" w:hAnsi="Avenir Next"/>
          <w:color w:val="808080" w:themeColor="background1" w:themeShade="80"/>
        </w:rPr>
        <w:t xml:space="preserve"> and </w:t>
      </w:r>
      <w:r w:rsidR="00F027F0">
        <w:rPr>
          <w:rFonts w:ascii="Avenir Next" w:hAnsi="Avenir Next"/>
          <w:color w:val="808080" w:themeColor="background1" w:themeShade="80"/>
        </w:rPr>
        <w:t xml:space="preserve">may be </w:t>
      </w:r>
      <w:r>
        <w:rPr>
          <w:rFonts w:ascii="Avenir Next" w:hAnsi="Avenir Next"/>
          <w:color w:val="808080" w:themeColor="background1" w:themeShade="80"/>
        </w:rPr>
        <w:t>issued</w:t>
      </w:r>
      <w:r w:rsidR="00F027F0">
        <w:rPr>
          <w:rFonts w:ascii="Avenir Next" w:hAnsi="Avenir Next"/>
          <w:color w:val="808080" w:themeColor="background1" w:themeShade="80"/>
        </w:rPr>
        <w:t xml:space="preserve"> (by the court)</w:t>
      </w:r>
      <w:r>
        <w:rPr>
          <w:rFonts w:ascii="Avenir Next" w:hAnsi="Avenir Next"/>
          <w:color w:val="808080" w:themeColor="background1" w:themeShade="80"/>
        </w:rPr>
        <w:t xml:space="preserve"> to </w:t>
      </w:r>
      <w:r w:rsidR="00F027F0">
        <w:rPr>
          <w:rFonts w:ascii="Avenir Next" w:hAnsi="Avenir Next"/>
          <w:color w:val="808080" w:themeColor="background1" w:themeShade="80"/>
        </w:rPr>
        <w:t>lenders</w:t>
      </w:r>
      <w:r>
        <w:rPr>
          <w:rFonts w:ascii="Avenir Next" w:hAnsi="Avenir Next"/>
          <w:color w:val="808080" w:themeColor="background1" w:themeShade="80"/>
        </w:rPr>
        <w:t xml:space="preserve"> </w:t>
      </w:r>
      <w:r w:rsidR="00F027F0">
        <w:rPr>
          <w:rFonts w:ascii="Avenir Next" w:hAnsi="Avenir Next"/>
          <w:color w:val="808080" w:themeColor="background1" w:themeShade="80"/>
        </w:rPr>
        <w:t>(who become secured creditors</w:t>
      </w:r>
      <w:r w:rsidR="005D1CA5">
        <w:rPr>
          <w:rFonts w:ascii="Avenir Next" w:hAnsi="Avenir Next"/>
          <w:color w:val="808080" w:themeColor="background1" w:themeShade="80"/>
        </w:rPr>
        <w:t xml:space="preserve">) </w:t>
      </w:r>
      <w:r>
        <w:rPr>
          <w:rFonts w:ascii="Avenir Next" w:hAnsi="Avenir Next"/>
          <w:color w:val="808080" w:themeColor="background1" w:themeShade="80"/>
        </w:rPr>
        <w:t xml:space="preserve">when providing new money in a restructuring scenario. </w:t>
      </w:r>
      <w:r w:rsidR="00F027F0">
        <w:rPr>
          <w:rFonts w:ascii="Avenir Next" w:hAnsi="Avenir Next"/>
          <w:color w:val="808080" w:themeColor="background1" w:themeShade="80"/>
        </w:rPr>
        <w:t xml:space="preserve">The debtor must demonstrate that the interest of the lender being primed is adequately protected. </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40A1D6A9" w:rsidR="001D3BAA" w:rsidRPr="002B5D64" w:rsidRDefault="005E151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violation constitutes contempt of court and </w:t>
      </w:r>
      <w:r w:rsidR="001C3F89">
        <w:rPr>
          <w:rFonts w:ascii="Avenir Next" w:hAnsi="Avenir Next"/>
          <w:color w:val="808080" w:themeColor="background1" w:themeShade="80"/>
        </w:rPr>
        <w:t xml:space="preserve">actions taken in violation will be void or voidable (depending on the circuit). </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53F14A3B" w:rsidR="001D3BAA" w:rsidRPr="002B5D64" w:rsidRDefault="005E151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single class of</w:t>
      </w:r>
      <w:r w:rsidR="00A16997">
        <w:rPr>
          <w:rFonts w:ascii="Avenir Next" w:hAnsi="Avenir Next"/>
          <w:color w:val="808080" w:themeColor="background1" w:themeShade="80"/>
        </w:rPr>
        <w:t xml:space="preserve"> impaired</w:t>
      </w:r>
      <w:r>
        <w:rPr>
          <w:rFonts w:ascii="Avenir Next" w:hAnsi="Avenir Next"/>
          <w:color w:val="808080" w:themeColor="background1" w:themeShade="80"/>
        </w:rPr>
        <w:t xml:space="preserve"> creditors can </w:t>
      </w:r>
      <w:r w:rsidR="005D1CA5">
        <w:rPr>
          <w:rFonts w:ascii="Avenir Next" w:hAnsi="Avenir Next"/>
          <w:color w:val="808080" w:themeColor="background1" w:themeShade="80"/>
        </w:rPr>
        <w:t xml:space="preserve">vote to </w:t>
      </w:r>
      <w:r>
        <w:rPr>
          <w:rFonts w:ascii="Avenir Next" w:hAnsi="Avenir Next"/>
          <w:color w:val="808080" w:themeColor="background1" w:themeShade="80"/>
        </w:rPr>
        <w:t>accept the pla</w:t>
      </w:r>
      <w:r w:rsidR="005D1CA5">
        <w:rPr>
          <w:rFonts w:ascii="Avenir Next" w:hAnsi="Avenir Next"/>
          <w:color w:val="808080" w:themeColor="background1" w:themeShade="80"/>
        </w:rPr>
        <w:t>n</w:t>
      </w:r>
      <w:r>
        <w:rPr>
          <w:rFonts w:ascii="Avenir Next" w:hAnsi="Avenir Next"/>
          <w:color w:val="808080" w:themeColor="background1" w:themeShade="80"/>
        </w:rPr>
        <w:t xml:space="preserve"> by a simple majority</w:t>
      </w:r>
      <w:r w:rsidR="005D1CA5">
        <w:rPr>
          <w:rFonts w:ascii="Avenir Next" w:hAnsi="Avenir Next"/>
          <w:color w:val="808080" w:themeColor="background1" w:themeShade="80"/>
        </w:rPr>
        <w:t xml:space="preserve">, effectively cramming down the other creditors. An unimpaired class are deemed to accept the plan, and a class </w:t>
      </w:r>
      <w:r w:rsidR="005D1CA5">
        <w:rPr>
          <w:rFonts w:ascii="Avenir Next" w:hAnsi="Avenir Next"/>
          <w:color w:val="808080" w:themeColor="background1" w:themeShade="80"/>
        </w:rPr>
        <w:lastRenderedPageBreak/>
        <w:t xml:space="preserve">that will receive nothing is deemed to reject the plan. </w:t>
      </w:r>
      <w:r>
        <w:rPr>
          <w:rFonts w:ascii="Avenir Next" w:hAnsi="Avenir Next"/>
          <w:color w:val="808080" w:themeColor="background1" w:themeShade="80"/>
        </w:rPr>
        <w:t xml:space="preserve"> </w:t>
      </w:r>
      <w:r w:rsidR="005D1CA5">
        <w:rPr>
          <w:rFonts w:ascii="Avenir Next" w:hAnsi="Avenir Next"/>
          <w:color w:val="808080" w:themeColor="background1" w:themeShade="80"/>
        </w:rPr>
        <w:t>A simple majority is at least two-thirds of the creditors in the class holding the value of claims / equity interests (as relevant).</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5C8FAE72" w14:textId="6D988103" w:rsidR="005E151D" w:rsidRDefault="00224888" w:rsidP="001D3BAA">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r w:rsidR="005E151D">
        <w:rPr>
          <w:rFonts w:ascii="Avenir Next" w:hAnsi="Avenir Next"/>
          <w:sz w:val="20"/>
          <w:szCs w:val="20"/>
        </w:rPr>
        <w:t xml:space="preserve"> </w:t>
      </w:r>
    </w:p>
    <w:p w14:paraId="725C1979" w14:textId="77777777" w:rsidR="005E151D" w:rsidRDefault="005E151D" w:rsidP="005E151D">
      <w:pPr>
        <w:pStyle w:val="ListParagraph"/>
        <w:rPr>
          <w:rFonts w:ascii="Avenir Next" w:hAnsi="Avenir Next"/>
          <w:szCs w:val="20"/>
        </w:rPr>
      </w:pPr>
    </w:p>
    <w:p w14:paraId="4E0D6157" w14:textId="79B2484C" w:rsidR="005E151D" w:rsidRPr="005E7849" w:rsidRDefault="005E151D" w:rsidP="005E151D">
      <w:pPr>
        <w:pStyle w:val="AODocTxt"/>
        <w:spacing w:before="0" w:line="240" w:lineRule="auto"/>
        <w:rPr>
          <w:rFonts w:ascii="Avenir Next" w:hAnsi="Avenir Next"/>
          <w:color w:val="808080" w:themeColor="background1" w:themeShade="80"/>
        </w:rPr>
      </w:pPr>
      <w:r w:rsidRPr="005E7849">
        <w:rPr>
          <w:rFonts w:ascii="Avenir Next" w:hAnsi="Avenir Next"/>
          <w:color w:val="808080" w:themeColor="background1" w:themeShade="80"/>
        </w:rPr>
        <w:t>(a)</w:t>
      </w:r>
      <w:r w:rsidR="00A16997" w:rsidRPr="005E7849">
        <w:rPr>
          <w:rFonts w:ascii="Avenir Next" w:hAnsi="Avenir Next"/>
          <w:color w:val="808080" w:themeColor="background1" w:themeShade="80"/>
        </w:rPr>
        <w:t xml:space="preserve"> preferences</w:t>
      </w:r>
    </w:p>
    <w:p w14:paraId="1A1BB886" w14:textId="3A0222C8" w:rsidR="005E151D" w:rsidRPr="005E7849" w:rsidRDefault="005E151D" w:rsidP="005E151D">
      <w:pPr>
        <w:pStyle w:val="AODocTxt"/>
        <w:spacing w:before="0" w:line="240" w:lineRule="auto"/>
        <w:rPr>
          <w:rFonts w:ascii="Avenir Next" w:hAnsi="Avenir Next"/>
          <w:color w:val="808080" w:themeColor="background1" w:themeShade="80"/>
        </w:rPr>
      </w:pPr>
      <w:r w:rsidRPr="005E7849">
        <w:rPr>
          <w:rFonts w:ascii="Avenir Next" w:hAnsi="Avenir Next"/>
          <w:color w:val="808080" w:themeColor="background1" w:themeShade="80"/>
        </w:rPr>
        <w:t xml:space="preserve">(b) </w:t>
      </w:r>
      <w:r w:rsidR="00A16997" w:rsidRPr="005E7849">
        <w:rPr>
          <w:rFonts w:ascii="Avenir Next" w:hAnsi="Avenir Next"/>
          <w:color w:val="808080" w:themeColor="background1" w:themeShade="80"/>
        </w:rPr>
        <w:t xml:space="preserve">constructive fraudulent conveyances </w:t>
      </w:r>
    </w:p>
    <w:p w14:paraId="1C04A2BB" w14:textId="0CE48473" w:rsidR="005E151D" w:rsidRPr="005E7849" w:rsidRDefault="005E151D" w:rsidP="005E151D">
      <w:pPr>
        <w:pStyle w:val="AODocTxt"/>
        <w:spacing w:before="0" w:line="240" w:lineRule="auto"/>
        <w:rPr>
          <w:rFonts w:ascii="Avenir Next" w:hAnsi="Avenir Next"/>
          <w:color w:val="808080" w:themeColor="background1" w:themeShade="80"/>
        </w:rPr>
      </w:pPr>
      <w:r w:rsidRPr="005E7849">
        <w:rPr>
          <w:rFonts w:ascii="Avenir Next" w:hAnsi="Avenir Next"/>
          <w:color w:val="808080" w:themeColor="background1" w:themeShade="80"/>
        </w:rPr>
        <w:t xml:space="preserve">(c) fraudulent conveyances </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AF2408" w:rsidRDefault="00E01803" w:rsidP="000778B1">
      <w:pPr>
        <w:pStyle w:val="AODocTxt"/>
        <w:spacing w:before="0" w:line="240" w:lineRule="auto"/>
        <w:rPr>
          <w:rFonts w:ascii="Avenir Next Demi Bold" w:hAnsi="Avenir Next Demi Bold"/>
          <w:b/>
          <w:bCs/>
        </w:rPr>
      </w:pPr>
      <w:r w:rsidRPr="00AF2408">
        <w:rPr>
          <w:rFonts w:ascii="Avenir Next Demi Bold" w:hAnsi="Avenir Next Demi Bold"/>
          <w:b/>
          <w:bCs/>
        </w:rPr>
        <w:t>Question 3.1 [3 marks]</w:t>
      </w:r>
    </w:p>
    <w:p w14:paraId="7B674925" w14:textId="77777777" w:rsidR="000810B2" w:rsidRPr="00AF2408" w:rsidRDefault="000810B2" w:rsidP="000778B1">
      <w:pPr>
        <w:pStyle w:val="AODocTxt"/>
        <w:spacing w:before="0" w:line="240" w:lineRule="auto"/>
        <w:rPr>
          <w:rFonts w:ascii="Avenir Next Demi Bold" w:hAnsi="Avenir Next Demi Bold"/>
          <w:b/>
          <w:bCs/>
        </w:rPr>
      </w:pPr>
    </w:p>
    <w:p w14:paraId="14763D3E" w14:textId="1832C457" w:rsidR="00484B73" w:rsidRPr="00AF2408" w:rsidRDefault="007C690E" w:rsidP="000778B1">
      <w:pPr>
        <w:pStyle w:val="AODocTxt"/>
        <w:spacing w:before="0" w:line="240" w:lineRule="auto"/>
        <w:rPr>
          <w:rFonts w:ascii="Avenir Next" w:hAnsi="Avenir Next"/>
        </w:rPr>
      </w:pPr>
      <w:r w:rsidRPr="00AF2408">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Pr="00AF2408" w:rsidRDefault="001D3BAA" w:rsidP="001D3BAA">
      <w:pPr>
        <w:pStyle w:val="AODocTxt"/>
        <w:spacing w:before="0" w:line="240" w:lineRule="auto"/>
        <w:rPr>
          <w:rFonts w:ascii="Avenir Next" w:hAnsi="Avenir Next"/>
          <w:color w:val="808080" w:themeColor="background1" w:themeShade="80"/>
        </w:rPr>
      </w:pPr>
    </w:p>
    <w:p w14:paraId="41284EC0" w14:textId="5B681040" w:rsidR="001D3BAA" w:rsidRDefault="00DD64E6" w:rsidP="001D3BAA">
      <w:pPr>
        <w:pStyle w:val="AODocTxt"/>
        <w:spacing w:before="0" w:line="240" w:lineRule="auto"/>
        <w:rPr>
          <w:rFonts w:ascii="Avenir Next" w:hAnsi="Avenir Next"/>
          <w:color w:val="808080" w:themeColor="background1" w:themeShade="80"/>
        </w:rPr>
      </w:pPr>
      <w:r w:rsidRPr="00AF2408">
        <w:rPr>
          <w:rFonts w:ascii="Avenir Next" w:hAnsi="Avenir Next"/>
          <w:color w:val="808080" w:themeColor="background1" w:themeShade="80"/>
        </w:rPr>
        <w:t>As a result of the US Supreme Court ruling in the case of Stern v Marshall, a bankruptcy court may only issue a final order consistent with the constitution when</w:t>
      </w:r>
      <w:r w:rsidR="00920318" w:rsidRPr="00AF2408">
        <w:rPr>
          <w:rFonts w:ascii="Avenir Next" w:hAnsi="Avenir Next"/>
          <w:color w:val="808080" w:themeColor="background1" w:themeShade="80"/>
        </w:rPr>
        <w:t>:</w:t>
      </w:r>
      <w:r w:rsidRPr="00AF2408">
        <w:rPr>
          <w:rFonts w:ascii="Avenir Next" w:hAnsi="Avenir Next"/>
          <w:color w:val="808080" w:themeColor="background1" w:themeShade="80"/>
        </w:rPr>
        <w:t xml:space="preserve"> (i) the parties agree that the bankruptcy court can issue a final order</w:t>
      </w:r>
      <w:r w:rsidR="00920318" w:rsidRPr="00AF2408">
        <w:rPr>
          <w:rFonts w:ascii="Avenir Next" w:hAnsi="Avenir Next"/>
          <w:color w:val="808080" w:themeColor="background1" w:themeShade="80"/>
        </w:rPr>
        <w:t xml:space="preserve"> (by stating as such in their pleadings, as required by the Bankruptcy Rules)</w:t>
      </w:r>
      <w:r w:rsidRPr="00AF2408">
        <w:rPr>
          <w:rFonts w:ascii="Avenir Next" w:hAnsi="Avenir Next"/>
          <w:color w:val="808080" w:themeColor="background1" w:themeShade="80"/>
        </w:rPr>
        <w:t>;</w:t>
      </w:r>
      <w:r w:rsidR="00920318" w:rsidRPr="00AF2408">
        <w:rPr>
          <w:rFonts w:ascii="Avenir Next" w:hAnsi="Avenir Next"/>
          <w:color w:val="808080" w:themeColor="background1" w:themeShade="80"/>
        </w:rPr>
        <w:t xml:space="preserve"> and</w:t>
      </w:r>
      <w:r w:rsidRPr="00AF2408">
        <w:rPr>
          <w:rFonts w:ascii="Avenir Next" w:hAnsi="Avenir Next"/>
          <w:color w:val="808080" w:themeColor="background1" w:themeShade="80"/>
        </w:rPr>
        <w:t xml:space="preserve"> </w:t>
      </w:r>
      <w:r w:rsidR="00920318" w:rsidRPr="00AF2408">
        <w:rPr>
          <w:rFonts w:ascii="Avenir Next" w:hAnsi="Avenir Next"/>
          <w:color w:val="808080" w:themeColor="background1" w:themeShade="80"/>
        </w:rPr>
        <w:t>(ii) if the District Court delegates a matter to the Bankruptcy Court (and that delegation is not withdrawn)</w:t>
      </w:r>
      <w:r w:rsidR="00AF2408" w:rsidRPr="00AF2408">
        <w:rPr>
          <w:rFonts w:ascii="Avenir Next" w:hAnsi="Avenir Next"/>
          <w:color w:val="808080" w:themeColor="background1" w:themeShade="80"/>
        </w:rPr>
        <w:t>, the Bankruptcy Court can enter a final judgment on a motion challenging the validity of a petition</w:t>
      </w:r>
      <w:r w:rsidR="00920318" w:rsidRPr="00AF2408">
        <w:rPr>
          <w:rFonts w:ascii="Avenir Next" w:hAnsi="Avenir Next"/>
          <w:color w:val="808080" w:themeColor="background1" w:themeShade="80"/>
        </w:rPr>
        <w:t>.</w:t>
      </w:r>
    </w:p>
    <w:p w14:paraId="6C23A3F5" w14:textId="77777777" w:rsidR="00DD64E6" w:rsidRDefault="00DD64E6" w:rsidP="001D3BAA">
      <w:pPr>
        <w:pStyle w:val="AODocTxt"/>
        <w:spacing w:before="0" w:line="240" w:lineRule="auto"/>
        <w:rPr>
          <w:rFonts w:ascii="Avenir Next" w:hAnsi="Avenir Next"/>
          <w:color w:val="808080" w:themeColor="background1" w:themeShade="80"/>
        </w:rPr>
      </w:pPr>
    </w:p>
    <w:p w14:paraId="2D0E4D90" w14:textId="2F6BA9EF" w:rsidR="00DD64E6" w:rsidRDefault="00AF240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general, a</w:t>
      </w:r>
      <w:r w:rsidR="00920318">
        <w:rPr>
          <w:rFonts w:ascii="Avenir Next" w:hAnsi="Avenir Next"/>
          <w:color w:val="808080" w:themeColor="background1" w:themeShade="80"/>
        </w:rPr>
        <w:t>ppeals from Bankruptcy Court orders are heard by</w:t>
      </w:r>
      <w:r>
        <w:rPr>
          <w:rFonts w:ascii="Avenir Next" w:hAnsi="Avenir Next"/>
          <w:color w:val="808080" w:themeColor="background1" w:themeShade="80"/>
        </w:rPr>
        <w:t xml:space="preserve"> the relevant District Court, however in circuits, bankruptcy appeals are heard by a Bankruptcy Appellate Panel. In rare circumstances, bankruptcy appeals may go directly to the relevant court of appeal. </w:t>
      </w:r>
      <w:r w:rsidR="00920318">
        <w:rPr>
          <w:rFonts w:ascii="Avenir Next" w:hAnsi="Avenir Next"/>
          <w:color w:val="808080" w:themeColor="background1" w:themeShade="80"/>
        </w:rPr>
        <w:t xml:space="preserve"> </w:t>
      </w:r>
    </w:p>
    <w:p w14:paraId="43CA9B52" w14:textId="77777777" w:rsidR="00920318" w:rsidRDefault="00920318" w:rsidP="001D3BAA">
      <w:pPr>
        <w:pStyle w:val="AODocTxt"/>
        <w:spacing w:before="0" w:line="240" w:lineRule="auto"/>
        <w:rPr>
          <w:rFonts w:ascii="Avenir Next" w:hAnsi="Avenir Next"/>
          <w:color w:val="808080" w:themeColor="background1" w:themeShade="80"/>
        </w:rPr>
      </w:pPr>
    </w:p>
    <w:p w14:paraId="7A718AE0" w14:textId="13C690FA" w:rsidR="00920318" w:rsidRPr="002B5D64" w:rsidRDefault="0092031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Orders that are not constitutionally final (i.e. where the Bankruptcy Court issues a report or recommendation) are reviewed by the District Court. If the District Court issues a final order based on that recommendation, the recommendation effectively becomes final (such as was historically the position with ‘non-core’ proceedings).   </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4495C642" w14:textId="44B5067A" w:rsidR="004A6F55" w:rsidRDefault="004A6F5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Chapter 15 proceedings may not be invoked as against certain persons, e.g. persons who may not be subject to Chapter 7 proceedings / US citizens eligible to be debtors under Chapter 13 / entities subject to proceedings under SIPA. </w:t>
      </w:r>
    </w:p>
    <w:p w14:paraId="563007FE" w14:textId="0A4E869C" w:rsidR="001D3BAA" w:rsidRPr="002B5D64" w:rsidRDefault="00A1104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A foreign representative cannot invoke the Bankruptcy Code avoidance powers other than in plenary Chapter 7 or 11 proceedings. </w:t>
      </w:r>
      <w:r w:rsidR="00C07430">
        <w:rPr>
          <w:rFonts w:ascii="Avenir Next" w:hAnsi="Avenir Next"/>
          <w:color w:val="808080" w:themeColor="background1" w:themeShade="80"/>
        </w:rPr>
        <w:t>The relevant provision (based on Article 23 of the</w:t>
      </w:r>
      <w:r w:rsidR="00AD7588">
        <w:rPr>
          <w:rFonts w:ascii="Avenir Next" w:hAnsi="Avenir Next"/>
          <w:color w:val="808080" w:themeColor="background1" w:themeShade="80"/>
        </w:rPr>
        <w:t xml:space="preserve"> UNCITRAL Model Law on Cross Border Insolvency</w:t>
      </w:r>
      <w:r w:rsidR="00C07430">
        <w:rPr>
          <w:rFonts w:ascii="Avenir Next" w:hAnsi="Avenir Next"/>
          <w:color w:val="808080" w:themeColor="background1" w:themeShade="80"/>
        </w:rPr>
        <w:t xml:space="preserve"> </w:t>
      </w:r>
      <w:r w:rsidR="00AD7588">
        <w:rPr>
          <w:rFonts w:ascii="Avenir Next" w:hAnsi="Avenir Next"/>
          <w:color w:val="808080" w:themeColor="background1" w:themeShade="80"/>
        </w:rPr>
        <w:t>(</w:t>
      </w:r>
      <w:r w:rsidR="00C07430" w:rsidRPr="00AD7588">
        <w:rPr>
          <w:rFonts w:ascii="Avenir Next" w:hAnsi="Avenir Next"/>
          <w:b/>
          <w:bCs/>
          <w:color w:val="808080" w:themeColor="background1" w:themeShade="80"/>
        </w:rPr>
        <w:t>MLCBI</w:t>
      </w:r>
      <w:r w:rsidR="00AD7588">
        <w:rPr>
          <w:rFonts w:ascii="Avenir Next" w:hAnsi="Avenir Next"/>
          <w:color w:val="808080" w:themeColor="background1" w:themeShade="80"/>
        </w:rPr>
        <w:t>)</w:t>
      </w:r>
      <w:r w:rsidR="00C07430">
        <w:rPr>
          <w:rFonts w:ascii="Avenir Next" w:hAnsi="Avenir Next"/>
          <w:color w:val="808080" w:themeColor="background1" w:themeShade="80"/>
        </w:rPr>
        <w:t xml:space="preserve">) has been widely interpreted to apply only to powers of avoidance of preferences and fraudulent conveyances, and not to avoidance of pre-petition transactions. </w:t>
      </w:r>
      <w:r>
        <w:rPr>
          <w:rFonts w:ascii="Avenir Next" w:hAnsi="Avenir Next"/>
          <w:color w:val="808080" w:themeColor="background1" w:themeShade="80"/>
        </w:rPr>
        <w:t>One wa</w:t>
      </w:r>
      <w:r w:rsidR="004A6F55">
        <w:rPr>
          <w:rFonts w:ascii="Avenir Next" w:hAnsi="Avenir Next"/>
          <w:color w:val="808080" w:themeColor="background1" w:themeShade="80"/>
        </w:rPr>
        <w:t>y</w:t>
      </w:r>
      <w:r>
        <w:rPr>
          <w:rFonts w:ascii="Avenir Next" w:hAnsi="Avenir Next"/>
          <w:color w:val="808080" w:themeColor="background1" w:themeShade="80"/>
        </w:rPr>
        <w:t xml:space="preserve"> to obtain </w:t>
      </w:r>
      <w:r w:rsidR="00C07430">
        <w:rPr>
          <w:rFonts w:ascii="Avenir Next" w:hAnsi="Avenir Next"/>
          <w:color w:val="808080" w:themeColor="background1" w:themeShade="80"/>
        </w:rPr>
        <w:t xml:space="preserve">relief </w:t>
      </w:r>
      <w:r>
        <w:rPr>
          <w:rFonts w:ascii="Avenir Next" w:hAnsi="Avenir Next"/>
          <w:color w:val="808080" w:themeColor="background1" w:themeShade="80"/>
        </w:rPr>
        <w:t xml:space="preserve">equivalent </w:t>
      </w:r>
      <w:r w:rsidR="00C07430">
        <w:rPr>
          <w:rFonts w:ascii="Avenir Next" w:hAnsi="Avenir Next"/>
          <w:color w:val="808080" w:themeColor="background1" w:themeShade="80"/>
        </w:rPr>
        <w:t xml:space="preserve">to avoidance powers </w:t>
      </w:r>
      <w:r>
        <w:rPr>
          <w:rFonts w:ascii="Avenir Next" w:hAnsi="Avenir Next"/>
          <w:color w:val="808080" w:themeColor="background1" w:themeShade="80"/>
        </w:rPr>
        <w:t>would be to invoke such plenary proceedings</w:t>
      </w:r>
      <w:r w:rsidR="00B939A8">
        <w:rPr>
          <w:rFonts w:ascii="Avenir Next" w:hAnsi="Avenir Next"/>
          <w:color w:val="808080" w:themeColor="background1" w:themeShade="80"/>
        </w:rPr>
        <w:t xml:space="preserve"> (under Chapter 7 or 11). Another (less common) way to seek equivalent relief is for the foreign representative to commence a plenary proceeding under the Bankruptcy Code after recognition of the foreign proceeding under Chapter 15, although in those circumstances, the scope of the plenary proceeding would be limited to the debtor’s US assets.  </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77A126D0" w:rsidR="001D3BAA" w:rsidRDefault="001C3F8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Federal Rules of Bankruptcy Procedure; </w:t>
      </w:r>
    </w:p>
    <w:p w14:paraId="6FAF2F3F" w14:textId="79AEEA86" w:rsidR="001C3F89" w:rsidRPr="002B5D64" w:rsidRDefault="001C3F8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Federal Rules of Civil Procedure;</w:t>
      </w:r>
    </w:p>
    <w:p w14:paraId="4A07A2C3" w14:textId="66C2FBE6" w:rsidR="00E01803" w:rsidRPr="005E7849" w:rsidRDefault="001C3F89" w:rsidP="000778B1">
      <w:pPr>
        <w:pStyle w:val="AODocTxt"/>
        <w:spacing w:before="0" w:line="240" w:lineRule="auto"/>
        <w:rPr>
          <w:rFonts w:ascii="Avenir Next" w:hAnsi="Avenir Next"/>
          <w:color w:val="808080" w:themeColor="background1" w:themeShade="80"/>
        </w:rPr>
      </w:pPr>
      <w:r w:rsidRPr="005E7849">
        <w:rPr>
          <w:rFonts w:ascii="Avenir Next" w:hAnsi="Avenir Next"/>
          <w:color w:val="808080" w:themeColor="background1" w:themeShade="80"/>
        </w:rPr>
        <w:t xml:space="preserve">The local bankruptcy court’s rules of procedure; and </w:t>
      </w:r>
    </w:p>
    <w:p w14:paraId="462EAFE7" w14:textId="4E6D1196" w:rsidR="001C3F89" w:rsidRPr="005E7849" w:rsidRDefault="001C3F89" w:rsidP="000778B1">
      <w:pPr>
        <w:pStyle w:val="AODocTxt"/>
        <w:spacing w:before="0" w:line="240" w:lineRule="auto"/>
        <w:rPr>
          <w:rFonts w:ascii="Avenir Next" w:hAnsi="Avenir Next"/>
          <w:color w:val="808080" w:themeColor="background1" w:themeShade="80"/>
        </w:rPr>
      </w:pPr>
      <w:r w:rsidRPr="005E7849">
        <w:rPr>
          <w:rFonts w:ascii="Avenir Next" w:hAnsi="Avenir Next"/>
          <w:color w:val="808080" w:themeColor="background1" w:themeShade="80"/>
        </w:rPr>
        <w:t>Judge’s personal practices (published on the bankruptcy court’s website)</w:t>
      </w:r>
      <w:r w:rsidR="001430EE">
        <w:rPr>
          <w:rFonts w:ascii="Avenir Next" w:hAnsi="Avenir Next"/>
          <w:color w:val="808080" w:themeColor="background1" w:themeShade="80"/>
        </w:rPr>
        <w:t>.</w:t>
      </w:r>
    </w:p>
    <w:p w14:paraId="0330E066" w14:textId="2A296611" w:rsidR="001C3F89" w:rsidRPr="00E01803" w:rsidRDefault="001C3F89" w:rsidP="000778B1">
      <w:pPr>
        <w:pStyle w:val="AODocTxt"/>
        <w:spacing w:before="0" w:line="240" w:lineRule="auto"/>
        <w:rPr>
          <w:rFonts w:ascii="Avenir Next" w:hAnsi="Avenir Next"/>
        </w:rPr>
      </w:pPr>
      <w:r>
        <w:rPr>
          <w:rFonts w:ascii="Avenir Next" w:hAnsi="Avenir Next"/>
        </w:rPr>
        <w:t xml:space="preserve"> </w:t>
      </w: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23DECC71" w:rsidR="001D3BAA" w:rsidRPr="002B5D64" w:rsidRDefault="00C0743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Directors of Delaware corporations owe fiduciary duties of loyalty to the corporation’s best interest</w:t>
      </w:r>
      <w:r w:rsidR="005E7849">
        <w:rPr>
          <w:rFonts w:ascii="Avenir Next" w:hAnsi="Avenir Next"/>
          <w:color w:val="808080" w:themeColor="background1" w:themeShade="80"/>
        </w:rPr>
        <w:t>s</w:t>
      </w:r>
      <w:r>
        <w:rPr>
          <w:rFonts w:ascii="Avenir Next" w:hAnsi="Avenir Next"/>
          <w:color w:val="808080" w:themeColor="background1" w:themeShade="80"/>
        </w:rPr>
        <w:t xml:space="preserve"> and in educated decision-making. Delaware directors are </w:t>
      </w:r>
      <w:r w:rsidR="002D65E8">
        <w:rPr>
          <w:rFonts w:ascii="Avenir Next" w:hAnsi="Avenir Next"/>
          <w:color w:val="808080" w:themeColor="background1" w:themeShade="80"/>
        </w:rPr>
        <w:t>protected (in the absence of gross negligence) from liability for errors of judgment by the ‘business judgment rule’ (</w:t>
      </w:r>
      <w:r w:rsidR="005E7849">
        <w:rPr>
          <w:rFonts w:ascii="Avenir Next" w:hAnsi="Avenir Next"/>
          <w:color w:val="808080" w:themeColor="background1" w:themeShade="80"/>
        </w:rPr>
        <w:t xml:space="preserve">the presumption of </w:t>
      </w:r>
      <w:r w:rsidR="002D65E8">
        <w:rPr>
          <w:rFonts w:ascii="Avenir Next" w:hAnsi="Avenir Next"/>
          <w:color w:val="808080" w:themeColor="background1" w:themeShade="80"/>
        </w:rPr>
        <w:t xml:space="preserve">which can be rebutted). The duties of care are owed to the corporation and its shareholders, not to creditors. This position is unchanged if the corporation is actually or potentially insolvent, and the Delaware Supreme Court has confirmed this position, stating that there is no concept of wrongful trading / deepening insolvency.  </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3BCFDD4D" w14:textId="01ECC4C7" w:rsidR="00EB4923" w:rsidRDefault="00EB492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 have assumed, for the purposes of this answer, that Subchapter V of Chapter 11 is not relevant.</w:t>
      </w:r>
    </w:p>
    <w:p w14:paraId="6181D473" w14:textId="77777777" w:rsidR="00EB4923" w:rsidRDefault="00EB4923" w:rsidP="001D3BAA">
      <w:pPr>
        <w:pStyle w:val="AODocTxt"/>
        <w:spacing w:before="0" w:line="240" w:lineRule="auto"/>
        <w:rPr>
          <w:rFonts w:ascii="Avenir Next" w:hAnsi="Avenir Next"/>
          <w:color w:val="808080" w:themeColor="background1" w:themeShade="80"/>
        </w:rPr>
      </w:pPr>
    </w:p>
    <w:p w14:paraId="6BCCE419" w14:textId="416D99D3" w:rsidR="001430EE" w:rsidRDefault="001430E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On the basis that iWork Ltd has failed to pay rent under certain leases</w:t>
      </w:r>
      <w:r w:rsidR="00843B3A">
        <w:rPr>
          <w:rFonts w:ascii="Avenir Next" w:hAnsi="Avenir Next"/>
          <w:color w:val="808080" w:themeColor="background1" w:themeShade="80"/>
        </w:rPr>
        <w:t xml:space="preserve"> in the amount of at least USD16,750 (subject change / update at the time of filing)</w:t>
      </w:r>
      <w:r>
        <w:rPr>
          <w:rFonts w:ascii="Avenir Next" w:hAnsi="Avenir Next"/>
          <w:color w:val="808080" w:themeColor="background1" w:themeShade="80"/>
        </w:rPr>
        <w:t>, the Bankruptcy Code provides</w:t>
      </w:r>
      <w:r w:rsidR="00EB4923">
        <w:rPr>
          <w:rFonts w:ascii="Avenir Next" w:hAnsi="Avenir Next"/>
          <w:color w:val="808080" w:themeColor="background1" w:themeShade="80"/>
        </w:rPr>
        <w:t xml:space="preserve">, subject to certain requirements, </w:t>
      </w:r>
      <w:r>
        <w:rPr>
          <w:rFonts w:ascii="Avenir Next" w:hAnsi="Avenir Next"/>
          <w:color w:val="808080" w:themeColor="background1" w:themeShade="80"/>
        </w:rPr>
        <w:t>the lessor with</w:t>
      </w:r>
      <w:r w:rsidR="00EB4923">
        <w:rPr>
          <w:rFonts w:ascii="Avenir Next" w:hAnsi="Avenir Next"/>
          <w:color w:val="808080" w:themeColor="background1" w:themeShade="80"/>
        </w:rPr>
        <w:t xml:space="preserve"> the ability to petition for the involuntary bankruptcy of iWork Ltd under Chapters 7 or 11 of the Bankruptcy Code. In order to qualify as a petitioning creditor, the lessor</w:t>
      </w:r>
      <w:r w:rsidR="00843B3A">
        <w:rPr>
          <w:rFonts w:ascii="Avenir Next" w:hAnsi="Avenir Next"/>
          <w:color w:val="808080" w:themeColor="background1" w:themeShade="80"/>
        </w:rPr>
        <w:t xml:space="preserve"> must have a claim against iWork Ltd which is non-contingent and undisputed. If iWork Ltd has less that 12 creditors, iWork Ltd can petition alone.  However, I note that filing a petition for iWork </w:t>
      </w:r>
      <w:r w:rsidR="00843B3A">
        <w:rPr>
          <w:rFonts w:ascii="Avenir Next" w:hAnsi="Avenir Next"/>
          <w:color w:val="808080" w:themeColor="background1" w:themeShade="80"/>
        </w:rPr>
        <w:lastRenderedPageBreak/>
        <w:t xml:space="preserve">Ltd’s bankruptcy is proactive, rather than protective. In terms of protection, the US Bankruptcy Code is very much pro-debtor.  </w:t>
      </w:r>
      <w:r w:rsidR="00EB4923">
        <w:rPr>
          <w:rFonts w:ascii="Avenir Next" w:hAnsi="Avenir Next"/>
          <w:color w:val="808080" w:themeColor="background1" w:themeShade="80"/>
        </w:rPr>
        <w:t xml:space="preserve">  </w:t>
      </w:r>
    </w:p>
    <w:p w14:paraId="6F167C25" w14:textId="77777777" w:rsidR="001430EE" w:rsidRDefault="001430EE" w:rsidP="001D3BAA">
      <w:pPr>
        <w:pStyle w:val="AODocTxt"/>
        <w:spacing w:before="0" w:line="240" w:lineRule="auto"/>
        <w:rPr>
          <w:rFonts w:ascii="Avenir Next" w:hAnsi="Avenir Next"/>
          <w:color w:val="808080" w:themeColor="background1" w:themeShade="80"/>
        </w:rPr>
      </w:pPr>
    </w:p>
    <w:p w14:paraId="5629D104" w14:textId="77777777" w:rsidR="001179AF" w:rsidRDefault="00A8254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Pursuant to the Bankruptcy Code, the lessor’s pre-petition claim for unpaid rent will be considered a secured claim (up to the value of any deposit / collateral) for the purposes of distribution, however the lessor cannot use the deposit as setoff against the unpaid rent.  However, </w:t>
      </w:r>
      <w:r w:rsidRPr="00A82544">
        <w:rPr>
          <w:rFonts w:ascii="Avenir Next" w:hAnsi="Avenir Next"/>
          <w:color w:val="808080" w:themeColor="background1" w:themeShade="80"/>
        </w:rPr>
        <w:t xml:space="preserve">post-petition </w:t>
      </w:r>
      <w:r>
        <w:rPr>
          <w:rFonts w:ascii="Avenir Next" w:hAnsi="Avenir Next"/>
          <w:color w:val="808080" w:themeColor="background1" w:themeShade="80"/>
        </w:rPr>
        <w:t>rent that falls due</w:t>
      </w:r>
      <w:r w:rsidRPr="00A82544">
        <w:rPr>
          <w:rFonts w:ascii="Avenir Next" w:hAnsi="Avenir Next"/>
          <w:color w:val="808080" w:themeColor="background1" w:themeShade="80"/>
        </w:rPr>
        <w:t xml:space="preserve"> are c</w:t>
      </w:r>
      <w:r>
        <w:rPr>
          <w:rFonts w:ascii="Avenir Next" w:hAnsi="Avenir Next"/>
          <w:color w:val="808080" w:themeColor="background1" w:themeShade="80"/>
        </w:rPr>
        <w:t>onsidered</w:t>
      </w:r>
      <w:r w:rsidRPr="00A82544">
        <w:rPr>
          <w:rFonts w:ascii="Avenir Next" w:hAnsi="Avenir Next"/>
          <w:color w:val="808080" w:themeColor="background1" w:themeShade="80"/>
        </w:rPr>
        <w:t xml:space="preserve"> </w:t>
      </w:r>
      <w:r>
        <w:rPr>
          <w:rFonts w:ascii="Avenir Next" w:hAnsi="Avenir Next"/>
          <w:color w:val="808080" w:themeColor="background1" w:themeShade="80"/>
        </w:rPr>
        <w:t>‘</w:t>
      </w:r>
      <w:r w:rsidRPr="00A82544">
        <w:rPr>
          <w:rFonts w:ascii="Avenir Next" w:hAnsi="Avenir Next"/>
          <w:color w:val="808080" w:themeColor="background1" w:themeShade="80"/>
        </w:rPr>
        <w:t>administrative expenses</w:t>
      </w:r>
      <w:r>
        <w:rPr>
          <w:rFonts w:ascii="Avenir Next" w:hAnsi="Avenir Next"/>
          <w:color w:val="808080" w:themeColor="background1" w:themeShade="80"/>
        </w:rPr>
        <w:t>’</w:t>
      </w:r>
      <w:r w:rsidRPr="00A82544">
        <w:rPr>
          <w:rFonts w:ascii="Avenir Next" w:hAnsi="Avenir Next"/>
          <w:color w:val="808080" w:themeColor="background1" w:themeShade="80"/>
        </w:rPr>
        <w:t xml:space="preserve"> </w:t>
      </w:r>
      <w:r>
        <w:rPr>
          <w:rFonts w:ascii="Avenir Next" w:hAnsi="Avenir Next"/>
          <w:color w:val="808080" w:themeColor="background1" w:themeShade="80"/>
        </w:rPr>
        <w:t>under the Bankruptcy Code</w:t>
      </w:r>
      <w:r>
        <w:rPr>
          <w:rStyle w:val="FootnoteReference"/>
          <w:rFonts w:ascii="Avenir Next" w:hAnsi="Avenir Next"/>
          <w:color w:val="808080" w:themeColor="background1" w:themeShade="80"/>
        </w:rPr>
        <w:footnoteReference w:id="1"/>
      </w:r>
      <w:r>
        <w:rPr>
          <w:rFonts w:ascii="Avenir Next" w:hAnsi="Avenir Next"/>
          <w:color w:val="808080" w:themeColor="background1" w:themeShade="80"/>
        </w:rPr>
        <w:t xml:space="preserve"> </w:t>
      </w:r>
      <w:r w:rsidRPr="00A82544">
        <w:rPr>
          <w:rFonts w:ascii="Avenir Next" w:hAnsi="Avenir Next"/>
          <w:color w:val="808080" w:themeColor="background1" w:themeShade="80"/>
        </w:rPr>
        <w:t>and are entitled to priority over</w:t>
      </w:r>
      <w:r>
        <w:rPr>
          <w:rFonts w:ascii="Avenir Next" w:hAnsi="Avenir Next"/>
          <w:color w:val="808080" w:themeColor="background1" w:themeShade="80"/>
        </w:rPr>
        <w:t xml:space="preserve"> </w:t>
      </w:r>
      <w:r w:rsidRPr="00A82544">
        <w:rPr>
          <w:rFonts w:ascii="Avenir Next" w:hAnsi="Avenir Next"/>
          <w:color w:val="808080" w:themeColor="background1" w:themeShade="80"/>
        </w:rPr>
        <w:t xml:space="preserve">unsecured claims. </w:t>
      </w:r>
    </w:p>
    <w:p w14:paraId="63BBC894" w14:textId="77777777" w:rsidR="001179AF" w:rsidRDefault="001179AF" w:rsidP="001D3BAA">
      <w:pPr>
        <w:pStyle w:val="AODocTxt"/>
        <w:spacing w:before="0" w:line="240" w:lineRule="auto"/>
        <w:rPr>
          <w:rFonts w:ascii="Avenir Next" w:hAnsi="Avenir Next"/>
          <w:color w:val="808080" w:themeColor="background1" w:themeShade="80"/>
        </w:rPr>
      </w:pPr>
    </w:p>
    <w:p w14:paraId="0D6CDC81" w14:textId="327402D2" w:rsidR="00A82544" w:rsidRDefault="00A8254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w:t>
      </w:r>
      <w:r w:rsidR="001179AF">
        <w:rPr>
          <w:rFonts w:ascii="Avenir Next" w:hAnsi="Avenir Next"/>
          <w:color w:val="808080" w:themeColor="background1" w:themeShade="80"/>
        </w:rPr>
        <w:t>n unexpired</w:t>
      </w:r>
      <w:r>
        <w:rPr>
          <w:rFonts w:ascii="Avenir Next" w:hAnsi="Avenir Next"/>
          <w:color w:val="808080" w:themeColor="background1" w:themeShade="80"/>
        </w:rPr>
        <w:t xml:space="preserve"> lease is an executory contract (where there are material unperformed obligations on both sides) and accordingly, the debtor (iWork Ltd) (in Chapter 11 proceedings) / the trustee (in Chapter 7 proceedings) has the ability to assume or reject </w:t>
      </w:r>
      <w:r w:rsidR="001179AF">
        <w:rPr>
          <w:rFonts w:ascii="Avenir Next" w:hAnsi="Avenir Next"/>
          <w:color w:val="808080" w:themeColor="background1" w:themeShade="80"/>
        </w:rPr>
        <w:t xml:space="preserve">or assume and assign </w:t>
      </w:r>
      <w:r>
        <w:rPr>
          <w:rFonts w:ascii="Avenir Next" w:hAnsi="Avenir Next"/>
          <w:color w:val="808080" w:themeColor="background1" w:themeShade="80"/>
        </w:rPr>
        <w:t>burdensome contracts (which would likely include the leases, although it must vacate if the lease is rejected). Until iWork Ltd / the trustee decides whether to assume or reject, “</w:t>
      </w:r>
      <w:r w:rsidRPr="00A82544">
        <w:rPr>
          <w:rFonts w:ascii="Avenir Next" w:hAnsi="Avenir Next"/>
          <w:i/>
          <w:iCs/>
          <w:color w:val="808080" w:themeColor="background1" w:themeShade="80"/>
        </w:rPr>
        <w:t>Section 365(d)(3) of the Bankruptcy Code</w:t>
      </w:r>
      <w:r w:rsidRPr="00A82544">
        <w:rPr>
          <w:i/>
          <w:iCs/>
        </w:rPr>
        <w:t xml:space="preserve"> </w:t>
      </w:r>
      <w:r w:rsidRPr="00A82544">
        <w:rPr>
          <w:rFonts w:ascii="Avenir Next" w:hAnsi="Avenir Next"/>
          <w:i/>
          <w:iCs/>
          <w:color w:val="808080" w:themeColor="background1" w:themeShade="80"/>
        </w:rPr>
        <w:t>requires a tenant to perform all post-petition obligations under the lease</w:t>
      </w:r>
      <w:r>
        <w:rPr>
          <w:rFonts w:ascii="Avenir Next" w:hAnsi="Avenir Next"/>
          <w:color w:val="808080" w:themeColor="background1" w:themeShade="80"/>
        </w:rPr>
        <w:t>”</w:t>
      </w:r>
      <w:r>
        <w:rPr>
          <w:rStyle w:val="FootnoteReference"/>
          <w:rFonts w:ascii="Avenir Next" w:hAnsi="Avenir Next"/>
          <w:color w:val="808080" w:themeColor="background1" w:themeShade="80"/>
        </w:rPr>
        <w:footnoteReference w:id="2"/>
      </w:r>
      <w:r w:rsidR="001179AF">
        <w:rPr>
          <w:rFonts w:ascii="Avenir Next" w:hAnsi="Avenir Next"/>
          <w:color w:val="808080" w:themeColor="background1" w:themeShade="80"/>
        </w:rPr>
        <w:t xml:space="preserve"> and accordingly, t</w:t>
      </w:r>
      <w:r w:rsidR="001179AF" w:rsidRPr="00A82544">
        <w:rPr>
          <w:rFonts w:ascii="Avenir Next" w:hAnsi="Avenir Next"/>
          <w:color w:val="808080" w:themeColor="background1" w:themeShade="80"/>
        </w:rPr>
        <w:t>he l</w:t>
      </w:r>
      <w:r w:rsidR="001179AF">
        <w:rPr>
          <w:rFonts w:ascii="Avenir Next" w:hAnsi="Avenir Next"/>
          <w:color w:val="808080" w:themeColor="background1" w:themeShade="80"/>
        </w:rPr>
        <w:t>essor</w:t>
      </w:r>
      <w:r w:rsidR="001179AF" w:rsidRPr="00A82544">
        <w:rPr>
          <w:rFonts w:ascii="Avenir Next" w:hAnsi="Avenir Next"/>
          <w:color w:val="808080" w:themeColor="background1" w:themeShade="80"/>
        </w:rPr>
        <w:t xml:space="preserve">’s </w:t>
      </w:r>
      <w:r w:rsidR="001179AF">
        <w:rPr>
          <w:rFonts w:ascii="Avenir Next" w:hAnsi="Avenir Next"/>
          <w:color w:val="808080" w:themeColor="background1" w:themeShade="80"/>
        </w:rPr>
        <w:t>“</w:t>
      </w:r>
      <w:r w:rsidR="001179AF" w:rsidRPr="001179AF">
        <w:rPr>
          <w:rFonts w:ascii="Avenir Next" w:hAnsi="Avenir Next"/>
          <w:i/>
          <w:iCs/>
          <w:color w:val="808080" w:themeColor="background1" w:themeShade="80"/>
        </w:rPr>
        <w:t>collection of post-petition rental payments does not violate the automatic stay</w:t>
      </w:r>
      <w:r w:rsidR="001179AF">
        <w:rPr>
          <w:rFonts w:ascii="Avenir Next" w:hAnsi="Avenir Next"/>
          <w:color w:val="808080" w:themeColor="background1" w:themeShade="80"/>
        </w:rPr>
        <w:t>”,</w:t>
      </w:r>
      <w:r w:rsidR="001179AF">
        <w:rPr>
          <w:rStyle w:val="FootnoteReference"/>
          <w:rFonts w:ascii="Avenir Next" w:hAnsi="Avenir Next"/>
          <w:color w:val="808080" w:themeColor="background1" w:themeShade="80"/>
        </w:rPr>
        <w:footnoteReference w:id="3"/>
      </w:r>
      <w:r w:rsidR="001179AF">
        <w:rPr>
          <w:rFonts w:ascii="Avenir Next" w:hAnsi="Avenir Next"/>
          <w:color w:val="808080" w:themeColor="background1" w:themeShade="80"/>
        </w:rPr>
        <w:t xml:space="preserve"> although payment deadlines that arise during the first 60 days of proceedings may be extended by the court.</w:t>
      </w:r>
    </w:p>
    <w:p w14:paraId="25B3A2E1" w14:textId="77777777" w:rsidR="004F409B" w:rsidRDefault="004F409B" w:rsidP="001D3BAA">
      <w:pPr>
        <w:pStyle w:val="AODocTxt"/>
        <w:spacing w:before="0" w:line="240" w:lineRule="auto"/>
        <w:rPr>
          <w:rFonts w:ascii="Avenir Next" w:hAnsi="Avenir Next"/>
          <w:color w:val="808080" w:themeColor="background1" w:themeShade="80"/>
        </w:rPr>
      </w:pPr>
    </w:p>
    <w:p w14:paraId="78B11B88" w14:textId="5AD4BDC6" w:rsidR="004F409B" w:rsidRDefault="004F409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order to assume a lease, pursuant to Section 565(b)(1), iWork Ltd / the trustee must </w:t>
      </w:r>
      <w:r w:rsidRPr="004F409B">
        <w:rPr>
          <w:rFonts w:ascii="Avenir Next" w:hAnsi="Avenir Next"/>
          <w:color w:val="808080" w:themeColor="background1" w:themeShade="80"/>
        </w:rPr>
        <w:t>cure</w:t>
      </w:r>
      <w:r>
        <w:rPr>
          <w:rFonts w:ascii="Avenir Next" w:hAnsi="Avenir Next"/>
          <w:color w:val="808080" w:themeColor="background1" w:themeShade="80"/>
        </w:rPr>
        <w:t xml:space="preserve"> /</w:t>
      </w:r>
      <w:r w:rsidRPr="004F409B">
        <w:rPr>
          <w:rFonts w:ascii="Avenir Next" w:hAnsi="Avenir Next"/>
          <w:color w:val="808080" w:themeColor="background1" w:themeShade="80"/>
        </w:rPr>
        <w:t xml:space="preserve"> provide adequate assurance that the trustee will promptly cure, such default</w:t>
      </w:r>
      <w:r>
        <w:rPr>
          <w:rFonts w:ascii="Avenir Next" w:hAnsi="Avenir Next"/>
          <w:color w:val="808080" w:themeColor="background1" w:themeShade="80"/>
        </w:rPr>
        <w:t xml:space="preserve"> (e.g. rental arrears) / compensate for such and provides adequate assurance of timely future performance under the lease. </w:t>
      </w:r>
      <w:r w:rsidRPr="004F409B">
        <w:rPr>
          <w:rFonts w:ascii="Avenir Next" w:hAnsi="Avenir Next"/>
          <w:color w:val="808080" w:themeColor="background1" w:themeShade="80"/>
        </w:rPr>
        <w:t xml:space="preserve">If </w:t>
      </w:r>
      <w:r>
        <w:rPr>
          <w:rFonts w:ascii="Avenir Next" w:hAnsi="Avenir Next"/>
          <w:color w:val="808080" w:themeColor="background1" w:themeShade="80"/>
        </w:rPr>
        <w:t>iWork Ltd</w:t>
      </w:r>
      <w:r w:rsidRPr="004F409B">
        <w:rPr>
          <w:rFonts w:ascii="Avenir Next" w:hAnsi="Avenir Next"/>
          <w:color w:val="808080" w:themeColor="background1" w:themeShade="80"/>
        </w:rPr>
        <w:t xml:space="preserve"> fails to </w:t>
      </w:r>
      <w:r>
        <w:rPr>
          <w:rFonts w:ascii="Avenir Next" w:hAnsi="Avenir Next"/>
          <w:color w:val="808080" w:themeColor="background1" w:themeShade="80"/>
        </w:rPr>
        <w:t>pay rent in a timely manner going forward</w:t>
      </w:r>
      <w:r w:rsidRPr="004F409B">
        <w:rPr>
          <w:rFonts w:ascii="Avenir Next" w:hAnsi="Avenir Next"/>
          <w:color w:val="808080" w:themeColor="background1" w:themeShade="80"/>
        </w:rPr>
        <w:t xml:space="preserve">, the lessor may seek relief from the automatic stay and </w:t>
      </w:r>
      <w:r>
        <w:rPr>
          <w:rFonts w:ascii="Avenir Next" w:hAnsi="Avenir Next"/>
          <w:color w:val="808080" w:themeColor="background1" w:themeShade="80"/>
        </w:rPr>
        <w:t>seek</w:t>
      </w:r>
      <w:r w:rsidRPr="004F409B">
        <w:rPr>
          <w:rFonts w:ascii="Avenir Next" w:hAnsi="Avenir Next"/>
          <w:color w:val="808080" w:themeColor="background1" w:themeShade="80"/>
        </w:rPr>
        <w:t xml:space="preserve"> </w:t>
      </w:r>
      <w:r>
        <w:rPr>
          <w:rFonts w:ascii="Avenir Next" w:hAnsi="Avenir Next"/>
          <w:color w:val="808080" w:themeColor="background1" w:themeShade="80"/>
        </w:rPr>
        <w:t xml:space="preserve">to </w:t>
      </w:r>
      <w:r w:rsidRPr="004F409B">
        <w:rPr>
          <w:rFonts w:ascii="Avenir Next" w:hAnsi="Avenir Next"/>
          <w:color w:val="808080" w:themeColor="background1" w:themeShade="80"/>
        </w:rPr>
        <w:t>evict</w:t>
      </w:r>
      <w:r>
        <w:rPr>
          <w:rFonts w:ascii="Avenir Next" w:hAnsi="Avenir Next"/>
          <w:color w:val="808080" w:themeColor="background1" w:themeShade="80"/>
        </w:rPr>
        <w:t xml:space="preserve"> iWork Ltd or pursue any</w:t>
      </w:r>
      <w:r w:rsidRPr="004F409B">
        <w:rPr>
          <w:rFonts w:ascii="Avenir Next" w:hAnsi="Avenir Next"/>
          <w:color w:val="808080" w:themeColor="background1" w:themeShade="80"/>
        </w:rPr>
        <w:t xml:space="preserve"> other remedies available</w:t>
      </w:r>
      <w:r>
        <w:rPr>
          <w:rFonts w:ascii="Avenir Next" w:hAnsi="Avenir Next"/>
          <w:color w:val="808080" w:themeColor="background1" w:themeShade="80"/>
        </w:rPr>
        <w:t xml:space="preserve"> to it. Time periods ascribed to both iWork Ltd/ the trustee / the lessor under the Section 565 of the Bankruptcy Code must be adhered to. </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5E5858F8" w14:textId="71F81510" w:rsidR="008D7934" w:rsidRPr="00E03B0F" w:rsidRDefault="005D4357" w:rsidP="000778B1">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C44AD45" w14:textId="754EAAD8" w:rsidR="00D72637" w:rsidRDefault="004E7546" w:rsidP="00154FB2">
      <w:pPr>
        <w:pStyle w:val="AODocTxt"/>
        <w:rPr>
          <w:rFonts w:ascii="Avenir Next" w:hAnsi="Avenir Next"/>
          <w:color w:val="808080" w:themeColor="background1" w:themeShade="80"/>
        </w:rPr>
      </w:pPr>
      <w:r>
        <w:rPr>
          <w:rFonts w:ascii="Avenir Next" w:hAnsi="Avenir Next"/>
          <w:color w:val="808080" w:themeColor="background1" w:themeShade="80"/>
        </w:rPr>
        <w:t xml:space="preserve">In principle, an English scheme of arrangement </w:t>
      </w:r>
      <w:r w:rsidRPr="004E7546">
        <w:rPr>
          <w:rFonts w:ascii="Avenir Next" w:hAnsi="Avenir Next"/>
          <w:color w:val="808080" w:themeColor="background1" w:themeShade="80"/>
        </w:rPr>
        <w:t xml:space="preserve">could be granted recognition under </w:t>
      </w:r>
      <w:r>
        <w:rPr>
          <w:rFonts w:ascii="Avenir Next" w:hAnsi="Avenir Next"/>
          <w:color w:val="808080" w:themeColor="background1" w:themeShade="80"/>
        </w:rPr>
        <w:t>C</w:t>
      </w:r>
      <w:r w:rsidRPr="004E7546">
        <w:rPr>
          <w:rFonts w:ascii="Avenir Next" w:hAnsi="Avenir Next"/>
          <w:color w:val="808080" w:themeColor="background1" w:themeShade="80"/>
        </w:rPr>
        <w:t>hapter 15</w:t>
      </w:r>
      <w:r>
        <w:rPr>
          <w:rFonts w:ascii="Avenir Next" w:hAnsi="Avenir Next"/>
          <w:color w:val="808080" w:themeColor="background1" w:themeShade="80"/>
        </w:rPr>
        <w:t xml:space="preserve"> as a foreign main or non-main proceeding.</w:t>
      </w:r>
      <w:r w:rsidR="007473C4">
        <w:rPr>
          <w:rFonts w:ascii="Avenir Next" w:hAnsi="Avenir Next"/>
          <w:color w:val="808080" w:themeColor="background1" w:themeShade="80"/>
        </w:rPr>
        <w:t xml:space="preserve"> The key difference being that</w:t>
      </w:r>
      <w:r>
        <w:rPr>
          <w:rFonts w:ascii="Avenir Next" w:hAnsi="Avenir Next"/>
          <w:color w:val="808080" w:themeColor="background1" w:themeShade="80"/>
        </w:rPr>
        <w:t xml:space="preserve"> </w:t>
      </w:r>
      <w:r w:rsidR="007473C4">
        <w:rPr>
          <w:rFonts w:ascii="Avenir Next" w:hAnsi="Avenir Next"/>
          <w:color w:val="808080" w:themeColor="background1" w:themeShade="80"/>
        </w:rPr>
        <w:t>a foreign main proceeding attracts a greater scope of relief than a non-main proceeding.</w:t>
      </w:r>
      <w:r w:rsidR="00BC069B">
        <w:rPr>
          <w:rFonts w:ascii="Avenir Next" w:hAnsi="Avenir Next"/>
          <w:color w:val="808080" w:themeColor="background1" w:themeShade="80"/>
        </w:rPr>
        <w:t xml:space="preserve"> For the scheme of arrangement t</w:t>
      </w:r>
      <w:r w:rsidR="00D72637">
        <w:rPr>
          <w:rFonts w:ascii="Avenir Next" w:hAnsi="Avenir Next"/>
          <w:color w:val="808080" w:themeColor="background1" w:themeShade="80"/>
        </w:rPr>
        <w:t xml:space="preserve">o be considered a main proceeding, Skin Luxe’s COMI should be in the same jurisdiction as the scheme, i.e. England. However, </w:t>
      </w:r>
      <w:r w:rsidR="00D72637" w:rsidRPr="00D72637">
        <w:rPr>
          <w:rFonts w:ascii="Avenir Next" w:hAnsi="Avenir Next"/>
          <w:color w:val="808080" w:themeColor="background1" w:themeShade="80"/>
        </w:rPr>
        <w:t>Skin Luxe is incorporated and has a principal place of business in France</w:t>
      </w:r>
      <w:r w:rsidR="00D72637">
        <w:rPr>
          <w:rFonts w:ascii="Avenir Next" w:hAnsi="Avenir Next"/>
          <w:color w:val="808080" w:themeColor="background1" w:themeShade="80"/>
        </w:rPr>
        <w:t xml:space="preserve">. ‘COMI’ is not a concept familiar to US law, which considers domicile, principal place of business, and location of assets in determining jurisdiction and venue, however </w:t>
      </w:r>
      <w:r w:rsidR="00AA1967">
        <w:rPr>
          <w:rFonts w:ascii="Avenir Next" w:hAnsi="Avenir Next"/>
          <w:color w:val="808080" w:themeColor="background1" w:themeShade="80"/>
        </w:rPr>
        <w:t>when determining a de</w:t>
      </w:r>
      <w:r w:rsidR="005C00A6">
        <w:rPr>
          <w:rFonts w:ascii="Avenir Next" w:hAnsi="Avenir Next"/>
          <w:color w:val="808080" w:themeColor="background1" w:themeShade="80"/>
        </w:rPr>
        <w:t>btor’s COMI for the purposes of main/non-main proceeding classification, the presumption is that the debtor’s COMI is presumed to be its place of incorporation</w:t>
      </w:r>
      <w:r w:rsidR="00BC069B">
        <w:rPr>
          <w:rFonts w:ascii="Avenir Next" w:hAnsi="Avenir Next"/>
          <w:color w:val="808080" w:themeColor="background1" w:themeShade="80"/>
        </w:rPr>
        <w:t>. This presumption is</w:t>
      </w:r>
      <w:r w:rsidR="005C00A6">
        <w:rPr>
          <w:rFonts w:ascii="Avenir Next" w:hAnsi="Avenir Next"/>
          <w:color w:val="808080" w:themeColor="background1" w:themeShade="80"/>
        </w:rPr>
        <w:t xml:space="preserve"> which is rebuttable, however</w:t>
      </w:r>
      <w:r w:rsidR="00BC069B">
        <w:rPr>
          <w:rFonts w:ascii="Avenir Next" w:hAnsi="Avenir Next"/>
          <w:color w:val="808080" w:themeColor="background1" w:themeShade="80"/>
        </w:rPr>
        <w:t xml:space="preserve"> based on the facts, including that Skin Luxe develops and manufactures its products in France, my view is that </w:t>
      </w:r>
      <w:r w:rsidR="00BC069B">
        <w:rPr>
          <w:rFonts w:ascii="Avenir Next" w:hAnsi="Avenir Next"/>
          <w:color w:val="808080" w:themeColor="background1" w:themeShade="80"/>
        </w:rPr>
        <w:lastRenderedPageBreak/>
        <w:t>a US court would likely consider Skin Luxe’s COMI to be in France. I note that the US court will determine a relevant entity’s COMI at the time of determining the recognition application. However, it is arguable that Skin Luxe has an ‘</w:t>
      </w:r>
      <w:r w:rsidR="00BC069B" w:rsidRPr="00154FB2">
        <w:rPr>
          <w:rFonts w:ascii="Avenir Next" w:hAnsi="Avenir Next"/>
          <w:color w:val="808080" w:themeColor="background1" w:themeShade="80"/>
        </w:rPr>
        <w:t>establishment’ (defined in the</w:t>
      </w:r>
      <w:r w:rsidR="00154FB2" w:rsidRPr="00154FB2">
        <w:rPr>
          <w:rFonts w:ascii="Avenir Next" w:hAnsi="Avenir Next"/>
          <w:color w:val="808080" w:themeColor="background1" w:themeShade="80"/>
        </w:rPr>
        <w:t xml:space="preserve"> MLCBI as</w:t>
      </w:r>
      <w:r w:rsidR="00154FB2" w:rsidRPr="00154FB2">
        <w:rPr>
          <w:rFonts w:ascii="Avenir Next" w:hAnsi="Avenir Next"/>
          <w:color w:val="808080" w:themeColor="background1" w:themeShade="80"/>
        </w:rPr>
        <w:t xml:space="preserve"> </w:t>
      </w:r>
      <w:r w:rsidR="00154FB2" w:rsidRPr="00154FB2">
        <w:rPr>
          <w:rFonts w:ascii="Avenir Next" w:hAnsi="Avenir Next"/>
          <w:color w:val="808080" w:themeColor="background1" w:themeShade="80"/>
        </w:rPr>
        <w:t>“</w:t>
      </w:r>
      <w:r w:rsidR="00154FB2" w:rsidRPr="00154FB2">
        <w:rPr>
          <w:rFonts w:ascii="Avenir Next" w:hAnsi="Avenir Next"/>
          <w:i/>
          <w:iCs/>
          <w:color w:val="808080" w:themeColor="background1" w:themeShade="80"/>
        </w:rPr>
        <w:t>any place of operations where the debtor</w:t>
      </w:r>
      <w:r w:rsidR="00154FB2" w:rsidRPr="00154FB2">
        <w:rPr>
          <w:rFonts w:ascii="Avenir Next" w:hAnsi="Avenir Next"/>
          <w:i/>
          <w:iCs/>
          <w:color w:val="808080" w:themeColor="background1" w:themeShade="80"/>
        </w:rPr>
        <w:t xml:space="preserve"> </w:t>
      </w:r>
      <w:r w:rsidR="00154FB2" w:rsidRPr="00154FB2">
        <w:rPr>
          <w:rFonts w:ascii="Avenir Next" w:hAnsi="Avenir Next"/>
          <w:i/>
          <w:iCs/>
          <w:color w:val="808080" w:themeColor="background1" w:themeShade="80"/>
        </w:rPr>
        <w:t>carries out a non-transitory economic activity with human means and goods or services</w:t>
      </w:r>
      <w:r w:rsidR="00154FB2" w:rsidRPr="00154FB2">
        <w:rPr>
          <w:rFonts w:ascii="Avenir Next" w:hAnsi="Avenir Next"/>
          <w:color w:val="808080" w:themeColor="background1" w:themeShade="80"/>
        </w:rPr>
        <w:t xml:space="preserve">”, however is not defined in the </w:t>
      </w:r>
      <w:r w:rsidR="00BC069B" w:rsidRPr="00154FB2">
        <w:rPr>
          <w:rFonts w:ascii="Avenir Next" w:hAnsi="Avenir Next"/>
          <w:color w:val="808080" w:themeColor="background1" w:themeShade="80"/>
        </w:rPr>
        <w:t>US Bankruptcy Code) in England given that it sells its products in locations including London. On the basis that Skin Luxe is considered</w:t>
      </w:r>
      <w:r w:rsidR="00BC069B">
        <w:rPr>
          <w:rFonts w:ascii="Avenir Next" w:hAnsi="Avenir Next"/>
          <w:color w:val="808080" w:themeColor="background1" w:themeShade="80"/>
        </w:rPr>
        <w:t xml:space="preserve"> to have an establishment in England, the scheme could be recognized under Chapter 15 as a foreign non-main proceeding</w:t>
      </w:r>
      <w:r w:rsidR="00002E5B">
        <w:rPr>
          <w:rFonts w:ascii="Avenir Next" w:hAnsi="Avenir Next"/>
          <w:color w:val="808080" w:themeColor="background1" w:themeShade="80"/>
        </w:rPr>
        <w:t xml:space="preserve"> which would mean that Chapter 15 recognition of the English scheme is still possible, however the scope of relief offered would not be quite as wide as for a foreign main proceeding</w:t>
      </w:r>
      <w:r w:rsidR="00BC069B">
        <w:rPr>
          <w:rFonts w:ascii="Avenir Next" w:hAnsi="Avenir Next"/>
          <w:color w:val="808080" w:themeColor="background1" w:themeShade="80"/>
        </w:rPr>
        <w:t xml:space="preserve">.   </w:t>
      </w:r>
      <w:r w:rsidR="005C00A6">
        <w:rPr>
          <w:rFonts w:ascii="Avenir Next" w:hAnsi="Avenir Next"/>
          <w:color w:val="808080" w:themeColor="background1" w:themeShade="80"/>
        </w:rPr>
        <w:t xml:space="preserve">  </w:t>
      </w:r>
      <w:r w:rsidR="00D72637">
        <w:rPr>
          <w:rFonts w:ascii="Avenir Next" w:hAnsi="Avenir Next"/>
          <w:color w:val="808080" w:themeColor="background1" w:themeShade="80"/>
        </w:rPr>
        <w:t xml:space="preserve">   </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65E8DCD8" w14:textId="77777777" w:rsidR="00291388" w:rsidRDefault="0029138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w:t>
      </w:r>
      <w:r w:rsidRPr="00291388">
        <w:rPr>
          <w:rFonts w:ascii="Avenir Next" w:hAnsi="Avenir Next"/>
          <w:color w:val="808080" w:themeColor="background1" w:themeShade="80"/>
        </w:rPr>
        <w:t>he effect of a chapter 11 petition being filed by Speculation Inc on each of</w:t>
      </w:r>
      <w:r>
        <w:rPr>
          <w:rFonts w:ascii="Avenir Next" w:hAnsi="Avenir Next"/>
          <w:color w:val="808080" w:themeColor="background1" w:themeShade="80"/>
        </w:rPr>
        <w:t xml:space="preserve"> the matters referred to above would be, in summary, as follows:</w:t>
      </w:r>
      <w:r w:rsidRPr="00291388">
        <w:rPr>
          <w:rFonts w:ascii="Avenir Next" w:hAnsi="Avenir Next"/>
          <w:color w:val="808080" w:themeColor="background1" w:themeShade="80"/>
        </w:rPr>
        <w:t xml:space="preserve"> </w:t>
      </w:r>
    </w:p>
    <w:p w14:paraId="44F3E6E7" w14:textId="77777777" w:rsidR="00291388" w:rsidRDefault="00291388" w:rsidP="001D3BAA">
      <w:pPr>
        <w:pStyle w:val="AODocTxt"/>
        <w:spacing w:before="0" w:line="240" w:lineRule="auto"/>
        <w:rPr>
          <w:rFonts w:ascii="Avenir Next" w:hAnsi="Avenir Next"/>
          <w:color w:val="808080" w:themeColor="background1" w:themeShade="80"/>
        </w:rPr>
      </w:pPr>
    </w:p>
    <w:p w14:paraId="5645AACD" w14:textId="4FCF1C3D" w:rsidR="00291388" w:rsidRPr="00740F3C" w:rsidRDefault="00291388" w:rsidP="00291388">
      <w:pPr>
        <w:pStyle w:val="AODocTxt"/>
        <w:numPr>
          <w:ilvl w:val="0"/>
          <w:numId w:val="38"/>
        </w:numPr>
        <w:spacing w:before="0" w:line="240" w:lineRule="auto"/>
        <w:rPr>
          <w:rFonts w:ascii="Avenir Next" w:hAnsi="Avenir Next"/>
          <w:color w:val="808080" w:themeColor="background1" w:themeShade="80"/>
        </w:rPr>
      </w:pPr>
      <w:r w:rsidRPr="00740F3C">
        <w:rPr>
          <w:rFonts w:ascii="Avenir Next" w:hAnsi="Avenir Next"/>
          <w:color w:val="808080" w:themeColor="background1" w:themeShade="80"/>
        </w:rPr>
        <w:t xml:space="preserve">The DOJ investigation: </w:t>
      </w:r>
      <w:r w:rsidR="00154FB2" w:rsidRPr="00740F3C">
        <w:rPr>
          <w:rFonts w:ascii="Avenir Next" w:hAnsi="Avenir Next"/>
          <w:color w:val="808080" w:themeColor="background1" w:themeShade="80"/>
        </w:rPr>
        <w:t xml:space="preserve">the automatic </w:t>
      </w:r>
      <w:r w:rsidR="00740F3C" w:rsidRPr="00740F3C">
        <w:rPr>
          <w:rFonts w:ascii="Avenir Next" w:hAnsi="Avenir Next"/>
          <w:color w:val="808080" w:themeColor="background1" w:themeShade="80"/>
        </w:rPr>
        <w:t>stay of proceedings afforded to Speculation Inc pursuant to Chapter 11 proceedings</w:t>
      </w:r>
      <w:r w:rsidR="00154FB2" w:rsidRPr="00740F3C">
        <w:rPr>
          <w:rFonts w:ascii="Avenir Next" w:hAnsi="Avenir Next"/>
          <w:color w:val="808080" w:themeColor="background1" w:themeShade="80"/>
        </w:rPr>
        <w:t xml:space="preserve"> would not prevent the DOJ from continuing with its investigation and does not provide protection from criminal action, however any legal action that the DOJ wished to commence would be stayed. In respect of legal actions, the DOJ could seek permission of the court to lift the stay. </w:t>
      </w:r>
    </w:p>
    <w:p w14:paraId="0087282C" w14:textId="47109B31" w:rsidR="00291388" w:rsidRPr="00740F3C" w:rsidRDefault="00291388" w:rsidP="00291388">
      <w:pPr>
        <w:pStyle w:val="AODocTxt"/>
        <w:numPr>
          <w:ilvl w:val="0"/>
          <w:numId w:val="38"/>
        </w:numPr>
        <w:spacing w:before="0" w:line="240" w:lineRule="auto"/>
        <w:rPr>
          <w:rFonts w:ascii="Avenir Next" w:hAnsi="Avenir Next"/>
          <w:color w:val="808080" w:themeColor="background1" w:themeShade="80"/>
        </w:rPr>
      </w:pPr>
      <w:r w:rsidRPr="00740F3C">
        <w:rPr>
          <w:rFonts w:ascii="Avenir Next" w:hAnsi="Avenir Next"/>
          <w:color w:val="808080" w:themeColor="background1" w:themeShade="80"/>
        </w:rPr>
        <w:t>Margin loan default:</w:t>
      </w:r>
      <w:r w:rsidR="00740F3C" w:rsidRPr="00740F3C">
        <w:rPr>
          <w:rFonts w:ascii="Avenir Next" w:hAnsi="Avenir Next"/>
          <w:color w:val="808080" w:themeColor="background1" w:themeShade="80"/>
        </w:rPr>
        <w:t xml:space="preserve"> the automatic</w:t>
      </w:r>
      <w:r w:rsidRPr="00740F3C">
        <w:rPr>
          <w:rFonts w:ascii="Avenir Next" w:hAnsi="Avenir Next"/>
          <w:color w:val="808080" w:themeColor="background1" w:themeShade="80"/>
        </w:rPr>
        <w:t xml:space="preserve"> </w:t>
      </w:r>
      <w:r w:rsidR="00740F3C" w:rsidRPr="00740F3C">
        <w:rPr>
          <w:rFonts w:ascii="Avenir Next" w:hAnsi="Avenir Next"/>
          <w:color w:val="808080" w:themeColor="background1" w:themeShade="80"/>
        </w:rPr>
        <w:t>stay of proceedings afforded to Speculation Inc pursuant to Chapter 11 proceedings</w:t>
      </w:r>
      <w:r w:rsidR="00740F3C" w:rsidRPr="00740F3C">
        <w:rPr>
          <w:rFonts w:ascii="Avenir Next" w:hAnsi="Avenir Next"/>
          <w:color w:val="808080" w:themeColor="background1" w:themeShade="80"/>
        </w:rPr>
        <w:t xml:space="preserve"> means that</w:t>
      </w:r>
      <w:r w:rsidR="00740F3C" w:rsidRPr="00740F3C">
        <w:rPr>
          <w:rFonts w:ascii="Avenir Next" w:hAnsi="Avenir Next"/>
          <w:color w:val="808080" w:themeColor="background1" w:themeShade="80"/>
        </w:rPr>
        <w:t xml:space="preserve"> </w:t>
      </w:r>
      <w:r w:rsidR="00154FB2" w:rsidRPr="00740F3C">
        <w:rPr>
          <w:rFonts w:ascii="Avenir Next" w:hAnsi="Avenir Next"/>
          <w:color w:val="808080" w:themeColor="background1" w:themeShade="80"/>
        </w:rPr>
        <w:t xml:space="preserve">collections thereunder would be stayed.  </w:t>
      </w:r>
    </w:p>
    <w:p w14:paraId="6F05FE63" w14:textId="77777777" w:rsidR="00291388" w:rsidRPr="00291388" w:rsidRDefault="00291388" w:rsidP="00291388">
      <w:pPr>
        <w:pStyle w:val="AODocTxt"/>
        <w:numPr>
          <w:ilvl w:val="0"/>
          <w:numId w:val="38"/>
        </w:numPr>
        <w:spacing w:before="0" w:line="240" w:lineRule="auto"/>
        <w:rPr>
          <w:rFonts w:ascii="Avenir Next" w:hAnsi="Avenir Next"/>
          <w:color w:val="808080" w:themeColor="background1" w:themeShade="80"/>
        </w:rPr>
      </w:pPr>
      <w:r w:rsidRPr="00740F3C">
        <w:rPr>
          <w:rFonts w:ascii="Avenir Next" w:hAnsi="Avenir Next"/>
          <w:color w:val="808080" w:themeColor="background1" w:themeShade="80"/>
        </w:rPr>
        <w:t>The delinquent lease: Under Chapter 11 proceedings, Speculation Inc has the ability to</w:t>
      </w:r>
      <w:r w:rsidRPr="00291388">
        <w:rPr>
          <w:rFonts w:ascii="Avenir Next" w:hAnsi="Avenir Next"/>
          <w:color w:val="808080" w:themeColor="background1" w:themeShade="80"/>
        </w:rPr>
        <w:t xml:space="preserve"> assume or reject or assume and assign </w:t>
      </w:r>
      <w:r>
        <w:rPr>
          <w:rFonts w:ascii="Avenir Next" w:hAnsi="Avenir Next"/>
          <w:color w:val="808080" w:themeColor="background1" w:themeShade="80"/>
        </w:rPr>
        <w:t>the lease.</w:t>
      </w:r>
      <w:r w:rsidRPr="00291388">
        <w:rPr>
          <w:rFonts w:ascii="Avenir Next" w:hAnsi="Avenir Next"/>
          <w:color w:val="808080" w:themeColor="background1" w:themeShade="80"/>
        </w:rPr>
        <w:t xml:space="preserve"> </w:t>
      </w:r>
      <w:r>
        <w:rPr>
          <w:rFonts w:ascii="Avenir Next" w:hAnsi="Avenir Next"/>
          <w:color w:val="808080" w:themeColor="background1" w:themeShade="80"/>
        </w:rPr>
        <w:t>However, u</w:t>
      </w:r>
      <w:r w:rsidRPr="00291388">
        <w:rPr>
          <w:rFonts w:ascii="Avenir Next" w:hAnsi="Avenir Next"/>
          <w:color w:val="808080" w:themeColor="background1" w:themeShade="80"/>
        </w:rPr>
        <w:t xml:space="preserve">ntil </w:t>
      </w:r>
      <w:r>
        <w:rPr>
          <w:rFonts w:ascii="Avenir Next" w:hAnsi="Avenir Next"/>
          <w:color w:val="808080" w:themeColor="background1" w:themeShade="80"/>
        </w:rPr>
        <w:t>Speculation Inc</w:t>
      </w:r>
      <w:r w:rsidRPr="00291388">
        <w:rPr>
          <w:rFonts w:ascii="Avenir Next" w:hAnsi="Avenir Next"/>
          <w:color w:val="808080" w:themeColor="background1" w:themeShade="80"/>
        </w:rPr>
        <w:t xml:space="preserve"> decides whether to assume or reject</w:t>
      </w:r>
      <w:r>
        <w:rPr>
          <w:rFonts w:ascii="Avenir Next" w:hAnsi="Avenir Next"/>
          <w:color w:val="808080" w:themeColor="background1" w:themeShade="80"/>
        </w:rPr>
        <w:t xml:space="preserve"> the lease </w:t>
      </w:r>
      <w:r w:rsidRPr="00291388">
        <w:rPr>
          <w:rFonts w:ascii="Avenir Next" w:hAnsi="Avenir Next"/>
          <w:color w:val="808080" w:themeColor="background1" w:themeShade="80"/>
        </w:rPr>
        <w:t>Section 365(d)(3) of the Bankruptcy Code</w:t>
      </w:r>
      <w:r w:rsidRPr="00291388">
        <w:t xml:space="preserve"> </w:t>
      </w:r>
      <w:r w:rsidRPr="00291388">
        <w:rPr>
          <w:rFonts w:ascii="Avenir Next" w:hAnsi="Avenir Next"/>
          <w:color w:val="808080" w:themeColor="background1" w:themeShade="80"/>
        </w:rPr>
        <w:t>requires it to pay rent. If Speculation Inc opts to assume the lease, it must cure all default and pay the rent going forward. If it opts to reject, it must vacate the premises.</w:t>
      </w:r>
      <w:r>
        <w:rPr>
          <w:rFonts w:ascii="Avenir Next" w:hAnsi="Avenir Next"/>
          <w:i/>
          <w:iCs/>
          <w:color w:val="808080" w:themeColor="background1" w:themeShade="80"/>
        </w:rPr>
        <w:t xml:space="preserve"> </w:t>
      </w:r>
      <w:r w:rsidRPr="00291388">
        <w:rPr>
          <w:rFonts w:ascii="Avenir Next" w:hAnsi="Avenir Next"/>
          <w:i/>
          <w:iCs/>
          <w:color w:val="808080" w:themeColor="background1" w:themeShade="80"/>
        </w:rPr>
        <w:t xml:space="preserve"> </w:t>
      </w:r>
    </w:p>
    <w:p w14:paraId="51844BC4" w14:textId="604CF0DE" w:rsidR="001D3BAA" w:rsidRPr="002B5D64" w:rsidRDefault="00291388" w:rsidP="00291388">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T</w:t>
      </w:r>
      <w:r w:rsidRPr="00291388">
        <w:rPr>
          <w:rFonts w:ascii="Avenir Next" w:hAnsi="Avenir Next"/>
          <w:color w:val="808080" w:themeColor="background1" w:themeShade="80"/>
        </w:rPr>
        <w:t>he employment discrimination lawsuit</w:t>
      </w:r>
      <w:r>
        <w:rPr>
          <w:rFonts w:ascii="Avenir Next" w:hAnsi="Avenir Next"/>
          <w:color w:val="808080" w:themeColor="background1" w:themeShade="80"/>
        </w:rPr>
        <w:t xml:space="preserve">: The lawsuit would be stayed under the </w:t>
      </w:r>
      <w:r w:rsidR="00740F3C">
        <w:rPr>
          <w:rFonts w:ascii="Avenir Next" w:hAnsi="Avenir Next"/>
          <w:color w:val="808080" w:themeColor="background1" w:themeShade="80"/>
        </w:rPr>
        <w:t>automatic</w:t>
      </w:r>
      <w:r>
        <w:rPr>
          <w:rFonts w:ascii="Avenir Next" w:hAnsi="Avenir Next"/>
          <w:color w:val="808080" w:themeColor="background1" w:themeShade="80"/>
        </w:rPr>
        <w:t xml:space="preserve"> stay of proceedings afforded to Speculation Inc pursuant to Chapter 11 proceedings. </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02545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5599" w14:textId="77777777" w:rsidR="00025450" w:rsidRDefault="00025450" w:rsidP="00241B44">
      <w:r>
        <w:separator/>
      </w:r>
    </w:p>
  </w:endnote>
  <w:endnote w:type="continuationSeparator" w:id="0">
    <w:p w14:paraId="06808F94" w14:textId="77777777" w:rsidR="00025450" w:rsidRDefault="0002545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E6CEA82" w:rsidR="00241FA3" w:rsidRPr="00494B81" w:rsidRDefault="00636BA3" w:rsidP="009B4976">
    <w:pPr>
      <w:pStyle w:val="Footer"/>
      <w:ind w:right="360"/>
      <w:rPr>
        <w:rFonts w:ascii="Avenir Next" w:hAnsi="Avenir Next" w:cs="Arial"/>
        <w:sz w:val="22"/>
        <w:szCs w:val="22"/>
        <w:lang w:val="en-GB"/>
      </w:rPr>
    </w:pPr>
    <w:r w:rsidRPr="00636BA3">
      <w:rPr>
        <w:rFonts w:ascii="Avenir Next" w:hAnsi="Avenir Next" w:cs="Arial"/>
        <w:sz w:val="22"/>
        <w:szCs w:val="22"/>
        <w:lang w:val="en-GB"/>
      </w:rPr>
      <w:t>FC202324-1373</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487D" w14:textId="77777777" w:rsidR="00636BA3" w:rsidRDefault="00636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5AF2" w14:textId="77777777" w:rsidR="00025450" w:rsidRDefault="00025450" w:rsidP="00241B44">
      <w:r>
        <w:separator/>
      </w:r>
    </w:p>
  </w:footnote>
  <w:footnote w:type="continuationSeparator" w:id="0">
    <w:p w14:paraId="6A18D8EE" w14:textId="77777777" w:rsidR="00025450" w:rsidRDefault="00025450" w:rsidP="00241B44">
      <w:r>
        <w:continuationSeparator/>
      </w:r>
    </w:p>
  </w:footnote>
  <w:footnote w:id="1">
    <w:p w14:paraId="272091CF" w14:textId="75CEA25A" w:rsidR="00A82544" w:rsidRPr="00A82544" w:rsidRDefault="00A82544" w:rsidP="00A82544">
      <w:pPr>
        <w:pStyle w:val="FootnoteText"/>
      </w:pPr>
      <w:r>
        <w:rPr>
          <w:rStyle w:val="FootnoteReference"/>
        </w:rPr>
        <w:footnoteRef/>
      </w:r>
      <w:r>
        <w:t xml:space="preserve"> “Lease Defaults and Restructuring: The Impact of Bankruptcy on Commercial Landlords and Tenants”, Michael J. Riela, February 1, 2021 </w:t>
      </w:r>
      <w:hyperlink r:id="rId1" w:history="1">
        <w:r w:rsidRPr="00E00250">
          <w:rPr>
            <w:rStyle w:val="Hyperlink"/>
          </w:rPr>
          <w:t>https://businesslawtoday.org/2021/02/lease-defaults-restructuring-impact-bankruptcy-commercial-landlords-tenants/</w:t>
        </w:r>
      </w:hyperlink>
      <w:r>
        <w:t xml:space="preserve"> (accessed on 23 February 2024)</w:t>
      </w:r>
    </w:p>
  </w:footnote>
  <w:footnote w:id="2">
    <w:p w14:paraId="7E9AAA04" w14:textId="01161584" w:rsidR="00A82544" w:rsidRPr="00A82544" w:rsidRDefault="00A82544">
      <w:pPr>
        <w:pStyle w:val="FootnoteText"/>
        <w:rPr>
          <w:lang w:val="en-GB"/>
        </w:rPr>
      </w:pPr>
      <w:r>
        <w:rPr>
          <w:rStyle w:val="FootnoteReference"/>
        </w:rPr>
        <w:footnoteRef/>
      </w:r>
      <w:r>
        <w:t xml:space="preserve"> </w:t>
      </w:r>
      <w:r>
        <w:rPr>
          <w:lang w:val="en-GB"/>
        </w:rPr>
        <w:t>Ibid</w:t>
      </w:r>
    </w:p>
  </w:footnote>
  <w:footnote w:id="3">
    <w:p w14:paraId="0B84292A" w14:textId="5F89032F" w:rsidR="001179AF" w:rsidRPr="001179AF" w:rsidRDefault="001179AF">
      <w:pPr>
        <w:pStyle w:val="FootnoteText"/>
        <w:rPr>
          <w:lang w:val="en-GB"/>
        </w:rPr>
      </w:pPr>
      <w:r>
        <w:rPr>
          <w:rStyle w:val="FootnoteReference"/>
        </w:rPr>
        <w:footnoteRef/>
      </w:r>
      <w:r>
        <w:t xml:space="preserve"> </w:t>
      </w:r>
      <w:r>
        <w:rPr>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6F89" w14:textId="77777777" w:rsidR="00636BA3" w:rsidRDefault="00636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CF4E" w14:textId="77777777" w:rsidR="00636BA3" w:rsidRDefault="00636B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2B84" w14:textId="77777777" w:rsidR="00636BA3" w:rsidRDefault="00636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A82004"/>
    <w:multiLevelType w:val="hybridMultilevel"/>
    <w:tmpl w:val="A30EC3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F6E53"/>
    <w:multiLevelType w:val="hybridMultilevel"/>
    <w:tmpl w:val="A30EC3FC"/>
    <w:lvl w:ilvl="0" w:tplc="577A73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5"/>
  </w:num>
  <w:num w:numId="2" w16cid:durableId="1783306908">
    <w:abstractNumId w:val="28"/>
  </w:num>
  <w:num w:numId="3" w16cid:durableId="1942764495">
    <w:abstractNumId w:val="5"/>
  </w:num>
  <w:num w:numId="4" w16cid:durableId="298269076">
    <w:abstractNumId w:val="9"/>
  </w:num>
  <w:num w:numId="5" w16cid:durableId="730929724">
    <w:abstractNumId w:val="12"/>
  </w:num>
  <w:num w:numId="6" w16cid:durableId="1594360553">
    <w:abstractNumId w:val="32"/>
  </w:num>
  <w:num w:numId="7" w16cid:durableId="1661152946">
    <w:abstractNumId w:val="6"/>
  </w:num>
  <w:num w:numId="8" w16cid:durableId="45877589">
    <w:abstractNumId w:val="35"/>
  </w:num>
  <w:num w:numId="9" w16cid:durableId="876742117">
    <w:abstractNumId w:val="13"/>
  </w:num>
  <w:num w:numId="10" w16cid:durableId="1035689165">
    <w:abstractNumId w:val="27"/>
  </w:num>
  <w:num w:numId="11" w16cid:durableId="926307185">
    <w:abstractNumId w:val="15"/>
  </w:num>
  <w:num w:numId="12" w16cid:durableId="621232781">
    <w:abstractNumId w:val="24"/>
  </w:num>
  <w:num w:numId="13" w16cid:durableId="1204442417">
    <w:abstractNumId w:val="0"/>
  </w:num>
  <w:num w:numId="14" w16cid:durableId="1001467812">
    <w:abstractNumId w:val="11"/>
  </w:num>
  <w:num w:numId="15" w16cid:durableId="189758179">
    <w:abstractNumId w:val="20"/>
  </w:num>
  <w:num w:numId="16" w16cid:durableId="1491479825">
    <w:abstractNumId w:val="8"/>
  </w:num>
  <w:num w:numId="17" w16cid:durableId="882793158">
    <w:abstractNumId w:val="4"/>
  </w:num>
  <w:num w:numId="18" w16cid:durableId="777675833">
    <w:abstractNumId w:val="3"/>
  </w:num>
  <w:num w:numId="19" w16cid:durableId="1129937292">
    <w:abstractNumId w:val="29"/>
  </w:num>
  <w:num w:numId="20" w16cid:durableId="1471096614">
    <w:abstractNumId w:val="7"/>
  </w:num>
  <w:num w:numId="21" w16cid:durableId="398864111">
    <w:abstractNumId w:val="26"/>
  </w:num>
  <w:num w:numId="22" w16cid:durableId="2133940203">
    <w:abstractNumId w:val="37"/>
  </w:num>
  <w:num w:numId="23" w16cid:durableId="950893894">
    <w:abstractNumId w:val="14"/>
  </w:num>
  <w:num w:numId="24" w16cid:durableId="1962497721">
    <w:abstractNumId w:val="30"/>
  </w:num>
  <w:num w:numId="25" w16cid:durableId="869756453">
    <w:abstractNumId w:val="21"/>
  </w:num>
  <w:num w:numId="26" w16cid:durableId="1092049203">
    <w:abstractNumId w:val="22"/>
  </w:num>
  <w:num w:numId="27" w16cid:durableId="1146704350">
    <w:abstractNumId w:val="17"/>
  </w:num>
  <w:num w:numId="28" w16cid:durableId="937979478">
    <w:abstractNumId w:val="33"/>
  </w:num>
  <w:num w:numId="29" w16cid:durableId="1970553734">
    <w:abstractNumId w:val="1"/>
  </w:num>
  <w:num w:numId="30" w16cid:durableId="293563849">
    <w:abstractNumId w:val="18"/>
  </w:num>
  <w:num w:numId="31" w16cid:durableId="2126381093">
    <w:abstractNumId w:val="23"/>
  </w:num>
  <w:num w:numId="32" w16cid:durableId="1605572703">
    <w:abstractNumId w:val="38"/>
  </w:num>
  <w:num w:numId="33" w16cid:durableId="1203253494">
    <w:abstractNumId w:val="16"/>
  </w:num>
  <w:num w:numId="34" w16cid:durableId="1104031608">
    <w:abstractNumId w:val="2"/>
  </w:num>
  <w:num w:numId="35" w16cid:durableId="2144806674">
    <w:abstractNumId w:val="34"/>
  </w:num>
  <w:num w:numId="36" w16cid:durableId="1673992024">
    <w:abstractNumId w:val="36"/>
  </w:num>
  <w:num w:numId="37" w16cid:durableId="2022775299">
    <w:abstractNumId w:val="10"/>
  </w:num>
  <w:num w:numId="38" w16cid:durableId="1209685638">
    <w:abstractNumId w:val="31"/>
  </w:num>
  <w:num w:numId="39" w16cid:durableId="203071346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E5B"/>
    <w:rsid w:val="00003B5E"/>
    <w:rsid w:val="000106A0"/>
    <w:rsid w:val="00010BA0"/>
    <w:rsid w:val="00020557"/>
    <w:rsid w:val="00021FC2"/>
    <w:rsid w:val="00022E00"/>
    <w:rsid w:val="000250C7"/>
    <w:rsid w:val="00025450"/>
    <w:rsid w:val="00026F16"/>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6CA8"/>
    <w:rsid w:val="001109FE"/>
    <w:rsid w:val="0011473D"/>
    <w:rsid w:val="00115C85"/>
    <w:rsid w:val="001179AF"/>
    <w:rsid w:val="0012224B"/>
    <w:rsid w:val="00123855"/>
    <w:rsid w:val="00126A4D"/>
    <w:rsid w:val="0014171F"/>
    <w:rsid w:val="001430EE"/>
    <w:rsid w:val="001437A8"/>
    <w:rsid w:val="001445EF"/>
    <w:rsid w:val="0014622C"/>
    <w:rsid w:val="00152348"/>
    <w:rsid w:val="0015456D"/>
    <w:rsid w:val="00154FB2"/>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3F89"/>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1388"/>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5E8"/>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6F55"/>
    <w:rsid w:val="004A7B51"/>
    <w:rsid w:val="004A7D71"/>
    <w:rsid w:val="004A7EF3"/>
    <w:rsid w:val="004B090F"/>
    <w:rsid w:val="004B11FD"/>
    <w:rsid w:val="004B23A2"/>
    <w:rsid w:val="004D1A5A"/>
    <w:rsid w:val="004D2FFF"/>
    <w:rsid w:val="004D36D5"/>
    <w:rsid w:val="004D3721"/>
    <w:rsid w:val="004D4255"/>
    <w:rsid w:val="004D64F9"/>
    <w:rsid w:val="004E1F4B"/>
    <w:rsid w:val="004E3A6B"/>
    <w:rsid w:val="004E5AF5"/>
    <w:rsid w:val="004E622C"/>
    <w:rsid w:val="004E7546"/>
    <w:rsid w:val="004F0F38"/>
    <w:rsid w:val="004F409B"/>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5927"/>
    <w:rsid w:val="00567AD7"/>
    <w:rsid w:val="00575B2D"/>
    <w:rsid w:val="00580B65"/>
    <w:rsid w:val="005833D0"/>
    <w:rsid w:val="00583844"/>
    <w:rsid w:val="00583D8E"/>
    <w:rsid w:val="005846F3"/>
    <w:rsid w:val="0058622F"/>
    <w:rsid w:val="00587019"/>
    <w:rsid w:val="00592F82"/>
    <w:rsid w:val="005A0CCA"/>
    <w:rsid w:val="005A6FF2"/>
    <w:rsid w:val="005A726D"/>
    <w:rsid w:val="005B67AC"/>
    <w:rsid w:val="005B79F4"/>
    <w:rsid w:val="005C00A6"/>
    <w:rsid w:val="005C1C1C"/>
    <w:rsid w:val="005D1293"/>
    <w:rsid w:val="005D1CA5"/>
    <w:rsid w:val="005D27A5"/>
    <w:rsid w:val="005D4357"/>
    <w:rsid w:val="005D43E0"/>
    <w:rsid w:val="005D58A3"/>
    <w:rsid w:val="005D6642"/>
    <w:rsid w:val="005E151D"/>
    <w:rsid w:val="005E1B79"/>
    <w:rsid w:val="005E6076"/>
    <w:rsid w:val="005E7008"/>
    <w:rsid w:val="005E7849"/>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36BA3"/>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3CBB"/>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0F3C"/>
    <w:rsid w:val="00741CBF"/>
    <w:rsid w:val="007473C4"/>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196F"/>
    <w:rsid w:val="00834F92"/>
    <w:rsid w:val="0083721E"/>
    <w:rsid w:val="00837A43"/>
    <w:rsid w:val="00843B3A"/>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0318"/>
    <w:rsid w:val="00921B8C"/>
    <w:rsid w:val="0092565E"/>
    <w:rsid w:val="0093467C"/>
    <w:rsid w:val="00935386"/>
    <w:rsid w:val="00942123"/>
    <w:rsid w:val="009427E0"/>
    <w:rsid w:val="0095207B"/>
    <w:rsid w:val="009578FD"/>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11042"/>
    <w:rsid w:val="00A16997"/>
    <w:rsid w:val="00A2274A"/>
    <w:rsid w:val="00A229CC"/>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544"/>
    <w:rsid w:val="00A82B32"/>
    <w:rsid w:val="00A94F58"/>
    <w:rsid w:val="00A95463"/>
    <w:rsid w:val="00A96489"/>
    <w:rsid w:val="00AA0280"/>
    <w:rsid w:val="00AA1967"/>
    <w:rsid w:val="00AA7BE3"/>
    <w:rsid w:val="00AB1B65"/>
    <w:rsid w:val="00AB2425"/>
    <w:rsid w:val="00AB685C"/>
    <w:rsid w:val="00AB6C2D"/>
    <w:rsid w:val="00AC08F7"/>
    <w:rsid w:val="00AC3839"/>
    <w:rsid w:val="00AC7082"/>
    <w:rsid w:val="00AD4BE8"/>
    <w:rsid w:val="00AD7588"/>
    <w:rsid w:val="00AF228E"/>
    <w:rsid w:val="00AF2408"/>
    <w:rsid w:val="00AF6A25"/>
    <w:rsid w:val="00B016A8"/>
    <w:rsid w:val="00B01E81"/>
    <w:rsid w:val="00B10961"/>
    <w:rsid w:val="00B14819"/>
    <w:rsid w:val="00B15E2F"/>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39A8"/>
    <w:rsid w:val="00B9639B"/>
    <w:rsid w:val="00BA74EF"/>
    <w:rsid w:val="00BB0F2B"/>
    <w:rsid w:val="00BC069B"/>
    <w:rsid w:val="00BD4A58"/>
    <w:rsid w:val="00BD7337"/>
    <w:rsid w:val="00BE4FF3"/>
    <w:rsid w:val="00BF0003"/>
    <w:rsid w:val="00BF1B3E"/>
    <w:rsid w:val="00BF50F7"/>
    <w:rsid w:val="00BF6B84"/>
    <w:rsid w:val="00C02F29"/>
    <w:rsid w:val="00C05A9F"/>
    <w:rsid w:val="00C07430"/>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A7518"/>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4538F"/>
    <w:rsid w:val="00D53719"/>
    <w:rsid w:val="00D61CC1"/>
    <w:rsid w:val="00D6273C"/>
    <w:rsid w:val="00D63EFD"/>
    <w:rsid w:val="00D72637"/>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D64E6"/>
    <w:rsid w:val="00DE03AF"/>
    <w:rsid w:val="00DE121C"/>
    <w:rsid w:val="00DE5357"/>
    <w:rsid w:val="00DE6633"/>
    <w:rsid w:val="00DE7E9B"/>
    <w:rsid w:val="00DF158F"/>
    <w:rsid w:val="00DF5F7C"/>
    <w:rsid w:val="00DF75F8"/>
    <w:rsid w:val="00DF7A3A"/>
    <w:rsid w:val="00E00C00"/>
    <w:rsid w:val="00E01803"/>
    <w:rsid w:val="00E03B0F"/>
    <w:rsid w:val="00E07C5A"/>
    <w:rsid w:val="00E15ACE"/>
    <w:rsid w:val="00E15BA9"/>
    <w:rsid w:val="00E239B8"/>
    <w:rsid w:val="00E26E10"/>
    <w:rsid w:val="00E26E19"/>
    <w:rsid w:val="00E30E60"/>
    <w:rsid w:val="00E31DF3"/>
    <w:rsid w:val="00E421C6"/>
    <w:rsid w:val="00E450A4"/>
    <w:rsid w:val="00E506BE"/>
    <w:rsid w:val="00E533A8"/>
    <w:rsid w:val="00E55547"/>
    <w:rsid w:val="00E61C1A"/>
    <w:rsid w:val="00E6302B"/>
    <w:rsid w:val="00E6452F"/>
    <w:rsid w:val="00E64F45"/>
    <w:rsid w:val="00E6742D"/>
    <w:rsid w:val="00E71CB0"/>
    <w:rsid w:val="00E77C3D"/>
    <w:rsid w:val="00E901D6"/>
    <w:rsid w:val="00E90991"/>
    <w:rsid w:val="00E909F0"/>
    <w:rsid w:val="00E90D47"/>
    <w:rsid w:val="00E91BE5"/>
    <w:rsid w:val="00E93993"/>
    <w:rsid w:val="00E9597C"/>
    <w:rsid w:val="00EA0913"/>
    <w:rsid w:val="00EA5B00"/>
    <w:rsid w:val="00EA78AC"/>
    <w:rsid w:val="00EB146B"/>
    <w:rsid w:val="00EB45AC"/>
    <w:rsid w:val="00EB4923"/>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27F0"/>
    <w:rsid w:val="00F033DA"/>
    <w:rsid w:val="00F13691"/>
    <w:rsid w:val="00F13FB1"/>
    <w:rsid w:val="00F27CD8"/>
    <w:rsid w:val="00F30351"/>
    <w:rsid w:val="00F31D4E"/>
    <w:rsid w:val="00F3323E"/>
    <w:rsid w:val="00F341F4"/>
    <w:rsid w:val="00F34F9D"/>
    <w:rsid w:val="00F35CCE"/>
    <w:rsid w:val="00F418CA"/>
    <w:rsid w:val="00F5524B"/>
    <w:rsid w:val="00F60538"/>
    <w:rsid w:val="00F61DD2"/>
    <w:rsid w:val="00F63187"/>
    <w:rsid w:val="00F66AFF"/>
    <w:rsid w:val="00F71246"/>
    <w:rsid w:val="00F71433"/>
    <w:rsid w:val="00F81034"/>
    <w:rsid w:val="00F92140"/>
    <w:rsid w:val="00F97C5B"/>
    <w:rsid w:val="00FA0F55"/>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 w:type="character" w:styleId="UnresolvedMention">
    <w:name w:val="Unresolved Mention"/>
    <w:basedOn w:val="DefaultParagraphFont"/>
    <w:uiPriority w:val="99"/>
    <w:semiHidden/>
    <w:unhideWhenUsed/>
    <w:rsid w:val="00A82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businesslawtoday.org/2021/02/lease-defaults-restructuring-impact-bankruptcy-commercial-landlords-ten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7836</TotalTime>
  <Pages>10</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Jackson, Nicola</cp:lastModifiedBy>
  <cp:revision>23</cp:revision>
  <cp:lastPrinted>2019-08-27T05:42:00Z</cp:lastPrinted>
  <dcterms:created xsi:type="dcterms:W3CDTF">2024-02-21T09:57:00Z</dcterms:created>
  <dcterms:modified xsi:type="dcterms:W3CDTF">2024-03-01T15:10:00Z</dcterms:modified>
</cp:coreProperties>
</file>