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DD6035">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7A56BA">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8B7342" w:rsidRDefault="00B263D0" w:rsidP="007A56BA">
      <w:pPr>
        <w:pStyle w:val="ListParagraph"/>
        <w:numPr>
          <w:ilvl w:val="0"/>
          <w:numId w:val="1"/>
        </w:numPr>
        <w:ind w:left="426" w:hanging="426"/>
        <w:jc w:val="both"/>
        <w:rPr>
          <w:rFonts w:ascii="Avenir Next" w:hAnsi="Avenir Next" w:cs="Arial"/>
          <w:sz w:val="22"/>
          <w:szCs w:val="22"/>
          <w:highlight w:val="yellow"/>
          <w:lang w:val="en-GB"/>
        </w:rPr>
      </w:pPr>
      <w:r w:rsidRPr="008B7342">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7A56BA">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7A56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7A56BA">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7A56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7A56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7A56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7A56BA">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C51D04" w:rsidRDefault="00AD0E59" w:rsidP="007A56BA">
      <w:pPr>
        <w:pStyle w:val="ListParagraph"/>
        <w:numPr>
          <w:ilvl w:val="0"/>
          <w:numId w:val="10"/>
        </w:numPr>
        <w:ind w:left="426" w:hanging="426"/>
        <w:jc w:val="both"/>
        <w:rPr>
          <w:rFonts w:ascii="Avenir Next" w:hAnsi="Avenir Next" w:cs="Arial"/>
          <w:sz w:val="22"/>
          <w:szCs w:val="22"/>
          <w:highlight w:val="yellow"/>
          <w:lang w:val="en-GB"/>
        </w:rPr>
      </w:pPr>
      <w:r w:rsidRPr="00C51D04">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7A56B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7A56B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7A56BA">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7A56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7A56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7A56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7A56BA">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7A56B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7A56B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237042" w:rsidRDefault="00893A03" w:rsidP="007A56BA">
      <w:pPr>
        <w:pStyle w:val="ListParagraph"/>
        <w:numPr>
          <w:ilvl w:val="0"/>
          <w:numId w:val="2"/>
        </w:numPr>
        <w:ind w:left="426" w:hanging="426"/>
        <w:jc w:val="both"/>
        <w:rPr>
          <w:rFonts w:ascii="Avenir Next" w:hAnsi="Avenir Next" w:cs="Arial"/>
          <w:sz w:val="22"/>
          <w:szCs w:val="22"/>
          <w:highlight w:val="yellow"/>
          <w:lang w:val="en-GB"/>
        </w:rPr>
      </w:pPr>
      <w:r w:rsidRPr="00237042">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7A56BA">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7A56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7A56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7A56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7A56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7A56BA">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0546C9" w:rsidRDefault="00812AFE" w:rsidP="007A56BA">
      <w:pPr>
        <w:pStyle w:val="ListParagraph"/>
        <w:numPr>
          <w:ilvl w:val="0"/>
          <w:numId w:val="3"/>
        </w:numPr>
        <w:ind w:left="426" w:hanging="426"/>
        <w:jc w:val="both"/>
        <w:rPr>
          <w:rFonts w:ascii="Avenir Next" w:hAnsi="Avenir Next" w:cs="Arial"/>
          <w:sz w:val="22"/>
          <w:szCs w:val="22"/>
          <w:highlight w:val="yellow"/>
          <w:lang w:val="en-GB"/>
        </w:rPr>
      </w:pPr>
      <w:r w:rsidRPr="000546C9">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7A56B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7A56B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7A56BA">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837645">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623AB6" w:rsidRDefault="003220BA" w:rsidP="007A56BA">
      <w:pPr>
        <w:pStyle w:val="ListParagraph"/>
        <w:numPr>
          <w:ilvl w:val="0"/>
          <w:numId w:val="14"/>
        </w:numPr>
        <w:ind w:left="426" w:hanging="426"/>
        <w:jc w:val="both"/>
        <w:rPr>
          <w:rFonts w:ascii="Avenir Next" w:hAnsi="Avenir Next"/>
          <w:sz w:val="22"/>
          <w:szCs w:val="28"/>
        </w:rPr>
      </w:pPr>
      <w:r w:rsidRPr="00623AB6">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623AB6" w:rsidRDefault="003220BA" w:rsidP="00C00111">
      <w:pPr>
        <w:pStyle w:val="ListParagraph"/>
        <w:ind w:left="426" w:hanging="426"/>
        <w:jc w:val="both"/>
        <w:rPr>
          <w:rFonts w:ascii="Avenir Next" w:hAnsi="Avenir Next"/>
          <w:sz w:val="22"/>
          <w:szCs w:val="28"/>
        </w:rPr>
      </w:pPr>
    </w:p>
    <w:p w14:paraId="4C73762D" w14:textId="77777777" w:rsidR="003220BA" w:rsidRPr="00623AB6" w:rsidRDefault="003220BA" w:rsidP="007A56BA">
      <w:pPr>
        <w:pStyle w:val="ListParagraph"/>
        <w:numPr>
          <w:ilvl w:val="0"/>
          <w:numId w:val="14"/>
        </w:numPr>
        <w:ind w:left="426" w:hanging="426"/>
        <w:jc w:val="both"/>
        <w:rPr>
          <w:rFonts w:ascii="Avenir Next" w:hAnsi="Avenir Next"/>
          <w:sz w:val="22"/>
          <w:szCs w:val="28"/>
        </w:rPr>
      </w:pPr>
      <w:r w:rsidRPr="00623AB6">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23AB6" w:rsidRDefault="003220BA" w:rsidP="00C00111">
      <w:pPr>
        <w:ind w:hanging="426"/>
        <w:jc w:val="both"/>
        <w:rPr>
          <w:rFonts w:ascii="Avenir Next" w:hAnsi="Avenir Next"/>
          <w:sz w:val="22"/>
          <w:szCs w:val="28"/>
        </w:rPr>
      </w:pPr>
    </w:p>
    <w:p w14:paraId="283484DD" w14:textId="77777777" w:rsidR="003220BA" w:rsidRPr="00623AB6" w:rsidRDefault="003220BA" w:rsidP="007A56BA">
      <w:pPr>
        <w:pStyle w:val="ListParagraph"/>
        <w:numPr>
          <w:ilvl w:val="0"/>
          <w:numId w:val="14"/>
        </w:numPr>
        <w:ind w:left="426" w:hanging="426"/>
        <w:jc w:val="both"/>
        <w:rPr>
          <w:rFonts w:ascii="Avenir Next" w:hAnsi="Avenir Next"/>
          <w:sz w:val="22"/>
          <w:szCs w:val="28"/>
        </w:rPr>
      </w:pPr>
      <w:r w:rsidRPr="00623AB6">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23AB6" w:rsidRDefault="003220BA" w:rsidP="00C00111">
      <w:pPr>
        <w:ind w:hanging="426"/>
        <w:jc w:val="both"/>
        <w:rPr>
          <w:rFonts w:ascii="Avenir Next" w:hAnsi="Avenir Next"/>
          <w:sz w:val="22"/>
          <w:szCs w:val="28"/>
        </w:rPr>
      </w:pPr>
    </w:p>
    <w:p w14:paraId="1B1CF4A9" w14:textId="77777777" w:rsidR="003220BA" w:rsidRPr="00623AB6" w:rsidRDefault="003220BA" w:rsidP="007A56BA">
      <w:pPr>
        <w:pStyle w:val="ListParagraph"/>
        <w:numPr>
          <w:ilvl w:val="0"/>
          <w:numId w:val="14"/>
        </w:numPr>
        <w:ind w:left="426" w:hanging="426"/>
        <w:jc w:val="both"/>
        <w:rPr>
          <w:rFonts w:ascii="Avenir Next" w:hAnsi="Avenir Next"/>
          <w:sz w:val="22"/>
          <w:szCs w:val="28"/>
        </w:rPr>
      </w:pPr>
      <w:r w:rsidRPr="00623AB6">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23AB6" w:rsidRDefault="003220BA" w:rsidP="00C00111">
      <w:pPr>
        <w:ind w:hanging="426"/>
        <w:jc w:val="both"/>
        <w:rPr>
          <w:rFonts w:ascii="Avenir Next" w:hAnsi="Avenir Next"/>
          <w:sz w:val="22"/>
          <w:szCs w:val="28"/>
        </w:rPr>
      </w:pPr>
    </w:p>
    <w:p w14:paraId="54742228" w14:textId="77777777" w:rsidR="003220BA" w:rsidRPr="00623AB6" w:rsidRDefault="003220BA" w:rsidP="007A56BA">
      <w:pPr>
        <w:pStyle w:val="ListParagraph"/>
        <w:numPr>
          <w:ilvl w:val="0"/>
          <w:numId w:val="14"/>
        </w:numPr>
        <w:ind w:left="426" w:hanging="426"/>
        <w:jc w:val="both"/>
        <w:rPr>
          <w:rFonts w:ascii="Avenir Next" w:hAnsi="Avenir Next"/>
          <w:sz w:val="22"/>
          <w:szCs w:val="28"/>
        </w:rPr>
      </w:pPr>
      <w:r w:rsidRPr="00623AB6">
        <w:rPr>
          <w:rFonts w:ascii="Avenir Next" w:hAnsi="Avenir Next"/>
          <w:sz w:val="22"/>
          <w:szCs w:val="28"/>
        </w:rPr>
        <w:t xml:space="preserve">An insolvency proceeding is commenced in jurisdiction A, but all </w:t>
      </w:r>
      <w:r w:rsidRPr="00623AB6">
        <w:rPr>
          <w:rFonts w:ascii="Avenir Next" w:hAnsi="Avenir Next"/>
          <w:i/>
          <w:iCs/>
          <w:sz w:val="22"/>
          <w:szCs w:val="28"/>
        </w:rPr>
        <w:t>de minimis</w:t>
      </w:r>
      <w:r w:rsidRPr="00623AB6">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7A56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7A56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7A56BA">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4554B9" w:rsidRDefault="003220BA" w:rsidP="007A56BA">
      <w:pPr>
        <w:pStyle w:val="ListParagraph"/>
        <w:numPr>
          <w:ilvl w:val="0"/>
          <w:numId w:val="4"/>
        </w:numPr>
        <w:ind w:left="426" w:hanging="426"/>
        <w:jc w:val="both"/>
        <w:rPr>
          <w:rFonts w:ascii="Avenir Next" w:hAnsi="Avenir Next" w:cs="Arial"/>
          <w:sz w:val="22"/>
          <w:szCs w:val="22"/>
          <w:highlight w:val="yellow"/>
          <w:lang w:val="en-GB"/>
        </w:rPr>
      </w:pPr>
      <w:r w:rsidRPr="004554B9">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Pr="002E7948" w:rsidRDefault="009344C1" w:rsidP="007A56BA">
      <w:pPr>
        <w:pStyle w:val="ListParagraph"/>
        <w:numPr>
          <w:ilvl w:val="0"/>
          <w:numId w:val="5"/>
        </w:numPr>
        <w:ind w:left="426" w:hanging="426"/>
        <w:jc w:val="both"/>
        <w:rPr>
          <w:rFonts w:ascii="Avenir Next" w:hAnsi="Avenir Next" w:cs="Arial"/>
          <w:sz w:val="22"/>
          <w:szCs w:val="22"/>
          <w:lang w:val="en-GB"/>
        </w:rPr>
      </w:pPr>
      <w:r w:rsidRPr="002E7948">
        <w:rPr>
          <w:rFonts w:ascii="Avenir Next" w:hAnsi="Avenir Next" w:cs="Arial"/>
          <w:sz w:val="22"/>
          <w:szCs w:val="22"/>
          <w:lang w:val="en-GB"/>
        </w:rPr>
        <w:t>Binding within jurisdiction B.</w:t>
      </w:r>
    </w:p>
    <w:p w14:paraId="49831766" w14:textId="77777777" w:rsidR="009344C1" w:rsidRPr="002E7948"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2E7948" w:rsidRDefault="009344C1" w:rsidP="007A56BA">
      <w:pPr>
        <w:pStyle w:val="ListParagraph"/>
        <w:numPr>
          <w:ilvl w:val="0"/>
          <w:numId w:val="5"/>
        </w:numPr>
        <w:ind w:left="426" w:hanging="426"/>
        <w:jc w:val="both"/>
        <w:rPr>
          <w:rFonts w:ascii="Avenir Next" w:hAnsi="Avenir Next" w:cs="Arial"/>
          <w:sz w:val="22"/>
          <w:szCs w:val="22"/>
          <w:lang w:val="en-GB"/>
        </w:rPr>
      </w:pPr>
      <w:r w:rsidRPr="002E7948">
        <w:rPr>
          <w:rFonts w:ascii="Avenir Next" w:hAnsi="Avenir Next" w:cs="Arial"/>
          <w:sz w:val="22"/>
          <w:szCs w:val="22"/>
          <w:lang w:val="en-GB"/>
        </w:rPr>
        <w:t>Binding within jurisdiction B, but certain actions need to be taken.</w:t>
      </w:r>
    </w:p>
    <w:p w14:paraId="4910FABC" w14:textId="77777777" w:rsidR="009344C1" w:rsidRPr="002E7948" w:rsidRDefault="009344C1" w:rsidP="00C00111">
      <w:pPr>
        <w:ind w:hanging="426"/>
        <w:jc w:val="both"/>
        <w:rPr>
          <w:rFonts w:ascii="Avenir Next" w:hAnsi="Avenir Next" w:cs="Arial"/>
          <w:sz w:val="22"/>
          <w:szCs w:val="22"/>
          <w:lang w:val="en-GB"/>
        </w:rPr>
      </w:pPr>
    </w:p>
    <w:p w14:paraId="2B6FE540" w14:textId="77777777" w:rsidR="009344C1" w:rsidRPr="002E7948" w:rsidRDefault="009344C1" w:rsidP="007A56BA">
      <w:pPr>
        <w:pStyle w:val="ListParagraph"/>
        <w:numPr>
          <w:ilvl w:val="0"/>
          <w:numId w:val="5"/>
        </w:numPr>
        <w:ind w:left="426" w:hanging="426"/>
        <w:jc w:val="both"/>
        <w:rPr>
          <w:rFonts w:ascii="Avenir Next" w:hAnsi="Avenir Next" w:cs="Arial"/>
          <w:sz w:val="22"/>
          <w:szCs w:val="22"/>
          <w:highlight w:val="yellow"/>
          <w:lang w:val="en-GB"/>
        </w:rPr>
      </w:pPr>
      <w:r w:rsidRPr="002E7948">
        <w:rPr>
          <w:rFonts w:ascii="Avenir Next" w:hAnsi="Avenir Next" w:cs="Arial"/>
          <w:sz w:val="22"/>
          <w:szCs w:val="22"/>
          <w:highlight w:val="yellow"/>
          <w:lang w:val="en-GB"/>
        </w:rPr>
        <w:t>No effect within jurisdiction B.</w:t>
      </w:r>
    </w:p>
    <w:p w14:paraId="7EBA91C0" w14:textId="77777777" w:rsidR="009344C1" w:rsidRPr="002E7948" w:rsidRDefault="009344C1" w:rsidP="00C00111">
      <w:pPr>
        <w:ind w:hanging="426"/>
        <w:jc w:val="both"/>
        <w:rPr>
          <w:rFonts w:ascii="Avenir Next" w:hAnsi="Avenir Next" w:cs="Arial"/>
          <w:sz w:val="22"/>
          <w:szCs w:val="22"/>
          <w:lang w:val="en-GB"/>
        </w:rPr>
      </w:pPr>
    </w:p>
    <w:p w14:paraId="56767A38" w14:textId="77777777" w:rsidR="009344C1" w:rsidRPr="002E7948" w:rsidRDefault="009344C1" w:rsidP="007A56BA">
      <w:pPr>
        <w:pStyle w:val="ListParagraph"/>
        <w:numPr>
          <w:ilvl w:val="0"/>
          <w:numId w:val="5"/>
        </w:numPr>
        <w:ind w:left="426" w:hanging="426"/>
        <w:jc w:val="both"/>
        <w:rPr>
          <w:rFonts w:ascii="Avenir Next" w:hAnsi="Avenir Next" w:cs="Arial"/>
          <w:sz w:val="22"/>
          <w:szCs w:val="22"/>
          <w:lang w:val="en-GB"/>
        </w:rPr>
      </w:pPr>
      <w:r w:rsidRPr="002E7948">
        <w:rPr>
          <w:rFonts w:ascii="Avenir Next" w:hAnsi="Avenir Next" w:cs="Arial"/>
          <w:sz w:val="22"/>
          <w:szCs w:val="22"/>
          <w:lang w:val="en-GB"/>
        </w:rPr>
        <w:t>Likely no effect within jurisdiction B.</w:t>
      </w:r>
    </w:p>
    <w:p w14:paraId="1A3B9FC5" w14:textId="77777777" w:rsidR="009344C1" w:rsidRPr="002E7948" w:rsidRDefault="009344C1" w:rsidP="00C00111">
      <w:pPr>
        <w:ind w:hanging="426"/>
        <w:jc w:val="both"/>
        <w:rPr>
          <w:rFonts w:ascii="Avenir Next" w:hAnsi="Avenir Next" w:cs="Arial"/>
          <w:sz w:val="22"/>
          <w:szCs w:val="22"/>
          <w:lang w:val="en-GB"/>
        </w:rPr>
      </w:pPr>
    </w:p>
    <w:p w14:paraId="7C6D11D8" w14:textId="77777777" w:rsidR="009344C1" w:rsidRPr="002E7948" w:rsidRDefault="009344C1" w:rsidP="007A56BA">
      <w:pPr>
        <w:pStyle w:val="ListParagraph"/>
        <w:numPr>
          <w:ilvl w:val="0"/>
          <w:numId w:val="5"/>
        </w:numPr>
        <w:ind w:left="426" w:hanging="426"/>
        <w:jc w:val="both"/>
        <w:rPr>
          <w:rFonts w:ascii="Avenir Next" w:hAnsi="Avenir Next" w:cs="Arial"/>
          <w:sz w:val="22"/>
          <w:szCs w:val="22"/>
          <w:lang w:val="en-GB"/>
        </w:rPr>
      </w:pPr>
      <w:r w:rsidRPr="002E7948">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7A56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7A56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7A56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7A56BA">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7A56BA">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F4FED" w:rsidRDefault="00F51EE5" w:rsidP="007A56BA">
      <w:pPr>
        <w:pStyle w:val="ListParagraph"/>
        <w:numPr>
          <w:ilvl w:val="0"/>
          <w:numId w:val="6"/>
        </w:numPr>
        <w:ind w:left="426" w:hanging="426"/>
        <w:jc w:val="both"/>
        <w:rPr>
          <w:rFonts w:ascii="Avenir Next" w:hAnsi="Avenir Next" w:cs="Arial"/>
          <w:sz w:val="22"/>
          <w:szCs w:val="22"/>
          <w:highlight w:val="yellow"/>
          <w:lang w:val="en-GB"/>
        </w:rPr>
      </w:pPr>
      <w:r w:rsidRPr="005F4FED">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7A56BA">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7A56BA">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7A56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7A56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7A56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7A56BA">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7A56BA">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7A56BA">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7A56BA">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6F017B" w:rsidRDefault="0097337E" w:rsidP="007A56BA">
      <w:pPr>
        <w:pStyle w:val="ListParagraph"/>
        <w:numPr>
          <w:ilvl w:val="0"/>
          <w:numId w:val="7"/>
        </w:numPr>
        <w:ind w:left="426" w:hanging="426"/>
        <w:jc w:val="both"/>
        <w:rPr>
          <w:rFonts w:ascii="Avenir Next" w:hAnsi="Avenir Next" w:cs="Arial"/>
          <w:sz w:val="22"/>
          <w:szCs w:val="22"/>
          <w:highlight w:val="yellow"/>
          <w:lang w:val="en-GB"/>
        </w:rPr>
      </w:pPr>
      <w:r w:rsidRPr="006F017B">
        <w:rPr>
          <w:rFonts w:ascii="Avenir Next" w:hAnsi="Avenir Next" w:cs="Arial"/>
          <w:sz w:val="22"/>
          <w:szCs w:val="22"/>
          <w:highlight w:val="yellow"/>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542A1B">
        <w:rPr>
          <w:rFonts w:ascii="Avenir Next Demi Bold" w:hAnsi="Avenir Next Demi Bold" w:cs="Arial"/>
          <w:b/>
          <w:bCs/>
          <w:sz w:val="22"/>
          <w:szCs w:val="22"/>
          <w:lang w:val="en-GB"/>
        </w:rPr>
        <w:t>Question 1.9</w:t>
      </w:r>
      <w:r w:rsidRPr="000D32A9">
        <w:rPr>
          <w:rFonts w:ascii="Avenir Next Demi Bold" w:hAnsi="Avenir Next Demi Bold" w:cs="Arial"/>
          <w:b/>
          <w:bCs/>
          <w:sz w:val="22"/>
          <w:szCs w:val="22"/>
          <w:lang w:val="en-GB"/>
        </w:rPr>
        <w:t xml:space="preserve">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7A56B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7A56B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7A56BA">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7A56B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7A56B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F35E71" w:rsidRDefault="009A58D1" w:rsidP="007A56BA">
      <w:pPr>
        <w:pStyle w:val="ListParagraph"/>
        <w:numPr>
          <w:ilvl w:val="0"/>
          <w:numId w:val="8"/>
        </w:numPr>
        <w:ind w:left="426" w:hanging="426"/>
        <w:jc w:val="both"/>
        <w:rPr>
          <w:rFonts w:ascii="Avenir Next" w:hAnsi="Avenir Next" w:cs="Arial"/>
          <w:sz w:val="22"/>
          <w:szCs w:val="22"/>
          <w:highlight w:val="yellow"/>
          <w:lang w:val="en-GB"/>
        </w:rPr>
      </w:pPr>
      <w:r w:rsidRPr="00F35E71">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7A56BA">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FE0140">
        <w:rPr>
          <w:rFonts w:ascii="Avenir Next Demi Bold" w:hAnsi="Avenir Next Demi Bold" w:cs="Arial"/>
          <w:b/>
          <w:bCs/>
          <w:sz w:val="22"/>
          <w:szCs w:val="22"/>
          <w:lang w:val="en-GB"/>
        </w:rPr>
        <w:t>Question 1.10</w:t>
      </w:r>
      <w:r w:rsidRPr="000D32A9">
        <w:rPr>
          <w:rFonts w:ascii="Avenir Next Demi Bold" w:hAnsi="Avenir Next Demi Bold" w:cs="Arial"/>
          <w:b/>
          <w:bCs/>
          <w:sz w:val="22"/>
          <w:szCs w:val="22"/>
          <w:lang w:val="en-GB"/>
        </w:rPr>
        <w:t xml:space="preserve">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7A56B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7A56B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7A56BA">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28E10CCC" w14:textId="685E8526" w:rsidR="002539D7" w:rsidRPr="00FE0140" w:rsidRDefault="00C4510C" w:rsidP="002539D7">
      <w:pPr>
        <w:pStyle w:val="ListParagraph"/>
        <w:numPr>
          <w:ilvl w:val="0"/>
          <w:numId w:val="9"/>
        </w:numPr>
        <w:ind w:left="426" w:hanging="426"/>
        <w:jc w:val="both"/>
        <w:rPr>
          <w:rFonts w:ascii="Avenir Next" w:hAnsi="Avenir Next" w:cs="Arial"/>
          <w:sz w:val="22"/>
          <w:szCs w:val="22"/>
          <w:highlight w:val="yellow"/>
          <w:lang w:val="en-GB"/>
        </w:rPr>
      </w:pPr>
      <w:r w:rsidRPr="00DB6D84">
        <w:rPr>
          <w:rFonts w:ascii="Avenir Next" w:hAnsi="Avenir Next" w:cs="Arial"/>
          <w:sz w:val="22"/>
          <w:szCs w:val="22"/>
          <w:highlight w:val="yellow"/>
          <w:lang w:val="en-GB"/>
        </w:rPr>
        <w:t>None of the above are correct.</w:t>
      </w: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670380">
        <w:rPr>
          <w:rFonts w:ascii="Avenir Next Demi Bold" w:hAnsi="Avenir Next Demi Bold" w:cs="Arial"/>
          <w:b/>
          <w:bCs/>
          <w:sz w:val="22"/>
          <w:szCs w:val="22"/>
          <w:lang w:val="en-GB"/>
        </w:rPr>
        <w:t xml:space="preserve">Question </w:t>
      </w:r>
      <w:r w:rsidR="00962045" w:rsidRPr="00670380">
        <w:rPr>
          <w:rFonts w:ascii="Avenir Next Demi Bold" w:hAnsi="Avenir Next Demi Bold" w:cs="Arial"/>
          <w:b/>
          <w:bCs/>
          <w:sz w:val="22"/>
          <w:szCs w:val="22"/>
          <w:lang w:val="en-GB"/>
        </w:rPr>
        <w:t>2.1</w:t>
      </w:r>
      <w:r w:rsidR="00962045" w:rsidRPr="00670380">
        <w:rPr>
          <w:rFonts w:ascii="Avenir Next Demi Bold" w:hAnsi="Avenir Next Demi Bold" w:cs="Arial"/>
          <w:b/>
          <w:bCs/>
          <w:sz w:val="22"/>
          <w:szCs w:val="22"/>
          <w:lang w:val="en-GB"/>
        </w:rPr>
        <w:tab/>
      </w:r>
      <w:r w:rsidR="00DE03AF" w:rsidRPr="00670380">
        <w:rPr>
          <w:rFonts w:ascii="Avenir Next Demi Bold" w:hAnsi="Avenir Next Demi Bold" w:cs="Arial"/>
          <w:b/>
          <w:bCs/>
          <w:sz w:val="22"/>
          <w:szCs w:val="22"/>
          <w:lang w:val="en-GB"/>
        </w:rPr>
        <w:t>[</w:t>
      </w:r>
      <w:r w:rsidR="00D17FDC" w:rsidRPr="00670380">
        <w:rPr>
          <w:rFonts w:ascii="Avenir Next Demi Bold" w:hAnsi="Avenir Next Demi Bold" w:cs="Arial"/>
          <w:b/>
          <w:bCs/>
          <w:sz w:val="22"/>
          <w:szCs w:val="22"/>
          <w:lang w:val="en-GB"/>
        </w:rPr>
        <w:t>m</w:t>
      </w:r>
      <w:r w:rsidR="00DE03AF" w:rsidRPr="00670380">
        <w:rPr>
          <w:rFonts w:ascii="Avenir Next Demi Bold" w:hAnsi="Avenir Next Demi Bold" w:cs="Arial"/>
          <w:b/>
          <w:bCs/>
          <w:sz w:val="22"/>
          <w:szCs w:val="22"/>
          <w:lang w:val="en-GB"/>
        </w:rPr>
        <w:t xml:space="preserve">aximum </w:t>
      </w:r>
      <w:r w:rsidR="00DD0A50" w:rsidRPr="00670380">
        <w:rPr>
          <w:rFonts w:ascii="Avenir Next Demi Bold" w:hAnsi="Avenir Next Demi Bold" w:cs="Arial"/>
          <w:b/>
          <w:bCs/>
          <w:sz w:val="22"/>
          <w:szCs w:val="22"/>
          <w:lang w:val="en-GB"/>
        </w:rPr>
        <w:t>3</w:t>
      </w:r>
      <w:r w:rsidR="00DE03AF" w:rsidRPr="00670380">
        <w:rPr>
          <w:rFonts w:ascii="Avenir Next Demi Bold" w:hAnsi="Avenir Next Demi Bold" w:cs="Arial"/>
          <w:b/>
          <w:bCs/>
          <w:sz w:val="22"/>
          <w:szCs w:val="22"/>
          <w:lang w:val="en-GB"/>
        </w:rPr>
        <w:t xml:space="preserve"> marks]</w:t>
      </w:r>
      <w:r w:rsidR="00DE03AF" w:rsidRPr="007B497A">
        <w:rPr>
          <w:rFonts w:ascii="Avenir Next Demi Bold" w:hAnsi="Avenir Next Demi Bold" w:cs="Arial"/>
          <w:b/>
          <w:bCs/>
          <w:sz w:val="22"/>
          <w:szCs w:val="22"/>
          <w:lang w:val="en-GB"/>
        </w:rPr>
        <w:t xml:space="preserve">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7716EC51" w14:textId="7586CC63" w:rsidR="00B77352" w:rsidRPr="00041B38" w:rsidRDefault="00041B38" w:rsidP="00166383">
      <w:pPr>
        <w:jc w:val="both"/>
        <w:rPr>
          <w:rFonts w:ascii="Avenir Next" w:hAnsi="Avenir Next" w:cs="Arial"/>
          <w:color w:val="808080" w:themeColor="background1" w:themeShade="80"/>
          <w:sz w:val="22"/>
          <w:szCs w:val="22"/>
          <w:lang w:val="en-GB"/>
        </w:rPr>
      </w:pPr>
      <w:r w:rsidRPr="00041B38">
        <w:rPr>
          <w:rFonts w:ascii="Avenir Next" w:hAnsi="Avenir Next" w:cs="Arial"/>
          <w:color w:val="808080" w:themeColor="background1" w:themeShade="80"/>
          <w:sz w:val="22"/>
          <w:szCs w:val="22"/>
          <w:lang w:val="en-GB"/>
        </w:rPr>
        <w:t>The European Union (EU) Regulation on insolvency proceedings (</w:t>
      </w:r>
      <w:r w:rsidRPr="00166383">
        <w:rPr>
          <w:rFonts w:ascii="Avenir Next" w:hAnsi="Avenir Next" w:cs="Arial"/>
          <w:color w:val="808080" w:themeColor="background1" w:themeShade="80"/>
          <w:sz w:val="22"/>
          <w:szCs w:val="22"/>
          <w:lang w:val="en-GB"/>
        </w:rPr>
        <w:t>EIR</w:t>
      </w:r>
      <w:r w:rsidRPr="00041B38">
        <w:rPr>
          <w:rFonts w:ascii="Avenir Next" w:hAnsi="Avenir Next" w:cs="Arial"/>
          <w:color w:val="808080" w:themeColor="background1" w:themeShade="80"/>
          <w:sz w:val="22"/>
          <w:szCs w:val="22"/>
          <w:lang w:val="en-GB"/>
        </w:rPr>
        <w:t xml:space="preserve">), whilst not a treaty, is a regulation </w:t>
      </w:r>
      <w:r>
        <w:rPr>
          <w:rFonts w:ascii="Avenir Next" w:hAnsi="Avenir Next" w:cs="Arial"/>
          <w:color w:val="808080" w:themeColor="background1" w:themeShade="80"/>
          <w:sz w:val="22"/>
          <w:szCs w:val="22"/>
          <w:lang w:val="en-GB"/>
        </w:rPr>
        <w:t>which</w:t>
      </w:r>
      <w:r w:rsidRPr="00041B38">
        <w:rPr>
          <w:rFonts w:ascii="Avenir Next" w:hAnsi="Avenir Next" w:cs="Arial"/>
          <w:color w:val="808080" w:themeColor="background1" w:themeShade="80"/>
          <w:sz w:val="22"/>
          <w:szCs w:val="22"/>
          <w:lang w:val="en-GB"/>
        </w:rPr>
        <w:t>, once adopted</w:t>
      </w:r>
      <w:r>
        <w:rPr>
          <w:rFonts w:ascii="Avenir Next" w:hAnsi="Avenir Next" w:cs="Arial"/>
          <w:color w:val="808080" w:themeColor="background1" w:themeShade="80"/>
          <w:sz w:val="22"/>
          <w:szCs w:val="22"/>
          <w:lang w:val="en-GB"/>
        </w:rPr>
        <w:t xml:space="preserve"> by </w:t>
      </w:r>
      <w:r w:rsidR="00A97747">
        <w:rPr>
          <w:rFonts w:ascii="Avenir Next" w:hAnsi="Avenir Next" w:cs="Arial"/>
          <w:color w:val="808080" w:themeColor="background1" w:themeShade="80"/>
          <w:sz w:val="22"/>
          <w:szCs w:val="22"/>
          <w:lang w:val="en-GB"/>
        </w:rPr>
        <w:t xml:space="preserve">the relevant </w:t>
      </w:r>
      <w:r w:rsidR="00A4585D">
        <w:rPr>
          <w:rFonts w:ascii="Avenir Next" w:hAnsi="Avenir Next" w:cs="Arial"/>
          <w:color w:val="808080" w:themeColor="background1" w:themeShade="80"/>
          <w:sz w:val="22"/>
          <w:szCs w:val="22"/>
          <w:lang w:val="en-GB"/>
        </w:rPr>
        <w:t xml:space="preserve">(EU) </w:t>
      </w:r>
      <w:r w:rsidR="00A97747">
        <w:rPr>
          <w:rFonts w:ascii="Avenir Next" w:hAnsi="Avenir Next" w:cs="Arial"/>
          <w:color w:val="808080" w:themeColor="background1" w:themeShade="80"/>
          <w:sz w:val="22"/>
          <w:szCs w:val="22"/>
          <w:lang w:val="en-GB"/>
        </w:rPr>
        <w:t>state</w:t>
      </w:r>
      <w:r w:rsidRPr="00041B38">
        <w:rPr>
          <w:rFonts w:ascii="Avenir Next" w:hAnsi="Avenir Next" w:cs="Arial"/>
          <w:color w:val="808080" w:themeColor="background1" w:themeShade="80"/>
          <w:sz w:val="22"/>
          <w:szCs w:val="22"/>
          <w:lang w:val="en-GB"/>
        </w:rPr>
        <w:t>, become</w:t>
      </w:r>
      <w:r>
        <w:rPr>
          <w:rFonts w:ascii="Avenir Next" w:hAnsi="Avenir Next" w:cs="Arial"/>
          <w:color w:val="808080" w:themeColor="background1" w:themeShade="80"/>
          <w:sz w:val="22"/>
          <w:szCs w:val="22"/>
          <w:lang w:val="en-GB"/>
        </w:rPr>
        <w:t>s</w:t>
      </w:r>
      <w:r w:rsidRPr="00041B38">
        <w:rPr>
          <w:rFonts w:ascii="Avenir Next" w:hAnsi="Avenir Next" w:cs="Arial"/>
          <w:color w:val="808080" w:themeColor="background1" w:themeShade="80"/>
          <w:sz w:val="22"/>
          <w:szCs w:val="22"/>
          <w:lang w:val="en-GB"/>
        </w:rPr>
        <w:t xml:space="preserve"> part of the domestic law o</w:t>
      </w:r>
      <w:r w:rsidR="00A97747">
        <w:rPr>
          <w:rFonts w:ascii="Avenir Next" w:hAnsi="Avenir Next" w:cs="Arial"/>
          <w:color w:val="808080" w:themeColor="background1" w:themeShade="80"/>
          <w:sz w:val="22"/>
          <w:szCs w:val="22"/>
          <w:lang w:val="en-GB"/>
        </w:rPr>
        <w:t>f that state</w:t>
      </w:r>
      <w:r w:rsidR="00C755B9">
        <w:rPr>
          <w:rFonts w:ascii="Avenir Next" w:hAnsi="Avenir Next" w:cs="Arial"/>
          <w:color w:val="808080" w:themeColor="background1" w:themeShade="80"/>
          <w:sz w:val="22"/>
          <w:szCs w:val="22"/>
          <w:lang w:val="en-GB"/>
        </w:rPr>
        <w:t xml:space="preserve"> in its native form</w:t>
      </w:r>
      <w:r w:rsidRPr="00041B38">
        <w:rPr>
          <w:rFonts w:ascii="Avenir Next" w:hAnsi="Avenir Next" w:cs="Arial"/>
          <w:color w:val="808080" w:themeColor="background1" w:themeShade="80"/>
          <w:sz w:val="22"/>
          <w:szCs w:val="22"/>
          <w:lang w:val="en-GB"/>
        </w:rPr>
        <w:t>.</w:t>
      </w:r>
      <w:r w:rsidR="00A97747">
        <w:rPr>
          <w:rFonts w:ascii="Avenir Next" w:hAnsi="Avenir Next" w:cs="Arial"/>
          <w:color w:val="808080" w:themeColor="background1" w:themeShade="80"/>
          <w:sz w:val="22"/>
          <w:szCs w:val="22"/>
          <w:lang w:val="en-GB"/>
        </w:rPr>
        <w:t xml:space="preserve"> </w:t>
      </w:r>
      <w:r w:rsidR="00401B16">
        <w:rPr>
          <w:rFonts w:ascii="Avenir Next" w:hAnsi="Avenir Next" w:cs="Arial"/>
          <w:color w:val="808080" w:themeColor="background1" w:themeShade="80"/>
          <w:sz w:val="22"/>
          <w:szCs w:val="22"/>
          <w:lang w:val="en-GB"/>
        </w:rPr>
        <w:t>The EIR is designed to harmonize</w:t>
      </w:r>
      <w:r w:rsidR="002B078C">
        <w:rPr>
          <w:rFonts w:ascii="Avenir Next" w:hAnsi="Avenir Next" w:cs="Arial"/>
          <w:color w:val="808080" w:themeColor="background1" w:themeShade="80"/>
          <w:sz w:val="22"/>
          <w:szCs w:val="22"/>
          <w:lang w:val="en-GB"/>
        </w:rPr>
        <w:t xml:space="preserve"> the rules of the EU states. </w:t>
      </w:r>
      <w:r w:rsidR="00CA2BFE">
        <w:rPr>
          <w:rFonts w:ascii="Avenir Next" w:hAnsi="Avenir Next" w:cs="Arial"/>
          <w:color w:val="808080" w:themeColor="background1" w:themeShade="80"/>
          <w:sz w:val="22"/>
          <w:szCs w:val="22"/>
          <w:lang w:val="en-GB"/>
        </w:rPr>
        <w:t>Distinct from that approach, t</w:t>
      </w:r>
      <w:r w:rsidR="00892358">
        <w:rPr>
          <w:rFonts w:ascii="Avenir Next" w:hAnsi="Avenir Next" w:cs="Arial"/>
          <w:color w:val="808080" w:themeColor="background1" w:themeShade="80"/>
          <w:sz w:val="22"/>
          <w:szCs w:val="22"/>
          <w:lang w:val="en-GB"/>
        </w:rPr>
        <w:t xml:space="preserve">he MLCBI </w:t>
      </w:r>
      <w:r w:rsidR="00C17731">
        <w:rPr>
          <w:rFonts w:ascii="Avenir Next" w:hAnsi="Avenir Next" w:cs="Arial"/>
          <w:color w:val="808080" w:themeColor="background1" w:themeShade="80"/>
          <w:sz w:val="22"/>
          <w:szCs w:val="22"/>
          <w:lang w:val="en-GB"/>
        </w:rPr>
        <w:t xml:space="preserve">is </w:t>
      </w:r>
      <w:r w:rsidR="00DB00CA">
        <w:rPr>
          <w:rFonts w:ascii="Avenir Next" w:hAnsi="Avenir Next" w:cs="Arial"/>
          <w:color w:val="808080" w:themeColor="background1" w:themeShade="80"/>
          <w:sz w:val="22"/>
          <w:szCs w:val="22"/>
          <w:lang w:val="en-GB"/>
        </w:rPr>
        <w:t>a recommendation</w:t>
      </w:r>
      <w:r w:rsidR="00081A9C">
        <w:rPr>
          <w:rFonts w:ascii="Avenir Next" w:hAnsi="Avenir Next" w:cs="Arial"/>
          <w:color w:val="808080" w:themeColor="background1" w:themeShade="80"/>
          <w:sz w:val="22"/>
          <w:szCs w:val="22"/>
          <w:lang w:val="en-GB"/>
        </w:rPr>
        <w:t xml:space="preserve"> which </w:t>
      </w:r>
      <w:r w:rsidR="00DB00CA">
        <w:rPr>
          <w:rFonts w:ascii="Avenir Next" w:hAnsi="Avenir Next" w:cs="Arial"/>
          <w:color w:val="808080" w:themeColor="background1" w:themeShade="80"/>
          <w:sz w:val="22"/>
          <w:szCs w:val="22"/>
          <w:lang w:val="en-GB"/>
        </w:rPr>
        <w:t xml:space="preserve">can be adopted </w:t>
      </w:r>
      <w:r w:rsidR="00A4585D">
        <w:rPr>
          <w:rFonts w:ascii="Avenir Next" w:hAnsi="Avenir Next" w:cs="Arial"/>
          <w:color w:val="808080" w:themeColor="background1" w:themeShade="80"/>
          <w:sz w:val="22"/>
          <w:szCs w:val="22"/>
          <w:lang w:val="en-GB"/>
        </w:rPr>
        <w:t xml:space="preserve">(by any state, globally) </w:t>
      </w:r>
      <w:r w:rsidR="00DB00CA">
        <w:rPr>
          <w:rFonts w:ascii="Avenir Next" w:hAnsi="Avenir Next" w:cs="Arial"/>
          <w:color w:val="808080" w:themeColor="background1" w:themeShade="80"/>
          <w:sz w:val="22"/>
          <w:szCs w:val="22"/>
          <w:lang w:val="en-GB"/>
        </w:rPr>
        <w:t xml:space="preserve">in </w:t>
      </w:r>
      <w:r w:rsidR="00447BAE">
        <w:rPr>
          <w:rFonts w:ascii="Avenir Next" w:hAnsi="Avenir Next" w:cs="Arial"/>
          <w:color w:val="808080" w:themeColor="background1" w:themeShade="80"/>
          <w:sz w:val="22"/>
          <w:szCs w:val="22"/>
          <w:lang w:val="en-GB"/>
        </w:rPr>
        <w:t>whole or in part</w:t>
      </w:r>
      <w:r w:rsidR="00960449">
        <w:rPr>
          <w:rFonts w:ascii="Avenir Next" w:hAnsi="Avenir Next" w:cs="Arial"/>
          <w:color w:val="808080" w:themeColor="background1" w:themeShade="80"/>
          <w:sz w:val="22"/>
          <w:szCs w:val="22"/>
          <w:lang w:val="en-GB"/>
        </w:rPr>
        <w:t xml:space="preserve"> and/</w:t>
      </w:r>
      <w:r w:rsidR="00447BAE">
        <w:rPr>
          <w:rFonts w:ascii="Avenir Next" w:hAnsi="Avenir Next" w:cs="Arial"/>
          <w:color w:val="808080" w:themeColor="background1" w:themeShade="80"/>
          <w:sz w:val="22"/>
          <w:szCs w:val="22"/>
          <w:lang w:val="en-GB"/>
        </w:rPr>
        <w:t xml:space="preserve">or in </w:t>
      </w:r>
      <w:r w:rsidR="00DB00CA">
        <w:rPr>
          <w:rFonts w:ascii="Avenir Next" w:hAnsi="Avenir Next" w:cs="Arial"/>
          <w:color w:val="808080" w:themeColor="background1" w:themeShade="80"/>
          <w:sz w:val="22"/>
          <w:szCs w:val="22"/>
          <w:lang w:val="en-GB"/>
        </w:rPr>
        <w:t>an amended form</w:t>
      </w:r>
      <w:r w:rsidR="00081A9C">
        <w:rPr>
          <w:rFonts w:ascii="Avenir Next" w:hAnsi="Avenir Next" w:cs="Arial"/>
          <w:color w:val="808080" w:themeColor="background1" w:themeShade="80"/>
          <w:sz w:val="22"/>
          <w:szCs w:val="22"/>
          <w:lang w:val="en-GB"/>
        </w:rPr>
        <w:t xml:space="preserve">. Once adopted, </w:t>
      </w:r>
      <w:r w:rsidR="00330379">
        <w:rPr>
          <w:rFonts w:ascii="Avenir Next" w:hAnsi="Avenir Next" w:cs="Arial"/>
          <w:color w:val="808080" w:themeColor="background1" w:themeShade="80"/>
          <w:sz w:val="22"/>
          <w:szCs w:val="22"/>
          <w:lang w:val="en-GB"/>
        </w:rPr>
        <w:t>the MLCBI</w:t>
      </w:r>
      <w:r w:rsidR="00081A9C">
        <w:rPr>
          <w:rFonts w:ascii="Avenir Next" w:hAnsi="Avenir Next" w:cs="Arial"/>
          <w:color w:val="808080" w:themeColor="background1" w:themeShade="80"/>
          <w:sz w:val="22"/>
          <w:szCs w:val="22"/>
          <w:lang w:val="en-GB"/>
        </w:rPr>
        <w:t xml:space="preserve"> forms part of the domestic law of the state.</w:t>
      </w:r>
      <w:r w:rsidR="00CA2BFE">
        <w:rPr>
          <w:rFonts w:ascii="Avenir Next" w:hAnsi="Avenir Next" w:cs="Arial"/>
          <w:color w:val="808080" w:themeColor="background1" w:themeShade="80"/>
          <w:sz w:val="22"/>
          <w:szCs w:val="22"/>
          <w:lang w:val="en-GB"/>
        </w:rPr>
        <w:t xml:space="preserve"> </w:t>
      </w:r>
      <w:r w:rsidR="002B078C">
        <w:rPr>
          <w:rFonts w:ascii="Avenir Next" w:hAnsi="Avenir Next" w:cs="Arial"/>
          <w:color w:val="808080" w:themeColor="background1" w:themeShade="80"/>
          <w:sz w:val="22"/>
          <w:szCs w:val="22"/>
          <w:lang w:val="en-GB"/>
        </w:rPr>
        <w:t xml:space="preserve">The MLCBI </w:t>
      </w:r>
      <w:r w:rsidR="00CE01BD">
        <w:rPr>
          <w:rFonts w:ascii="Avenir Next" w:hAnsi="Avenir Next" w:cs="Arial"/>
          <w:color w:val="808080" w:themeColor="background1" w:themeShade="80"/>
          <w:sz w:val="22"/>
          <w:szCs w:val="22"/>
          <w:lang w:val="en-GB"/>
        </w:rPr>
        <w:t xml:space="preserve">is designed to provide a framework for cooperation between member states. </w:t>
      </w:r>
      <w:r w:rsidR="00D3163E">
        <w:rPr>
          <w:rFonts w:ascii="Avenir Next" w:hAnsi="Avenir Next" w:cs="Arial"/>
          <w:color w:val="808080" w:themeColor="background1" w:themeShade="80"/>
          <w:sz w:val="22"/>
          <w:szCs w:val="22"/>
          <w:lang w:val="en-GB"/>
        </w:rPr>
        <w:t xml:space="preserve">Accordingly, the </w:t>
      </w:r>
      <w:r w:rsidR="0077219E">
        <w:rPr>
          <w:rFonts w:ascii="Avenir Next" w:hAnsi="Avenir Next" w:cs="Arial"/>
          <w:color w:val="808080" w:themeColor="background1" w:themeShade="80"/>
          <w:sz w:val="22"/>
          <w:szCs w:val="22"/>
          <w:lang w:val="en-GB"/>
        </w:rPr>
        <w:t xml:space="preserve">key distinction is one of scope and applicability. </w:t>
      </w:r>
      <w:r w:rsidR="005C52EA">
        <w:rPr>
          <w:rFonts w:ascii="Avenir Next" w:hAnsi="Avenir Next" w:cs="Arial"/>
          <w:color w:val="808080" w:themeColor="background1" w:themeShade="80"/>
          <w:sz w:val="22"/>
          <w:szCs w:val="22"/>
          <w:lang w:val="en-GB"/>
        </w:rPr>
        <w:t>A key benefit of the EIR approach to application is consistency</w:t>
      </w:r>
      <w:r w:rsidR="00B339C7">
        <w:rPr>
          <w:rFonts w:ascii="Avenir Next" w:hAnsi="Avenir Next" w:cs="Arial"/>
          <w:color w:val="808080" w:themeColor="background1" w:themeShade="80"/>
          <w:sz w:val="22"/>
          <w:szCs w:val="22"/>
          <w:lang w:val="en-GB"/>
        </w:rPr>
        <w:t xml:space="preserve"> within the EU in terms of </w:t>
      </w:r>
      <w:r w:rsidR="002478AE">
        <w:rPr>
          <w:rFonts w:ascii="Avenir Next" w:hAnsi="Avenir Next" w:cs="Arial"/>
          <w:color w:val="808080" w:themeColor="background1" w:themeShade="80"/>
          <w:sz w:val="22"/>
          <w:szCs w:val="22"/>
          <w:lang w:val="en-GB"/>
        </w:rPr>
        <w:t>har</w:t>
      </w:r>
      <w:r w:rsidR="004D1918">
        <w:rPr>
          <w:rFonts w:ascii="Avenir Next" w:hAnsi="Avenir Next" w:cs="Arial"/>
          <w:color w:val="808080" w:themeColor="background1" w:themeShade="80"/>
          <w:sz w:val="22"/>
          <w:szCs w:val="22"/>
          <w:lang w:val="en-GB"/>
        </w:rPr>
        <w:t xml:space="preserve">monisation, which serves to simplify proceedings between EU states. However, this is also </w:t>
      </w:r>
      <w:r w:rsidR="00025871">
        <w:rPr>
          <w:rFonts w:ascii="Avenir Next" w:hAnsi="Avenir Next" w:cs="Arial"/>
          <w:color w:val="808080" w:themeColor="background1" w:themeShade="80"/>
          <w:sz w:val="22"/>
          <w:szCs w:val="22"/>
          <w:lang w:val="en-GB"/>
        </w:rPr>
        <w:t>disadvantage</w:t>
      </w:r>
      <w:r w:rsidR="00265028">
        <w:rPr>
          <w:rFonts w:ascii="Avenir Next" w:hAnsi="Avenir Next" w:cs="Arial"/>
          <w:color w:val="808080" w:themeColor="background1" w:themeShade="80"/>
          <w:sz w:val="22"/>
          <w:szCs w:val="22"/>
          <w:lang w:val="en-GB"/>
        </w:rPr>
        <w:t xml:space="preserve"> where is causes complexities in dealing with states outside of the EU</w:t>
      </w:r>
      <w:r w:rsidR="006B29FE">
        <w:rPr>
          <w:rFonts w:ascii="Avenir Next" w:hAnsi="Avenir Next" w:cs="Arial"/>
          <w:color w:val="808080" w:themeColor="background1" w:themeShade="80"/>
          <w:sz w:val="22"/>
          <w:szCs w:val="22"/>
          <w:lang w:val="en-GB"/>
        </w:rPr>
        <w:t xml:space="preserve">, as </w:t>
      </w:r>
      <w:r w:rsidR="00E65327">
        <w:rPr>
          <w:rFonts w:ascii="Avenir Next" w:hAnsi="Avenir Next" w:cs="Arial"/>
          <w:color w:val="808080" w:themeColor="background1" w:themeShade="80"/>
          <w:sz w:val="22"/>
          <w:szCs w:val="22"/>
          <w:lang w:val="en-GB"/>
        </w:rPr>
        <w:t>EU member states have not adopted the MLCBI</w:t>
      </w:r>
      <w:r w:rsidR="00265028">
        <w:rPr>
          <w:rFonts w:ascii="Avenir Next" w:hAnsi="Avenir Next" w:cs="Arial"/>
          <w:color w:val="808080" w:themeColor="background1" w:themeShade="80"/>
          <w:sz w:val="22"/>
          <w:szCs w:val="22"/>
          <w:lang w:val="en-GB"/>
        </w:rPr>
        <w:t xml:space="preserve">. </w:t>
      </w:r>
      <w:r w:rsidR="00025871">
        <w:rPr>
          <w:rFonts w:ascii="Avenir Next" w:hAnsi="Avenir Next" w:cs="Arial"/>
          <w:color w:val="808080" w:themeColor="background1" w:themeShade="80"/>
          <w:sz w:val="22"/>
          <w:szCs w:val="22"/>
          <w:lang w:val="en-GB"/>
        </w:rPr>
        <w:t xml:space="preserve"> </w:t>
      </w:r>
      <w:r w:rsidR="00E65327" w:rsidRPr="00E65327">
        <w:rPr>
          <w:rFonts w:ascii="Avenir Next" w:hAnsi="Avenir Next" w:cs="Arial"/>
          <w:color w:val="808080" w:themeColor="background1" w:themeShade="80"/>
          <w:sz w:val="22"/>
          <w:szCs w:val="22"/>
          <w:lang w:val="en-GB"/>
        </w:rPr>
        <w:t>A key benefit of the</w:t>
      </w:r>
      <w:r w:rsidR="00E65327">
        <w:rPr>
          <w:rFonts w:ascii="Avenir Next" w:hAnsi="Avenir Next" w:cs="Arial"/>
          <w:color w:val="808080" w:themeColor="background1" w:themeShade="80"/>
          <w:sz w:val="22"/>
          <w:szCs w:val="22"/>
          <w:lang w:val="en-GB"/>
        </w:rPr>
        <w:t xml:space="preserve"> MLCBI </w:t>
      </w:r>
      <w:r w:rsidR="0006407C">
        <w:rPr>
          <w:rFonts w:ascii="Avenir Next" w:hAnsi="Avenir Next" w:cs="Arial"/>
          <w:color w:val="808080" w:themeColor="background1" w:themeShade="80"/>
          <w:sz w:val="22"/>
          <w:szCs w:val="22"/>
          <w:lang w:val="en-GB"/>
        </w:rPr>
        <w:t>is that the framework is flexible in how states may adopt it</w:t>
      </w:r>
      <w:r w:rsidR="005177F4">
        <w:rPr>
          <w:rFonts w:ascii="Avenir Next" w:hAnsi="Avenir Next" w:cs="Arial"/>
          <w:color w:val="808080" w:themeColor="background1" w:themeShade="80"/>
          <w:sz w:val="22"/>
          <w:szCs w:val="22"/>
          <w:lang w:val="en-GB"/>
        </w:rPr>
        <w:t xml:space="preserve">, e.g. modified. However, again, this is also a disadvantage where </w:t>
      </w:r>
      <w:r w:rsidR="003B2016">
        <w:rPr>
          <w:rFonts w:ascii="Avenir Next" w:hAnsi="Avenir Next" w:cs="Arial"/>
          <w:color w:val="808080" w:themeColor="background1" w:themeShade="80"/>
          <w:sz w:val="22"/>
          <w:szCs w:val="22"/>
          <w:lang w:val="en-GB"/>
        </w:rPr>
        <w:t xml:space="preserve">lack of consistency / uniformity can create </w:t>
      </w:r>
      <w:r w:rsidR="00670380">
        <w:rPr>
          <w:rFonts w:ascii="Avenir Next" w:hAnsi="Avenir Next" w:cs="Arial"/>
          <w:color w:val="808080" w:themeColor="background1" w:themeShade="80"/>
          <w:sz w:val="22"/>
          <w:szCs w:val="22"/>
          <w:lang w:val="en-GB"/>
        </w:rPr>
        <w:t xml:space="preserve">inconsistencies in application between member states. </w:t>
      </w:r>
    </w:p>
    <w:p w14:paraId="5AC4C57E" w14:textId="77777777" w:rsidR="00041B38" w:rsidRPr="00E2622D" w:rsidRDefault="00041B38"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1701DD3" w14:textId="0CD9F599" w:rsidR="00867A8F" w:rsidRDefault="00F76205" w:rsidP="00BE22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exercising its discretion to </w:t>
      </w:r>
      <w:r w:rsidR="009E3DC1">
        <w:rPr>
          <w:rFonts w:ascii="Avenir Next" w:hAnsi="Avenir Next" w:cs="Arial"/>
          <w:color w:val="808080" w:themeColor="background1" w:themeShade="80"/>
          <w:sz w:val="22"/>
          <w:szCs w:val="22"/>
          <w:lang w:val="en-GB"/>
        </w:rPr>
        <w:t>grant relief sought under Article 21 of the MLCBI</w:t>
      </w:r>
      <w:r>
        <w:rPr>
          <w:rFonts w:ascii="Avenir Next" w:hAnsi="Avenir Next" w:cs="Arial"/>
          <w:color w:val="808080" w:themeColor="background1" w:themeShade="80"/>
          <w:sz w:val="22"/>
          <w:szCs w:val="22"/>
          <w:lang w:val="en-GB"/>
        </w:rPr>
        <w:t>, t</w:t>
      </w:r>
      <w:r w:rsidRPr="00411DDE">
        <w:rPr>
          <w:rFonts w:ascii="Avenir Next" w:hAnsi="Avenir Next" w:cs="Arial"/>
          <w:color w:val="808080" w:themeColor="background1" w:themeShade="80"/>
          <w:sz w:val="22"/>
          <w:szCs w:val="22"/>
          <w:lang w:val="en-GB"/>
        </w:rPr>
        <w:t>he court should primarily consider</w:t>
      </w:r>
      <w:r>
        <w:rPr>
          <w:rFonts w:ascii="Avenir Next" w:hAnsi="Avenir Next" w:cs="Arial"/>
          <w:color w:val="808080" w:themeColor="background1" w:themeShade="80"/>
          <w:sz w:val="22"/>
          <w:szCs w:val="22"/>
          <w:lang w:val="en-GB"/>
        </w:rPr>
        <w:t xml:space="preserve"> whether</w:t>
      </w:r>
      <w:r w:rsidR="009E3DC1">
        <w:rPr>
          <w:rFonts w:ascii="Avenir Next" w:hAnsi="Avenir Next" w:cs="Arial"/>
          <w:color w:val="808080" w:themeColor="background1" w:themeShade="80"/>
          <w:sz w:val="22"/>
          <w:szCs w:val="22"/>
          <w:lang w:val="en-GB"/>
        </w:rPr>
        <w:t xml:space="preserve"> </w:t>
      </w:r>
      <w:r w:rsidR="00B903EB">
        <w:rPr>
          <w:rFonts w:ascii="Avenir Next" w:hAnsi="Avenir Next" w:cs="Arial"/>
          <w:color w:val="808080" w:themeColor="background1" w:themeShade="80"/>
          <w:sz w:val="22"/>
          <w:szCs w:val="22"/>
          <w:lang w:val="en-GB"/>
        </w:rPr>
        <w:t xml:space="preserve">such relief interferes with the administration of another insolvency </w:t>
      </w:r>
      <w:r w:rsidR="00B903EB" w:rsidRPr="00A511EE">
        <w:rPr>
          <w:rFonts w:ascii="Avenir Next" w:hAnsi="Avenir Next" w:cs="Arial"/>
          <w:color w:val="808080" w:themeColor="background1" w:themeShade="80"/>
          <w:sz w:val="22"/>
          <w:szCs w:val="22"/>
          <w:lang w:val="en-GB"/>
        </w:rPr>
        <w:lastRenderedPageBreak/>
        <w:t>proceeding and in particular, the</w:t>
      </w:r>
      <w:r w:rsidR="00DF1A02" w:rsidRPr="00A511EE">
        <w:rPr>
          <w:rFonts w:ascii="Avenir Next" w:hAnsi="Avenir Next" w:cs="Arial"/>
          <w:color w:val="808080" w:themeColor="background1" w:themeShade="80"/>
          <w:sz w:val="22"/>
          <w:szCs w:val="22"/>
          <w:lang w:val="en-GB"/>
        </w:rPr>
        <w:t xml:space="preserve"> </w:t>
      </w:r>
      <w:r w:rsidR="00D946A3" w:rsidRPr="00A511EE">
        <w:rPr>
          <w:rFonts w:ascii="Avenir Next" w:hAnsi="Avenir Next" w:cs="Arial"/>
          <w:color w:val="808080" w:themeColor="background1" w:themeShade="80"/>
          <w:sz w:val="22"/>
          <w:szCs w:val="22"/>
          <w:lang w:val="en-GB"/>
        </w:rPr>
        <w:t xml:space="preserve">foreign </w:t>
      </w:r>
      <w:r w:rsidR="00DF1A02" w:rsidRPr="00A511EE">
        <w:rPr>
          <w:rFonts w:ascii="Avenir Next" w:hAnsi="Avenir Next" w:cs="Arial"/>
          <w:color w:val="808080" w:themeColor="background1" w:themeShade="80"/>
          <w:sz w:val="22"/>
          <w:szCs w:val="22"/>
          <w:lang w:val="en-GB"/>
        </w:rPr>
        <w:t xml:space="preserve">main proceeding. In making such assessment, the court should consider </w:t>
      </w:r>
      <w:r w:rsidR="00776CE2" w:rsidRPr="00A511EE">
        <w:rPr>
          <w:rFonts w:ascii="Avenir Next" w:hAnsi="Avenir Next" w:cs="Arial"/>
          <w:color w:val="808080" w:themeColor="background1" w:themeShade="80"/>
          <w:sz w:val="22"/>
          <w:szCs w:val="22"/>
          <w:lang w:val="en-GB"/>
        </w:rPr>
        <w:t>whether, and be satisfied that, the relief sought relates to assets</w:t>
      </w:r>
      <w:r w:rsidR="00BC2E9F" w:rsidRPr="00A511EE">
        <w:rPr>
          <w:rFonts w:ascii="Avenir Next" w:hAnsi="Avenir Next" w:cs="Arial"/>
          <w:color w:val="808080" w:themeColor="background1" w:themeShade="80"/>
          <w:sz w:val="22"/>
          <w:szCs w:val="22"/>
          <w:lang w:val="en-GB"/>
        </w:rPr>
        <w:t xml:space="preserve"> to be </w:t>
      </w:r>
      <w:r w:rsidR="002A253B" w:rsidRPr="00A511EE">
        <w:rPr>
          <w:rFonts w:ascii="Avenir Next" w:hAnsi="Avenir Next" w:cs="Arial"/>
          <w:color w:val="808080" w:themeColor="background1" w:themeShade="80"/>
          <w:sz w:val="22"/>
          <w:szCs w:val="22"/>
          <w:lang w:val="en-GB"/>
        </w:rPr>
        <w:t xml:space="preserve">properly </w:t>
      </w:r>
      <w:r w:rsidR="00BC2E9F" w:rsidRPr="00A511EE">
        <w:rPr>
          <w:rFonts w:ascii="Avenir Next" w:hAnsi="Avenir Next" w:cs="Arial"/>
          <w:color w:val="808080" w:themeColor="background1" w:themeShade="80"/>
          <w:sz w:val="22"/>
          <w:szCs w:val="22"/>
          <w:lang w:val="en-GB"/>
        </w:rPr>
        <w:t xml:space="preserve">administered </w:t>
      </w:r>
      <w:r w:rsidR="00D946A3" w:rsidRPr="00A511EE">
        <w:rPr>
          <w:rFonts w:ascii="Avenir Next" w:hAnsi="Avenir Next" w:cs="Arial"/>
          <w:color w:val="808080" w:themeColor="background1" w:themeShade="80"/>
          <w:sz w:val="22"/>
          <w:szCs w:val="22"/>
          <w:lang w:val="en-GB"/>
        </w:rPr>
        <w:t>/ information required in the foreign non-main proceeding</w:t>
      </w:r>
      <w:r w:rsidR="00A511EE" w:rsidRPr="00A511EE">
        <w:rPr>
          <w:rFonts w:ascii="Avenir Next" w:hAnsi="Avenir Next" w:cs="Arial"/>
          <w:color w:val="808080" w:themeColor="background1" w:themeShade="80"/>
          <w:sz w:val="22"/>
          <w:szCs w:val="22"/>
          <w:lang w:val="en-GB"/>
        </w:rPr>
        <w:t xml:space="preserve"> or concerns information required in that proceeding</w:t>
      </w:r>
      <w:r w:rsidR="00D946A3" w:rsidRPr="00A511EE">
        <w:rPr>
          <w:rFonts w:ascii="Avenir Next" w:hAnsi="Avenir Next" w:cs="Arial"/>
          <w:color w:val="808080" w:themeColor="background1" w:themeShade="80"/>
          <w:sz w:val="22"/>
          <w:szCs w:val="22"/>
          <w:lang w:val="en-GB"/>
        </w:rPr>
        <w:t>.</w:t>
      </w:r>
      <w:r w:rsidR="00D946A3">
        <w:rPr>
          <w:rFonts w:ascii="Avenir Next" w:hAnsi="Avenir Next" w:cs="Arial"/>
          <w:color w:val="808080" w:themeColor="background1" w:themeShade="80"/>
          <w:sz w:val="22"/>
          <w:szCs w:val="22"/>
          <w:lang w:val="en-GB"/>
        </w:rPr>
        <w:t xml:space="preserve"> </w:t>
      </w:r>
      <w:r w:rsidR="00A511EE">
        <w:rPr>
          <w:rFonts w:ascii="Avenir Next" w:hAnsi="Avenir Next" w:cs="Arial"/>
          <w:color w:val="808080" w:themeColor="background1" w:themeShade="80"/>
          <w:sz w:val="22"/>
          <w:szCs w:val="22"/>
          <w:lang w:val="en-GB"/>
        </w:rPr>
        <w:t xml:space="preserve">When considering whether to grant discretionary relief, a court will generally </w:t>
      </w:r>
      <w:proofErr w:type="gramStart"/>
      <w:r w:rsidR="00A511EE">
        <w:rPr>
          <w:rFonts w:ascii="Avenir Next" w:hAnsi="Avenir Next" w:cs="Arial"/>
          <w:color w:val="808080" w:themeColor="background1" w:themeShade="80"/>
          <w:sz w:val="22"/>
          <w:szCs w:val="22"/>
          <w:lang w:val="en-GB"/>
        </w:rPr>
        <w:t>take into account</w:t>
      </w:r>
      <w:proofErr w:type="gramEnd"/>
      <w:r w:rsidR="00A511EE">
        <w:rPr>
          <w:rFonts w:ascii="Avenir Next" w:hAnsi="Avenir Next" w:cs="Arial"/>
          <w:color w:val="808080" w:themeColor="background1" w:themeShade="80"/>
          <w:sz w:val="22"/>
          <w:szCs w:val="22"/>
          <w:lang w:val="en-GB"/>
        </w:rPr>
        <w:t xml:space="preserve"> matters such as the interests of justice and in a MLCBI context, debtor and creditor rights. </w:t>
      </w:r>
    </w:p>
    <w:p w14:paraId="5630AECA" w14:textId="1D7ABE41" w:rsidR="00411DDE" w:rsidRPr="00E2622D" w:rsidRDefault="00411DDE"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D075261" w14:textId="32D2A658" w:rsidR="00867A8F" w:rsidRDefault="00881833" w:rsidP="00707FC8">
      <w:pPr>
        <w:jc w:val="both"/>
        <w:rPr>
          <w:rFonts w:ascii="Avenir Next" w:hAnsi="Avenir Next" w:cs="Arial"/>
          <w:color w:val="808080" w:themeColor="background1" w:themeShade="80"/>
          <w:sz w:val="22"/>
          <w:szCs w:val="22"/>
          <w:lang w:val="en-GB"/>
        </w:rPr>
      </w:pPr>
      <w:r w:rsidRPr="00881833">
        <w:rPr>
          <w:rFonts w:ascii="Avenir Next" w:hAnsi="Avenir Next" w:cs="Arial"/>
          <w:color w:val="808080" w:themeColor="background1" w:themeShade="80"/>
          <w:sz w:val="22"/>
          <w:szCs w:val="22"/>
          <w:lang w:val="en-GB"/>
        </w:rPr>
        <w:t>Article 13 of the MLCBI</w:t>
      </w:r>
      <w:r w:rsidR="00C834F7">
        <w:rPr>
          <w:rFonts w:ascii="Avenir Next" w:hAnsi="Avenir Next" w:cs="Arial"/>
          <w:color w:val="808080" w:themeColor="background1" w:themeShade="80"/>
          <w:sz w:val="22"/>
          <w:szCs w:val="22"/>
          <w:lang w:val="en-GB"/>
        </w:rPr>
        <w:t xml:space="preserve"> seeks to ensure that fore</w:t>
      </w:r>
      <w:r w:rsidR="008C22D8">
        <w:rPr>
          <w:rFonts w:ascii="Avenir Next" w:hAnsi="Avenir Next" w:cs="Arial"/>
          <w:color w:val="808080" w:themeColor="background1" w:themeShade="80"/>
          <w:sz w:val="22"/>
          <w:szCs w:val="22"/>
          <w:lang w:val="en-GB"/>
        </w:rPr>
        <w:t xml:space="preserve">ign creditors </w:t>
      </w:r>
      <w:r w:rsidR="00F2204E">
        <w:rPr>
          <w:rFonts w:ascii="Avenir Next" w:hAnsi="Avenir Next" w:cs="Arial"/>
          <w:color w:val="808080" w:themeColor="background1" w:themeShade="80"/>
          <w:sz w:val="22"/>
          <w:szCs w:val="22"/>
          <w:lang w:val="en-GB"/>
        </w:rPr>
        <w:t>have</w:t>
      </w:r>
      <w:r w:rsidR="008C22D8">
        <w:rPr>
          <w:rFonts w:ascii="Avenir Next" w:hAnsi="Avenir Next" w:cs="Arial"/>
          <w:color w:val="808080" w:themeColor="background1" w:themeShade="80"/>
          <w:sz w:val="22"/>
          <w:szCs w:val="22"/>
          <w:lang w:val="en-GB"/>
        </w:rPr>
        <w:t xml:space="preserve"> the </w:t>
      </w:r>
      <w:r w:rsidR="00191690">
        <w:rPr>
          <w:rFonts w:ascii="Avenir Next" w:hAnsi="Avenir Next" w:cs="Arial"/>
          <w:color w:val="808080" w:themeColor="background1" w:themeShade="80"/>
          <w:sz w:val="22"/>
          <w:szCs w:val="22"/>
          <w:lang w:val="en-GB"/>
        </w:rPr>
        <w:t xml:space="preserve">same </w:t>
      </w:r>
      <w:r w:rsidR="00137ACD">
        <w:rPr>
          <w:rFonts w:ascii="Avenir Next" w:hAnsi="Avenir Next" w:cs="Arial"/>
          <w:color w:val="808080" w:themeColor="background1" w:themeShade="80"/>
          <w:sz w:val="22"/>
          <w:szCs w:val="22"/>
          <w:lang w:val="en-GB"/>
        </w:rPr>
        <w:t xml:space="preserve">access </w:t>
      </w:r>
      <w:r w:rsidR="00191690">
        <w:rPr>
          <w:rFonts w:ascii="Avenir Next" w:hAnsi="Avenir Next" w:cs="Arial"/>
          <w:color w:val="808080" w:themeColor="background1" w:themeShade="80"/>
          <w:sz w:val="22"/>
          <w:szCs w:val="22"/>
          <w:lang w:val="en-GB"/>
        </w:rPr>
        <w:t>rights as domestic creditors (i.e. creditors in the enacting state)</w:t>
      </w:r>
      <w:r w:rsidR="000F6FF4">
        <w:rPr>
          <w:rFonts w:ascii="Avenir Next" w:hAnsi="Avenir Next" w:cs="Arial"/>
          <w:color w:val="808080" w:themeColor="background1" w:themeShade="80"/>
          <w:sz w:val="22"/>
          <w:szCs w:val="22"/>
          <w:lang w:val="en-GB"/>
        </w:rPr>
        <w:t xml:space="preserve"> in terms of </w:t>
      </w:r>
      <w:r w:rsidR="00206C87">
        <w:rPr>
          <w:rFonts w:ascii="Avenir Next" w:hAnsi="Avenir Next" w:cs="Arial"/>
          <w:color w:val="808080" w:themeColor="background1" w:themeShade="80"/>
          <w:sz w:val="22"/>
          <w:szCs w:val="22"/>
          <w:lang w:val="en-GB"/>
        </w:rPr>
        <w:t xml:space="preserve">foreign </w:t>
      </w:r>
      <w:r w:rsidR="000F7EFC">
        <w:rPr>
          <w:rFonts w:ascii="Avenir Next" w:hAnsi="Avenir Next" w:cs="Arial"/>
          <w:color w:val="808080" w:themeColor="background1" w:themeShade="80"/>
          <w:sz w:val="22"/>
          <w:szCs w:val="22"/>
          <w:lang w:val="en-GB"/>
        </w:rPr>
        <w:t>proceeding</w:t>
      </w:r>
      <w:r w:rsidR="00206C87">
        <w:rPr>
          <w:rFonts w:ascii="Avenir Next" w:hAnsi="Avenir Next" w:cs="Arial"/>
          <w:color w:val="808080" w:themeColor="background1" w:themeShade="80"/>
          <w:sz w:val="22"/>
          <w:szCs w:val="22"/>
          <w:lang w:val="en-GB"/>
        </w:rPr>
        <w:t>s</w:t>
      </w:r>
      <w:r w:rsidR="00F2204E">
        <w:rPr>
          <w:rFonts w:ascii="Avenir Next" w:hAnsi="Avenir Next" w:cs="Arial"/>
          <w:color w:val="808080" w:themeColor="background1" w:themeShade="80"/>
          <w:sz w:val="22"/>
          <w:szCs w:val="22"/>
          <w:lang w:val="en-GB"/>
        </w:rPr>
        <w:t xml:space="preserve">, including rights </w:t>
      </w:r>
      <w:r w:rsidR="00206C87" w:rsidRPr="00206C87">
        <w:rPr>
          <w:rFonts w:ascii="Avenir Next" w:hAnsi="Avenir Next" w:cs="Arial"/>
          <w:color w:val="808080" w:themeColor="background1" w:themeShade="80"/>
          <w:sz w:val="22"/>
          <w:szCs w:val="22"/>
          <w:lang w:val="en-GB"/>
        </w:rPr>
        <w:t>regarding the commencement of, and participation in, a</w:t>
      </w:r>
      <w:r w:rsidR="00EF67AE">
        <w:rPr>
          <w:rFonts w:ascii="Avenir Next" w:hAnsi="Avenir Next" w:cs="Arial"/>
          <w:color w:val="808080" w:themeColor="background1" w:themeShade="80"/>
          <w:sz w:val="22"/>
          <w:szCs w:val="22"/>
          <w:lang w:val="en-GB"/>
        </w:rPr>
        <w:t xml:space="preserve"> foreign</w:t>
      </w:r>
      <w:r w:rsidR="00206C87" w:rsidRPr="00206C87">
        <w:rPr>
          <w:rFonts w:ascii="Avenir Next" w:hAnsi="Avenir Next" w:cs="Arial"/>
          <w:color w:val="808080" w:themeColor="background1" w:themeShade="80"/>
          <w:sz w:val="22"/>
          <w:szCs w:val="22"/>
          <w:lang w:val="en-GB"/>
        </w:rPr>
        <w:t xml:space="preserve"> proceed</w:t>
      </w:r>
      <w:r w:rsidR="00F2204E">
        <w:rPr>
          <w:rFonts w:ascii="Avenir Next" w:hAnsi="Avenir Next" w:cs="Arial"/>
          <w:color w:val="808080" w:themeColor="background1" w:themeShade="80"/>
          <w:sz w:val="22"/>
          <w:szCs w:val="22"/>
          <w:lang w:val="en-GB"/>
        </w:rPr>
        <w:t>ing</w:t>
      </w:r>
      <w:r w:rsidR="00EF67AE">
        <w:rPr>
          <w:rFonts w:ascii="Avenir Next" w:hAnsi="Avenir Next" w:cs="Arial"/>
          <w:color w:val="808080" w:themeColor="background1" w:themeShade="80"/>
          <w:sz w:val="22"/>
          <w:szCs w:val="22"/>
          <w:lang w:val="en-GB"/>
        </w:rPr>
        <w:t xml:space="preserve">. That said, </w:t>
      </w:r>
      <w:r w:rsidR="008A08B7">
        <w:rPr>
          <w:rFonts w:ascii="Avenir Next" w:hAnsi="Avenir Next" w:cs="Arial"/>
          <w:color w:val="808080" w:themeColor="background1" w:themeShade="80"/>
          <w:sz w:val="22"/>
          <w:szCs w:val="22"/>
          <w:lang w:val="en-GB"/>
        </w:rPr>
        <w:t>pursuant to Article 13(2)</w:t>
      </w:r>
      <w:r w:rsidR="00626A7A">
        <w:rPr>
          <w:rFonts w:ascii="Avenir Next" w:hAnsi="Avenir Next" w:cs="Arial"/>
          <w:color w:val="808080" w:themeColor="background1" w:themeShade="80"/>
          <w:sz w:val="22"/>
          <w:szCs w:val="22"/>
          <w:lang w:val="en-GB"/>
        </w:rPr>
        <w:t xml:space="preserve"> and footnote (b) </w:t>
      </w:r>
      <w:r w:rsidR="00515D2E">
        <w:rPr>
          <w:rFonts w:ascii="Avenir Next" w:hAnsi="Avenir Next" w:cs="Arial"/>
          <w:color w:val="808080" w:themeColor="background1" w:themeShade="80"/>
          <w:sz w:val="22"/>
          <w:szCs w:val="22"/>
          <w:lang w:val="en-GB"/>
        </w:rPr>
        <w:t xml:space="preserve">to Article 13(2) </w:t>
      </w:r>
      <w:r w:rsidR="00626A7A">
        <w:rPr>
          <w:rFonts w:ascii="Avenir Next" w:hAnsi="Avenir Next" w:cs="Arial"/>
          <w:color w:val="808080" w:themeColor="background1" w:themeShade="80"/>
          <w:sz w:val="22"/>
          <w:szCs w:val="22"/>
          <w:lang w:val="en-GB"/>
        </w:rPr>
        <w:t>(respectively</w:t>
      </w:r>
      <w:r w:rsidR="00515D2E">
        <w:rPr>
          <w:rFonts w:ascii="Avenir Next" w:hAnsi="Avenir Next" w:cs="Arial"/>
          <w:color w:val="808080" w:themeColor="background1" w:themeShade="80"/>
          <w:sz w:val="22"/>
          <w:szCs w:val="22"/>
          <w:lang w:val="en-GB"/>
        </w:rPr>
        <w:t>)</w:t>
      </w:r>
      <w:r w:rsidR="000879FB">
        <w:rPr>
          <w:rFonts w:ascii="Avenir Next" w:hAnsi="Avenir Next" w:cs="Arial"/>
          <w:color w:val="808080" w:themeColor="background1" w:themeShade="80"/>
          <w:sz w:val="22"/>
          <w:szCs w:val="22"/>
          <w:lang w:val="en-GB"/>
        </w:rPr>
        <w:t xml:space="preserve">, </w:t>
      </w:r>
      <w:r w:rsidR="008A08B7">
        <w:rPr>
          <w:rFonts w:ascii="Avenir Next" w:hAnsi="Avenir Next" w:cs="Arial"/>
          <w:color w:val="808080" w:themeColor="background1" w:themeShade="80"/>
          <w:sz w:val="22"/>
          <w:szCs w:val="22"/>
          <w:lang w:val="en-GB"/>
        </w:rPr>
        <w:t>such rights</w:t>
      </w:r>
      <w:r w:rsidR="000879FB">
        <w:rPr>
          <w:rFonts w:ascii="Avenir Next" w:hAnsi="Avenir Next" w:cs="Arial"/>
          <w:color w:val="808080" w:themeColor="background1" w:themeShade="80"/>
          <w:sz w:val="22"/>
          <w:szCs w:val="22"/>
          <w:lang w:val="en-GB"/>
        </w:rPr>
        <w:t xml:space="preserve"> shall not affect the ranking of claims (except that </w:t>
      </w:r>
      <w:r w:rsidR="00822119">
        <w:rPr>
          <w:rFonts w:ascii="Avenir Next" w:hAnsi="Avenir Next" w:cs="Arial"/>
          <w:color w:val="808080" w:themeColor="background1" w:themeShade="80"/>
          <w:sz w:val="22"/>
          <w:szCs w:val="22"/>
          <w:lang w:val="en-GB"/>
        </w:rPr>
        <w:t>foreign creditor claims shall not rank lower than unsecured creditors)</w:t>
      </w:r>
      <w:r w:rsidR="00626A7A">
        <w:rPr>
          <w:rFonts w:ascii="Avenir Next" w:hAnsi="Avenir Next" w:cs="Arial"/>
          <w:color w:val="808080" w:themeColor="background1" w:themeShade="80"/>
          <w:sz w:val="22"/>
          <w:szCs w:val="22"/>
          <w:lang w:val="en-GB"/>
        </w:rPr>
        <w:t xml:space="preserve"> / any relevant exclusions (such as tax / social security claims). </w:t>
      </w:r>
      <w:r w:rsidR="00822119">
        <w:rPr>
          <w:rFonts w:ascii="Avenir Next" w:hAnsi="Avenir Next" w:cs="Arial"/>
          <w:color w:val="808080" w:themeColor="background1" w:themeShade="80"/>
          <w:sz w:val="22"/>
          <w:szCs w:val="22"/>
          <w:lang w:val="en-GB"/>
        </w:rPr>
        <w:t xml:space="preserve"> </w:t>
      </w:r>
      <w:r w:rsidR="008A08B7">
        <w:rPr>
          <w:rFonts w:ascii="Avenir Next" w:hAnsi="Avenir Next" w:cs="Arial"/>
          <w:color w:val="808080" w:themeColor="background1" w:themeShade="80"/>
          <w:sz w:val="22"/>
          <w:szCs w:val="22"/>
          <w:lang w:val="en-GB"/>
        </w:rPr>
        <w:t xml:space="preserve"> </w:t>
      </w:r>
    </w:p>
    <w:p w14:paraId="1335E49D" w14:textId="77777777" w:rsidR="00881833" w:rsidRPr="00E2622D" w:rsidRDefault="00881833"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6204C673" w:rsidR="00100E8F" w:rsidRPr="00B77352" w:rsidRDefault="00B6760E" w:rsidP="00364D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distinction </w:t>
      </w:r>
      <w:r w:rsidR="0089521D" w:rsidRPr="0089521D">
        <w:rPr>
          <w:rFonts w:ascii="Avenir Next" w:hAnsi="Avenir Next" w:cs="Arial"/>
          <w:color w:val="808080" w:themeColor="background1" w:themeShade="80"/>
          <w:sz w:val="22"/>
          <w:szCs w:val="22"/>
          <w:lang w:val="en-GB"/>
        </w:rPr>
        <w:t xml:space="preserve">with respect to the relief available in foreign main versus foreign non-main proceedings </w:t>
      </w:r>
      <w:r>
        <w:rPr>
          <w:rFonts w:ascii="Avenir Next" w:hAnsi="Avenir Next" w:cs="Arial"/>
          <w:color w:val="808080" w:themeColor="background1" w:themeShade="80"/>
          <w:sz w:val="22"/>
          <w:szCs w:val="22"/>
          <w:lang w:val="en-GB"/>
        </w:rPr>
        <w:t xml:space="preserve">is </w:t>
      </w:r>
      <w:r w:rsidR="00971AFA">
        <w:rPr>
          <w:rFonts w:ascii="Avenir Next" w:hAnsi="Avenir Next" w:cs="Arial"/>
          <w:color w:val="808080" w:themeColor="background1" w:themeShade="80"/>
          <w:sz w:val="22"/>
          <w:szCs w:val="22"/>
          <w:lang w:val="en-GB"/>
        </w:rPr>
        <w:t xml:space="preserve">whether the </w:t>
      </w:r>
      <w:r w:rsidR="00396E7F">
        <w:rPr>
          <w:rFonts w:ascii="Avenir Next" w:hAnsi="Avenir Next" w:cs="Arial"/>
          <w:color w:val="808080" w:themeColor="background1" w:themeShade="80"/>
          <w:sz w:val="22"/>
          <w:szCs w:val="22"/>
          <w:lang w:val="en-GB"/>
        </w:rPr>
        <w:t xml:space="preserve">foreign proceeding </w:t>
      </w:r>
      <w:r w:rsidR="00971AFA">
        <w:rPr>
          <w:rFonts w:ascii="Avenir Next" w:hAnsi="Avenir Next" w:cs="Arial"/>
          <w:color w:val="808080" w:themeColor="background1" w:themeShade="80"/>
          <w:sz w:val="22"/>
          <w:szCs w:val="22"/>
          <w:lang w:val="en-GB"/>
        </w:rPr>
        <w:t>has the benefit of automatic relief</w:t>
      </w:r>
      <w:r w:rsidR="0079085C">
        <w:rPr>
          <w:rFonts w:ascii="Avenir Next" w:hAnsi="Avenir Next" w:cs="Arial"/>
          <w:color w:val="808080" w:themeColor="background1" w:themeShade="80"/>
          <w:sz w:val="22"/>
          <w:szCs w:val="22"/>
          <w:lang w:val="en-GB"/>
        </w:rPr>
        <w:t xml:space="preserve"> or not. </w:t>
      </w:r>
      <w:r w:rsidR="00A0258C">
        <w:rPr>
          <w:rFonts w:ascii="Avenir Next" w:hAnsi="Avenir Next" w:cs="Arial"/>
          <w:color w:val="808080" w:themeColor="background1" w:themeShade="80"/>
          <w:sz w:val="22"/>
          <w:szCs w:val="22"/>
          <w:lang w:val="en-GB"/>
        </w:rPr>
        <w:t>If the proceeding does not have the benefit of automatic relief, such relief is discretionary</w:t>
      </w:r>
      <w:r w:rsidR="000C461E">
        <w:rPr>
          <w:rFonts w:ascii="Avenir Next" w:hAnsi="Avenir Next" w:cs="Arial"/>
          <w:color w:val="808080" w:themeColor="background1" w:themeShade="80"/>
          <w:sz w:val="22"/>
          <w:szCs w:val="22"/>
          <w:lang w:val="en-GB"/>
        </w:rPr>
        <w:t xml:space="preserve"> (and must be sought)</w:t>
      </w:r>
      <w:r w:rsidR="00A0258C">
        <w:rPr>
          <w:rFonts w:ascii="Avenir Next" w:hAnsi="Avenir Next" w:cs="Arial"/>
          <w:color w:val="808080" w:themeColor="background1" w:themeShade="80"/>
          <w:sz w:val="22"/>
          <w:szCs w:val="22"/>
          <w:lang w:val="en-GB"/>
        </w:rPr>
        <w:t xml:space="preserve">. </w:t>
      </w:r>
      <w:r w:rsidR="0079085C">
        <w:rPr>
          <w:rFonts w:ascii="Avenir Next" w:hAnsi="Avenir Next" w:cs="Arial"/>
          <w:color w:val="808080" w:themeColor="background1" w:themeShade="80"/>
          <w:sz w:val="22"/>
          <w:szCs w:val="22"/>
          <w:lang w:val="en-GB"/>
        </w:rPr>
        <w:t xml:space="preserve">For example, </w:t>
      </w:r>
      <w:r w:rsidR="0009282F">
        <w:rPr>
          <w:rFonts w:ascii="Avenir Next" w:hAnsi="Avenir Next" w:cs="Arial"/>
          <w:color w:val="808080" w:themeColor="background1" w:themeShade="80"/>
          <w:sz w:val="22"/>
          <w:szCs w:val="22"/>
          <w:lang w:val="en-GB"/>
        </w:rPr>
        <w:t>upon recognition of</w:t>
      </w:r>
      <w:r w:rsidR="008D27E7">
        <w:rPr>
          <w:rFonts w:ascii="Avenir Next" w:hAnsi="Avenir Next" w:cs="Arial"/>
          <w:color w:val="808080" w:themeColor="background1" w:themeShade="80"/>
          <w:sz w:val="22"/>
          <w:szCs w:val="22"/>
          <w:lang w:val="en-GB"/>
        </w:rPr>
        <w:t xml:space="preserve"> a foreign main proceeding, </w:t>
      </w:r>
      <w:r w:rsidR="00AD434C">
        <w:rPr>
          <w:rFonts w:ascii="Avenir Next" w:hAnsi="Avenir Next" w:cs="Arial"/>
          <w:color w:val="808080" w:themeColor="background1" w:themeShade="80"/>
          <w:sz w:val="22"/>
          <w:szCs w:val="22"/>
          <w:lang w:val="en-GB"/>
        </w:rPr>
        <w:t>Article 20</w:t>
      </w:r>
      <w:r w:rsidR="008200DD">
        <w:rPr>
          <w:rFonts w:ascii="Avenir Next" w:hAnsi="Avenir Next" w:cs="Arial"/>
          <w:color w:val="808080" w:themeColor="background1" w:themeShade="80"/>
          <w:sz w:val="22"/>
          <w:szCs w:val="22"/>
          <w:lang w:val="en-GB"/>
        </w:rPr>
        <w:t>(1)</w:t>
      </w:r>
      <w:r w:rsidR="0009282F">
        <w:rPr>
          <w:rFonts w:ascii="Avenir Next" w:hAnsi="Avenir Next" w:cs="Arial"/>
          <w:color w:val="808080" w:themeColor="background1" w:themeShade="80"/>
          <w:sz w:val="22"/>
          <w:szCs w:val="22"/>
          <w:lang w:val="en-GB"/>
        </w:rPr>
        <w:t xml:space="preserve">(b) </w:t>
      </w:r>
      <w:r w:rsidR="00AD434C">
        <w:rPr>
          <w:rFonts w:ascii="Avenir Next" w:hAnsi="Avenir Next" w:cs="Arial"/>
          <w:color w:val="808080" w:themeColor="background1" w:themeShade="80"/>
          <w:sz w:val="22"/>
          <w:szCs w:val="22"/>
          <w:lang w:val="en-GB"/>
        </w:rPr>
        <w:t xml:space="preserve">imposes </w:t>
      </w:r>
      <w:r w:rsidR="008D27E7">
        <w:rPr>
          <w:rFonts w:ascii="Avenir Next" w:hAnsi="Avenir Next" w:cs="Arial"/>
          <w:color w:val="808080" w:themeColor="background1" w:themeShade="80"/>
          <w:sz w:val="22"/>
          <w:szCs w:val="22"/>
          <w:lang w:val="en-GB"/>
        </w:rPr>
        <w:t xml:space="preserve">an automatic </w:t>
      </w:r>
      <w:r w:rsidR="00971AFA">
        <w:rPr>
          <w:rFonts w:ascii="Avenir Next" w:hAnsi="Avenir Next" w:cs="Arial"/>
          <w:color w:val="808080" w:themeColor="background1" w:themeShade="80"/>
          <w:sz w:val="22"/>
          <w:szCs w:val="22"/>
          <w:lang w:val="en-GB"/>
        </w:rPr>
        <w:t>stay of execution over the debtor’s assets,</w:t>
      </w:r>
      <w:r w:rsidR="00F93A12">
        <w:rPr>
          <w:rFonts w:ascii="Avenir Next" w:hAnsi="Avenir Next" w:cs="Arial"/>
          <w:color w:val="808080" w:themeColor="background1" w:themeShade="80"/>
          <w:sz w:val="22"/>
          <w:szCs w:val="22"/>
          <w:lang w:val="en-GB"/>
        </w:rPr>
        <w:t xml:space="preserve"> whereas </w:t>
      </w:r>
      <w:r w:rsidR="00AD434C">
        <w:rPr>
          <w:rFonts w:ascii="Avenir Next" w:hAnsi="Avenir Next" w:cs="Arial"/>
          <w:color w:val="808080" w:themeColor="background1" w:themeShade="80"/>
          <w:sz w:val="22"/>
          <w:szCs w:val="22"/>
          <w:lang w:val="en-GB"/>
        </w:rPr>
        <w:t xml:space="preserve">in a foreign non-main proceeding, </w:t>
      </w:r>
      <w:r w:rsidR="00F93A12">
        <w:rPr>
          <w:rFonts w:ascii="Avenir Next" w:hAnsi="Avenir Next" w:cs="Arial"/>
          <w:color w:val="808080" w:themeColor="background1" w:themeShade="80"/>
          <w:sz w:val="22"/>
          <w:szCs w:val="22"/>
          <w:lang w:val="en-GB"/>
        </w:rPr>
        <w:t xml:space="preserve">the </w:t>
      </w:r>
      <w:r w:rsidR="00AD434C">
        <w:rPr>
          <w:rFonts w:ascii="Avenir Next" w:hAnsi="Avenir Next" w:cs="Arial"/>
          <w:color w:val="808080" w:themeColor="background1" w:themeShade="80"/>
          <w:sz w:val="22"/>
          <w:szCs w:val="22"/>
          <w:lang w:val="en-GB"/>
        </w:rPr>
        <w:t>foreign representative</w:t>
      </w:r>
      <w:r w:rsidR="00AD434C" w:rsidRPr="0013639C">
        <w:rPr>
          <w:rFonts w:ascii="Avenir Next" w:hAnsi="Avenir Next" w:cs="Arial"/>
          <w:color w:val="808080" w:themeColor="background1" w:themeShade="80"/>
          <w:sz w:val="22"/>
          <w:szCs w:val="22"/>
          <w:lang w:val="en-GB"/>
        </w:rPr>
        <w:t xml:space="preserve"> </w:t>
      </w:r>
      <w:r w:rsidR="00971AFA" w:rsidRPr="0013639C">
        <w:rPr>
          <w:rFonts w:ascii="Avenir Next" w:hAnsi="Avenir Next" w:cs="Arial"/>
          <w:color w:val="808080" w:themeColor="background1" w:themeShade="80"/>
          <w:sz w:val="22"/>
          <w:szCs w:val="22"/>
          <w:lang w:val="en-GB"/>
        </w:rPr>
        <w:t xml:space="preserve">will need to apply </w:t>
      </w:r>
      <w:r w:rsidR="0017211E">
        <w:rPr>
          <w:rFonts w:ascii="Avenir Next" w:hAnsi="Avenir Next" w:cs="Arial"/>
          <w:color w:val="808080" w:themeColor="background1" w:themeShade="80"/>
          <w:sz w:val="22"/>
          <w:szCs w:val="22"/>
          <w:lang w:val="en-GB"/>
        </w:rPr>
        <w:t xml:space="preserve">to the court </w:t>
      </w:r>
      <w:r w:rsidR="00971AFA" w:rsidRPr="0013639C">
        <w:rPr>
          <w:rFonts w:ascii="Avenir Next" w:hAnsi="Avenir Next" w:cs="Arial"/>
          <w:color w:val="808080" w:themeColor="background1" w:themeShade="80"/>
          <w:sz w:val="22"/>
          <w:szCs w:val="22"/>
          <w:lang w:val="en-GB"/>
        </w:rPr>
        <w:t>for such</w:t>
      </w:r>
      <w:r w:rsidR="00971AFA">
        <w:rPr>
          <w:rFonts w:ascii="Avenir Next" w:hAnsi="Avenir Next" w:cs="Arial"/>
          <w:color w:val="808080" w:themeColor="background1" w:themeShade="80"/>
          <w:sz w:val="22"/>
          <w:szCs w:val="22"/>
          <w:lang w:val="en-GB"/>
        </w:rPr>
        <w:t xml:space="preserve"> relief (Article 21</w:t>
      </w:r>
      <w:r w:rsidR="008200DD">
        <w:rPr>
          <w:rFonts w:ascii="Avenir Next" w:hAnsi="Avenir Next" w:cs="Arial"/>
          <w:color w:val="808080" w:themeColor="background1" w:themeShade="80"/>
          <w:sz w:val="22"/>
          <w:szCs w:val="22"/>
          <w:lang w:val="en-GB"/>
        </w:rPr>
        <w:t>(1)</w:t>
      </w:r>
      <w:r w:rsidR="004A5337">
        <w:rPr>
          <w:rFonts w:ascii="Avenir Next" w:hAnsi="Avenir Next" w:cs="Arial"/>
          <w:color w:val="808080" w:themeColor="background1" w:themeShade="80"/>
          <w:sz w:val="22"/>
          <w:szCs w:val="22"/>
          <w:lang w:val="en-GB"/>
        </w:rPr>
        <w:t>(b)</w:t>
      </w:r>
      <w:r w:rsidR="008200DD">
        <w:rPr>
          <w:rFonts w:ascii="Avenir Next" w:hAnsi="Avenir Next" w:cs="Arial"/>
          <w:color w:val="808080" w:themeColor="background1" w:themeShade="80"/>
          <w:sz w:val="22"/>
          <w:szCs w:val="22"/>
          <w:lang w:val="en-GB"/>
        </w:rPr>
        <w:t>)</w:t>
      </w:r>
      <w:r w:rsidR="0069280C">
        <w:rPr>
          <w:rFonts w:ascii="Avenir Next" w:hAnsi="Avenir Next" w:cs="Arial"/>
          <w:color w:val="808080" w:themeColor="background1" w:themeShade="80"/>
          <w:sz w:val="22"/>
          <w:szCs w:val="22"/>
          <w:lang w:val="en-GB"/>
        </w:rPr>
        <w:t xml:space="preserve"> and show that the relief sought is </w:t>
      </w:r>
      <w:r w:rsidR="0069412D" w:rsidRPr="0069412D">
        <w:rPr>
          <w:rFonts w:ascii="Avenir Next" w:hAnsi="Avenir Next" w:cs="Arial"/>
          <w:color w:val="808080" w:themeColor="background1" w:themeShade="80"/>
          <w:sz w:val="22"/>
          <w:szCs w:val="22"/>
          <w:lang w:val="en-GB"/>
        </w:rPr>
        <w:t>necessary to protect the assets of the debtor or the interests of the creditors</w:t>
      </w:r>
      <w:r w:rsidR="008200DD">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44309407" w:rsidR="00867A8F" w:rsidRPr="00B77352" w:rsidRDefault="00D6277E" w:rsidP="00364D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I understand the question correctly, </w:t>
      </w:r>
      <w:r w:rsidR="000A7B8D">
        <w:rPr>
          <w:rFonts w:ascii="Avenir Next" w:hAnsi="Avenir Next" w:cs="Arial"/>
          <w:color w:val="808080" w:themeColor="background1" w:themeShade="80"/>
          <w:sz w:val="22"/>
          <w:szCs w:val="22"/>
          <w:lang w:val="en-GB"/>
        </w:rPr>
        <w:t>recogni</w:t>
      </w:r>
      <w:r w:rsidR="002B790F">
        <w:rPr>
          <w:rFonts w:ascii="Avenir Next" w:hAnsi="Avenir Next" w:cs="Arial"/>
          <w:color w:val="808080" w:themeColor="background1" w:themeShade="80"/>
          <w:sz w:val="22"/>
          <w:szCs w:val="22"/>
          <w:lang w:val="en-GB"/>
        </w:rPr>
        <w:t xml:space="preserve">tion </w:t>
      </w:r>
      <w:r w:rsidR="001F0448">
        <w:rPr>
          <w:rFonts w:ascii="Avenir Next" w:hAnsi="Avenir Next" w:cs="Arial"/>
          <w:color w:val="808080" w:themeColor="background1" w:themeShade="80"/>
          <w:sz w:val="22"/>
          <w:szCs w:val="22"/>
          <w:lang w:val="en-GB"/>
        </w:rPr>
        <w:t>(of foreign</w:t>
      </w:r>
      <w:r w:rsidR="00366DF7">
        <w:rPr>
          <w:rFonts w:ascii="Avenir Next" w:hAnsi="Avenir Next" w:cs="Arial"/>
          <w:color w:val="808080" w:themeColor="background1" w:themeShade="80"/>
          <w:sz w:val="22"/>
          <w:szCs w:val="22"/>
          <w:lang w:val="en-GB"/>
        </w:rPr>
        <w:t xml:space="preserve"> main and non-main</w:t>
      </w:r>
      <w:r w:rsidR="001F0448">
        <w:rPr>
          <w:rFonts w:ascii="Avenir Next" w:hAnsi="Avenir Next" w:cs="Arial"/>
          <w:color w:val="808080" w:themeColor="background1" w:themeShade="80"/>
          <w:sz w:val="22"/>
          <w:szCs w:val="22"/>
          <w:lang w:val="en-GB"/>
        </w:rPr>
        <w:t xml:space="preserve"> proceedings)</w:t>
      </w:r>
      <w:r w:rsidR="00334351">
        <w:rPr>
          <w:rFonts w:ascii="Avenir Next" w:hAnsi="Avenir Next" w:cs="Arial"/>
          <w:color w:val="808080" w:themeColor="background1" w:themeShade="80"/>
          <w:sz w:val="22"/>
          <w:szCs w:val="22"/>
          <w:lang w:val="en-GB"/>
        </w:rPr>
        <w:t xml:space="preserve"> proceedings</w:t>
      </w:r>
      <w:r w:rsidR="001F0448">
        <w:rPr>
          <w:rFonts w:ascii="Avenir Next" w:hAnsi="Avenir Next" w:cs="Arial"/>
          <w:color w:val="808080" w:themeColor="background1" w:themeShade="80"/>
          <w:sz w:val="22"/>
          <w:szCs w:val="22"/>
          <w:lang w:val="en-GB"/>
        </w:rPr>
        <w:t xml:space="preserve"> have been opened in the USA. </w:t>
      </w:r>
      <w:r w:rsidR="000842BD">
        <w:rPr>
          <w:rFonts w:ascii="Avenir Next" w:hAnsi="Avenir Next" w:cs="Arial"/>
          <w:color w:val="808080" w:themeColor="background1" w:themeShade="80"/>
          <w:sz w:val="22"/>
          <w:szCs w:val="22"/>
          <w:lang w:val="en-GB"/>
        </w:rPr>
        <w:t>The f</w:t>
      </w:r>
      <w:r w:rsidR="00910BC5">
        <w:rPr>
          <w:rFonts w:ascii="Avenir Next" w:hAnsi="Avenir Next" w:cs="Arial"/>
          <w:color w:val="808080" w:themeColor="background1" w:themeShade="80"/>
          <w:sz w:val="22"/>
          <w:szCs w:val="22"/>
          <w:lang w:val="en-GB"/>
        </w:rPr>
        <w:t>oreign proceedings</w:t>
      </w:r>
      <w:r w:rsidR="000842BD">
        <w:rPr>
          <w:rFonts w:ascii="Avenir Next" w:hAnsi="Avenir Next" w:cs="Arial"/>
          <w:color w:val="808080" w:themeColor="background1" w:themeShade="80"/>
          <w:sz w:val="22"/>
          <w:szCs w:val="22"/>
          <w:lang w:val="en-GB"/>
        </w:rPr>
        <w:t xml:space="preserve"> in question</w:t>
      </w:r>
      <w:r w:rsidR="00910BC5">
        <w:rPr>
          <w:rFonts w:ascii="Avenir Next" w:hAnsi="Avenir Next" w:cs="Arial"/>
          <w:color w:val="808080" w:themeColor="background1" w:themeShade="80"/>
          <w:sz w:val="22"/>
          <w:szCs w:val="22"/>
          <w:lang w:val="en-GB"/>
        </w:rPr>
        <w:t xml:space="preserve"> must have been filed in Germany and Bermuda. </w:t>
      </w:r>
      <w:r w:rsidR="000842BD">
        <w:rPr>
          <w:rFonts w:ascii="Avenir Next" w:hAnsi="Avenir Next" w:cs="Arial"/>
          <w:color w:val="808080" w:themeColor="background1" w:themeShade="80"/>
          <w:sz w:val="22"/>
          <w:szCs w:val="22"/>
          <w:lang w:val="en-GB"/>
        </w:rPr>
        <w:t>P</w:t>
      </w:r>
      <w:r w:rsidR="001F0448">
        <w:rPr>
          <w:rFonts w:ascii="Avenir Next" w:hAnsi="Avenir Next" w:cs="Arial"/>
          <w:color w:val="808080" w:themeColor="background1" w:themeShade="80"/>
          <w:sz w:val="22"/>
          <w:szCs w:val="22"/>
          <w:lang w:val="en-GB"/>
        </w:rPr>
        <w:t xml:space="preserve">ursuant to Article </w:t>
      </w:r>
      <w:r w:rsidR="00852403">
        <w:rPr>
          <w:rFonts w:ascii="Avenir Next" w:hAnsi="Avenir Next" w:cs="Arial"/>
          <w:color w:val="808080" w:themeColor="background1" w:themeShade="80"/>
          <w:sz w:val="22"/>
          <w:szCs w:val="22"/>
          <w:lang w:val="en-GB"/>
        </w:rPr>
        <w:t>2</w:t>
      </w:r>
      <w:r w:rsidR="00EF7280">
        <w:rPr>
          <w:rFonts w:ascii="Avenir Next" w:hAnsi="Avenir Next" w:cs="Arial"/>
          <w:color w:val="808080" w:themeColor="background1" w:themeShade="80"/>
          <w:sz w:val="22"/>
          <w:szCs w:val="22"/>
          <w:lang w:val="en-GB"/>
        </w:rPr>
        <w:t>,</w:t>
      </w:r>
      <w:r w:rsidR="0074656A">
        <w:rPr>
          <w:rFonts w:ascii="Avenir Next" w:hAnsi="Avenir Next" w:cs="Arial"/>
          <w:color w:val="808080" w:themeColor="background1" w:themeShade="80"/>
          <w:sz w:val="22"/>
          <w:szCs w:val="22"/>
          <w:lang w:val="en-GB"/>
        </w:rPr>
        <w:t xml:space="preserve"> the MLCBI determines that</w:t>
      </w:r>
      <w:r w:rsidR="00F042EB">
        <w:rPr>
          <w:rFonts w:ascii="Avenir Next" w:hAnsi="Avenir Next" w:cs="Arial"/>
          <w:color w:val="808080" w:themeColor="background1" w:themeShade="80"/>
          <w:sz w:val="22"/>
          <w:szCs w:val="22"/>
          <w:lang w:val="en-GB"/>
        </w:rPr>
        <w:t>: (i)</w:t>
      </w:r>
      <w:r w:rsidR="0074656A">
        <w:rPr>
          <w:rFonts w:ascii="Avenir Next" w:hAnsi="Avenir Next" w:cs="Arial"/>
          <w:color w:val="808080" w:themeColor="background1" w:themeShade="80"/>
          <w:sz w:val="22"/>
          <w:szCs w:val="22"/>
          <w:lang w:val="en-GB"/>
        </w:rPr>
        <w:t xml:space="preserve"> the German proceedings are the </w:t>
      </w:r>
      <w:r w:rsidR="001F0448">
        <w:rPr>
          <w:rFonts w:ascii="Avenir Next" w:hAnsi="Avenir Next" w:cs="Arial"/>
          <w:color w:val="808080" w:themeColor="background1" w:themeShade="80"/>
          <w:sz w:val="22"/>
          <w:szCs w:val="22"/>
          <w:lang w:val="en-GB"/>
        </w:rPr>
        <w:t xml:space="preserve">foreign </w:t>
      </w:r>
      <w:r w:rsidR="0074656A">
        <w:rPr>
          <w:rFonts w:ascii="Avenir Next" w:hAnsi="Avenir Next" w:cs="Arial"/>
          <w:color w:val="808080" w:themeColor="background1" w:themeShade="80"/>
          <w:sz w:val="22"/>
          <w:szCs w:val="22"/>
          <w:lang w:val="en-GB"/>
        </w:rPr>
        <w:t>main proceedings</w:t>
      </w:r>
      <w:r w:rsidR="00173710">
        <w:rPr>
          <w:rFonts w:ascii="Avenir Next" w:hAnsi="Avenir Next" w:cs="Arial"/>
          <w:color w:val="808080" w:themeColor="background1" w:themeShade="80"/>
          <w:sz w:val="22"/>
          <w:szCs w:val="22"/>
          <w:lang w:val="en-GB"/>
        </w:rPr>
        <w:t xml:space="preserve"> (with automatic relief)</w:t>
      </w:r>
      <w:r w:rsidR="00865350">
        <w:rPr>
          <w:rFonts w:ascii="Avenir Next" w:hAnsi="Avenir Next" w:cs="Arial"/>
          <w:color w:val="808080" w:themeColor="background1" w:themeShade="80"/>
          <w:sz w:val="22"/>
          <w:szCs w:val="22"/>
          <w:lang w:val="en-GB"/>
        </w:rPr>
        <w:t xml:space="preserve"> </w:t>
      </w:r>
      <w:r w:rsidR="00F042EB" w:rsidRPr="00F042EB">
        <w:rPr>
          <w:rFonts w:ascii="Avenir Next" w:hAnsi="Avenir Next" w:cs="Arial"/>
          <w:color w:val="808080" w:themeColor="background1" w:themeShade="80"/>
          <w:sz w:val="22"/>
          <w:szCs w:val="22"/>
          <w:lang w:val="en-GB"/>
        </w:rPr>
        <w:t>given that the debtor’s COMI is in Germany</w:t>
      </w:r>
      <w:r w:rsidR="00173710">
        <w:rPr>
          <w:rFonts w:ascii="Avenir Next" w:hAnsi="Avenir Next" w:cs="Arial"/>
          <w:color w:val="808080" w:themeColor="background1" w:themeShade="80"/>
          <w:sz w:val="22"/>
          <w:szCs w:val="22"/>
          <w:lang w:val="en-GB"/>
        </w:rPr>
        <w:t xml:space="preserve">; </w:t>
      </w:r>
      <w:r w:rsidR="00865350">
        <w:rPr>
          <w:rFonts w:ascii="Avenir Next" w:hAnsi="Avenir Next" w:cs="Arial"/>
          <w:color w:val="808080" w:themeColor="background1" w:themeShade="80"/>
          <w:sz w:val="22"/>
          <w:szCs w:val="22"/>
          <w:lang w:val="en-GB"/>
        </w:rPr>
        <w:t xml:space="preserve">and </w:t>
      </w:r>
      <w:r w:rsidR="00173710">
        <w:rPr>
          <w:rFonts w:ascii="Avenir Next" w:hAnsi="Avenir Next" w:cs="Arial"/>
          <w:color w:val="808080" w:themeColor="background1" w:themeShade="80"/>
          <w:sz w:val="22"/>
          <w:szCs w:val="22"/>
          <w:lang w:val="en-GB"/>
        </w:rPr>
        <w:t>(ii)</w:t>
      </w:r>
      <w:r w:rsidR="000E1D20">
        <w:rPr>
          <w:rFonts w:ascii="Avenir Next" w:hAnsi="Avenir Next" w:cs="Arial"/>
          <w:color w:val="808080" w:themeColor="background1" w:themeShade="80"/>
          <w:sz w:val="22"/>
          <w:szCs w:val="22"/>
          <w:lang w:val="en-GB"/>
        </w:rPr>
        <w:t xml:space="preserve"> </w:t>
      </w:r>
      <w:r w:rsidR="00865350">
        <w:rPr>
          <w:rFonts w:ascii="Avenir Next" w:hAnsi="Avenir Next" w:cs="Arial"/>
          <w:color w:val="808080" w:themeColor="background1" w:themeShade="80"/>
          <w:sz w:val="22"/>
          <w:szCs w:val="22"/>
          <w:lang w:val="en-GB"/>
        </w:rPr>
        <w:t>the Bermudan proceedings are the</w:t>
      </w:r>
      <w:r w:rsidR="000E1D20">
        <w:rPr>
          <w:rFonts w:ascii="Avenir Next" w:hAnsi="Avenir Next" w:cs="Arial"/>
          <w:color w:val="808080" w:themeColor="background1" w:themeShade="80"/>
          <w:sz w:val="22"/>
          <w:szCs w:val="22"/>
          <w:lang w:val="en-GB"/>
        </w:rPr>
        <w:t xml:space="preserve"> foreign </w:t>
      </w:r>
      <w:r w:rsidR="00865350">
        <w:rPr>
          <w:rFonts w:ascii="Avenir Next" w:hAnsi="Avenir Next" w:cs="Arial"/>
          <w:color w:val="808080" w:themeColor="background1" w:themeShade="80"/>
          <w:sz w:val="22"/>
          <w:szCs w:val="22"/>
          <w:lang w:val="en-GB"/>
        </w:rPr>
        <w:t>non-main proceedings</w:t>
      </w:r>
      <w:r w:rsidR="00173710">
        <w:rPr>
          <w:rFonts w:ascii="Avenir Next" w:hAnsi="Avenir Next" w:cs="Arial"/>
          <w:color w:val="808080" w:themeColor="background1" w:themeShade="80"/>
          <w:sz w:val="22"/>
          <w:szCs w:val="22"/>
          <w:lang w:val="en-GB"/>
        </w:rPr>
        <w:t xml:space="preserve"> (without automatic relief) given that the debtor has an establishment in Bermuda</w:t>
      </w:r>
      <w:r w:rsidR="00865350">
        <w:rPr>
          <w:rFonts w:ascii="Avenir Next" w:hAnsi="Avenir Next" w:cs="Arial"/>
          <w:color w:val="808080" w:themeColor="background1" w:themeShade="80"/>
          <w:sz w:val="22"/>
          <w:szCs w:val="22"/>
          <w:lang w:val="en-GB"/>
        </w:rPr>
        <w:t xml:space="preserve">. </w:t>
      </w:r>
      <w:r w:rsidR="0079427C">
        <w:rPr>
          <w:rFonts w:ascii="Avenir Next" w:hAnsi="Avenir Next" w:cs="Arial"/>
          <w:color w:val="808080" w:themeColor="background1" w:themeShade="80"/>
          <w:sz w:val="22"/>
          <w:szCs w:val="22"/>
          <w:lang w:val="en-GB"/>
        </w:rPr>
        <w:t xml:space="preserve">The abovementioned categorisation will have </w:t>
      </w:r>
      <w:r w:rsidR="00F30B58">
        <w:rPr>
          <w:rFonts w:ascii="Avenir Next" w:hAnsi="Avenir Next" w:cs="Arial"/>
          <w:color w:val="808080" w:themeColor="background1" w:themeShade="80"/>
          <w:sz w:val="22"/>
          <w:szCs w:val="22"/>
          <w:lang w:val="en-GB"/>
        </w:rPr>
        <w:t>various implication</w:t>
      </w:r>
      <w:r w:rsidR="006E2440">
        <w:rPr>
          <w:rFonts w:ascii="Avenir Next" w:hAnsi="Avenir Next" w:cs="Arial"/>
          <w:color w:val="808080" w:themeColor="background1" w:themeShade="80"/>
          <w:sz w:val="22"/>
          <w:szCs w:val="22"/>
          <w:lang w:val="en-GB"/>
        </w:rPr>
        <w:t>s</w:t>
      </w:r>
      <w:r w:rsidR="00F30B58">
        <w:rPr>
          <w:rFonts w:ascii="Avenir Next" w:hAnsi="Avenir Next" w:cs="Arial"/>
          <w:color w:val="808080" w:themeColor="background1" w:themeShade="80"/>
          <w:sz w:val="22"/>
          <w:szCs w:val="22"/>
          <w:lang w:val="en-GB"/>
        </w:rPr>
        <w:t xml:space="preserve">, including </w:t>
      </w:r>
      <w:r w:rsidR="00D563A2">
        <w:rPr>
          <w:rFonts w:ascii="Avenir Next" w:hAnsi="Avenir Next" w:cs="Arial"/>
          <w:color w:val="808080" w:themeColor="background1" w:themeShade="80"/>
          <w:sz w:val="22"/>
          <w:szCs w:val="22"/>
          <w:lang w:val="en-GB"/>
        </w:rPr>
        <w:t>tho</w:t>
      </w:r>
      <w:r w:rsidR="00971AFA">
        <w:rPr>
          <w:rFonts w:ascii="Avenir Next" w:hAnsi="Avenir Next" w:cs="Arial"/>
          <w:color w:val="808080" w:themeColor="background1" w:themeShade="80"/>
          <w:sz w:val="22"/>
          <w:szCs w:val="22"/>
          <w:lang w:val="en-GB"/>
        </w:rPr>
        <w:t>s</w:t>
      </w:r>
      <w:r w:rsidR="00D563A2">
        <w:rPr>
          <w:rFonts w:ascii="Avenir Next" w:hAnsi="Avenir Next" w:cs="Arial"/>
          <w:color w:val="808080" w:themeColor="background1" w:themeShade="80"/>
          <w:sz w:val="22"/>
          <w:szCs w:val="22"/>
          <w:lang w:val="en-GB"/>
        </w:rPr>
        <w:t xml:space="preserve">e identified in </w:t>
      </w:r>
      <w:r w:rsidR="00971AFA">
        <w:rPr>
          <w:rFonts w:ascii="Avenir Next" w:hAnsi="Avenir Next" w:cs="Arial"/>
          <w:color w:val="808080" w:themeColor="background1" w:themeShade="80"/>
          <w:sz w:val="22"/>
          <w:szCs w:val="22"/>
          <w:lang w:val="en-GB"/>
        </w:rPr>
        <w:t>answer</w:t>
      </w:r>
      <w:r w:rsidR="00D563A2">
        <w:rPr>
          <w:rFonts w:ascii="Avenir Next" w:hAnsi="Avenir Next" w:cs="Arial"/>
          <w:color w:val="808080" w:themeColor="background1" w:themeShade="80"/>
          <w:sz w:val="22"/>
          <w:szCs w:val="22"/>
          <w:lang w:val="en-GB"/>
        </w:rPr>
        <w:t xml:space="preserve"> to question </w:t>
      </w:r>
      <w:r w:rsidR="00971AFA">
        <w:rPr>
          <w:rFonts w:ascii="Avenir Next" w:hAnsi="Avenir Next" w:cs="Arial"/>
          <w:color w:val="808080" w:themeColor="background1" w:themeShade="80"/>
          <w:sz w:val="22"/>
          <w:szCs w:val="22"/>
          <w:lang w:val="en-GB"/>
        </w:rPr>
        <w:t>2.4 above</w:t>
      </w:r>
      <w:r w:rsidR="000E4F04">
        <w:rPr>
          <w:rFonts w:ascii="Avenir Next" w:hAnsi="Avenir Next" w:cs="Arial"/>
          <w:color w:val="808080" w:themeColor="background1" w:themeShade="80"/>
          <w:sz w:val="22"/>
          <w:szCs w:val="22"/>
          <w:lang w:val="en-GB"/>
        </w:rPr>
        <w:t>,</w:t>
      </w:r>
      <w:r w:rsidR="0041202D">
        <w:rPr>
          <w:rFonts w:ascii="Avenir Next" w:hAnsi="Avenir Next" w:cs="Arial"/>
          <w:color w:val="808080" w:themeColor="background1" w:themeShade="80"/>
          <w:sz w:val="22"/>
          <w:szCs w:val="22"/>
          <w:lang w:val="en-GB"/>
        </w:rPr>
        <w:t xml:space="preserve"> and the breadth of authority of the foreign representative (which is narrower if categorised as a foreign non-main proceeding)</w:t>
      </w:r>
      <w:r w:rsidR="00971AFA">
        <w:rPr>
          <w:rFonts w:ascii="Avenir Next" w:hAnsi="Avenir Next" w:cs="Arial"/>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293F6939" w:rsidR="00867A8F" w:rsidRPr="00B77352" w:rsidRDefault="00000AA4" w:rsidP="000D01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action for </w:t>
      </w:r>
      <w:r w:rsidRPr="00000AA4">
        <w:rPr>
          <w:rFonts w:ascii="Avenir Next" w:hAnsi="Avenir Next" w:cs="Arial"/>
          <w:color w:val="808080" w:themeColor="background1" w:themeShade="80"/>
          <w:sz w:val="22"/>
          <w:szCs w:val="22"/>
          <w:lang w:val="en-GB"/>
        </w:rPr>
        <w:t xml:space="preserve">alleged tortious interference with contract rights of US-based vendors </w:t>
      </w:r>
      <w:r w:rsidR="00B47A16">
        <w:rPr>
          <w:rFonts w:ascii="Avenir Next" w:hAnsi="Avenir Next" w:cs="Arial"/>
          <w:color w:val="808080" w:themeColor="background1" w:themeShade="80"/>
          <w:sz w:val="22"/>
          <w:szCs w:val="22"/>
          <w:lang w:val="en-GB"/>
        </w:rPr>
        <w:t>may cause issues in the recognition application</w:t>
      </w:r>
      <w:r w:rsidR="009E7E77">
        <w:rPr>
          <w:rFonts w:ascii="Avenir Next" w:hAnsi="Avenir Next" w:cs="Arial"/>
          <w:color w:val="808080" w:themeColor="background1" w:themeShade="80"/>
          <w:sz w:val="22"/>
          <w:szCs w:val="22"/>
          <w:lang w:val="en-GB"/>
        </w:rPr>
        <w:t xml:space="preserve">, although the facts indicate that the action has been filed as separate proceedings, as opposed to a challenge to the recognition proceedings (within those proceedings). </w:t>
      </w:r>
      <w:r w:rsidR="00872943">
        <w:rPr>
          <w:rFonts w:ascii="Avenir Next" w:hAnsi="Avenir Next" w:cs="Arial"/>
          <w:color w:val="808080" w:themeColor="background1" w:themeShade="80"/>
          <w:sz w:val="22"/>
          <w:szCs w:val="22"/>
          <w:lang w:val="en-GB"/>
        </w:rPr>
        <w:t>There is a risk that discovery is ordered, however in my view, t</w:t>
      </w:r>
      <w:r w:rsidR="00BE2EF2">
        <w:rPr>
          <w:rFonts w:ascii="Avenir Next" w:hAnsi="Avenir Next" w:cs="Arial"/>
          <w:color w:val="808080" w:themeColor="background1" w:themeShade="80"/>
          <w:sz w:val="22"/>
          <w:szCs w:val="22"/>
          <w:lang w:val="en-GB"/>
        </w:rPr>
        <w:t xml:space="preserve">he likely outcome is that the </w:t>
      </w:r>
      <w:r w:rsidR="00062951">
        <w:rPr>
          <w:rFonts w:ascii="Avenir Next" w:hAnsi="Avenir Next" w:cs="Arial"/>
          <w:color w:val="808080" w:themeColor="background1" w:themeShade="80"/>
          <w:sz w:val="22"/>
          <w:szCs w:val="22"/>
          <w:lang w:val="en-GB"/>
        </w:rPr>
        <w:t xml:space="preserve">court will </w:t>
      </w:r>
      <w:r w:rsidR="001F501E">
        <w:rPr>
          <w:rFonts w:ascii="Avenir Next" w:hAnsi="Avenir Next" w:cs="Arial"/>
          <w:color w:val="808080" w:themeColor="background1" w:themeShade="80"/>
          <w:sz w:val="22"/>
          <w:szCs w:val="22"/>
          <w:lang w:val="en-GB"/>
        </w:rPr>
        <w:t xml:space="preserve">ultimately </w:t>
      </w:r>
      <w:r w:rsidR="00062951">
        <w:rPr>
          <w:rFonts w:ascii="Avenir Next" w:hAnsi="Avenir Next" w:cs="Arial"/>
          <w:color w:val="808080" w:themeColor="background1" w:themeShade="80"/>
          <w:sz w:val="22"/>
          <w:szCs w:val="22"/>
          <w:lang w:val="en-GB"/>
        </w:rPr>
        <w:t xml:space="preserve">dispense with the matter on the basis that the </w:t>
      </w:r>
      <w:r w:rsidR="00BE2EF2">
        <w:rPr>
          <w:rFonts w:ascii="Avenir Next" w:hAnsi="Avenir Next" w:cs="Arial"/>
          <w:color w:val="808080" w:themeColor="background1" w:themeShade="80"/>
          <w:sz w:val="22"/>
          <w:szCs w:val="22"/>
          <w:lang w:val="en-GB"/>
        </w:rPr>
        <w:t xml:space="preserve">provisional liquidators are </w:t>
      </w:r>
      <w:r w:rsidR="00441120">
        <w:rPr>
          <w:rFonts w:ascii="Avenir Next" w:hAnsi="Avenir Next" w:cs="Arial"/>
          <w:color w:val="808080" w:themeColor="background1" w:themeShade="80"/>
          <w:sz w:val="22"/>
          <w:szCs w:val="22"/>
          <w:lang w:val="en-GB"/>
        </w:rPr>
        <w:t>at liberty to seek recognition under the MLCBI in the USA</w:t>
      </w:r>
      <w:r w:rsidR="00872943">
        <w:rPr>
          <w:rFonts w:ascii="Avenir Next" w:hAnsi="Avenir Next" w:cs="Arial"/>
          <w:color w:val="808080" w:themeColor="background1" w:themeShade="80"/>
          <w:sz w:val="22"/>
          <w:szCs w:val="22"/>
          <w:lang w:val="en-GB"/>
        </w:rPr>
        <w:t>, and that doing so does not</w:t>
      </w:r>
      <w:r w:rsidR="00DE743B">
        <w:rPr>
          <w:rFonts w:ascii="Avenir Next" w:hAnsi="Avenir Next" w:cs="Arial"/>
          <w:color w:val="808080" w:themeColor="background1" w:themeShade="80"/>
          <w:sz w:val="22"/>
          <w:szCs w:val="22"/>
          <w:lang w:val="en-GB"/>
        </w:rPr>
        <w:t xml:space="preserve"> </w:t>
      </w:r>
      <w:r w:rsidR="00C17A14">
        <w:rPr>
          <w:rFonts w:ascii="Avenir Next" w:hAnsi="Avenir Next" w:cs="Arial"/>
          <w:color w:val="808080" w:themeColor="background1" w:themeShade="80"/>
          <w:sz w:val="22"/>
          <w:szCs w:val="22"/>
          <w:lang w:val="en-GB"/>
        </w:rPr>
        <w:t>constitute tortious interference</w:t>
      </w:r>
      <w:r w:rsidR="00314C20">
        <w:rPr>
          <w:rFonts w:ascii="Avenir Next" w:hAnsi="Avenir Next" w:cs="Arial"/>
          <w:color w:val="808080" w:themeColor="background1" w:themeShade="80"/>
          <w:sz w:val="22"/>
          <w:szCs w:val="22"/>
          <w:lang w:val="en-GB"/>
        </w:rPr>
        <w:t>.</w:t>
      </w:r>
      <w:r w:rsidR="00441120">
        <w:rPr>
          <w:rFonts w:ascii="Avenir Next" w:hAnsi="Avenir Next" w:cs="Arial"/>
          <w:color w:val="808080" w:themeColor="background1" w:themeShade="80"/>
          <w:sz w:val="22"/>
          <w:szCs w:val="22"/>
          <w:lang w:val="en-GB"/>
        </w:rPr>
        <w:t xml:space="preserve"> </w:t>
      </w:r>
      <w:r w:rsidR="00314C20">
        <w:rPr>
          <w:rFonts w:ascii="Avenir Next" w:hAnsi="Avenir Next" w:cs="Arial"/>
          <w:color w:val="808080" w:themeColor="background1" w:themeShade="80"/>
          <w:sz w:val="22"/>
          <w:szCs w:val="22"/>
          <w:lang w:val="en-GB"/>
        </w:rPr>
        <w:t xml:space="preserve">Depending on whether recognition is of a main or non-main proceeding, </w:t>
      </w:r>
      <w:r w:rsidR="00790EF7">
        <w:rPr>
          <w:rFonts w:ascii="Avenir Next" w:hAnsi="Avenir Next" w:cs="Arial"/>
          <w:color w:val="808080" w:themeColor="background1" w:themeShade="80"/>
          <w:sz w:val="22"/>
          <w:szCs w:val="22"/>
          <w:lang w:val="en-GB"/>
        </w:rPr>
        <w:t xml:space="preserve">and on the basis that the </w:t>
      </w:r>
      <w:r w:rsidR="00B54563">
        <w:rPr>
          <w:rFonts w:ascii="Avenir Next" w:hAnsi="Avenir Next" w:cs="Arial"/>
          <w:color w:val="808080" w:themeColor="background1" w:themeShade="80"/>
          <w:sz w:val="22"/>
          <w:szCs w:val="22"/>
          <w:lang w:val="en-GB"/>
        </w:rPr>
        <w:t xml:space="preserve">contracts at issue are </w:t>
      </w:r>
      <w:r w:rsidR="001F501E">
        <w:rPr>
          <w:rFonts w:ascii="Avenir Next" w:hAnsi="Avenir Next" w:cs="Arial"/>
          <w:color w:val="808080" w:themeColor="background1" w:themeShade="80"/>
          <w:sz w:val="22"/>
          <w:szCs w:val="22"/>
          <w:lang w:val="en-GB"/>
        </w:rPr>
        <w:t>between the claimant</w:t>
      </w:r>
      <w:r w:rsidR="000D0164">
        <w:rPr>
          <w:rFonts w:ascii="Avenir Next" w:hAnsi="Avenir Next" w:cs="Arial"/>
          <w:color w:val="808080" w:themeColor="background1" w:themeShade="80"/>
          <w:sz w:val="22"/>
          <w:szCs w:val="22"/>
          <w:lang w:val="en-GB"/>
        </w:rPr>
        <w:t>(s)</w:t>
      </w:r>
      <w:r w:rsidR="00B54563">
        <w:rPr>
          <w:rFonts w:ascii="Avenir Next" w:hAnsi="Avenir Next" w:cs="Arial"/>
          <w:color w:val="808080" w:themeColor="background1" w:themeShade="80"/>
          <w:sz w:val="22"/>
          <w:szCs w:val="22"/>
          <w:lang w:val="en-GB"/>
        </w:rPr>
        <w:t xml:space="preserve"> the debtor, the proceedings would be automatically stayed (main proceedings) under Article </w:t>
      </w:r>
      <w:r w:rsidR="009E5A23">
        <w:rPr>
          <w:rFonts w:ascii="Avenir Next" w:hAnsi="Avenir Next" w:cs="Arial"/>
          <w:color w:val="808080" w:themeColor="background1" w:themeShade="80"/>
          <w:sz w:val="22"/>
          <w:szCs w:val="22"/>
          <w:lang w:val="en-GB"/>
        </w:rPr>
        <w:t>20(1)(a)</w:t>
      </w:r>
      <w:r w:rsidR="000D0164">
        <w:rPr>
          <w:rFonts w:ascii="Avenir Next" w:hAnsi="Avenir Next" w:cs="Arial"/>
          <w:color w:val="808080" w:themeColor="background1" w:themeShade="80"/>
          <w:sz w:val="22"/>
          <w:szCs w:val="22"/>
          <w:lang w:val="en-GB"/>
        </w:rPr>
        <w:t xml:space="preserve"> or </w:t>
      </w:r>
      <w:r w:rsidR="003277EF">
        <w:rPr>
          <w:rFonts w:ascii="Avenir Next" w:hAnsi="Avenir Next" w:cs="Arial"/>
          <w:color w:val="808080" w:themeColor="background1" w:themeShade="80"/>
          <w:sz w:val="22"/>
          <w:szCs w:val="22"/>
          <w:lang w:val="en-GB"/>
        </w:rPr>
        <w:t xml:space="preserve">further to a successful request by the provisional liquidators, under </w:t>
      </w:r>
      <w:r w:rsidR="000D0164">
        <w:rPr>
          <w:rFonts w:ascii="Avenir Next" w:hAnsi="Avenir Next" w:cs="Arial"/>
          <w:color w:val="808080" w:themeColor="background1" w:themeShade="80"/>
          <w:sz w:val="22"/>
          <w:szCs w:val="22"/>
          <w:lang w:val="en-GB"/>
        </w:rPr>
        <w:t xml:space="preserve">Article 21(1)(a), respectively.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316D7">
        <w:rPr>
          <w:rFonts w:ascii="Avenir Next Demi Bold" w:hAnsi="Avenir Next Demi Bold" w:cs="Arial"/>
          <w:b/>
          <w:bCs/>
          <w:sz w:val="22"/>
          <w:szCs w:val="22"/>
          <w:shd w:val="clear" w:color="auto" w:fill="FFFFFF"/>
          <w:lang w:val="en-GB"/>
        </w:rPr>
        <w:t xml:space="preserve">Question 3.3 </w:t>
      </w:r>
      <w:r w:rsidRPr="00C316D7">
        <w:rPr>
          <w:rFonts w:ascii="Avenir Next Demi Bold" w:hAnsi="Avenir Next Demi Bold" w:cs="Arial"/>
          <w:b/>
          <w:bCs/>
          <w:sz w:val="22"/>
          <w:szCs w:val="22"/>
          <w:lang w:val="en-GB"/>
        </w:rPr>
        <w:t xml:space="preserve">[maximum </w:t>
      </w:r>
      <w:r w:rsidR="00B953BD" w:rsidRPr="00C316D7">
        <w:rPr>
          <w:rFonts w:ascii="Avenir Next Demi Bold" w:hAnsi="Avenir Next Demi Bold" w:cs="Arial"/>
          <w:b/>
          <w:bCs/>
          <w:sz w:val="22"/>
          <w:szCs w:val="22"/>
          <w:lang w:val="en-GB"/>
        </w:rPr>
        <w:t>4</w:t>
      </w:r>
      <w:r w:rsidRPr="00C316D7">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w:t>
      </w:r>
      <w:r w:rsidRPr="00B958E3">
        <w:rPr>
          <w:rFonts w:ascii="Avenir Next" w:hAnsi="Avenir Next" w:cs="Arial"/>
          <w:sz w:val="22"/>
          <w:szCs w:val="22"/>
          <w:lang w:val="en-GB"/>
        </w:rPr>
        <w:t>UK commences a recognition proceeding in the US,</w:t>
      </w:r>
      <w:r w:rsidRPr="002E7702">
        <w:rPr>
          <w:rFonts w:ascii="Avenir Next" w:hAnsi="Avenir Next" w:cs="Arial"/>
          <w:sz w:val="22"/>
          <w:szCs w:val="22"/>
          <w:lang w:val="en-GB"/>
        </w:rPr>
        <w:t xml:space="preserve">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6D97A18F" w:rsidR="00867A8F" w:rsidRPr="00F31EE9" w:rsidRDefault="00991674" w:rsidP="003648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lease</w:t>
      </w:r>
      <w:r w:rsidR="00B10D0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and intellectual property (IP) rights are important assets of the </w:t>
      </w:r>
      <w:r w:rsidR="00B458DA">
        <w:rPr>
          <w:rFonts w:ascii="Avenir Next" w:hAnsi="Avenir Next" w:cs="Arial"/>
          <w:color w:val="808080" w:themeColor="background1" w:themeShade="80"/>
          <w:sz w:val="22"/>
          <w:szCs w:val="22"/>
          <w:lang w:val="en-GB"/>
        </w:rPr>
        <w:t xml:space="preserve">company, </w:t>
      </w:r>
      <w:r w:rsidR="00CF697E">
        <w:rPr>
          <w:rFonts w:ascii="Avenir Next" w:hAnsi="Avenir Next" w:cs="Arial"/>
          <w:color w:val="808080" w:themeColor="background1" w:themeShade="80"/>
          <w:sz w:val="22"/>
          <w:szCs w:val="22"/>
          <w:lang w:val="en-GB"/>
        </w:rPr>
        <w:t>and notwithstanding that the ipso facto clauses are no</w:t>
      </w:r>
      <w:r w:rsidR="00C33CE0">
        <w:rPr>
          <w:rFonts w:ascii="Avenir Next" w:hAnsi="Avenir Next" w:cs="Arial"/>
          <w:color w:val="808080" w:themeColor="background1" w:themeShade="80"/>
          <w:sz w:val="22"/>
          <w:szCs w:val="22"/>
          <w:lang w:val="en-GB"/>
        </w:rPr>
        <w:t>t</w:t>
      </w:r>
      <w:r w:rsidR="00CF697E">
        <w:rPr>
          <w:rFonts w:ascii="Avenir Next" w:hAnsi="Avenir Next" w:cs="Arial"/>
          <w:color w:val="808080" w:themeColor="background1" w:themeShade="80"/>
          <w:sz w:val="22"/>
          <w:szCs w:val="22"/>
          <w:lang w:val="en-GB"/>
        </w:rPr>
        <w:t xml:space="preserve"> enforceable under the US Ban</w:t>
      </w:r>
      <w:r w:rsidR="007A2177">
        <w:rPr>
          <w:rFonts w:ascii="Avenir Next" w:hAnsi="Avenir Next" w:cs="Arial"/>
          <w:color w:val="808080" w:themeColor="background1" w:themeShade="80"/>
          <w:sz w:val="22"/>
          <w:szCs w:val="22"/>
          <w:lang w:val="en-GB"/>
        </w:rPr>
        <w:t xml:space="preserve">kruptcy Code, </w:t>
      </w:r>
      <w:r w:rsidR="00B458DA">
        <w:rPr>
          <w:rFonts w:ascii="Avenir Next" w:hAnsi="Avenir Next" w:cs="Arial"/>
          <w:color w:val="808080" w:themeColor="background1" w:themeShade="80"/>
          <w:sz w:val="22"/>
          <w:szCs w:val="22"/>
          <w:lang w:val="en-GB"/>
        </w:rPr>
        <w:t>t</w:t>
      </w:r>
      <w:r w:rsidR="005D58CD">
        <w:rPr>
          <w:rFonts w:ascii="Avenir Next" w:hAnsi="Avenir Next" w:cs="Arial"/>
          <w:color w:val="808080" w:themeColor="background1" w:themeShade="80"/>
          <w:sz w:val="22"/>
          <w:szCs w:val="22"/>
          <w:lang w:val="en-GB"/>
        </w:rPr>
        <w:t xml:space="preserve">he </w:t>
      </w:r>
      <w:r w:rsidR="005D58CD" w:rsidRPr="005D58CD">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xml:space="preserve"> </w:t>
      </w:r>
      <w:r w:rsidR="00B458DA">
        <w:rPr>
          <w:rFonts w:ascii="Avenir Next" w:hAnsi="Avenir Next" w:cs="Arial"/>
          <w:color w:val="808080" w:themeColor="background1" w:themeShade="80"/>
          <w:sz w:val="22"/>
          <w:szCs w:val="22"/>
          <w:lang w:val="en-GB"/>
        </w:rPr>
        <w:t>should take steps to mitigate the risk that the counterparties seek to terminate the leases or the IP contracts by</w:t>
      </w:r>
      <w:r w:rsidR="009A136A">
        <w:rPr>
          <w:rFonts w:ascii="Avenir Next" w:hAnsi="Avenir Next" w:cs="Arial"/>
          <w:color w:val="808080" w:themeColor="background1" w:themeShade="80"/>
          <w:sz w:val="22"/>
          <w:szCs w:val="22"/>
          <w:lang w:val="en-GB"/>
        </w:rPr>
        <w:t>,</w:t>
      </w:r>
      <w:r w:rsidR="00B458DA">
        <w:rPr>
          <w:rFonts w:ascii="Avenir Next" w:hAnsi="Avenir Next" w:cs="Arial"/>
          <w:color w:val="808080" w:themeColor="background1" w:themeShade="80"/>
          <w:sz w:val="22"/>
          <w:szCs w:val="22"/>
          <w:lang w:val="en-GB"/>
        </w:rPr>
        <w:t xml:space="preserve"> </w:t>
      </w:r>
      <w:r w:rsidR="00771EFD">
        <w:rPr>
          <w:rFonts w:ascii="Avenir Next" w:hAnsi="Avenir Next" w:cs="Arial"/>
          <w:color w:val="808080" w:themeColor="background1" w:themeShade="80"/>
          <w:sz w:val="22"/>
          <w:szCs w:val="22"/>
          <w:lang w:val="en-GB"/>
        </w:rPr>
        <w:t>at the time of filing the recognition application, also requesting that the court grant</w:t>
      </w:r>
      <w:r w:rsidR="004B3A07">
        <w:rPr>
          <w:rFonts w:ascii="Avenir Next" w:hAnsi="Avenir Next" w:cs="Arial"/>
          <w:color w:val="808080" w:themeColor="background1" w:themeShade="80"/>
          <w:sz w:val="22"/>
          <w:szCs w:val="22"/>
          <w:lang w:val="en-GB"/>
        </w:rPr>
        <w:t>s</w:t>
      </w:r>
      <w:r w:rsidR="00771EFD">
        <w:rPr>
          <w:rFonts w:ascii="Avenir Next" w:hAnsi="Avenir Next" w:cs="Arial"/>
          <w:color w:val="808080" w:themeColor="background1" w:themeShade="80"/>
          <w:sz w:val="22"/>
          <w:szCs w:val="22"/>
          <w:lang w:val="en-GB"/>
        </w:rPr>
        <w:t xml:space="preserve"> interim relief </w:t>
      </w:r>
      <w:r w:rsidR="002A077D">
        <w:rPr>
          <w:rFonts w:ascii="Avenir Next" w:hAnsi="Avenir Next" w:cs="Arial"/>
          <w:color w:val="808080" w:themeColor="background1" w:themeShade="80"/>
          <w:sz w:val="22"/>
          <w:szCs w:val="22"/>
          <w:lang w:val="en-GB"/>
        </w:rPr>
        <w:t>pursuant to Article 19 of the MLCBI, including requesting orders</w:t>
      </w:r>
      <w:r w:rsidR="006B1BB1">
        <w:rPr>
          <w:rFonts w:ascii="Avenir Next" w:hAnsi="Avenir Next" w:cs="Arial"/>
          <w:color w:val="808080" w:themeColor="background1" w:themeShade="80"/>
          <w:sz w:val="22"/>
          <w:szCs w:val="22"/>
          <w:lang w:val="en-GB"/>
        </w:rPr>
        <w:t>:</w:t>
      </w:r>
      <w:r w:rsidR="002A077D">
        <w:rPr>
          <w:rFonts w:ascii="Avenir Next" w:hAnsi="Avenir Next" w:cs="Arial"/>
          <w:color w:val="808080" w:themeColor="background1" w:themeShade="80"/>
          <w:sz w:val="22"/>
          <w:szCs w:val="22"/>
          <w:lang w:val="en-GB"/>
        </w:rPr>
        <w:t xml:space="preserve"> </w:t>
      </w:r>
      <w:r w:rsidR="00B05DB7">
        <w:rPr>
          <w:rFonts w:ascii="Avenir Next" w:hAnsi="Avenir Next" w:cs="Arial"/>
          <w:color w:val="808080" w:themeColor="background1" w:themeShade="80"/>
          <w:sz w:val="22"/>
          <w:szCs w:val="22"/>
          <w:lang w:val="en-GB"/>
        </w:rPr>
        <w:t>(i)</w:t>
      </w:r>
      <w:r w:rsidR="006F37B8">
        <w:rPr>
          <w:rFonts w:ascii="Avenir Next" w:hAnsi="Avenir Next" w:cs="Arial"/>
          <w:color w:val="808080" w:themeColor="background1" w:themeShade="80"/>
          <w:sz w:val="22"/>
          <w:szCs w:val="22"/>
          <w:lang w:val="en-GB"/>
        </w:rPr>
        <w:t xml:space="preserve"> staying </w:t>
      </w:r>
      <w:r w:rsidR="00B05DB7">
        <w:rPr>
          <w:rFonts w:ascii="Avenir Next" w:hAnsi="Avenir Next" w:cs="Arial"/>
          <w:color w:val="808080" w:themeColor="background1" w:themeShade="80"/>
          <w:sz w:val="22"/>
          <w:szCs w:val="22"/>
          <w:lang w:val="en-GB"/>
        </w:rPr>
        <w:t xml:space="preserve"> </w:t>
      </w:r>
      <w:r w:rsidR="002A077D">
        <w:rPr>
          <w:rFonts w:ascii="Avenir Next" w:hAnsi="Avenir Next" w:cs="Arial"/>
          <w:color w:val="808080" w:themeColor="background1" w:themeShade="80"/>
          <w:sz w:val="22"/>
          <w:szCs w:val="22"/>
          <w:lang w:val="en-GB"/>
        </w:rPr>
        <w:t>execution against the company’s assets</w:t>
      </w:r>
      <w:r w:rsidR="00B05DB7">
        <w:rPr>
          <w:rFonts w:ascii="Avenir Next" w:hAnsi="Avenir Next" w:cs="Arial"/>
          <w:color w:val="808080" w:themeColor="background1" w:themeShade="80"/>
          <w:sz w:val="22"/>
          <w:szCs w:val="22"/>
          <w:lang w:val="en-GB"/>
        </w:rPr>
        <w:t>; (ii)</w:t>
      </w:r>
      <w:r w:rsidR="002A077D">
        <w:rPr>
          <w:rFonts w:ascii="Avenir Next" w:hAnsi="Avenir Next" w:cs="Arial"/>
          <w:color w:val="808080" w:themeColor="background1" w:themeShade="80"/>
          <w:sz w:val="22"/>
          <w:szCs w:val="22"/>
          <w:lang w:val="en-GB"/>
        </w:rPr>
        <w:t xml:space="preserve"> </w:t>
      </w:r>
      <w:r w:rsidR="006B1BB1">
        <w:rPr>
          <w:rFonts w:ascii="Avenir Next" w:hAnsi="Avenir Next" w:cs="Arial"/>
          <w:color w:val="808080" w:themeColor="background1" w:themeShade="80"/>
          <w:sz w:val="22"/>
          <w:szCs w:val="22"/>
          <w:lang w:val="en-GB"/>
        </w:rPr>
        <w:t xml:space="preserve">prescribing that </w:t>
      </w:r>
      <w:r w:rsidR="002A077D">
        <w:rPr>
          <w:rFonts w:ascii="Avenir Next" w:hAnsi="Avenir Next" w:cs="Arial"/>
          <w:color w:val="808080" w:themeColor="background1" w:themeShade="80"/>
          <w:sz w:val="22"/>
          <w:szCs w:val="22"/>
          <w:lang w:val="en-GB"/>
        </w:rPr>
        <w:t xml:space="preserve">the </w:t>
      </w:r>
      <w:r w:rsidR="000128CA" w:rsidRPr="000128CA">
        <w:rPr>
          <w:rFonts w:ascii="Avenir Next" w:hAnsi="Avenir Next" w:cs="Arial"/>
          <w:color w:val="808080" w:themeColor="background1" w:themeShade="80"/>
          <w:sz w:val="22"/>
          <w:szCs w:val="22"/>
          <w:lang w:val="en-GB"/>
        </w:rPr>
        <w:t>administration or realization of all or part of the debtor’s assets located in th</w:t>
      </w:r>
      <w:r w:rsidR="000128CA">
        <w:rPr>
          <w:rFonts w:ascii="Avenir Next" w:hAnsi="Avenir Next" w:cs="Arial"/>
          <w:color w:val="808080" w:themeColor="background1" w:themeShade="80"/>
          <w:sz w:val="22"/>
          <w:szCs w:val="22"/>
          <w:lang w:val="en-GB"/>
        </w:rPr>
        <w:t>e USA</w:t>
      </w:r>
      <w:r w:rsidR="000128CA" w:rsidRPr="000128CA">
        <w:rPr>
          <w:rFonts w:ascii="Avenir Next" w:hAnsi="Avenir Next" w:cs="Arial"/>
          <w:color w:val="808080" w:themeColor="background1" w:themeShade="80"/>
          <w:sz w:val="22"/>
          <w:szCs w:val="22"/>
          <w:lang w:val="en-GB"/>
        </w:rPr>
        <w:t xml:space="preserve"> </w:t>
      </w:r>
      <w:r w:rsidR="006B1BB1">
        <w:rPr>
          <w:rFonts w:ascii="Avenir Next" w:hAnsi="Avenir Next" w:cs="Arial"/>
          <w:color w:val="808080" w:themeColor="background1" w:themeShade="80"/>
          <w:sz w:val="22"/>
          <w:szCs w:val="22"/>
          <w:lang w:val="en-GB"/>
        </w:rPr>
        <w:t xml:space="preserve">be entrusted </w:t>
      </w:r>
      <w:r w:rsidR="000128CA" w:rsidRPr="000128CA">
        <w:rPr>
          <w:rFonts w:ascii="Avenir Next" w:hAnsi="Avenir Next" w:cs="Arial"/>
          <w:color w:val="808080" w:themeColor="background1" w:themeShade="80"/>
          <w:sz w:val="22"/>
          <w:szCs w:val="22"/>
          <w:lang w:val="en-GB"/>
        </w:rPr>
        <w:t>to the foreign representative in order to protect and preserve the value of assets that, by their nature or because of other circumstances, are</w:t>
      </w:r>
      <w:r w:rsidR="000128CA">
        <w:rPr>
          <w:rFonts w:ascii="Avenir Next" w:hAnsi="Avenir Next" w:cs="Arial"/>
          <w:color w:val="808080" w:themeColor="background1" w:themeShade="80"/>
          <w:sz w:val="22"/>
          <w:szCs w:val="22"/>
          <w:lang w:val="en-GB"/>
        </w:rPr>
        <w:t xml:space="preserve"> </w:t>
      </w:r>
      <w:r w:rsidR="000128CA" w:rsidRPr="000128CA">
        <w:rPr>
          <w:rFonts w:ascii="Avenir Next" w:hAnsi="Avenir Next" w:cs="Arial"/>
          <w:color w:val="808080" w:themeColor="background1" w:themeShade="80"/>
          <w:sz w:val="22"/>
          <w:szCs w:val="22"/>
          <w:lang w:val="en-GB"/>
        </w:rPr>
        <w:t xml:space="preserve">susceptible to devaluation or otherwise in </w:t>
      </w:r>
      <w:r w:rsidR="000128CA">
        <w:rPr>
          <w:rFonts w:ascii="Avenir Next" w:hAnsi="Avenir Next" w:cs="Arial"/>
          <w:color w:val="808080" w:themeColor="background1" w:themeShade="80"/>
          <w:sz w:val="22"/>
          <w:szCs w:val="22"/>
          <w:lang w:val="en-GB"/>
        </w:rPr>
        <w:t>jeopardy</w:t>
      </w:r>
      <w:r w:rsidR="00B05DB7">
        <w:rPr>
          <w:rFonts w:ascii="Avenir Next" w:hAnsi="Avenir Next" w:cs="Arial"/>
          <w:color w:val="808080" w:themeColor="background1" w:themeShade="80"/>
          <w:sz w:val="22"/>
          <w:szCs w:val="22"/>
          <w:lang w:val="en-GB"/>
        </w:rPr>
        <w:t xml:space="preserve">; </w:t>
      </w:r>
      <w:r w:rsidR="00364826">
        <w:rPr>
          <w:rFonts w:ascii="Avenir Next" w:hAnsi="Avenir Next" w:cs="Arial"/>
          <w:color w:val="808080" w:themeColor="background1" w:themeShade="80"/>
          <w:sz w:val="22"/>
          <w:szCs w:val="22"/>
          <w:lang w:val="en-GB"/>
        </w:rPr>
        <w:t xml:space="preserve">and </w:t>
      </w:r>
      <w:r w:rsidR="00B05DB7">
        <w:rPr>
          <w:rFonts w:ascii="Avenir Next" w:hAnsi="Avenir Next" w:cs="Arial"/>
          <w:color w:val="808080" w:themeColor="background1" w:themeShade="80"/>
          <w:sz w:val="22"/>
          <w:szCs w:val="22"/>
          <w:lang w:val="en-GB"/>
        </w:rPr>
        <w:t xml:space="preserve">(iii) </w:t>
      </w:r>
      <w:r w:rsidR="00364826">
        <w:rPr>
          <w:rFonts w:ascii="Avenir Next" w:hAnsi="Avenir Next" w:cs="Arial"/>
          <w:color w:val="808080" w:themeColor="background1" w:themeShade="80"/>
          <w:sz w:val="22"/>
          <w:szCs w:val="22"/>
          <w:lang w:val="en-GB"/>
        </w:rPr>
        <w:t>s</w:t>
      </w:r>
      <w:r w:rsidR="00364826" w:rsidRPr="00364826">
        <w:rPr>
          <w:rFonts w:ascii="Avenir Next" w:hAnsi="Avenir Next" w:cs="Arial"/>
          <w:color w:val="808080" w:themeColor="background1" w:themeShade="80"/>
          <w:sz w:val="22"/>
          <w:szCs w:val="22"/>
          <w:lang w:val="en-GB"/>
        </w:rPr>
        <w:t>uspending the right to transfer, encumber or otherwise dispose of any assets of the</w:t>
      </w:r>
      <w:r w:rsidR="006B1BB1">
        <w:rPr>
          <w:rFonts w:ascii="Avenir Next" w:hAnsi="Avenir Next" w:cs="Arial"/>
          <w:color w:val="808080" w:themeColor="background1" w:themeShade="80"/>
          <w:sz w:val="22"/>
          <w:szCs w:val="22"/>
          <w:lang w:val="en-GB"/>
        </w:rPr>
        <w:t xml:space="preserve"> company</w:t>
      </w:r>
      <w:r w:rsidR="000128CA">
        <w:rPr>
          <w:rFonts w:ascii="Avenir Next" w:hAnsi="Avenir Next" w:cs="Arial"/>
          <w:color w:val="808080" w:themeColor="background1" w:themeShade="80"/>
          <w:sz w:val="22"/>
          <w:szCs w:val="22"/>
          <w:lang w:val="en-GB"/>
        </w:rPr>
        <w:t xml:space="preserve">. </w:t>
      </w:r>
      <w:r w:rsidR="007A2177">
        <w:rPr>
          <w:rFonts w:ascii="Avenir Next" w:hAnsi="Avenir Next" w:cs="Arial"/>
          <w:color w:val="808080" w:themeColor="background1" w:themeShade="80"/>
          <w:sz w:val="22"/>
          <w:szCs w:val="22"/>
          <w:lang w:val="en-GB"/>
        </w:rPr>
        <w:t xml:space="preserve"> </w:t>
      </w:r>
      <w:r w:rsidR="000C68F8">
        <w:rPr>
          <w:rFonts w:ascii="Avenir Next" w:hAnsi="Avenir Next" w:cs="Arial"/>
          <w:color w:val="808080" w:themeColor="background1" w:themeShade="80"/>
          <w:sz w:val="22"/>
          <w:szCs w:val="22"/>
          <w:lang w:val="en-GB"/>
        </w:rPr>
        <w:t>This is particu</w:t>
      </w:r>
      <w:r w:rsidR="005A00B8">
        <w:rPr>
          <w:rFonts w:ascii="Avenir Next" w:hAnsi="Avenir Next" w:cs="Arial"/>
          <w:color w:val="808080" w:themeColor="background1" w:themeShade="80"/>
          <w:sz w:val="22"/>
          <w:szCs w:val="22"/>
          <w:lang w:val="en-GB"/>
        </w:rPr>
        <w:t xml:space="preserve">larly so given the 35-day period between filing and the hearing date, during which, issues may arise. </w:t>
      </w:r>
      <w:r w:rsidR="00C57857">
        <w:rPr>
          <w:rFonts w:ascii="Avenir Next" w:hAnsi="Avenir Next" w:cs="Arial"/>
          <w:color w:val="808080" w:themeColor="background1" w:themeShade="80"/>
          <w:sz w:val="22"/>
          <w:szCs w:val="22"/>
          <w:lang w:val="en-GB"/>
        </w:rPr>
        <w:t>It may be that the</w:t>
      </w:r>
      <w:r w:rsidR="007A2177">
        <w:rPr>
          <w:rFonts w:ascii="Avenir Next" w:hAnsi="Avenir Next" w:cs="Arial"/>
          <w:color w:val="808080" w:themeColor="background1" w:themeShade="80"/>
          <w:sz w:val="22"/>
          <w:szCs w:val="22"/>
          <w:lang w:val="en-GB"/>
        </w:rPr>
        <w:t xml:space="preserve"> </w:t>
      </w:r>
      <w:r w:rsidR="00D47BB2">
        <w:rPr>
          <w:rFonts w:ascii="Avenir Next" w:hAnsi="Avenir Next" w:cs="Arial"/>
          <w:color w:val="808080" w:themeColor="background1" w:themeShade="80"/>
          <w:sz w:val="22"/>
          <w:szCs w:val="22"/>
          <w:lang w:val="en-GB"/>
        </w:rPr>
        <w:t xml:space="preserve">foreign representative </w:t>
      </w:r>
      <w:r w:rsidR="00DF105E">
        <w:rPr>
          <w:rFonts w:ascii="Avenir Next" w:hAnsi="Avenir Next" w:cs="Arial"/>
          <w:color w:val="808080" w:themeColor="background1" w:themeShade="80"/>
          <w:sz w:val="22"/>
          <w:szCs w:val="22"/>
          <w:lang w:val="en-GB"/>
        </w:rPr>
        <w:t xml:space="preserve">wishes to </w:t>
      </w:r>
      <w:r w:rsidR="00875F6F">
        <w:rPr>
          <w:rFonts w:ascii="Avenir Next" w:hAnsi="Avenir Next" w:cs="Arial"/>
          <w:color w:val="808080" w:themeColor="background1" w:themeShade="80"/>
          <w:sz w:val="22"/>
          <w:szCs w:val="22"/>
          <w:lang w:val="en-GB"/>
        </w:rPr>
        <w:t xml:space="preserve">surrender the leases in due course but s/he will wish to do so at the appropriate time.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586672">
        <w:rPr>
          <w:rFonts w:ascii="Avenir Next Demi Bold" w:hAnsi="Avenir Next Demi Bold" w:cs="Arial"/>
          <w:b/>
          <w:bCs/>
          <w:sz w:val="22"/>
          <w:szCs w:val="22"/>
          <w:lang w:val="en-GB"/>
        </w:rPr>
        <w:t xml:space="preserve">Question 3.4 [maximum </w:t>
      </w:r>
      <w:r w:rsidR="00B457BF" w:rsidRPr="00586672">
        <w:rPr>
          <w:rFonts w:ascii="Avenir Next Demi Bold" w:hAnsi="Avenir Next Demi Bold" w:cs="Arial"/>
          <w:b/>
          <w:bCs/>
          <w:sz w:val="22"/>
          <w:szCs w:val="22"/>
          <w:lang w:val="en-GB"/>
        </w:rPr>
        <w:t>4</w:t>
      </w:r>
      <w:r w:rsidRPr="00586672">
        <w:rPr>
          <w:rFonts w:ascii="Avenir Next Demi Bold" w:hAnsi="Avenir Next Demi Bold" w:cs="Arial"/>
          <w:b/>
          <w:bCs/>
          <w:sz w:val="22"/>
          <w:szCs w:val="22"/>
          <w:lang w:val="en-GB"/>
        </w:rPr>
        <w:t xml:space="preserve"> mark</w:t>
      </w:r>
      <w:r w:rsidR="00B457BF" w:rsidRPr="00586672">
        <w:rPr>
          <w:rFonts w:ascii="Avenir Next Demi Bold" w:hAnsi="Avenir Next Demi Bold" w:cs="Arial"/>
          <w:b/>
          <w:bCs/>
          <w:sz w:val="22"/>
          <w:szCs w:val="22"/>
          <w:lang w:val="en-GB"/>
        </w:rPr>
        <w:t>s</w:t>
      </w:r>
      <w:r w:rsidRPr="00586672">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19BA65C" w14:textId="5E36E6F4" w:rsidR="00AB1DD4" w:rsidRDefault="00A94DD9" w:rsidP="00364D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be recognised as a foreign</w:t>
      </w:r>
      <w:r w:rsidR="00403550">
        <w:rPr>
          <w:rFonts w:ascii="Avenir Next" w:hAnsi="Avenir Next" w:cs="Arial"/>
          <w:color w:val="808080" w:themeColor="background1" w:themeShade="80"/>
          <w:sz w:val="22"/>
          <w:szCs w:val="22"/>
          <w:lang w:val="en-GB"/>
        </w:rPr>
        <w:t xml:space="preserve"> main</w:t>
      </w:r>
      <w:r>
        <w:rPr>
          <w:rFonts w:ascii="Avenir Next" w:hAnsi="Avenir Next" w:cs="Arial"/>
          <w:color w:val="808080" w:themeColor="background1" w:themeShade="80"/>
          <w:sz w:val="22"/>
          <w:szCs w:val="22"/>
          <w:lang w:val="en-GB"/>
        </w:rPr>
        <w:t xml:space="preserve"> proceeding, </w:t>
      </w:r>
      <w:r w:rsidR="00CB2DB2">
        <w:rPr>
          <w:rFonts w:ascii="Avenir Next" w:hAnsi="Avenir Next" w:cs="Arial"/>
          <w:color w:val="808080" w:themeColor="background1" w:themeShade="80"/>
          <w:sz w:val="22"/>
          <w:szCs w:val="22"/>
          <w:lang w:val="en-GB"/>
        </w:rPr>
        <w:t xml:space="preserve">the </w:t>
      </w:r>
      <w:r w:rsidR="006006E0">
        <w:rPr>
          <w:rFonts w:ascii="Avenir Next" w:hAnsi="Avenir Next" w:cs="Arial"/>
          <w:color w:val="808080" w:themeColor="background1" w:themeShade="80"/>
          <w:sz w:val="22"/>
          <w:szCs w:val="22"/>
          <w:lang w:val="en-GB"/>
        </w:rPr>
        <w:t xml:space="preserve">foreign </w:t>
      </w:r>
      <w:r w:rsidR="00CB2DB2">
        <w:rPr>
          <w:rFonts w:ascii="Avenir Next" w:hAnsi="Avenir Next" w:cs="Arial"/>
          <w:color w:val="808080" w:themeColor="background1" w:themeShade="80"/>
          <w:sz w:val="22"/>
          <w:szCs w:val="22"/>
          <w:lang w:val="en-GB"/>
        </w:rPr>
        <w:t>proceeding must have been opened in the jurisdiction where the debtor has its COMI</w:t>
      </w:r>
      <w:r w:rsidR="00403550">
        <w:rPr>
          <w:rFonts w:ascii="Avenir Next" w:hAnsi="Avenir Next" w:cs="Arial"/>
          <w:color w:val="808080" w:themeColor="background1" w:themeShade="80"/>
          <w:sz w:val="22"/>
          <w:szCs w:val="22"/>
          <w:lang w:val="en-GB"/>
        </w:rPr>
        <w:t>.</w:t>
      </w:r>
      <w:r w:rsidR="007A7264">
        <w:rPr>
          <w:rFonts w:ascii="Avenir Next" w:hAnsi="Avenir Next" w:cs="Arial"/>
          <w:color w:val="808080" w:themeColor="background1" w:themeShade="80"/>
          <w:sz w:val="22"/>
          <w:szCs w:val="22"/>
          <w:lang w:val="en-GB"/>
        </w:rPr>
        <w:t xml:space="preserve"> Whilst </w:t>
      </w:r>
      <w:r w:rsidR="00364E15">
        <w:rPr>
          <w:rFonts w:ascii="Avenir Next" w:hAnsi="Avenir Next" w:cs="Arial"/>
          <w:color w:val="808080" w:themeColor="background1" w:themeShade="80"/>
          <w:sz w:val="22"/>
          <w:szCs w:val="22"/>
          <w:lang w:val="en-GB"/>
        </w:rPr>
        <w:t>Article 16(3) of the MLCBI presumes</w:t>
      </w:r>
      <w:r w:rsidR="00903B61">
        <w:rPr>
          <w:rFonts w:ascii="Avenir Next" w:hAnsi="Avenir Next" w:cs="Arial"/>
          <w:color w:val="808080" w:themeColor="background1" w:themeShade="80"/>
          <w:sz w:val="22"/>
          <w:szCs w:val="22"/>
          <w:lang w:val="en-GB"/>
        </w:rPr>
        <w:t xml:space="preserve"> </w:t>
      </w:r>
      <w:r w:rsidR="00903B61">
        <w:rPr>
          <w:rFonts w:ascii="Avenir Next" w:hAnsi="Avenir Next" w:cs="Arial"/>
          <w:color w:val="808080" w:themeColor="background1" w:themeShade="80"/>
          <w:sz w:val="22"/>
          <w:szCs w:val="22"/>
          <w:lang w:val="en-GB"/>
        </w:rPr>
        <w:lastRenderedPageBreak/>
        <w:t>that the place of the debtor’s registered office is its COMI</w:t>
      </w:r>
      <w:r w:rsidR="00DB58A5">
        <w:rPr>
          <w:rFonts w:ascii="Avenir Next" w:hAnsi="Avenir Next" w:cs="Arial"/>
          <w:color w:val="808080" w:themeColor="background1" w:themeShade="80"/>
          <w:sz w:val="22"/>
          <w:szCs w:val="22"/>
          <w:lang w:val="en-GB"/>
        </w:rPr>
        <w:t>, that presumption can be displaced by proof to the contrary.</w:t>
      </w:r>
      <w:r w:rsidR="00403550">
        <w:rPr>
          <w:rFonts w:ascii="Avenir Next" w:hAnsi="Avenir Next" w:cs="Arial"/>
          <w:color w:val="808080" w:themeColor="background1" w:themeShade="80"/>
          <w:sz w:val="22"/>
          <w:szCs w:val="22"/>
          <w:lang w:val="en-GB"/>
        </w:rPr>
        <w:t xml:space="preserve"> </w:t>
      </w:r>
      <w:r w:rsidR="00AD2FD4">
        <w:rPr>
          <w:rFonts w:ascii="Avenir Next" w:hAnsi="Avenir Next" w:cs="Arial"/>
          <w:color w:val="808080" w:themeColor="background1" w:themeShade="80"/>
          <w:sz w:val="22"/>
          <w:szCs w:val="22"/>
          <w:lang w:val="en-GB"/>
        </w:rPr>
        <w:t>Accordingly, t</w:t>
      </w:r>
      <w:r w:rsidR="00403550">
        <w:rPr>
          <w:rFonts w:ascii="Avenir Next" w:hAnsi="Avenir Next" w:cs="Arial"/>
          <w:color w:val="808080" w:themeColor="background1" w:themeShade="80"/>
          <w:sz w:val="22"/>
          <w:szCs w:val="22"/>
          <w:lang w:val="en-GB"/>
        </w:rPr>
        <w:t xml:space="preserve">he fact that the debtor has its registered office in Country </w:t>
      </w:r>
      <w:r w:rsidR="00A975B1">
        <w:rPr>
          <w:rFonts w:ascii="Avenir Next" w:hAnsi="Avenir Next" w:cs="Arial"/>
          <w:color w:val="808080" w:themeColor="background1" w:themeShade="80"/>
          <w:sz w:val="22"/>
          <w:szCs w:val="22"/>
          <w:lang w:val="en-GB"/>
        </w:rPr>
        <w:t xml:space="preserve">A does not </w:t>
      </w:r>
      <w:r w:rsidR="00AD2FD4">
        <w:rPr>
          <w:rFonts w:ascii="Avenir Next" w:hAnsi="Avenir Next" w:cs="Arial"/>
          <w:color w:val="808080" w:themeColor="background1" w:themeShade="80"/>
          <w:sz w:val="22"/>
          <w:szCs w:val="22"/>
          <w:lang w:val="en-GB"/>
        </w:rPr>
        <w:t>necessarily</w:t>
      </w:r>
      <w:r w:rsidR="00A975B1">
        <w:rPr>
          <w:rFonts w:ascii="Avenir Next" w:hAnsi="Avenir Next" w:cs="Arial"/>
          <w:color w:val="808080" w:themeColor="background1" w:themeShade="80"/>
          <w:sz w:val="22"/>
          <w:szCs w:val="22"/>
          <w:lang w:val="en-GB"/>
        </w:rPr>
        <w:t xml:space="preserve"> establish </w:t>
      </w:r>
      <w:r w:rsidR="006006E0">
        <w:rPr>
          <w:rFonts w:ascii="Avenir Next" w:hAnsi="Avenir Next" w:cs="Arial"/>
          <w:color w:val="808080" w:themeColor="background1" w:themeShade="80"/>
          <w:sz w:val="22"/>
          <w:szCs w:val="22"/>
          <w:lang w:val="en-GB"/>
        </w:rPr>
        <w:t>that Coun</w:t>
      </w:r>
      <w:r w:rsidR="00A02B80">
        <w:rPr>
          <w:rFonts w:ascii="Avenir Next" w:hAnsi="Avenir Next" w:cs="Arial"/>
          <w:color w:val="808080" w:themeColor="background1" w:themeShade="80"/>
          <w:sz w:val="22"/>
          <w:szCs w:val="22"/>
          <w:lang w:val="en-GB"/>
        </w:rPr>
        <w:t>t</w:t>
      </w:r>
      <w:r w:rsidR="006006E0">
        <w:rPr>
          <w:rFonts w:ascii="Avenir Next" w:hAnsi="Avenir Next" w:cs="Arial"/>
          <w:color w:val="808080" w:themeColor="background1" w:themeShade="80"/>
          <w:sz w:val="22"/>
          <w:szCs w:val="22"/>
          <w:lang w:val="en-GB"/>
        </w:rPr>
        <w:t xml:space="preserve">ry A </w:t>
      </w:r>
      <w:r w:rsidR="00A02B80">
        <w:rPr>
          <w:rFonts w:ascii="Avenir Next" w:hAnsi="Avenir Next" w:cs="Arial"/>
          <w:color w:val="808080" w:themeColor="background1" w:themeShade="80"/>
          <w:sz w:val="22"/>
          <w:szCs w:val="22"/>
          <w:lang w:val="en-GB"/>
        </w:rPr>
        <w:t xml:space="preserve">is the </w:t>
      </w:r>
      <w:r w:rsidR="00A975B1">
        <w:rPr>
          <w:rFonts w:ascii="Avenir Next" w:hAnsi="Avenir Next" w:cs="Arial"/>
          <w:color w:val="808080" w:themeColor="background1" w:themeShade="80"/>
          <w:sz w:val="22"/>
          <w:szCs w:val="22"/>
          <w:lang w:val="en-GB"/>
        </w:rPr>
        <w:t>debtor’s COMI</w:t>
      </w:r>
      <w:r w:rsidR="00E07A0D">
        <w:rPr>
          <w:rFonts w:ascii="Avenir Next" w:hAnsi="Avenir Next" w:cs="Arial"/>
          <w:color w:val="808080" w:themeColor="background1" w:themeShade="80"/>
          <w:sz w:val="22"/>
          <w:szCs w:val="22"/>
          <w:lang w:val="en-GB"/>
        </w:rPr>
        <w:t xml:space="preserve">. </w:t>
      </w:r>
    </w:p>
    <w:p w14:paraId="3F9C7ECC" w14:textId="77777777" w:rsidR="00AB1DD4" w:rsidRDefault="00AB1DD4" w:rsidP="00364D78">
      <w:pPr>
        <w:jc w:val="both"/>
        <w:rPr>
          <w:rFonts w:ascii="Avenir Next" w:hAnsi="Avenir Next" w:cs="Arial"/>
          <w:color w:val="808080" w:themeColor="background1" w:themeShade="80"/>
          <w:sz w:val="22"/>
          <w:szCs w:val="22"/>
          <w:lang w:val="en-GB"/>
        </w:rPr>
      </w:pPr>
    </w:p>
    <w:p w14:paraId="0FA292EB" w14:textId="4E733724" w:rsidR="004D29AE" w:rsidRDefault="00E07A0D" w:rsidP="00364D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that the</w:t>
      </w:r>
      <w:r w:rsidR="00E607BD">
        <w:rPr>
          <w:rFonts w:ascii="Avenir Next" w:hAnsi="Avenir Next" w:cs="Arial"/>
          <w:color w:val="808080" w:themeColor="background1" w:themeShade="80"/>
          <w:sz w:val="22"/>
          <w:szCs w:val="22"/>
          <w:lang w:val="en-GB"/>
        </w:rPr>
        <w:t xml:space="preserve"> </w:t>
      </w:r>
      <w:r w:rsidR="00BF5544">
        <w:rPr>
          <w:rFonts w:ascii="Avenir Next" w:hAnsi="Avenir Next" w:cs="Arial"/>
          <w:color w:val="808080" w:themeColor="background1" w:themeShade="80"/>
          <w:sz w:val="22"/>
          <w:szCs w:val="22"/>
          <w:lang w:val="en-GB"/>
        </w:rPr>
        <w:t>foreign representative</w:t>
      </w:r>
      <w:r w:rsidR="00E607BD">
        <w:rPr>
          <w:rFonts w:ascii="Avenir Next" w:hAnsi="Avenir Next" w:cs="Arial"/>
          <w:color w:val="808080" w:themeColor="background1" w:themeShade="80"/>
          <w:sz w:val="22"/>
          <w:szCs w:val="22"/>
          <w:lang w:val="en-GB"/>
        </w:rPr>
        <w:t xml:space="preserve"> consider</w:t>
      </w:r>
      <w:r w:rsidR="00AB1DD4">
        <w:rPr>
          <w:rFonts w:ascii="Avenir Next" w:hAnsi="Avenir Next" w:cs="Arial"/>
          <w:color w:val="808080" w:themeColor="background1" w:themeShade="80"/>
          <w:sz w:val="22"/>
          <w:szCs w:val="22"/>
          <w:lang w:val="en-GB"/>
        </w:rPr>
        <w:t>s</w:t>
      </w:r>
      <w:r w:rsidR="00E607BD">
        <w:rPr>
          <w:rFonts w:ascii="Avenir Next" w:hAnsi="Avenir Next" w:cs="Arial"/>
          <w:color w:val="808080" w:themeColor="background1" w:themeShade="80"/>
          <w:sz w:val="22"/>
          <w:szCs w:val="22"/>
          <w:lang w:val="en-GB"/>
        </w:rPr>
        <w:t xml:space="preserve"> that the debtor’s COMI is in Country A</w:t>
      </w:r>
      <w:r w:rsidR="00934A95">
        <w:rPr>
          <w:rFonts w:ascii="Avenir Next" w:hAnsi="Avenir Next" w:cs="Arial"/>
          <w:color w:val="808080" w:themeColor="background1" w:themeShade="80"/>
          <w:sz w:val="22"/>
          <w:szCs w:val="22"/>
          <w:lang w:val="en-GB"/>
        </w:rPr>
        <w:t xml:space="preserve">, </w:t>
      </w:r>
      <w:r w:rsidR="00BD1D69">
        <w:rPr>
          <w:rFonts w:ascii="Avenir Next" w:hAnsi="Avenir Next" w:cs="Arial"/>
          <w:color w:val="808080" w:themeColor="background1" w:themeShade="80"/>
          <w:sz w:val="22"/>
          <w:szCs w:val="22"/>
          <w:lang w:val="en-GB"/>
        </w:rPr>
        <w:t xml:space="preserve">in order to mitigate the risk of the </w:t>
      </w:r>
      <w:r w:rsidR="00D67D91">
        <w:rPr>
          <w:rFonts w:ascii="Avenir Next" w:hAnsi="Avenir Next" w:cs="Arial"/>
          <w:color w:val="808080" w:themeColor="background1" w:themeShade="80"/>
          <w:sz w:val="22"/>
          <w:szCs w:val="22"/>
          <w:lang w:val="en-GB"/>
        </w:rPr>
        <w:t>c</w:t>
      </w:r>
      <w:r w:rsidR="00BD1D69">
        <w:rPr>
          <w:rFonts w:ascii="Avenir Next" w:hAnsi="Avenir Next" w:cs="Arial"/>
          <w:color w:val="808080" w:themeColor="background1" w:themeShade="80"/>
          <w:sz w:val="22"/>
          <w:szCs w:val="22"/>
          <w:lang w:val="en-GB"/>
        </w:rPr>
        <w:t>ourt disagreeing</w:t>
      </w:r>
      <w:r w:rsidR="00B55AF9">
        <w:rPr>
          <w:rFonts w:ascii="Avenir Next" w:hAnsi="Avenir Next" w:cs="Arial"/>
          <w:color w:val="808080" w:themeColor="background1" w:themeShade="80"/>
          <w:sz w:val="22"/>
          <w:szCs w:val="22"/>
          <w:lang w:val="en-GB"/>
        </w:rPr>
        <w:t xml:space="preserve"> with that position</w:t>
      </w:r>
      <w:r w:rsidR="00BD1D69">
        <w:rPr>
          <w:rFonts w:ascii="Avenir Next" w:hAnsi="Avenir Next" w:cs="Arial"/>
          <w:color w:val="808080" w:themeColor="background1" w:themeShade="80"/>
          <w:sz w:val="22"/>
          <w:szCs w:val="22"/>
          <w:lang w:val="en-GB"/>
        </w:rPr>
        <w:t xml:space="preserve">, </w:t>
      </w:r>
      <w:r w:rsidR="00934A95">
        <w:rPr>
          <w:rFonts w:ascii="Avenir Next" w:hAnsi="Avenir Next" w:cs="Arial"/>
          <w:color w:val="808080" w:themeColor="background1" w:themeShade="80"/>
          <w:sz w:val="22"/>
          <w:szCs w:val="22"/>
          <w:lang w:val="en-GB"/>
        </w:rPr>
        <w:t xml:space="preserve">s/he </w:t>
      </w:r>
      <w:r w:rsidR="00D67D91">
        <w:rPr>
          <w:rFonts w:ascii="Avenir Next" w:hAnsi="Avenir Next" w:cs="Arial"/>
          <w:color w:val="808080" w:themeColor="background1" w:themeShade="80"/>
          <w:sz w:val="22"/>
          <w:szCs w:val="22"/>
          <w:lang w:val="en-GB"/>
        </w:rPr>
        <w:t>may</w:t>
      </w:r>
      <w:r w:rsidR="00934A95">
        <w:rPr>
          <w:rFonts w:ascii="Avenir Next" w:hAnsi="Avenir Next" w:cs="Arial"/>
          <w:color w:val="808080" w:themeColor="background1" w:themeShade="80"/>
          <w:sz w:val="22"/>
          <w:szCs w:val="22"/>
          <w:lang w:val="en-GB"/>
        </w:rPr>
        <w:t xml:space="preserve"> have asserted </w:t>
      </w:r>
      <w:r w:rsidR="00A720BD">
        <w:rPr>
          <w:rFonts w:ascii="Avenir Next" w:hAnsi="Avenir Next" w:cs="Arial"/>
          <w:color w:val="808080" w:themeColor="background1" w:themeShade="80"/>
          <w:sz w:val="22"/>
          <w:szCs w:val="22"/>
          <w:lang w:val="en-GB"/>
        </w:rPr>
        <w:t xml:space="preserve">(and evidenced) </w:t>
      </w:r>
      <w:r w:rsidR="00934A95">
        <w:rPr>
          <w:rFonts w:ascii="Avenir Next" w:hAnsi="Avenir Next" w:cs="Arial"/>
          <w:color w:val="808080" w:themeColor="background1" w:themeShade="80"/>
          <w:sz w:val="22"/>
          <w:szCs w:val="22"/>
          <w:lang w:val="en-GB"/>
        </w:rPr>
        <w:t xml:space="preserve">that </w:t>
      </w:r>
      <w:r w:rsidR="00A720BD">
        <w:rPr>
          <w:rFonts w:ascii="Avenir Next" w:hAnsi="Avenir Next" w:cs="Arial"/>
          <w:color w:val="808080" w:themeColor="background1" w:themeShade="80"/>
          <w:sz w:val="22"/>
          <w:szCs w:val="22"/>
          <w:lang w:val="en-GB"/>
        </w:rPr>
        <w:t xml:space="preserve">position </w:t>
      </w:r>
      <w:r w:rsidR="00934A95">
        <w:rPr>
          <w:rFonts w:ascii="Avenir Next" w:hAnsi="Avenir Next" w:cs="Arial"/>
          <w:color w:val="808080" w:themeColor="background1" w:themeShade="80"/>
          <w:sz w:val="22"/>
          <w:szCs w:val="22"/>
          <w:lang w:val="en-GB"/>
        </w:rPr>
        <w:t xml:space="preserve">in the application for recognition of a foreign main proceeding. </w:t>
      </w:r>
      <w:r w:rsidR="0059200C">
        <w:rPr>
          <w:rFonts w:ascii="Avenir Next" w:hAnsi="Avenir Next" w:cs="Arial"/>
          <w:color w:val="808080" w:themeColor="background1" w:themeShade="80"/>
          <w:sz w:val="22"/>
          <w:szCs w:val="22"/>
          <w:lang w:val="en-GB"/>
        </w:rPr>
        <w:t>That said, it appears from the limited facts that the debtor’s COMI is unlikely to be in Country A.</w:t>
      </w:r>
      <w:r w:rsidR="006B47F2">
        <w:rPr>
          <w:rFonts w:ascii="Avenir Next" w:hAnsi="Avenir Next" w:cs="Arial"/>
          <w:color w:val="808080" w:themeColor="background1" w:themeShade="80"/>
          <w:sz w:val="22"/>
          <w:szCs w:val="22"/>
          <w:lang w:val="en-GB"/>
        </w:rPr>
        <w:t xml:space="preserve"> </w:t>
      </w:r>
      <w:r w:rsidR="00ED6920">
        <w:rPr>
          <w:rFonts w:ascii="Avenir Next" w:hAnsi="Avenir Next" w:cs="Arial"/>
          <w:color w:val="808080" w:themeColor="background1" w:themeShade="80"/>
          <w:sz w:val="22"/>
          <w:szCs w:val="22"/>
          <w:lang w:val="en-GB"/>
        </w:rPr>
        <w:t xml:space="preserve">It should be noted that </w:t>
      </w:r>
      <w:r w:rsidR="009F402C">
        <w:rPr>
          <w:rFonts w:ascii="Avenir Next" w:hAnsi="Avenir Next" w:cs="Arial"/>
          <w:color w:val="808080" w:themeColor="background1" w:themeShade="80"/>
          <w:sz w:val="22"/>
          <w:szCs w:val="22"/>
          <w:lang w:val="en-GB"/>
        </w:rPr>
        <w:t xml:space="preserve">a </w:t>
      </w:r>
      <w:r w:rsidR="00ED6920">
        <w:rPr>
          <w:rFonts w:ascii="Avenir Next" w:hAnsi="Avenir Next" w:cs="Arial"/>
          <w:color w:val="808080" w:themeColor="background1" w:themeShade="80"/>
          <w:sz w:val="22"/>
          <w:szCs w:val="22"/>
          <w:lang w:val="en-GB"/>
        </w:rPr>
        <w:t xml:space="preserve">false claim regarding </w:t>
      </w:r>
      <w:r w:rsidR="009F402C">
        <w:rPr>
          <w:rFonts w:ascii="Avenir Next" w:hAnsi="Avenir Next" w:cs="Arial"/>
          <w:color w:val="808080" w:themeColor="background1" w:themeShade="80"/>
          <w:sz w:val="22"/>
          <w:szCs w:val="22"/>
          <w:lang w:val="en-GB"/>
        </w:rPr>
        <w:t xml:space="preserve">the location of </w:t>
      </w:r>
      <w:r w:rsidR="00ED6920">
        <w:rPr>
          <w:rFonts w:ascii="Avenir Next" w:hAnsi="Avenir Next" w:cs="Arial"/>
          <w:color w:val="808080" w:themeColor="background1" w:themeShade="80"/>
          <w:sz w:val="22"/>
          <w:szCs w:val="22"/>
          <w:lang w:val="en-GB"/>
        </w:rPr>
        <w:t xml:space="preserve">a COMI </w:t>
      </w:r>
      <w:r w:rsidR="009F402C">
        <w:rPr>
          <w:rFonts w:ascii="Avenir Next" w:hAnsi="Avenir Next" w:cs="Arial"/>
          <w:color w:val="808080" w:themeColor="background1" w:themeShade="80"/>
          <w:sz w:val="22"/>
          <w:szCs w:val="22"/>
          <w:lang w:val="en-GB"/>
        </w:rPr>
        <w:t>is likely to detrimentally affect a</w:t>
      </w:r>
      <w:r w:rsidR="00D841CE">
        <w:rPr>
          <w:rFonts w:ascii="Avenir Next" w:hAnsi="Avenir Next" w:cs="Arial"/>
          <w:color w:val="808080" w:themeColor="background1" w:themeShade="80"/>
          <w:sz w:val="22"/>
          <w:szCs w:val="22"/>
          <w:lang w:val="en-GB"/>
        </w:rPr>
        <w:t xml:space="preserve"> recognition </w:t>
      </w:r>
      <w:r w:rsidR="00203614">
        <w:rPr>
          <w:rFonts w:ascii="Avenir Next" w:hAnsi="Avenir Next" w:cs="Arial"/>
          <w:color w:val="808080" w:themeColor="background1" w:themeShade="80"/>
          <w:sz w:val="22"/>
          <w:szCs w:val="22"/>
          <w:lang w:val="en-GB"/>
        </w:rPr>
        <w:t xml:space="preserve">application if deemed to be </w:t>
      </w:r>
      <w:r w:rsidR="009F402C">
        <w:rPr>
          <w:rFonts w:ascii="Avenir Next" w:hAnsi="Avenir Next" w:cs="Arial"/>
          <w:color w:val="808080" w:themeColor="background1" w:themeShade="80"/>
          <w:sz w:val="22"/>
          <w:szCs w:val="22"/>
          <w:lang w:val="en-GB"/>
        </w:rPr>
        <w:t xml:space="preserve">an </w:t>
      </w:r>
      <w:r w:rsidR="00203614">
        <w:rPr>
          <w:rFonts w:ascii="Avenir Next" w:hAnsi="Avenir Next" w:cs="Arial"/>
          <w:color w:val="808080" w:themeColor="background1" w:themeShade="80"/>
          <w:sz w:val="22"/>
          <w:szCs w:val="22"/>
          <w:lang w:val="en-GB"/>
        </w:rPr>
        <w:t>abuse of process by the</w:t>
      </w:r>
      <w:r w:rsidR="0059200C">
        <w:rPr>
          <w:rFonts w:ascii="Avenir Next" w:hAnsi="Avenir Next" w:cs="Arial"/>
          <w:color w:val="808080" w:themeColor="background1" w:themeShade="80"/>
          <w:sz w:val="22"/>
          <w:szCs w:val="22"/>
          <w:lang w:val="en-GB"/>
        </w:rPr>
        <w:t xml:space="preserve"> </w:t>
      </w:r>
      <w:r w:rsidR="00D841CE">
        <w:rPr>
          <w:rFonts w:ascii="Avenir Next" w:hAnsi="Avenir Next" w:cs="Arial"/>
          <w:color w:val="808080" w:themeColor="background1" w:themeShade="80"/>
          <w:sz w:val="22"/>
          <w:szCs w:val="22"/>
          <w:lang w:val="en-GB"/>
        </w:rPr>
        <w:t>foreign representative</w:t>
      </w:r>
      <w:r w:rsidR="00203614">
        <w:rPr>
          <w:rFonts w:ascii="Avenir Next" w:hAnsi="Avenir Next" w:cs="Arial"/>
          <w:color w:val="808080" w:themeColor="background1" w:themeShade="80"/>
          <w:sz w:val="22"/>
          <w:szCs w:val="22"/>
          <w:lang w:val="en-GB"/>
        </w:rPr>
        <w:t>.</w:t>
      </w:r>
    </w:p>
    <w:p w14:paraId="51E58455" w14:textId="77777777" w:rsidR="004D29AE" w:rsidRDefault="004D29AE" w:rsidP="00364D78">
      <w:pPr>
        <w:jc w:val="both"/>
        <w:rPr>
          <w:rFonts w:ascii="Avenir Next" w:hAnsi="Avenir Next" w:cs="Arial"/>
          <w:color w:val="808080" w:themeColor="background1" w:themeShade="80"/>
          <w:sz w:val="22"/>
          <w:szCs w:val="22"/>
          <w:lang w:val="en-GB"/>
        </w:rPr>
      </w:pPr>
    </w:p>
    <w:p w14:paraId="6841A1DE" w14:textId="6B9E3944" w:rsidR="00D5244F" w:rsidRPr="00B1777A" w:rsidRDefault="00A720BD" w:rsidP="00364D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foreign representative d</w:t>
      </w:r>
      <w:r w:rsidR="004D29AE">
        <w:rPr>
          <w:rFonts w:ascii="Avenir Next" w:hAnsi="Avenir Next" w:cs="Arial"/>
          <w:color w:val="808080" w:themeColor="background1" w:themeShade="80"/>
          <w:sz w:val="22"/>
          <w:szCs w:val="22"/>
          <w:lang w:val="en-GB"/>
        </w:rPr>
        <w:t>oes</w:t>
      </w:r>
      <w:r>
        <w:rPr>
          <w:rFonts w:ascii="Avenir Next" w:hAnsi="Avenir Next" w:cs="Arial"/>
          <w:color w:val="808080" w:themeColor="background1" w:themeShade="80"/>
          <w:sz w:val="22"/>
          <w:szCs w:val="22"/>
          <w:lang w:val="en-GB"/>
        </w:rPr>
        <w:t xml:space="preserve"> not co</w:t>
      </w:r>
      <w:r w:rsidR="004D29AE">
        <w:rPr>
          <w:rFonts w:ascii="Avenir Next" w:hAnsi="Avenir Next" w:cs="Arial"/>
          <w:color w:val="808080" w:themeColor="background1" w:themeShade="80"/>
          <w:sz w:val="22"/>
          <w:szCs w:val="22"/>
          <w:lang w:val="en-GB"/>
        </w:rPr>
        <w:t>nsider that the debtor’s COMI is in Country A</w:t>
      </w:r>
      <w:r w:rsidR="00A62CAC">
        <w:rPr>
          <w:rFonts w:ascii="Avenir Next" w:hAnsi="Avenir Next" w:cs="Arial"/>
          <w:color w:val="808080" w:themeColor="background1" w:themeShade="80"/>
          <w:sz w:val="22"/>
          <w:szCs w:val="22"/>
          <w:lang w:val="en-GB"/>
        </w:rPr>
        <w:t xml:space="preserve"> (or indeed, it is not (factually) in Country A)</w:t>
      </w:r>
      <w:r w:rsidR="004A1D4E">
        <w:rPr>
          <w:rFonts w:ascii="Avenir Next" w:hAnsi="Avenir Next" w:cs="Arial"/>
          <w:color w:val="808080" w:themeColor="background1" w:themeShade="80"/>
          <w:sz w:val="22"/>
          <w:szCs w:val="22"/>
          <w:lang w:val="en-GB"/>
        </w:rPr>
        <w:t xml:space="preserve"> but that it can be reasonably asserted that the debtor has an establishment in Country A</w:t>
      </w:r>
      <w:r w:rsidR="00C73155">
        <w:rPr>
          <w:rFonts w:ascii="Avenir Next" w:hAnsi="Avenir Next" w:cs="Arial"/>
          <w:color w:val="808080" w:themeColor="background1" w:themeShade="80"/>
          <w:sz w:val="22"/>
          <w:szCs w:val="22"/>
          <w:lang w:val="en-GB"/>
        </w:rPr>
        <w:t xml:space="preserve"> (within the meaning ascribed in the MLCBI)</w:t>
      </w:r>
      <w:r w:rsidR="004A1D4E">
        <w:rPr>
          <w:rFonts w:ascii="Avenir Next" w:hAnsi="Avenir Next" w:cs="Arial"/>
          <w:color w:val="808080" w:themeColor="background1" w:themeShade="80"/>
          <w:sz w:val="22"/>
          <w:szCs w:val="22"/>
          <w:lang w:val="en-GB"/>
        </w:rPr>
        <w:t xml:space="preserve">, </w:t>
      </w:r>
      <w:r w:rsidR="004D29AE">
        <w:rPr>
          <w:rFonts w:ascii="Avenir Next" w:hAnsi="Avenir Next" w:cs="Arial"/>
          <w:color w:val="808080" w:themeColor="background1" w:themeShade="80"/>
          <w:sz w:val="22"/>
          <w:szCs w:val="22"/>
          <w:lang w:val="en-GB"/>
        </w:rPr>
        <w:t xml:space="preserve">s/he </w:t>
      </w:r>
      <w:r w:rsidR="0059200C">
        <w:rPr>
          <w:rFonts w:ascii="Avenir Next" w:hAnsi="Avenir Next" w:cs="Arial"/>
          <w:color w:val="808080" w:themeColor="background1" w:themeShade="80"/>
          <w:sz w:val="22"/>
          <w:szCs w:val="22"/>
          <w:lang w:val="en-GB"/>
        </w:rPr>
        <w:t xml:space="preserve">may </w:t>
      </w:r>
      <w:r w:rsidR="004D29AE">
        <w:rPr>
          <w:rFonts w:ascii="Avenir Next" w:hAnsi="Avenir Next" w:cs="Arial"/>
          <w:color w:val="808080" w:themeColor="background1" w:themeShade="80"/>
          <w:sz w:val="22"/>
          <w:szCs w:val="22"/>
          <w:lang w:val="en-GB"/>
        </w:rPr>
        <w:t>have</w:t>
      </w:r>
      <w:r w:rsidR="00EE087C">
        <w:rPr>
          <w:rFonts w:ascii="Avenir Next" w:hAnsi="Avenir Next" w:cs="Arial"/>
          <w:color w:val="808080" w:themeColor="background1" w:themeShade="80"/>
          <w:sz w:val="22"/>
          <w:szCs w:val="22"/>
          <w:lang w:val="en-GB"/>
        </w:rPr>
        <w:t xml:space="preserve"> sought recognition of the foreign proceeding as</w:t>
      </w:r>
      <w:r w:rsidR="003008C8">
        <w:rPr>
          <w:rFonts w:ascii="Avenir Next" w:hAnsi="Avenir Next" w:cs="Arial"/>
          <w:color w:val="808080" w:themeColor="background1" w:themeShade="80"/>
          <w:sz w:val="22"/>
          <w:szCs w:val="22"/>
          <w:lang w:val="en-GB"/>
        </w:rPr>
        <w:t xml:space="preserve"> a</w:t>
      </w:r>
      <w:r w:rsidR="00EE087C">
        <w:rPr>
          <w:rFonts w:ascii="Avenir Next" w:hAnsi="Avenir Next" w:cs="Arial"/>
          <w:color w:val="808080" w:themeColor="background1" w:themeShade="80"/>
          <w:sz w:val="22"/>
          <w:szCs w:val="22"/>
          <w:lang w:val="en-GB"/>
        </w:rPr>
        <w:t xml:space="preserve"> foreign non-main proceeding. </w:t>
      </w:r>
      <w:r w:rsidR="003008C8">
        <w:rPr>
          <w:rFonts w:ascii="Avenir Next" w:hAnsi="Avenir Next" w:cs="Arial"/>
          <w:color w:val="808080" w:themeColor="background1" w:themeShade="80"/>
          <w:sz w:val="22"/>
          <w:szCs w:val="22"/>
          <w:lang w:val="en-GB"/>
        </w:rPr>
        <w:t xml:space="preserve">On the basis that </w:t>
      </w:r>
      <w:r w:rsidR="001B65DE" w:rsidRPr="001B65DE">
        <w:rPr>
          <w:rFonts w:ascii="Avenir Next" w:hAnsi="Avenir Next" w:cs="Arial"/>
          <w:color w:val="808080" w:themeColor="background1" w:themeShade="80"/>
          <w:sz w:val="22"/>
          <w:szCs w:val="22"/>
          <w:lang w:val="en-GB"/>
        </w:rPr>
        <w:t xml:space="preserve">the debtor </w:t>
      </w:r>
      <w:r w:rsidR="001B65DE">
        <w:rPr>
          <w:rFonts w:ascii="Avenir Next" w:hAnsi="Avenir Next" w:cs="Arial"/>
          <w:color w:val="808080" w:themeColor="background1" w:themeShade="80"/>
          <w:sz w:val="22"/>
          <w:szCs w:val="22"/>
          <w:lang w:val="en-GB"/>
        </w:rPr>
        <w:t>“</w:t>
      </w:r>
      <w:r w:rsidR="001B65DE" w:rsidRPr="00586672">
        <w:rPr>
          <w:rFonts w:ascii="Avenir Next" w:hAnsi="Avenir Next" w:cs="Arial"/>
          <w:i/>
          <w:iCs/>
          <w:color w:val="808080" w:themeColor="background1" w:themeShade="80"/>
          <w:sz w:val="22"/>
          <w:szCs w:val="22"/>
          <w:lang w:val="en-GB"/>
        </w:rPr>
        <w:t>carries out a non-transitory economic activity with human means and goods or services</w:t>
      </w:r>
      <w:r w:rsidR="001B65DE">
        <w:rPr>
          <w:rFonts w:ascii="Avenir Next" w:hAnsi="Avenir Next" w:cs="Arial"/>
          <w:color w:val="808080" w:themeColor="background1" w:themeShade="80"/>
          <w:sz w:val="22"/>
          <w:szCs w:val="22"/>
          <w:lang w:val="en-GB"/>
        </w:rPr>
        <w:t>” in Country A, s</w:t>
      </w:r>
      <w:r w:rsidR="00B1777A">
        <w:rPr>
          <w:rFonts w:ascii="Avenir Next" w:hAnsi="Avenir Next" w:cs="Arial"/>
          <w:color w:val="808080" w:themeColor="background1" w:themeShade="80"/>
          <w:sz w:val="22"/>
          <w:szCs w:val="22"/>
          <w:lang w:val="en-GB"/>
        </w:rPr>
        <w:t xml:space="preserve">uch application </w:t>
      </w:r>
      <w:r w:rsidR="001B65DE">
        <w:rPr>
          <w:rFonts w:ascii="Avenir Next" w:hAnsi="Avenir Next" w:cs="Arial"/>
          <w:color w:val="808080" w:themeColor="background1" w:themeShade="80"/>
          <w:sz w:val="22"/>
          <w:szCs w:val="22"/>
          <w:lang w:val="en-GB"/>
        </w:rPr>
        <w:t xml:space="preserve">may </w:t>
      </w:r>
      <w:r w:rsidR="00B1777A">
        <w:rPr>
          <w:rFonts w:ascii="Avenir Next" w:hAnsi="Avenir Next" w:cs="Arial"/>
          <w:color w:val="808080" w:themeColor="background1" w:themeShade="80"/>
          <w:sz w:val="22"/>
          <w:szCs w:val="22"/>
          <w:lang w:val="en-GB"/>
        </w:rPr>
        <w:t xml:space="preserve">have had greater chances of success.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7C96E568" w14:textId="77777777" w:rsidR="00A511EE" w:rsidRDefault="00A511EE" w:rsidP="009E3CA7">
      <w:pPr>
        <w:jc w:val="both"/>
        <w:rPr>
          <w:rFonts w:ascii="Avenir Next" w:hAnsi="Avenir Next"/>
          <w:sz w:val="22"/>
          <w:szCs w:val="28"/>
        </w:rPr>
      </w:pPr>
    </w:p>
    <w:p w14:paraId="7BA82E75" w14:textId="20AF95FF"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5838307" w14:textId="77777777" w:rsidR="00A511EE" w:rsidRDefault="00A511EE" w:rsidP="00A511EE">
      <w:pPr>
        <w:jc w:val="both"/>
        <w:rPr>
          <w:rFonts w:ascii="Avenir Next" w:hAnsi="Avenir Next" w:cs="Arial"/>
          <w:color w:val="808080" w:themeColor="background1" w:themeShade="80"/>
          <w:sz w:val="22"/>
          <w:szCs w:val="22"/>
          <w:lang w:val="en-GB"/>
        </w:rPr>
      </w:pPr>
    </w:p>
    <w:p w14:paraId="7CBCCFEB" w14:textId="70EE6183" w:rsidR="00671828" w:rsidRPr="00671828" w:rsidRDefault="00671828" w:rsidP="00A511EE">
      <w:pPr>
        <w:jc w:val="both"/>
        <w:rPr>
          <w:rFonts w:ascii="Avenir Next" w:hAnsi="Avenir Next" w:cs="Arial"/>
          <w:b/>
          <w:bCs/>
          <w:color w:val="808080" w:themeColor="background1" w:themeShade="80"/>
          <w:sz w:val="22"/>
          <w:szCs w:val="22"/>
          <w:lang w:val="en-GB"/>
        </w:rPr>
      </w:pPr>
      <w:r w:rsidRPr="00671828">
        <w:rPr>
          <w:rFonts w:ascii="Avenir Next" w:hAnsi="Avenir Next" w:cs="Arial"/>
          <w:b/>
          <w:bCs/>
          <w:color w:val="808080" w:themeColor="background1" w:themeShade="80"/>
          <w:sz w:val="22"/>
          <w:szCs w:val="22"/>
          <w:lang w:val="en-GB"/>
        </w:rPr>
        <w:lastRenderedPageBreak/>
        <w:t xml:space="preserve">Summary </w:t>
      </w:r>
    </w:p>
    <w:p w14:paraId="517A141E" w14:textId="77777777" w:rsidR="00671828" w:rsidRDefault="00671828" w:rsidP="00A511EE">
      <w:pPr>
        <w:jc w:val="both"/>
        <w:rPr>
          <w:rFonts w:ascii="Avenir Next" w:hAnsi="Avenir Next" w:cs="Arial"/>
          <w:color w:val="808080" w:themeColor="background1" w:themeShade="80"/>
          <w:sz w:val="22"/>
          <w:szCs w:val="22"/>
          <w:lang w:val="en-GB"/>
        </w:rPr>
      </w:pPr>
    </w:p>
    <w:p w14:paraId="442FA678" w14:textId="4C91497B" w:rsidR="00A511EE" w:rsidRPr="00A511EE" w:rsidRDefault="00A511EE" w:rsidP="00A511EE">
      <w:pPr>
        <w:jc w:val="both"/>
        <w:rPr>
          <w:rFonts w:ascii="Avenir Next" w:hAnsi="Avenir Next" w:cs="Arial"/>
          <w:color w:val="808080" w:themeColor="background1" w:themeShade="80"/>
          <w:sz w:val="22"/>
          <w:szCs w:val="22"/>
          <w:lang w:val="en-GB"/>
        </w:rPr>
      </w:pPr>
      <w:r w:rsidRPr="00A511EE">
        <w:rPr>
          <w:rFonts w:ascii="Avenir Next" w:hAnsi="Avenir Next" w:cs="Arial"/>
          <w:color w:val="808080" w:themeColor="background1" w:themeShade="80"/>
          <w:sz w:val="22"/>
          <w:szCs w:val="22"/>
          <w:lang w:val="en-GB"/>
        </w:rPr>
        <w:t xml:space="preserve">In summary, my view is that the client would be best advised to apply for recognition of foreign non-main proceedings for the reasons set out below. </w:t>
      </w:r>
      <w:r w:rsidR="00671828">
        <w:rPr>
          <w:rFonts w:ascii="Avenir Next" w:hAnsi="Avenir Next" w:cs="Arial"/>
          <w:color w:val="808080" w:themeColor="background1" w:themeShade="80"/>
          <w:sz w:val="22"/>
          <w:szCs w:val="22"/>
          <w:lang w:val="en-GB"/>
        </w:rPr>
        <w:t xml:space="preserve">I also set out below a list of required filings and </w:t>
      </w:r>
      <w:r w:rsidR="00671828" w:rsidRPr="00671828">
        <w:rPr>
          <w:rFonts w:ascii="Avenir Next" w:hAnsi="Avenir Next" w:cs="Arial"/>
          <w:color w:val="808080" w:themeColor="background1" w:themeShade="80"/>
          <w:sz w:val="22"/>
          <w:szCs w:val="22"/>
          <w:lang w:val="en-GB"/>
        </w:rPr>
        <w:t>relief should be requested on day one of the filing.</w:t>
      </w:r>
    </w:p>
    <w:p w14:paraId="1C223143" w14:textId="77777777" w:rsidR="00A511EE" w:rsidRDefault="00A511EE" w:rsidP="000707B5">
      <w:pPr>
        <w:jc w:val="both"/>
        <w:rPr>
          <w:rFonts w:ascii="Avenir Next" w:hAnsi="Avenir Next" w:cs="Arial"/>
          <w:color w:val="808080" w:themeColor="background1" w:themeShade="80"/>
          <w:sz w:val="22"/>
          <w:szCs w:val="22"/>
          <w:lang w:val="en-GB"/>
        </w:rPr>
      </w:pPr>
    </w:p>
    <w:p w14:paraId="0C5CCB38" w14:textId="62C7DEA1" w:rsidR="00671828" w:rsidRPr="00671828" w:rsidRDefault="00671828" w:rsidP="000707B5">
      <w:pPr>
        <w:jc w:val="both"/>
        <w:rPr>
          <w:rFonts w:ascii="Avenir Next" w:hAnsi="Avenir Next" w:cs="Arial"/>
          <w:b/>
          <w:bCs/>
          <w:color w:val="808080" w:themeColor="background1" w:themeShade="80"/>
          <w:sz w:val="22"/>
          <w:szCs w:val="22"/>
          <w:lang w:val="en-GB"/>
        </w:rPr>
      </w:pPr>
      <w:r w:rsidRPr="00671828">
        <w:rPr>
          <w:rFonts w:ascii="Avenir Next" w:hAnsi="Avenir Next" w:cs="Arial"/>
          <w:b/>
          <w:bCs/>
          <w:color w:val="808080" w:themeColor="background1" w:themeShade="80"/>
          <w:sz w:val="22"/>
          <w:szCs w:val="22"/>
          <w:lang w:val="en-GB"/>
        </w:rPr>
        <w:t>Analysis</w:t>
      </w:r>
    </w:p>
    <w:p w14:paraId="3FE2DD7C" w14:textId="77777777" w:rsidR="00671828" w:rsidRDefault="00671828" w:rsidP="000707B5">
      <w:pPr>
        <w:jc w:val="both"/>
        <w:rPr>
          <w:rFonts w:ascii="Avenir Next" w:hAnsi="Avenir Next" w:cs="Arial"/>
          <w:color w:val="808080" w:themeColor="background1" w:themeShade="80"/>
          <w:sz w:val="22"/>
          <w:szCs w:val="22"/>
          <w:lang w:val="en-GB"/>
        </w:rPr>
      </w:pPr>
    </w:p>
    <w:p w14:paraId="06D239E5" w14:textId="5362B23E" w:rsidR="000707B5" w:rsidRPr="000707B5" w:rsidRDefault="000707B5" w:rsidP="000707B5">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First,</w:t>
      </w:r>
      <w:r w:rsidR="00A511EE">
        <w:rPr>
          <w:rFonts w:ascii="Avenir Next" w:hAnsi="Avenir Next" w:cs="Arial"/>
          <w:color w:val="808080" w:themeColor="background1" w:themeShade="80"/>
          <w:sz w:val="22"/>
          <w:szCs w:val="22"/>
          <w:lang w:val="en-GB"/>
        </w:rPr>
        <w:t xml:space="preserve"> in terms of analysing the position,</w:t>
      </w:r>
      <w:r w:rsidRPr="000707B5">
        <w:rPr>
          <w:rFonts w:ascii="Avenir Next" w:hAnsi="Avenir Next" w:cs="Arial"/>
          <w:color w:val="808080" w:themeColor="background1" w:themeShade="80"/>
          <w:sz w:val="22"/>
          <w:szCs w:val="22"/>
          <w:lang w:val="en-GB"/>
        </w:rPr>
        <w:t xml:space="preserve"> ‘re-domestication / re-domiciliation’ or ‘transfer by continuation’ from another jurisdiction to the Cayman Islands is not unusual. For transfer by continuation, the company being redomiciled has to be solvent, which appears to have been the case in 2009 when Globe Holdings (GH) was transferred by continuation from Canada to Cayman.   </w:t>
      </w:r>
    </w:p>
    <w:p w14:paraId="14023BB7" w14:textId="77777777" w:rsidR="000707B5" w:rsidRDefault="000707B5" w:rsidP="000707B5">
      <w:pPr>
        <w:jc w:val="both"/>
        <w:rPr>
          <w:rFonts w:ascii="Avenir Next" w:hAnsi="Avenir Next" w:cs="Arial"/>
          <w:color w:val="808080" w:themeColor="background1" w:themeShade="80"/>
          <w:sz w:val="22"/>
          <w:szCs w:val="22"/>
          <w:lang w:val="en-GB"/>
        </w:rPr>
      </w:pPr>
    </w:p>
    <w:p w14:paraId="4A03AD27" w14:textId="2AE9FA35" w:rsidR="000707B5" w:rsidRPr="000707B5" w:rsidRDefault="000707B5" w:rsidP="000707B5">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 xml:space="preserve">As regards companies being transferred by continuation for the purposes of restructuring, the Americas Restructuring Review 2022 comments: </w:t>
      </w:r>
      <w:r w:rsidRPr="00767024">
        <w:rPr>
          <w:rFonts w:ascii="Avenir Next" w:hAnsi="Avenir Next" w:cs="Arial"/>
          <w:i/>
          <w:iCs/>
          <w:color w:val="808080" w:themeColor="background1" w:themeShade="80"/>
          <w:sz w:val="22"/>
          <w:szCs w:val="22"/>
          <w:lang w:val="en-GB"/>
        </w:rPr>
        <w:t>“[t]he Cayman Islands has proved to be an attractive restructuring jurisdiction, not least because the Cayman courts have considerable experience with efficient management of large debt restructurings. …Debt restructurings in the Cayman Islands often involve cross-border issues, and there is a wealth of precedent for successful applications for recognition under Chapter 15 of the United States Bankruptcy Code, as well as recognition in other key jurisdictions.</w:t>
      </w:r>
      <w:r w:rsidRPr="000707B5">
        <w:rPr>
          <w:rFonts w:ascii="Avenir Next" w:hAnsi="Avenir Next" w:cs="Arial"/>
          <w:color w:val="808080" w:themeColor="background1" w:themeShade="80"/>
          <w:sz w:val="22"/>
          <w:szCs w:val="22"/>
          <w:lang w:val="en-GB"/>
        </w:rPr>
        <w:t>”</w:t>
      </w:r>
      <w:r w:rsidRPr="00767024">
        <w:rPr>
          <w:rFonts w:ascii="Avenir Next" w:hAnsi="Avenir Next" w:cs="Arial"/>
          <w:color w:val="808080" w:themeColor="background1" w:themeShade="80"/>
          <w:sz w:val="16"/>
          <w:szCs w:val="16"/>
          <w:lang w:val="en-GB"/>
        </w:rPr>
        <w:footnoteReference w:id="1"/>
      </w:r>
      <w:r w:rsidRPr="00767024">
        <w:rPr>
          <w:rFonts w:ascii="Avenir Next" w:hAnsi="Avenir Next" w:cs="Arial"/>
          <w:color w:val="808080" w:themeColor="background1" w:themeShade="80"/>
          <w:sz w:val="16"/>
          <w:szCs w:val="16"/>
          <w:lang w:val="en-GB"/>
        </w:rPr>
        <w:t xml:space="preserve"> </w:t>
      </w:r>
      <w:r w:rsidRPr="000707B5">
        <w:rPr>
          <w:rFonts w:ascii="Avenir Next" w:hAnsi="Avenir Next" w:cs="Arial"/>
          <w:color w:val="808080" w:themeColor="background1" w:themeShade="80"/>
          <w:sz w:val="22"/>
          <w:szCs w:val="22"/>
          <w:lang w:val="en-GB"/>
        </w:rPr>
        <w:t xml:space="preserve">Chapter 15 of the US Bankruptcy Code is the provision which incorporates the MLCBI into domestic law. Indeed, some entities will re-domicile their COMI into jurisdictions such as Cayman in order to obtain Chapter 15 protection.  </w:t>
      </w:r>
      <w:r w:rsidR="00D71657" w:rsidRPr="00D71657">
        <w:rPr>
          <w:rFonts w:ascii="Avenir Next" w:hAnsi="Avenir Next" w:cs="Arial"/>
          <w:color w:val="808080" w:themeColor="background1" w:themeShade="80"/>
          <w:sz w:val="22"/>
          <w:szCs w:val="22"/>
          <w:lang w:val="en-GB"/>
        </w:rPr>
        <w:t xml:space="preserve">In principle, </w:t>
      </w:r>
      <w:r w:rsidR="00733C15">
        <w:rPr>
          <w:rFonts w:ascii="Avenir Next" w:hAnsi="Avenir Next" w:cs="Arial"/>
          <w:color w:val="808080" w:themeColor="background1" w:themeShade="80"/>
          <w:sz w:val="22"/>
          <w:szCs w:val="22"/>
          <w:lang w:val="en-GB"/>
        </w:rPr>
        <w:t xml:space="preserve">the </w:t>
      </w:r>
      <w:r w:rsidR="00D71657">
        <w:rPr>
          <w:rFonts w:ascii="Avenir Next" w:hAnsi="Avenir Next" w:cs="Arial"/>
          <w:color w:val="808080" w:themeColor="background1" w:themeShade="80"/>
          <w:sz w:val="22"/>
          <w:szCs w:val="22"/>
          <w:lang w:val="en-GB"/>
        </w:rPr>
        <w:t>Cayman</w:t>
      </w:r>
      <w:r w:rsidR="00D71657" w:rsidRPr="00D71657">
        <w:rPr>
          <w:rFonts w:ascii="Avenir Next" w:hAnsi="Avenir Next" w:cs="Arial"/>
          <w:color w:val="808080" w:themeColor="background1" w:themeShade="80"/>
          <w:sz w:val="22"/>
          <w:szCs w:val="22"/>
          <w:lang w:val="en-GB"/>
        </w:rPr>
        <w:t xml:space="preserve"> </w:t>
      </w:r>
      <w:r w:rsidR="00733C15">
        <w:rPr>
          <w:rFonts w:ascii="Avenir Next" w:hAnsi="Avenir Next" w:cs="Arial"/>
          <w:color w:val="808080" w:themeColor="background1" w:themeShade="80"/>
          <w:sz w:val="22"/>
          <w:szCs w:val="22"/>
          <w:lang w:val="en-GB"/>
        </w:rPr>
        <w:t>S</w:t>
      </w:r>
      <w:r w:rsidR="00D71657" w:rsidRPr="00D71657">
        <w:rPr>
          <w:rFonts w:ascii="Avenir Next" w:hAnsi="Avenir Next" w:cs="Arial"/>
          <w:color w:val="808080" w:themeColor="background1" w:themeShade="80"/>
          <w:sz w:val="22"/>
          <w:szCs w:val="22"/>
          <w:lang w:val="en-GB"/>
        </w:rPr>
        <w:t>cheme could be granted recognition under Chapter 15 as a foreign main or non-main proceeding.</w:t>
      </w:r>
      <w:r w:rsidR="001A0EB3">
        <w:rPr>
          <w:rFonts w:ascii="Avenir Next" w:hAnsi="Avenir Next" w:cs="Arial"/>
          <w:color w:val="808080" w:themeColor="background1" w:themeShade="80"/>
          <w:sz w:val="22"/>
          <w:szCs w:val="22"/>
          <w:lang w:val="en-GB"/>
        </w:rPr>
        <w:t xml:space="preserve"> For the Scheme to be recognised as a foreign main proceeding, the US court must consider that GH’s COMI is in Cayman. </w:t>
      </w:r>
    </w:p>
    <w:p w14:paraId="6F8EF69E" w14:textId="77777777" w:rsidR="000707B5" w:rsidRDefault="000707B5" w:rsidP="000707B5">
      <w:pPr>
        <w:jc w:val="both"/>
        <w:rPr>
          <w:rFonts w:ascii="Avenir Next" w:hAnsi="Avenir Next" w:cs="Arial"/>
          <w:color w:val="808080" w:themeColor="background1" w:themeShade="80"/>
          <w:sz w:val="22"/>
          <w:szCs w:val="22"/>
          <w:lang w:val="en-GB"/>
        </w:rPr>
      </w:pPr>
    </w:p>
    <w:p w14:paraId="567598BA" w14:textId="77777777" w:rsidR="009D06A3" w:rsidRDefault="000707B5" w:rsidP="00A7403D">
      <w:pPr>
        <w:pStyle w:val="AODocTxt"/>
        <w:spacing w:before="0" w:line="240" w:lineRule="auto"/>
        <w:rPr>
          <w:rFonts w:ascii="Avenir Next" w:hAnsi="Avenir Next" w:cs="Arial"/>
          <w:color w:val="808080" w:themeColor="background1" w:themeShade="80"/>
          <w:lang w:val="en-GB"/>
        </w:rPr>
      </w:pPr>
      <w:r w:rsidRPr="000707B5">
        <w:rPr>
          <w:rFonts w:ascii="Avenir Next" w:hAnsi="Avenir Next" w:cs="Arial"/>
          <w:color w:val="808080" w:themeColor="background1" w:themeShade="80"/>
          <w:lang w:val="en-GB"/>
        </w:rPr>
        <w:t xml:space="preserve">The facts denote that whilst GH was transferred by continuation from Canada to Cayman in 2009, it is unclear to me (based on the facts) that its COMI is in fact in Cayman. </w:t>
      </w:r>
      <w:r w:rsidR="001A0EB3">
        <w:rPr>
          <w:rFonts w:ascii="Avenir Next" w:hAnsi="Avenir Next" w:cs="Arial"/>
          <w:color w:val="808080" w:themeColor="background1" w:themeShade="80"/>
          <w:lang w:val="en-GB"/>
        </w:rPr>
        <w:t>As above, i</w:t>
      </w:r>
      <w:r w:rsidRPr="000707B5">
        <w:rPr>
          <w:rFonts w:ascii="Avenir Next" w:hAnsi="Avenir Next" w:cs="Arial"/>
          <w:color w:val="808080" w:themeColor="background1" w:themeShade="80"/>
          <w:lang w:val="en-GB"/>
        </w:rPr>
        <w:t>n order to assess whether to apply for recognition of main or non-main proceeding or both (in light of COMI / establishment analysis) in the USA</w:t>
      </w:r>
      <w:r w:rsidR="008B388A">
        <w:rPr>
          <w:rFonts w:ascii="Avenir Next" w:hAnsi="Avenir Next" w:cs="Arial"/>
          <w:color w:val="808080" w:themeColor="background1" w:themeShade="80"/>
          <w:lang w:val="en-GB"/>
        </w:rPr>
        <w:t>,</w:t>
      </w:r>
      <w:r w:rsidR="00931328">
        <w:rPr>
          <w:rFonts w:ascii="Avenir Next" w:hAnsi="Avenir Next" w:cs="Arial"/>
          <w:color w:val="808080" w:themeColor="background1" w:themeShade="80"/>
          <w:lang w:val="en-GB"/>
        </w:rPr>
        <w:t xml:space="preserve"> </w:t>
      </w:r>
      <w:r w:rsidRPr="000707B5">
        <w:rPr>
          <w:rFonts w:ascii="Avenir Next" w:hAnsi="Avenir Next" w:cs="Arial"/>
          <w:color w:val="808080" w:themeColor="background1" w:themeShade="80"/>
          <w:lang w:val="en-GB"/>
        </w:rPr>
        <w:t xml:space="preserve">it is necessary to ascertain where GH’s COMI is. </w:t>
      </w:r>
    </w:p>
    <w:p w14:paraId="239330A8" w14:textId="77777777" w:rsidR="009D06A3" w:rsidRDefault="009D06A3" w:rsidP="00A7403D">
      <w:pPr>
        <w:pStyle w:val="AODocTxt"/>
        <w:spacing w:before="0" w:line="240" w:lineRule="auto"/>
        <w:rPr>
          <w:rFonts w:ascii="Avenir Next" w:hAnsi="Avenir Next" w:cs="Arial"/>
          <w:color w:val="808080" w:themeColor="background1" w:themeShade="80"/>
          <w:lang w:val="en-GB"/>
        </w:rPr>
      </w:pPr>
    </w:p>
    <w:p w14:paraId="101CE6B7" w14:textId="77777777" w:rsidR="009D06A3" w:rsidRDefault="009D06A3" w:rsidP="009D06A3">
      <w:pPr>
        <w:pStyle w:val="AODocTxt"/>
        <w:spacing w:before="0" w:line="240" w:lineRule="auto"/>
        <w:rPr>
          <w:rFonts w:ascii="Avenir Next" w:hAnsi="Avenir Next" w:cs="Arial"/>
          <w:color w:val="808080" w:themeColor="background1" w:themeShade="80"/>
          <w:lang w:val="en-GB"/>
        </w:rPr>
      </w:pPr>
      <w:r w:rsidRPr="000707B5">
        <w:rPr>
          <w:rFonts w:ascii="Avenir Next" w:hAnsi="Avenir Next" w:cs="Arial"/>
          <w:color w:val="808080" w:themeColor="background1" w:themeShade="80"/>
          <w:lang w:val="en-GB"/>
        </w:rPr>
        <w:t xml:space="preserve">The MLCBI does not contain a definition of COMI, however Article 16(3) presumes that the place of the debtor’s registered office is its COMI, that presumption can be displaced by proof to the contrary. </w:t>
      </w:r>
    </w:p>
    <w:p w14:paraId="363D7158" w14:textId="66E354B6" w:rsidR="007E71A9" w:rsidRDefault="008B388A" w:rsidP="00A7403D">
      <w:pPr>
        <w:pStyle w:val="AODocTxt"/>
        <w:spacing w:before="0" w:line="240" w:lineRule="auto"/>
        <w:rPr>
          <w:rFonts w:ascii="Avenir Next" w:hAnsi="Avenir Next" w:cs="Arial"/>
          <w:color w:val="808080" w:themeColor="background1" w:themeShade="80"/>
          <w:lang w:val="en-GB"/>
        </w:rPr>
      </w:pPr>
      <w:r w:rsidRPr="008B388A">
        <w:rPr>
          <w:rFonts w:ascii="Avenir Next" w:hAnsi="Avenir Next" w:cs="Arial"/>
          <w:color w:val="808080" w:themeColor="background1" w:themeShade="80"/>
          <w:lang w:val="en-GB"/>
        </w:rPr>
        <w:t>‘COMI’ is not a concept familiar to US law, which considers domicile, princip</w:t>
      </w:r>
      <w:r w:rsidR="00A511EE">
        <w:rPr>
          <w:rFonts w:ascii="Avenir Next" w:hAnsi="Avenir Next" w:cs="Arial"/>
          <w:color w:val="808080" w:themeColor="background1" w:themeShade="80"/>
          <w:lang w:val="en-GB"/>
        </w:rPr>
        <w:t>al</w:t>
      </w:r>
      <w:r w:rsidRPr="008B388A">
        <w:rPr>
          <w:rFonts w:ascii="Avenir Next" w:hAnsi="Avenir Next" w:cs="Arial"/>
          <w:color w:val="808080" w:themeColor="background1" w:themeShade="80"/>
          <w:lang w:val="en-GB"/>
        </w:rPr>
        <w:t xml:space="preserve"> place of business, and location of assets in determining jurisdiction and venue</w:t>
      </w:r>
      <w:r w:rsidR="00A511EE">
        <w:rPr>
          <w:rFonts w:ascii="Avenir Next" w:hAnsi="Avenir Next" w:cs="Arial"/>
          <w:color w:val="808080" w:themeColor="background1" w:themeShade="80"/>
          <w:lang w:val="en-GB"/>
        </w:rPr>
        <w:t>.</w:t>
      </w:r>
      <w:r w:rsidRPr="008B388A">
        <w:rPr>
          <w:rFonts w:ascii="Avenir Next" w:hAnsi="Avenir Next" w:cs="Arial"/>
          <w:color w:val="808080" w:themeColor="background1" w:themeShade="80"/>
          <w:lang w:val="en-GB"/>
        </w:rPr>
        <w:t xml:space="preserve"> </w:t>
      </w:r>
      <w:r w:rsidR="00A511EE">
        <w:rPr>
          <w:rFonts w:ascii="Avenir Next" w:hAnsi="Avenir Next" w:cs="Arial"/>
          <w:color w:val="808080" w:themeColor="background1" w:themeShade="80"/>
          <w:lang w:val="en-GB"/>
        </w:rPr>
        <w:t>H</w:t>
      </w:r>
      <w:r w:rsidRPr="008B388A">
        <w:rPr>
          <w:rFonts w:ascii="Avenir Next" w:hAnsi="Avenir Next" w:cs="Arial"/>
          <w:color w:val="808080" w:themeColor="background1" w:themeShade="80"/>
          <w:lang w:val="en-GB"/>
        </w:rPr>
        <w:t>owever</w:t>
      </w:r>
      <w:r w:rsidR="00A511EE">
        <w:rPr>
          <w:rFonts w:ascii="Avenir Next" w:hAnsi="Avenir Next" w:cs="Arial"/>
          <w:color w:val="808080" w:themeColor="background1" w:themeShade="80"/>
          <w:lang w:val="en-GB"/>
        </w:rPr>
        <w:t>,</w:t>
      </w:r>
      <w:r w:rsidRPr="008B388A">
        <w:rPr>
          <w:rFonts w:ascii="Avenir Next" w:hAnsi="Avenir Next" w:cs="Arial"/>
          <w:color w:val="808080" w:themeColor="background1" w:themeShade="80"/>
          <w:lang w:val="en-GB"/>
        </w:rPr>
        <w:t xml:space="preserve"> when determining a debtor’s COMI for the purposes of </w:t>
      </w:r>
      <w:r w:rsidR="00A511EE">
        <w:rPr>
          <w:rFonts w:ascii="Avenir Next" w:hAnsi="Avenir Next" w:cs="Arial"/>
          <w:color w:val="808080" w:themeColor="background1" w:themeShade="80"/>
          <w:lang w:val="en-GB"/>
        </w:rPr>
        <w:t xml:space="preserve">foreign </w:t>
      </w:r>
      <w:r w:rsidRPr="008B388A">
        <w:rPr>
          <w:rFonts w:ascii="Avenir Next" w:hAnsi="Avenir Next" w:cs="Arial"/>
          <w:color w:val="808080" w:themeColor="background1" w:themeShade="80"/>
          <w:lang w:val="en-GB"/>
        </w:rPr>
        <w:t xml:space="preserve">main/non-main proceeding classification, the presumption is that the debtor’s COMI is presumed to be its place of incorporation. </w:t>
      </w:r>
      <w:r w:rsidR="00A511EE">
        <w:rPr>
          <w:rFonts w:ascii="Avenir Next" w:hAnsi="Avenir Next" w:cs="Arial"/>
          <w:color w:val="808080" w:themeColor="background1" w:themeShade="80"/>
          <w:lang w:val="en-GB"/>
        </w:rPr>
        <w:t>T</w:t>
      </w:r>
      <w:r w:rsidRPr="008B388A">
        <w:rPr>
          <w:rFonts w:ascii="Avenir Next" w:hAnsi="Avenir Next" w:cs="Arial"/>
          <w:color w:val="808080" w:themeColor="background1" w:themeShade="80"/>
          <w:lang w:val="en-GB"/>
        </w:rPr>
        <w:t>his presumption is rebuttable</w:t>
      </w:r>
      <w:r w:rsidR="009D06A3">
        <w:rPr>
          <w:rFonts w:ascii="Avenir Next" w:hAnsi="Avenir Next" w:cs="Arial"/>
          <w:color w:val="808080" w:themeColor="background1" w:themeShade="80"/>
          <w:lang w:val="en-GB"/>
        </w:rPr>
        <w:t>.</w:t>
      </w:r>
    </w:p>
    <w:p w14:paraId="168125C2" w14:textId="77777777" w:rsidR="009D06A3" w:rsidRDefault="009D06A3" w:rsidP="00A7403D">
      <w:pPr>
        <w:pStyle w:val="AODocTxt"/>
        <w:spacing w:before="0" w:line="240" w:lineRule="auto"/>
        <w:rPr>
          <w:rFonts w:ascii="Avenir Next" w:hAnsi="Avenir Next" w:cs="Arial"/>
          <w:color w:val="808080" w:themeColor="background1" w:themeShade="80"/>
          <w:lang w:val="en-GB"/>
        </w:rPr>
      </w:pPr>
    </w:p>
    <w:p w14:paraId="04B6655F" w14:textId="77777777" w:rsidR="009D06A3" w:rsidRPr="000707B5" w:rsidRDefault="009D06A3" w:rsidP="009D06A3">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In respect</w:t>
      </w:r>
      <w:r>
        <w:rPr>
          <w:rFonts w:ascii="Avenir Next" w:hAnsi="Avenir Next" w:cs="Arial"/>
          <w:color w:val="808080" w:themeColor="background1" w:themeShade="80"/>
          <w:sz w:val="22"/>
          <w:szCs w:val="22"/>
          <w:lang w:val="en-GB"/>
        </w:rPr>
        <w:t xml:space="preserve"> of determination of COMI</w:t>
      </w:r>
      <w:r w:rsidRPr="000707B5">
        <w:rPr>
          <w:rFonts w:ascii="Avenir Next" w:hAnsi="Avenir Next" w:cs="Arial"/>
          <w:color w:val="808080" w:themeColor="background1" w:themeShade="80"/>
          <w:sz w:val="22"/>
          <w:szCs w:val="22"/>
          <w:lang w:val="en-GB"/>
        </w:rPr>
        <w:t>, I note the following:</w:t>
      </w:r>
    </w:p>
    <w:p w14:paraId="645B9406" w14:textId="77777777" w:rsidR="009D06A3" w:rsidRDefault="009D06A3" w:rsidP="009D06A3">
      <w:pPr>
        <w:jc w:val="both"/>
        <w:rPr>
          <w:rFonts w:ascii="Avenir Next" w:hAnsi="Avenir Next" w:cs="Arial"/>
          <w:color w:val="808080" w:themeColor="background1" w:themeShade="80"/>
          <w:sz w:val="22"/>
          <w:szCs w:val="22"/>
          <w:lang w:val="en-GB"/>
        </w:rPr>
      </w:pPr>
    </w:p>
    <w:p w14:paraId="284A91F5" w14:textId="77777777" w:rsidR="009D06A3" w:rsidRPr="000707B5" w:rsidRDefault="009D06A3" w:rsidP="009D06A3">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USA:</w:t>
      </w:r>
    </w:p>
    <w:p w14:paraId="4FCE2D6F"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GH has no business operations of its own; the business is carried out through its non-insurance company non-debtor subsidiaries that are all incorporated under US laws and operating in the </w:t>
      </w:r>
      <w:proofErr w:type="gramStart"/>
      <w:r w:rsidRPr="00370302">
        <w:rPr>
          <w:rFonts w:ascii="Avenir Next" w:hAnsi="Avenir Next" w:cs="Arial"/>
          <w:color w:val="808080" w:themeColor="background1" w:themeShade="80"/>
          <w:sz w:val="22"/>
          <w:szCs w:val="22"/>
          <w:lang w:val="en-GB"/>
        </w:rPr>
        <w:t>US;</w:t>
      </w:r>
      <w:proofErr w:type="gramEnd"/>
    </w:p>
    <w:p w14:paraId="33B1D577"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GH’s headquarters are in the </w:t>
      </w:r>
      <w:proofErr w:type="gramStart"/>
      <w:r w:rsidRPr="00370302">
        <w:rPr>
          <w:rFonts w:ascii="Avenir Next" w:hAnsi="Avenir Next" w:cs="Arial"/>
          <w:color w:val="808080" w:themeColor="background1" w:themeShade="80"/>
          <w:sz w:val="22"/>
          <w:szCs w:val="22"/>
          <w:lang w:val="en-GB"/>
        </w:rPr>
        <w:t>USA;</w:t>
      </w:r>
      <w:proofErr w:type="gramEnd"/>
    </w:p>
    <w:p w14:paraId="4856FD6A"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All employees (of GH’s subsidiaries) are in the </w:t>
      </w:r>
      <w:proofErr w:type="gramStart"/>
      <w:r w:rsidRPr="00370302">
        <w:rPr>
          <w:rFonts w:ascii="Avenir Next" w:hAnsi="Avenir Next" w:cs="Arial"/>
          <w:color w:val="808080" w:themeColor="background1" w:themeShade="80"/>
          <w:sz w:val="22"/>
          <w:szCs w:val="22"/>
          <w:lang w:val="en-GB"/>
        </w:rPr>
        <w:t>USA;</w:t>
      </w:r>
      <w:proofErr w:type="gramEnd"/>
    </w:p>
    <w:p w14:paraId="4C44946A"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GH’s shares were historically listed on NASDAQ (New York Stock Exchange</w:t>
      </w:r>
      <w:proofErr w:type="gramStart"/>
      <w:r w:rsidRPr="00370302">
        <w:rPr>
          <w:rFonts w:ascii="Avenir Next" w:hAnsi="Avenir Next" w:cs="Arial"/>
          <w:color w:val="808080" w:themeColor="background1" w:themeShade="80"/>
          <w:sz w:val="22"/>
          <w:szCs w:val="22"/>
          <w:lang w:val="en-GB"/>
        </w:rPr>
        <w:t>);</w:t>
      </w:r>
      <w:proofErr w:type="gramEnd"/>
    </w:p>
    <w:p w14:paraId="7DFE763A"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the Notes offered by GH were offered is USD and are governed by US </w:t>
      </w:r>
      <w:proofErr w:type="gramStart"/>
      <w:r w:rsidRPr="00370302">
        <w:rPr>
          <w:rFonts w:ascii="Avenir Next" w:hAnsi="Avenir Next" w:cs="Arial"/>
          <w:color w:val="808080" w:themeColor="background1" w:themeShade="80"/>
          <w:sz w:val="22"/>
          <w:szCs w:val="22"/>
          <w:lang w:val="en-GB"/>
        </w:rPr>
        <w:t>law;</w:t>
      </w:r>
      <w:proofErr w:type="gramEnd"/>
    </w:p>
    <w:p w14:paraId="260A9977"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the RSA states that the restructuring will take place in </w:t>
      </w:r>
      <w:proofErr w:type="gramStart"/>
      <w:r w:rsidRPr="00370302">
        <w:rPr>
          <w:rFonts w:ascii="Avenir Next" w:hAnsi="Avenir Next" w:cs="Arial"/>
          <w:color w:val="808080" w:themeColor="background1" w:themeShade="80"/>
          <w:sz w:val="22"/>
          <w:szCs w:val="22"/>
          <w:lang w:val="en-GB"/>
        </w:rPr>
        <w:t>Cayman, but</w:t>
      </w:r>
      <w:proofErr w:type="gramEnd"/>
      <w:r w:rsidRPr="00370302">
        <w:rPr>
          <w:rFonts w:ascii="Avenir Next" w:hAnsi="Avenir Next" w:cs="Arial"/>
          <w:color w:val="808080" w:themeColor="background1" w:themeShade="80"/>
          <w:sz w:val="22"/>
          <w:szCs w:val="22"/>
          <w:lang w:val="en-GB"/>
        </w:rPr>
        <w:t xml:space="preserve"> is governed by US law.</w:t>
      </w:r>
    </w:p>
    <w:p w14:paraId="7FAE3096" w14:textId="77777777" w:rsidR="009D06A3" w:rsidRDefault="009D06A3" w:rsidP="009D06A3">
      <w:pPr>
        <w:jc w:val="both"/>
        <w:rPr>
          <w:rFonts w:ascii="Avenir Next" w:hAnsi="Avenir Next" w:cs="Arial"/>
          <w:color w:val="808080" w:themeColor="background1" w:themeShade="80"/>
          <w:sz w:val="22"/>
          <w:szCs w:val="22"/>
          <w:lang w:val="en-GB"/>
        </w:rPr>
      </w:pPr>
    </w:p>
    <w:p w14:paraId="588AD9D6"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lastRenderedPageBreak/>
        <w:t>Cayman:</w:t>
      </w:r>
    </w:p>
    <w:p w14:paraId="61D3BD95" w14:textId="77777777" w:rsidR="009D06A3" w:rsidRDefault="009D06A3" w:rsidP="009D06A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GH is incorporated and registered in </w:t>
      </w:r>
      <w:proofErr w:type="gramStart"/>
      <w:r>
        <w:rPr>
          <w:rFonts w:ascii="Avenir Next" w:hAnsi="Avenir Next" w:cs="Arial"/>
          <w:color w:val="808080" w:themeColor="background1" w:themeShade="80"/>
          <w:sz w:val="22"/>
          <w:szCs w:val="22"/>
          <w:lang w:val="en-GB"/>
        </w:rPr>
        <w:t>Cayman;</w:t>
      </w:r>
      <w:proofErr w:type="gramEnd"/>
    </w:p>
    <w:p w14:paraId="131CEAFA"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GH has no business operations in </w:t>
      </w:r>
      <w:proofErr w:type="gramStart"/>
      <w:r w:rsidRPr="00370302">
        <w:rPr>
          <w:rFonts w:ascii="Avenir Next" w:hAnsi="Avenir Next" w:cs="Arial"/>
          <w:color w:val="808080" w:themeColor="background1" w:themeShade="80"/>
          <w:sz w:val="22"/>
          <w:szCs w:val="22"/>
          <w:lang w:val="en-GB"/>
        </w:rPr>
        <w:t>Cayman;</w:t>
      </w:r>
      <w:proofErr w:type="gramEnd"/>
    </w:p>
    <w:p w14:paraId="576F373C"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GH keeps its books and records in </w:t>
      </w:r>
      <w:proofErr w:type="gramStart"/>
      <w:r w:rsidRPr="00370302">
        <w:rPr>
          <w:rFonts w:ascii="Avenir Next" w:hAnsi="Avenir Next" w:cs="Arial"/>
          <w:color w:val="808080" w:themeColor="background1" w:themeShade="80"/>
          <w:sz w:val="22"/>
          <w:szCs w:val="22"/>
          <w:lang w:val="en-GB"/>
        </w:rPr>
        <w:t>Cayman;</w:t>
      </w:r>
      <w:proofErr w:type="gramEnd"/>
    </w:p>
    <w:p w14:paraId="60A6DE66"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GH’s board meetings are held virtually (not in Cayman</w:t>
      </w:r>
      <w:proofErr w:type="gramStart"/>
      <w:r w:rsidRPr="00370302">
        <w:rPr>
          <w:rFonts w:ascii="Avenir Next" w:hAnsi="Avenir Next" w:cs="Arial"/>
          <w:color w:val="808080" w:themeColor="background1" w:themeShade="80"/>
          <w:sz w:val="22"/>
          <w:szCs w:val="22"/>
          <w:lang w:val="en-GB"/>
        </w:rPr>
        <w:t>);</w:t>
      </w:r>
      <w:proofErr w:type="gramEnd"/>
      <w:r w:rsidRPr="00370302">
        <w:rPr>
          <w:rFonts w:ascii="Avenir Next" w:hAnsi="Avenir Next" w:cs="Arial"/>
          <w:color w:val="808080" w:themeColor="background1" w:themeShade="80"/>
          <w:sz w:val="22"/>
          <w:szCs w:val="22"/>
          <w:lang w:val="en-GB"/>
        </w:rPr>
        <w:t xml:space="preserve"> </w:t>
      </w:r>
    </w:p>
    <w:p w14:paraId="7CAED494"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GH recently opened a bank account in Cayman from which it pays certain of its operating </w:t>
      </w:r>
      <w:proofErr w:type="gramStart"/>
      <w:r w:rsidRPr="00370302">
        <w:rPr>
          <w:rFonts w:ascii="Avenir Next" w:hAnsi="Avenir Next" w:cs="Arial"/>
          <w:color w:val="808080" w:themeColor="background1" w:themeShade="80"/>
          <w:sz w:val="22"/>
          <w:szCs w:val="22"/>
          <w:lang w:val="en-GB"/>
        </w:rPr>
        <w:t>expenses;</w:t>
      </w:r>
      <w:proofErr w:type="gramEnd"/>
    </w:p>
    <w:p w14:paraId="5A1E36B0"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 xml:space="preserve">Filings made with SEC and the prospectus provided in connection with the issuance of the Notes disclosed that GH is a Cayman Islands </w:t>
      </w:r>
      <w:proofErr w:type="gramStart"/>
      <w:r w:rsidRPr="00370302">
        <w:rPr>
          <w:rFonts w:ascii="Avenir Next" w:hAnsi="Avenir Next" w:cs="Arial"/>
          <w:color w:val="808080" w:themeColor="background1" w:themeShade="80"/>
          <w:sz w:val="22"/>
          <w:szCs w:val="22"/>
          <w:lang w:val="en-GB"/>
        </w:rPr>
        <w:t>company</w:t>
      </w:r>
      <w:proofErr w:type="gramEnd"/>
    </w:p>
    <w:p w14:paraId="5424E0C4" w14:textId="77777777" w:rsidR="009D06A3" w:rsidRPr="00370302"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The Scheme (recorded in the terms of the RSA) was sanctioned by the Cayman Court (on application of GH</w:t>
      </w:r>
      <w:proofErr w:type="gramStart"/>
      <w:r w:rsidRPr="00370302">
        <w:rPr>
          <w:rFonts w:ascii="Avenir Next" w:hAnsi="Avenir Next" w:cs="Arial"/>
          <w:color w:val="808080" w:themeColor="background1" w:themeShade="80"/>
          <w:sz w:val="22"/>
          <w:szCs w:val="22"/>
          <w:lang w:val="en-GB"/>
        </w:rPr>
        <w:t>);</w:t>
      </w:r>
      <w:proofErr w:type="gramEnd"/>
    </w:p>
    <w:p w14:paraId="4D586909" w14:textId="2B8A8600" w:rsidR="009D06A3" w:rsidRPr="009D06A3" w:rsidRDefault="009D06A3" w:rsidP="009D06A3">
      <w:pPr>
        <w:jc w:val="both"/>
        <w:rPr>
          <w:rFonts w:ascii="Avenir Next" w:hAnsi="Avenir Next" w:cs="Arial"/>
          <w:color w:val="808080" w:themeColor="background1" w:themeShade="80"/>
          <w:sz w:val="22"/>
          <w:szCs w:val="22"/>
          <w:lang w:val="en-GB"/>
        </w:rPr>
      </w:pPr>
      <w:r w:rsidRPr="00370302">
        <w:rPr>
          <w:rFonts w:ascii="Avenir Next" w:hAnsi="Avenir Next" w:cs="Arial"/>
          <w:color w:val="808080" w:themeColor="background1" w:themeShade="80"/>
          <w:sz w:val="22"/>
          <w:szCs w:val="22"/>
          <w:lang w:val="en-GB"/>
        </w:rPr>
        <w:t>The Cayman Court authorised GH to convene a single Scheme Meeting which was held in Cayman and virtually, via Zoom.</w:t>
      </w:r>
    </w:p>
    <w:p w14:paraId="403C5D32" w14:textId="77777777" w:rsidR="009D06A3" w:rsidRDefault="009D06A3" w:rsidP="00D6649D">
      <w:pPr>
        <w:pStyle w:val="AODocTxt"/>
        <w:spacing w:before="0" w:line="240" w:lineRule="auto"/>
        <w:rPr>
          <w:rFonts w:ascii="Avenir Next" w:hAnsi="Avenir Next" w:cs="Arial"/>
          <w:color w:val="808080" w:themeColor="background1" w:themeShade="80"/>
          <w:lang w:val="en-GB"/>
        </w:rPr>
      </w:pPr>
    </w:p>
    <w:p w14:paraId="26899CF2" w14:textId="77777777" w:rsidR="009D06A3" w:rsidRDefault="009D06A3" w:rsidP="00D6649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When considering an application for recognition of foreign proceedings under Charter 15, a</w:t>
      </w:r>
      <w:r w:rsidR="00A7403D">
        <w:rPr>
          <w:rFonts w:ascii="Avenir Next" w:hAnsi="Avenir Next"/>
          <w:color w:val="808080" w:themeColor="background1" w:themeShade="80"/>
        </w:rPr>
        <w:t xml:space="preserve"> US court will determine a relevant entity’s COMI at the time of determining the recognition application. </w:t>
      </w:r>
    </w:p>
    <w:p w14:paraId="002B74F8" w14:textId="77777777" w:rsidR="009D06A3" w:rsidRDefault="009D06A3" w:rsidP="00D6649D">
      <w:pPr>
        <w:pStyle w:val="AODocTxt"/>
        <w:spacing w:before="0" w:line="240" w:lineRule="auto"/>
        <w:rPr>
          <w:rFonts w:ascii="Avenir Next" w:hAnsi="Avenir Next"/>
          <w:color w:val="808080" w:themeColor="background1" w:themeShade="80"/>
        </w:rPr>
      </w:pPr>
    </w:p>
    <w:p w14:paraId="0C32F2E2" w14:textId="2685885D" w:rsidR="009D06A3" w:rsidRDefault="009D06A3" w:rsidP="00D6649D">
      <w:pPr>
        <w:pStyle w:val="AODocTxt"/>
        <w:spacing w:before="0" w:line="240" w:lineRule="auto"/>
        <w:rPr>
          <w:rFonts w:ascii="Avenir Next" w:hAnsi="Avenir Next"/>
          <w:color w:val="808080" w:themeColor="background1" w:themeShade="80"/>
        </w:rPr>
      </w:pPr>
      <w:r w:rsidRPr="000707B5">
        <w:rPr>
          <w:rFonts w:ascii="Avenir Next" w:hAnsi="Avenir Next" w:cs="Arial"/>
          <w:color w:val="808080" w:themeColor="background1" w:themeShade="80"/>
          <w:lang w:val="en-GB"/>
        </w:rPr>
        <w:t>On the basis that GH is domiciled in Cayman and presumably its registered office is there (as opposed to its headquarters), it is arguable that GH’s COMI is Cayman. However, GH carries on no business in Cayman. According to an article by Norton Rose Fulbright, “</w:t>
      </w:r>
      <w:r w:rsidRPr="00194DD8">
        <w:rPr>
          <w:rFonts w:ascii="Avenir Next" w:hAnsi="Avenir Next" w:cs="Arial"/>
          <w:i/>
          <w:iCs/>
          <w:color w:val="808080" w:themeColor="background1" w:themeShade="80"/>
          <w:lang w:val="en-GB"/>
        </w:rPr>
        <w:t xml:space="preserve">courts will consider, among other things, the debtor’s nerve </w:t>
      </w:r>
      <w:proofErr w:type="spellStart"/>
      <w:r w:rsidRPr="00194DD8">
        <w:rPr>
          <w:rFonts w:ascii="Avenir Next" w:hAnsi="Avenir Next" w:cs="Arial"/>
          <w:i/>
          <w:iCs/>
          <w:color w:val="808080" w:themeColor="background1" w:themeShade="80"/>
          <w:lang w:val="en-GB"/>
        </w:rPr>
        <w:t>center</w:t>
      </w:r>
      <w:proofErr w:type="spellEnd"/>
      <w:r w:rsidRPr="00194DD8">
        <w:rPr>
          <w:rFonts w:ascii="Avenir Next" w:hAnsi="Avenir Next" w:cs="Arial"/>
          <w:i/>
          <w:iCs/>
          <w:color w:val="808080" w:themeColor="background1" w:themeShade="80"/>
          <w:lang w:val="en-GB"/>
        </w:rPr>
        <w:t>, location of operations and assets, and creditor expectations</w:t>
      </w:r>
      <w:r w:rsidRPr="000707B5">
        <w:rPr>
          <w:rFonts w:ascii="Avenir Next" w:hAnsi="Avenir Next" w:cs="Arial"/>
          <w:color w:val="808080" w:themeColor="background1" w:themeShade="80"/>
          <w:lang w:val="en-GB"/>
        </w:rPr>
        <w:t>”.</w:t>
      </w:r>
      <w:r w:rsidRPr="00194DD8">
        <w:rPr>
          <w:rFonts w:ascii="Avenir Next" w:hAnsi="Avenir Next" w:cs="Arial"/>
          <w:color w:val="808080" w:themeColor="background1" w:themeShade="80"/>
          <w:sz w:val="16"/>
          <w:szCs w:val="16"/>
          <w:lang w:val="en-GB"/>
        </w:rPr>
        <w:footnoteReference w:id="2"/>
      </w:r>
      <w:r w:rsidRPr="00194DD8">
        <w:rPr>
          <w:rFonts w:ascii="Avenir Next" w:hAnsi="Avenir Next" w:cs="Arial"/>
          <w:color w:val="808080" w:themeColor="background1" w:themeShade="80"/>
          <w:sz w:val="16"/>
          <w:szCs w:val="16"/>
          <w:lang w:val="en-GB"/>
        </w:rPr>
        <w:t xml:space="preserve"> </w:t>
      </w:r>
      <w:r w:rsidRPr="000707B5">
        <w:rPr>
          <w:rFonts w:ascii="Avenir Next" w:hAnsi="Avenir Next" w:cs="Arial"/>
          <w:color w:val="808080" w:themeColor="background1" w:themeShade="80"/>
          <w:lang w:val="en-GB"/>
        </w:rPr>
        <w:t>Also to be considered is: (i) the location of the books and records (Cayman); (ii) location from where the cash management system was run / primary bank account (Cayman); (iii) the location of GH’s assets / operations (USA)</w:t>
      </w:r>
      <w:r w:rsidR="00A511EE">
        <w:rPr>
          <w:rFonts w:ascii="Avenir Next" w:hAnsi="Avenir Next" w:cs="Arial"/>
          <w:color w:val="808080" w:themeColor="background1" w:themeShade="80"/>
          <w:lang w:val="en-GB"/>
        </w:rPr>
        <w:t>;</w:t>
      </w:r>
      <w:r w:rsidRPr="000707B5">
        <w:rPr>
          <w:rFonts w:ascii="Avenir Next" w:hAnsi="Avenir Next" w:cs="Arial"/>
          <w:color w:val="808080" w:themeColor="background1" w:themeShade="80"/>
          <w:lang w:val="en-GB"/>
        </w:rPr>
        <w:t xml:space="preserve"> (iv) location of employees (of the subsidiaries: USA); (v) law governing contracts / jurisdiction governing disputes (USA); (vi) location from which the reorganisation is being conducted (Cayman); (vii) the location of the central administration of the debtor (operating expenses paid from Cayman, Cayman counsel instructed, Notes issued in USD (USA), HQ is USA, Scheme Meeting in Cayman); (viii) where i</w:t>
      </w:r>
      <w:r w:rsidR="00A511EE">
        <w:rPr>
          <w:rFonts w:ascii="Avenir Next" w:hAnsi="Avenir Next" w:cs="Arial"/>
          <w:color w:val="808080" w:themeColor="background1" w:themeShade="80"/>
          <w:lang w:val="en-GB"/>
        </w:rPr>
        <w:t>s</w:t>
      </w:r>
      <w:r w:rsidRPr="000707B5">
        <w:rPr>
          <w:rFonts w:ascii="Avenir Next" w:hAnsi="Avenir Next" w:cs="Arial"/>
          <w:color w:val="808080" w:themeColor="background1" w:themeShade="80"/>
          <w:lang w:val="en-GB"/>
        </w:rPr>
        <w:t xml:space="preserve"> readily ascertainable as </w:t>
      </w:r>
      <w:r w:rsidR="00A511EE">
        <w:rPr>
          <w:rFonts w:ascii="Avenir Next" w:hAnsi="Avenir Next" w:cs="Arial"/>
          <w:color w:val="808080" w:themeColor="background1" w:themeShade="80"/>
          <w:lang w:val="en-GB"/>
        </w:rPr>
        <w:t>the COMI</w:t>
      </w:r>
      <w:r w:rsidRPr="000707B5">
        <w:rPr>
          <w:rFonts w:ascii="Avenir Next" w:hAnsi="Avenir Next" w:cs="Arial"/>
          <w:color w:val="808080" w:themeColor="background1" w:themeShade="80"/>
          <w:lang w:val="en-GB"/>
        </w:rPr>
        <w:t xml:space="preserve"> by creditors (Cayman (prospectus, SEC filings) or USA (HQ, assets, operations). This list is non exhaustive. Accordingly, there are many factors which could count for or against Cayman as the COMI in the circumstances</w:t>
      </w:r>
      <w:r>
        <w:rPr>
          <w:rFonts w:ascii="Avenir Next" w:hAnsi="Avenir Next" w:cs="Arial"/>
          <w:color w:val="808080" w:themeColor="background1" w:themeShade="80"/>
          <w:lang w:val="en-GB"/>
        </w:rPr>
        <w:t xml:space="preserve">. However, in my view, the stronger argument on the facts is that GH’s COMI is in the USA, not Cayman, and I consider it likely that a US court would take the same view </w:t>
      </w:r>
      <w:r>
        <w:rPr>
          <w:rFonts w:ascii="Avenir Next" w:hAnsi="Avenir Next"/>
          <w:color w:val="808080" w:themeColor="background1" w:themeShade="80"/>
        </w:rPr>
        <w:t>b</w:t>
      </w:r>
      <w:r w:rsidR="00C8361F">
        <w:rPr>
          <w:rFonts w:ascii="Avenir Next" w:hAnsi="Avenir Next"/>
          <w:color w:val="808080" w:themeColor="background1" w:themeShade="80"/>
        </w:rPr>
        <w:t>ased on the fact</w:t>
      </w:r>
      <w:r w:rsidR="007E0765">
        <w:rPr>
          <w:rFonts w:ascii="Avenir Next" w:hAnsi="Avenir Next"/>
          <w:color w:val="808080" w:themeColor="background1" w:themeShade="80"/>
        </w:rPr>
        <w:t xml:space="preserve"> that GH’s </w:t>
      </w:r>
      <w:proofErr w:type="gramStart"/>
      <w:r w:rsidR="007E0765">
        <w:rPr>
          <w:rFonts w:ascii="Avenir Next" w:hAnsi="Avenir Next"/>
          <w:color w:val="808080" w:themeColor="background1" w:themeShade="80"/>
        </w:rPr>
        <w:t>principle</w:t>
      </w:r>
      <w:proofErr w:type="gramEnd"/>
      <w:r w:rsidR="007E0765">
        <w:rPr>
          <w:rFonts w:ascii="Avenir Next" w:hAnsi="Avenir Next"/>
          <w:color w:val="808080" w:themeColor="background1" w:themeShade="80"/>
        </w:rPr>
        <w:t xml:space="preserve"> place of business</w:t>
      </w:r>
      <w:r w:rsidR="00F56F0C">
        <w:rPr>
          <w:rFonts w:ascii="Avenir Next" w:hAnsi="Avenir Next"/>
          <w:color w:val="808080" w:themeColor="background1" w:themeShade="80"/>
        </w:rPr>
        <w:t>,</w:t>
      </w:r>
      <w:r w:rsidR="007E71A9">
        <w:rPr>
          <w:rFonts w:ascii="Avenir Next" w:hAnsi="Avenir Next"/>
          <w:color w:val="808080" w:themeColor="background1" w:themeShade="80"/>
        </w:rPr>
        <w:t xml:space="preserve"> it’s HQ,</w:t>
      </w:r>
      <w:r w:rsidR="00F56F0C">
        <w:rPr>
          <w:rFonts w:ascii="Avenir Next" w:hAnsi="Avenir Next"/>
          <w:color w:val="808080" w:themeColor="background1" w:themeShade="80"/>
        </w:rPr>
        <w:t xml:space="preserve"> </w:t>
      </w:r>
      <w:r w:rsidR="004B2A55">
        <w:rPr>
          <w:rFonts w:ascii="Avenir Next" w:hAnsi="Avenir Next"/>
          <w:color w:val="808080" w:themeColor="background1" w:themeShade="80"/>
        </w:rPr>
        <w:t xml:space="preserve">primary </w:t>
      </w:r>
      <w:r w:rsidR="00F56F0C">
        <w:rPr>
          <w:rFonts w:ascii="Avenir Next" w:hAnsi="Avenir Next"/>
          <w:color w:val="808080" w:themeColor="background1" w:themeShade="80"/>
        </w:rPr>
        <w:t>assets,</w:t>
      </w:r>
      <w:r w:rsidR="00495ACD">
        <w:rPr>
          <w:rFonts w:ascii="Avenir Next" w:hAnsi="Avenir Next"/>
          <w:color w:val="808080" w:themeColor="background1" w:themeShade="80"/>
        </w:rPr>
        <w:t xml:space="preserve"> majority of affected creditors</w:t>
      </w:r>
      <w:r w:rsidR="00207C7E">
        <w:rPr>
          <w:rFonts w:ascii="Avenir Next" w:hAnsi="Avenir Next"/>
          <w:color w:val="808080" w:themeColor="background1" w:themeShade="80"/>
        </w:rPr>
        <w:t xml:space="preserve"> is/are in the USA,</w:t>
      </w:r>
      <w:r w:rsidR="00F56F0C">
        <w:rPr>
          <w:rFonts w:ascii="Avenir Next" w:hAnsi="Avenir Next"/>
          <w:color w:val="808080" w:themeColor="background1" w:themeShade="80"/>
        </w:rPr>
        <w:t xml:space="preserve"> and</w:t>
      </w:r>
      <w:r w:rsidR="00207C7E">
        <w:rPr>
          <w:rFonts w:ascii="Avenir Next" w:hAnsi="Avenir Next"/>
          <w:color w:val="808080" w:themeColor="background1" w:themeShade="80"/>
        </w:rPr>
        <w:t xml:space="preserve"> the</w:t>
      </w:r>
      <w:r w:rsidR="00F56F0C">
        <w:rPr>
          <w:rFonts w:ascii="Avenir Next" w:hAnsi="Avenir Next"/>
          <w:color w:val="808080" w:themeColor="background1" w:themeShade="80"/>
        </w:rPr>
        <w:t xml:space="preserve"> </w:t>
      </w:r>
      <w:r w:rsidR="00F34C14">
        <w:rPr>
          <w:rFonts w:ascii="Avenir Next" w:hAnsi="Avenir Next"/>
          <w:color w:val="808080" w:themeColor="background1" w:themeShade="80"/>
        </w:rPr>
        <w:t>applicable law</w:t>
      </w:r>
      <w:r w:rsidR="00F56F0C">
        <w:rPr>
          <w:rFonts w:ascii="Avenir Next" w:hAnsi="Avenir Next"/>
          <w:color w:val="808080" w:themeColor="background1" w:themeShade="80"/>
        </w:rPr>
        <w:t xml:space="preserve"> in its contracts is US</w:t>
      </w:r>
      <w:r w:rsidR="00F34C14">
        <w:rPr>
          <w:rFonts w:ascii="Avenir Next" w:hAnsi="Avenir Next"/>
          <w:color w:val="808080" w:themeColor="background1" w:themeShade="80"/>
        </w:rPr>
        <w:t xml:space="preserve"> law</w:t>
      </w:r>
      <w:r>
        <w:rPr>
          <w:rFonts w:ascii="Avenir Next" w:hAnsi="Avenir Next"/>
          <w:color w:val="808080" w:themeColor="background1" w:themeShade="80"/>
        </w:rPr>
        <w:t>.</w:t>
      </w:r>
    </w:p>
    <w:p w14:paraId="3568FD53" w14:textId="77777777" w:rsidR="00671828" w:rsidRDefault="00671828" w:rsidP="00D6649D">
      <w:pPr>
        <w:pStyle w:val="AODocTxt"/>
        <w:spacing w:before="0" w:line="240" w:lineRule="auto"/>
        <w:rPr>
          <w:rFonts w:ascii="Avenir Next" w:hAnsi="Avenir Next"/>
          <w:color w:val="808080" w:themeColor="background1" w:themeShade="80"/>
        </w:rPr>
      </w:pPr>
    </w:p>
    <w:p w14:paraId="693C4E45" w14:textId="453DFF79" w:rsidR="00671828" w:rsidRPr="00671828" w:rsidRDefault="00671828" w:rsidP="00D6649D">
      <w:pPr>
        <w:pStyle w:val="AODocTxt"/>
        <w:spacing w:before="0" w:line="240" w:lineRule="auto"/>
        <w:rPr>
          <w:rFonts w:ascii="Avenir Next" w:hAnsi="Avenir Next"/>
          <w:b/>
          <w:bCs/>
          <w:color w:val="808080" w:themeColor="background1" w:themeShade="80"/>
        </w:rPr>
      </w:pPr>
      <w:r w:rsidRPr="00671828">
        <w:rPr>
          <w:rFonts w:ascii="Avenir Next" w:hAnsi="Avenir Next"/>
          <w:b/>
          <w:bCs/>
          <w:color w:val="808080" w:themeColor="background1" w:themeShade="80"/>
        </w:rPr>
        <w:t>Recognition (foreign main / non-main proceeding)</w:t>
      </w:r>
    </w:p>
    <w:p w14:paraId="0D84A4D9" w14:textId="77777777" w:rsidR="009D06A3" w:rsidRDefault="009D06A3" w:rsidP="00D6649D">
      <w:pPr>
        <w:pStyle w:val="AODocTxt"/>
        <w:spacing w:before="0" w:line="240" w:lineRule="auto"/>
        <w:rPr>
          <w:rFonts w:ascii="Avenir Next" w:hAnsi="Avenir Next"/>
          <w:color w:val="808080" w:themeColor="background1" w:themeShade="80"/>
        </w:rPr>
      </w:pPr>
    </w:p>
    <w:p w14:paraId="161A865F" w14:textId="3FF6FCF5" w:rsidR="009D06A3" w:rsidRPr="009D06A3" w:rsidRDefault="009D06A3" w:rsidP="00D6649D">
      <w:pPr>
        <w:pStyle w:val="AODocTxt"/>
        <w:spacing w:before="0" w:line="240" w:lineRule="auto"/>
        <w:rPr>
          <w:rFonts w:ascii="Avenir Next" w:hAnsi="Avenir Next" w:cs="Arial"/>
          <w:color w:val="808080" w:themeColor="background1" w:themeShade="80"/>
          <w:lang w:val="en-GB"/>
        </w:rPr>
      </w:pPr>
      <w:r>
        <w:rPr>
          <w:rFonts w:ascii="Avenir Next" w:hAnsi="Avenir Next"/>
          <w:color w:val="808080" w:themeColor="background1" w:themeShade="80"/>
        </w:rPr>
        <w:t xml:space="preserve">If </w:t>
      </w:r>
      <w:r w:rsidRPr="009D06A3">
        <w:rPr>
          <w:rFonts w:ascii="Avenir Next" w:hAnsi="Avenir Next"/>
          <w:color w:val="808080" w:themeColor="background1" w:themeShade="80"/>
        </w:rPr>
        <w:t xml:space="preserve">GH’s COMI is </w:t>
      </w:r>
      <w:r w:rsidR="00C01B7E">
        <w:rPr>
          <w:rFonts w:ascii="Avenir Next" w:hAnsi="Avenir Next"/>
          <w:color w:val="808080" w:themeColor="background1" w:themeShade="80"/>
        </w:rPr>
        <w:t xml:space="preserve">in </w:t>
      </w:r>
      <w:r w:rsidRPr="009D06A3">
        <w:rPr>
          <w:rFonts w:ascii="Avenir Next" w:hAnsi="Avenir Next"/>
          <w:color w:val="808080" w:themeColor="background1" w:themeShade="80"/>
        </w:rPr>
        <w:t>Cayman</w:t>
      </w:r>
      <w:r>
        <w:rPr>
          <w:rFonts w:ascii="Avenir Next" w:hAnsi="Avenir Next"/>
          <w:color w:val="808080" w:themeColor="background1" w:themeShade="80"/>
        </w:rPr>
        <w:t xml:space="preserve"> (which for the reasons discussed above, I do not think that it is)</w:t>
      </w:r>
      <w:r w:rsidRPr="009D06A3">
        <w:rPr>
          <w:rFonts w:ascii="Avenir Next" w:hAnsi="Avenir Next"/>
          <w:color w:val="808080" w:themeColor="background1" w:themeShade="80"/>
        </w:rPr>
        <w:t xml:space="preserve">, GH would be advised to seek to have the Scheme </w:t>
      </w:r>
      <w:proofErr w:type="spellStart"/>
      <w:r w:rsidRPr="009D06A3">
        <w:rPr>
          <w:rFonts w:ascii="Avenir Next" w:hAnsi="Avenir Next"/>
          <w:color w:val="808080" w:themeColor="background1" w:themeShade="80"/>
        </w:rPr>
        <w:t>recognised</w:t>
      </w:r>
      <w:proofErr w:type="spellEnd"/>
      <w:r w:rsidRPr="009D06A3">
        <w:rPr>
          <w:rFonts w:ascii="Avenir Next" w:hAnsi="Avenir Next"/>
          <w:color w:val="808080" w:themeColor="background1" w:themeShade="80"/>
        </w:rPr>
        <w:t xml:space="preserve"> in the USA as a foreign main proceeding, which pursuant to Article 20(1)(a) / Chapter 15 of the US Bankruptcy Code, would attract an automatic stay of proceedings against GH and thus should mitigate any effect of a class action in the USA, should one be filed. Recognition of foreign main proceedings would also attract automatic relief in the form of a stay of execution over GH’s assets, suspension of the right to transfer, encumber or otherwise dispose of any assets and other relief set out in Article 20.</w:t>
      </w:r>
    </w:p>
    <w:p w14:paraId="2212BBE4" w14:textId="77777777" w:rsidR="009D06A3" w:rsidRDefault="009D06A3" w:rsidP="00D6649D">
      <w:pPr>
        <w:pStyle w:val="AODocTxt"/>
        <w:spacing w:before="0" w:line="240" w:lineRule="auto"/>
        <w:rPr>
          <w:rFonts w:ascii="Avenir Next" w:hAnsi="Avenir Next"/>
          <w:color w:val="808080" w:themeColor="background1" w:themeShade="80"/>
        </w:rPr>
      </w:pPr>
    </w:p>
    <w:p w14:paraId="2785F4DA" w14:textId="77777777" w:rsidR="00BD6B67" w:rsidRDefault="00C01B7E" w:rsidP="00C01B7E">
      <w:pPr>
        <w:pStyle w:val="AODocTxt"/>
        <w:spacing w:before="0" w:line="240" w:lineRule="auto"/>
        <w:rPr>
          <w:rFonts w:ascii="Avenir Next" w:hAnsi="Avenir Next" w:cs="Arial"/>
          <w:color w:val="808080" w:themeColor="background1" w:themeShade="80"/>
          <w:lang w:val="en-GB"/>
        </w:rPr>
      </w:pPr>
      <w:r>
        <w:rPr>
          <w:rFonts w:ascii="Avenir Next" w:hAnsi="Avenir Next"/>
          <w:color w:val="808080" w:themeColor="background1" w:themeShade="80"/>
        </w:rPr>
        <w:t xml:space="preserve">If </w:t>
      </w:r>
      <w:r w:rsidRPr="009D06A3">
        <w:rPr>
          <w:rFonts w:ascii="Avenir Next" w:hAnsi="Avenir Next"/>
          <w:color w:val="808080" w:themeColor="background1" w:themeShade="80"/>
        </w:rPr>
        <w:t xml:space="preserve">GH’s COMI is </w:t>
      </w:r>
      <w:r>
        <w:rPr>
          <w:rFonts w:ascii="Avenir Next" w:hAnsi="Avenir Next"/>
          <w:color w:val="808080" w:themeColor="background1" w:themeShade="80"/>
        </w:rPr>
        <w:t xml:space="preserve">not in </w:t>
      </w:r>
      <w:r w:rsidRPr="009D06A3">
        <w:rPr>
          <w:rFonts w:ascii="Avenir Next" w:hAnsi="Avenir Next"/>
          <w:color w:val="808080" w:themeColor="background1" w:themeShade="80"/>
        </w:rPr>
        <w:t>Cayman</w:t>
      </w:r>
      <w:r>
        <w:rPr>
          <w:rFonts w:ascii="Avenir Next" w:hAnsi="Avenir Next"/>
          <w:color w:val="808080" w:themeColor="background1" w:themeShade="80"/>
        </w:rPr>
        <w:t xml:space="preserve">, </w:t>
      </w:r>
      <w:r w:rsidRPr="000707B5">
        <w:rPr>
          <w:rFonts w:ascii="Avenir Next" w:hAnsi="Avenir Next" w:cs="Arial"/>
          <w:color w:val="808080" w:themeColor="background1" w:themeShade="80"/>
          <w:lang w:val="en-GB"/>
        </w:rPr>
        <w:t xml:space="preserve">GH may seek to establish that GH has an </w:t>
      </w:r>
      <w:r>
        <w:rPr>
          <w:rFonts w:ascii="Avenir Next" w:hAnsi="Avenir Next" w:cs="Arial"/>
          <w:color w:val="808080" w:themeColor="background1" w:themeShade="80"/>
          <w:lang w:val="en-GB"/>
        </w:rPr>
        <w:t>“</w:t>
      </w:r>
      <w:r w:rsidRPr="00BD6B67">
        <w:rPr>
          <w:rFonts w:ascii="Avenir Next" w:hAnsi="Avenir Next" w:cs="Arial"/>
          <w:i/>
          <w:iCs/>
          <w:color w:val="808080" w:themeColor="background1" w:themeShade="80"/>
          <w:lang w:val="en-GB"/>
        </w:rPr>
        <w:t>establishment</w:t>
      </w:r>
      <w:r w:rsidRPr="000707B5">
        <w:rPr>
          <w:rFonts w:ascii="Avenir Next" w:hAnsi="Avenir Next" w:cs="Arial"/>
          <w:color w:val="808080" w:themeColor="background1" w:themeShade="80"/>
          <w:lang w:val="en-GB"/>
        </w:rPr>
        <w:t>” (within the meaning ascribed to it in the MLCBI</w:t>
      </w:r>
      <w:r w:rsidR="00BD6B67">
        <w:rPr>
          <w:rFonts w:ascii="Avenir Next" w:hAnsi="Avenir Next" w:cs="Arial"/>
          <w:color w:val="808080" w:themeColor="background1" w:themeShade="80"/>
          <w:lang w:val="en-GB"/>
        </w:rPr>
        <w:t xml:space="preserve"> (noting that ‘establishment’ is not defined in the US Bankruptcy Code)</w:t>
      </w:r>
      <w:r w:rsidRPr="000707B5">
        <w:rPr>
          <w:rFonts w:ascii="Avenir Next" w:hAnsi="Avenir Next" w:cs="Arial"/>
          <w:color w:val="808080" w:themeColor="background1" w:themeShade="80"/>
          <w:lang w:val="en-GB"/>
        </w:rPr>
        <w:t xml:space="preserve">) in Cayman in order to seek recognition of foreign non-main proceedings in the USA. Pursuant </w:t>
      </w:r>
      <w:r w:rsidRPr="000707B5">
        <w:rPr>
          <w:rFonts w:ascii="Avenir Next" w:hAnsi="Avenir Next" w:cs="Arial"/>
          <w:color w:val="808080" w:themeColor="background1" w:themeShade="80"/>
          <w:lang w:val="en-GB"/>
        </w:rPr>
        <w:lastRenderedPageBreak/>
        <w:t xml:space="preserve">to Article 2 of the MLCBI, an </w:t>
      </w:r>
      <w:r>
        <w:rPr>
          <w:rFonts w:ascii="Avenir Next" w:hAnsi="Avenir Next" w:cs="Arial"/>
          <w:color w:val="808080" w:themeColor="background1" w:themeShade="80"/>
          <w:lang w:val="en-GB"/>
        </w:rPr>
        <w:t>“</w:t>
      </w:r>
      <w:r w:rsidRPr="00BD6B67">
        <w:rPr>
          <w:rFonts w:ascii="Avenir Next" w:hAnsi="Avenir Next" w:cs="Arial"/>
          <w:i/>
          <w:iCs/>
          <w:color w:val="808080" w:themeColor="background1" w:themeShade="80"/>
          <w:lang w:val="en-GB"/>
        </w:rPr>
        <w:t>establishment</w:t>
      </w:r>
      <w:r w:rsidRPr="000707B5">
        <w:rPr>
          <w:rFonts w:ascii="Avenir Next" w:hAnsi="Avenir Next" w:cs="Arial"/>
          <w:color w:val="808080" w:themeColor="background1" w:themeShade="80"/>
          <w:lang w:val="en-GB"/>
        </w:rPr>
        <w:t>” means “</w:t>
      </w:r>
      <w:r w:rsidRPr="00BD6B67">
        <w:rPr>
          <w:rFonts w:ascii="Avenir Next" w:hAnsi="Avenir Next" w:cs="Arial"/>
          <w:i/>
          <w:iCs/>
          <w:color w:val="808080" w:themeColor="background1" w:themeShade="80"/>
          <w:lang w:val="en-GB"/>
        </w:rPr>
        <w:t>any place of operations where the debtor carries out a non-transitory economic activity with human means and goods or services</w:t>
      </w:r>
      <w:r w:rsidRPr="000707B5">
        <w:rPr>
          <w:rFonts w:ascii="Avenir Next" w:hAnsi="Avenir Next" w:cs="Arial"/>
          <w:color w:val="808080" w:themeColor="background1" w:themeShade="80"/>
          <w:lang w:val="en-GB"/>
        </w:rPr>
        <w:t xml:space="preserve">”. </w:t>
      </w:r>
    </w:p>
    <w:p w14:paraId="32BAB191" w14:textId="77777777" w:rsidR="00BD6B67" w:rsidRDefault="00BD6B67" w:rsidP="00C01B7E">
      <w:pPr>
        <w:pStyle w:val="AODocTxt"/>
        <w:spacing w:before="0" w:line="240" w:lineRule="auto"/>
        <w:rPr>
          <w:rFonts w:ascii="Avenir Next" w:hAnsi="Avenir Next" w:cs="Arial"/>
          <w:color w:val="808080" w:themeColor="background1" w:themeShade="80"/>
          <w:lang w:val="en-GB"/>
        </w:rPr>
      </w:pPr>
    </w:p>
    <w:p w14:paraId="129E5061" w14:textId="3BEA5CD7" w:rsidR="00C01B7E" w:rsidRDefault="00C01B7E" w:rsidP="00C01B7E">
      <w:pPr>
        <w:pStyle w:val="AODocTxt"/>
        <w:spacing w:before="0" w:line="240" w:lineRule="auto"/>
        <w:rPr>
          <w:rFonts w:ascii="Avenir Next" w:hAnsi="Avenir Next" w:cs="Arial"/>
          <w:color w:val="808080" w:themeColor="background1" w:themeShade="80"/>
          <w:lang w:val="en-GB"/>
        </w:rPr>
      </w:pPr>
      <w:r w:rsidRPr="000707B5">
        <w:rPr>
          <w:rFonts w:ascii="Avenir Next" w:hAnsi="Avenir Next" w:cs="Arial"/>
          <w:color w:val="808080" w:themeColor="background1" w:themeShade="80"/>
          <w:lang w:val="en-GB"/>
        </w:rPr>
        <w:t>On the basis of a Cayman registered office and economic activity (i.e. payments of operating expenses / the implantation of the Scheme / the RSA (if that can be considered “</w:t>
      </w:r>
      <w:r w:rsidRPr="00BD6B67">
        <w:rPr>
          <w:rFonts w:ascii="Avenir Next" w:hAnsi="Avenir Next" w:cs="Arial"/>
          <w:i/>
          <w:iCs/>
          <w:color w:val="808080" w:themeColor="background1" w:themeShade="80"/>
          <w:lang w:val="en-GB"/>
        </w:rPr>
        <w:t>economic activity</w:t>
      </w:r>
      <w:r w:rsidRPr="000707B5">
        <w:rPr>
          <w:rFonts w:ascii="Avenir Next" w:hAnsi="Avenir Next" w:cs="Arial"/>
          <w:color w:val="808080" w:themeColor="background1" w:themeShade="80"/>
          <w:lang w:val="en-GB"/>
        </w:rPr>
        <w:t xml:space="preserve">”)) being carried out from Cayman, GH may be able to have </w:t>
      </w:r>
      <w:r w:rsidR="00BD6B67">
        <w:rPr>
          <w:rFonts w:ascii="Avenir Next" w:hAnsi="Avenir Next" w:cs="Arial"/>
          <w:color w:val="808080" w:themeColor="background1" w:themeShade="80"/>
          <w:lang w:val="en-GB"/>
        </w:rPr>
        <w:t xml:space="preserve">the Scheme recognised as foreign </w:t>
      </w:r>
      <w:r w:rsidRPr="000707B5">
        <w:rPr>
          <w:rFonts w:ascii="Avenir Next" w:hAnsi="Avenir Next" w:cs="Arial"/>
          <w:color w:val="808080" w:themeColor="background1" w:themeShade="80"/>
          <w:lang w:val="en-GB"/>
        </w:rPr>
        <w:t>non-main proceedings</w:t>
      </w:r>
      <w:r w:rsidRPr="00BD6B67">
        <w:rPr>
          <w:rFonts w:ascii="Avenir Next" w:hAnsi="Avenir Next" w:cs="Arial"/>
          <w:color w:val="808080" w:themeColor="background1" w:themeShade="80"/>
          <w:lang w:val="en-GB"/>
        </w:rPr>
        <w:t xml:space="preserve">. </w:t>
      </w:r>
      <w:r w:rsidR="00BD6B67" w:rsidRPr="00BD6B67">
        <w:rPr>
          <w:rFonts w:ascii="Avenir Next" w:hAnsi="Avenir Next"/>
          <w:color w:val="808080" w:themeColor="background1" w:themeShade="80"/>
        </w:rPr>
        <w:t>T</w:t>
      </w:r>
      <w:r w:rsidR="00BD6B67" w:rsidRPr="00BD6B67">
        <w:rPr>
          <w:rFonts w:ascii="Avenir Next" w:hAnsi="Avenir Next"/>
          <w:color w:val="808080" w:themeColor="background1" w:themeShade="80"/>
        </w:rPr>
        <w:t xml:space="preserve">he scope of relief offered </w:t>
      </w:r>
      <w:r w:rsidR="00BD6B67" w:rsidRPr="00BD6B67">
        <w:rPr>
          <w:rFonts w:ascii="Avenir Next" w:hAnsi="Avenir Next"/>
          <w:color w:val="808080" w:themeColor="background1" w:themeShade="80"/>
        </w:rPr>
        <w:t>in a foreign non-main proceeding is</w:t>
      </w:r>
      <w:r w:rsidR="00BD6B67" w:rsidRPr="00BD6B67">
        <w:rPr>
          <w:rFonts w:ascii="Avenir Next" w:hAnsi="Avenir Next"/>
          <w:color w:val="808080" w:themeColor="background1" w:themeShade="80"/>
        </w:rPr>
        <w:t xml:space="preserve"> not quite as wide as for</w:t>
      </w:r>
      <w:r w:rsidR="00BD6B67" w:rsidRPr="00BD6B67">
        <w:rPr>
          <w:rFonts w:ascii="Avenir Next" w:hAnsi="Avenir Next"/>
          <w:color w:val="808080" w:themeColor="background1" w:themeShade="80"/>
        </w:rPr>
        <w:t xml:space="preserve"> a</w:t>
      </w:r>
      <w:r w:rsidR="00BD6B67" w:rsidRPr="00BD6B67">
        <w:rPr>
          <w:rFonts w:ascii="Avenir Next" w:hAnsi="Avenir Next"/>
          <w:color w:val="808080" w:themeColor="background1" w:themeShade="80"/>
        </w:rPr>
        <w:t xml:space="preserve"> foreign main proceeding</w:t>
      </w:r>
      <w:r w:rsidR="00BD6B67" w:rsidRPr="00BD6B67">
        <w:rPr>
          <w:rFonts w:ascii="Avenir Next" w:hAnsi="Avenir Next"/>
          <w:color w:val="808080" w:themeColor="background1" w:themeShade="80"/>
        </w:rPr>
        <w:t>,</w:t>
      </w:r>
      <w:r w:rsidR="00BD6B67" w:rsidRPr="00BD6B67">
        <w:rPr>
          <w:rFonts w:ascii="Avenir Next" w:hAnsi="Avenir Next"/>
          <w:color w:val="808080" w:themeColor="background1" w:themeShade="80"/>
        </w:rPr>
        <w:t xml:space="preserve"> and there would not be an automatic stay of proceedings (i.e. any class action filed), rather, a stay would need to be sought from the court</w:t>
      </w:r>
      <w:r w:rsidR="00BD6B67" w:rsidRPr="00BD6B67">
        <w:rPr>
          <w:rFonts w:ascii="Avenir Next" w:hAnsi="Avenir Next"/>
          <w:color w:val="808080" w:themeColor="background1" w:themeShade="80"/>
        </w:rPr>
        <w:t xml:space="preserve"> as</w:t>
      </w:r>
      <w:r w:rsidR="00BD6B67" w:rsidRPr="00BD6B67">
        <w:rPr>
          <w:rFonts w:ascii="Avenir Next" w:hAnsi="Avenir Next"/>
          <w:color w:val="808080" w:themeColor="background1" w:themeShade="80"/>
        </w:rPr>
        <w:t xml:space="preserve"> discretionary relief</w:t>
      </w:r>
      <w:r w:rsidR="00BD6B67" w:rsidRPr="00BD6B67">
        <w:rPr>
          <w:rFonts w:ascii="Avenir Next" w:hAnsi="Avenir Next"/>
          <w:color w:val="808080" w:themeColor="background1" w:themeShade="80"/>
        </w:rPr>
        <w:t>,</w:t>
      </w:r>
      <w:r w:rsidR="00BD6B67" w:rsidRPr="00BD6B67">
        <w:rPr>
          <w:rFonts w:ascii="Avenir Next" w:hAnsi="Avenir Next"/>
          <w:color w:val="808080" w:themeColor="background1" w:themeShade="80"/>
        </w:rPr>
        <w:t xml:space="preserve"> which the court may or may not sanction. Importantly, in order to grant any such discretionary relief sought, the US court must be satisfied that it is appropriate for the relevant assets (of GH) to be administered by way of the Scheme. This may be questionable on these facts, i.e. given that business operations, assets and majority of creditors are in the USA rather than Cayman</w:t>
      </w:r>
      <w:r w:rsidR="00BD6B67">
        <w:rPr>
          <w:rFonts w:ascii="Avenir Next" w:hAnsi="Avenir Next"/>
          <w:color w:val="808080" w:themeColor="background1" w:themeShade="80"/>
        </w:rPr>
        <w:t xml:space="preserve">, however I note the comments made in </w:t>
      </w:r>
      <w:r w:rsidR="00BD6B67" w:rsidRPr="000707B5">
        <w:rPr>
          <w:rFonts w:ascii="Avenir Next" w:hAnsi="Avenir Next" w:cs="Arial"/>
          <w:color w:val="808080" w:themeColor="background1" w:themeShade="80"/>
          <w:lang w:val="en-GB"/>
        </w:rPr>
        <w:t>the Americas Restructuring Review 2022</w:t>
      </w:r>
      <w:r w:rsidR="00BD6B67">
        <w:rPr>
          <w:rFonts w:ascii="Avenir Next" w:hAnsi="Avenir Next" w:cs="Arial"/>
          <w:color w:val="808080" w:themeColor="background1" w:themeShade="80"/>
          <w:lang w:val="en-GB"/>
        </w:rPr>
        <w:t xml:space="preserve"> as quoted above. </w:t>
      </w:r>
    </w:p>
    <w:p w14:paraId="7168DAA8" w14:textId="77777777" w:rsidR="001A5710" w:rsidRDefault="001A5710" w:rsidP="00D6649D">
      <w:pPr>
        <w:pStyle w:val="AODocTxt"/>
        <w:spacing w:before="0" w:line="240" w:lineRule="auto"/>
        <w:rPr>
          <w:rFonts w:ascii="Avenir Next" w:hAnsi="Avenir Next"/>
          <w:color w:val="808080" w:themeColor="background1" w:themeShade="80"/>
        </w:rPr>
      </w:pPr>
    </w:p>
    <w:p w14:paraId="79997564" w14:textId="77777777" w:rsidR="00671828" w:rsidRDefault="001A5710" w:rsidP="00D6649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w:t>
      </w:r>
      <w:r w:rsidRPr="00A26BB7">
        <w:rPr>
          <w:rFonts w:ascii="Avenir Next" w:hAnsi="Avenir Next"/>
          <w:i/>
          <w:iCs/>
          <w:color w:val="808080" w:themeColor="background1" w:themeShade="80"/>
        </w:rPr>
        <w:t>Re Bear Sterns High-Grade</w:t>
      </w:r>
      <w:r w:rsidR="003B3398" w:rsidRPr="00A26BB7">
        <w:rPr>
          <w:rFonts w:ascii="Avenir Next" w:hAnsi="Avenir Next"/>
          <w:i/>
          <w:iCs/>
          <w:color w:val="808080" w:themeColor="background1" w:themeShade="80"/>
        </w:rPr>
        <w:t xml:space="preserve"> Structured Credit </w:t>
      </w:r>
      <w:r w:rsidR="006E25C9" w:rsidRPr="00A26BB7">
        <w:rPr>
          <w:rFonts w:ascii="Avenir Next" w:hAnsi="Avenir Next"/>
          <w:i/>
          <w:iCs/>
          <w:color w:val="808080" w:themeColor="background1" w:themeShade="80"/>
        </w:rPr>
        <w:t>Master Fund</w:t>
      </w:r>
      <w:r w:rsidR="006E25C9">
        <w:rPr>
          <w:rFonts w:ascii="Avenir Next" w:hAnsi="Avenir Next"/>
          <w:color w:val="808080" w:themeColor="background1" w:themeShade="80"/>
        </w:rPr>
        <w:t xml:space="preserve">, the US court held that a process in Cayman could not be </w:t>
      </w:r>
      <w:proofErr w:type="spellStart"/>
      <w:r w:rsidR="006E25C9">
        <w:rPr>
          <w:rFonts w:ascii="Avenir Next" w:hAnsi="Avenir Next"/>
          <w:color w:val="808080" w:themeColor="background1" w:themeShade="80"/>
        </w:rPr>
        <w:t>recogni</w:t>
      </w:r>
      <w:r w:rsidR="00BD6B67">
        <w:rPr>
          <w:rFonts w:ascii="Avenir Next" w:hAnsi="Avenir Next"/>
          <w:color w:val="808080" w:themeColor="background1" w:themeShade="80"/>
        </w:rPr>
        <w:t>s</w:t>
      </w:r>
      <w:r w:rsidR="006E25C9">
        <w:rPr>
          <w:rFonts w:ascii="Avenir Next" w:hAnsi="Avenir Next"/>
          <w:color w:val="808080" w:themeColor="background1" w:themeShade="80"/>
        </w:rPr>
        <w:t>ed</w:t>
      </w:r>
      <w:proofErr w:type="spellEnd"/>
      <w:r w:rsidR="006E25C9">
        <w:rPr>
          <w:rFonts w:ascii="Avenir Next" w:hAnsi="Avenir Next"/>
          <w:color w:val="808080" w:themeColor="background1" w:themeShade="80"/>
        </w:rPr>
        <w:t xml:space="preserve"> </w:t>
      </w:r>
      <w:r w:rsidR="00937A5B">
        <w:rPr>
          <w:rFonts w:ascii="Avenir Next" w:hAnsi="Avenir Next"/>
          <w:color w:val="808080" w:themeColor="background1" w:themeShade="80"/>
        </w:rPr>
        <w:t xml:space="preserve">as either foreign main or non-main proceedings </w:t>
      </w:r>
      <w:r w:rsidR="00626D0C">
        <w:rPr>
          <w:rFonts w:ascii="Avenir Next" w:hAnsi="Avenir Next"/>
          <w:color w:val="808080" w:themeColor="background1" w:themeShade="80"/>
        </w:rPr>
        <w:t xml:space="preserve">due to lack of COMI or establishment in Cayman. </w:t>
      </w:r>
      <w:r w:rsidR="00A26BB7">
        <w:rPr>
          <w:rFonts w:ascii="Avenir Next" w:hAnsi="Avenir Next"/>
          <w:color w:val="808080" w:themeColor="background1" w:themeShade="80"/>
        </w:rPr>
        <w:t xml:space="preserve">Whilst this is a risk for GH, </w:t>
      </w:r>
      <w:r w:rsidR="00A26BB7" w:rsidRPr="00A26BB7">
        <w:rPr>
          <w:rFonts w:ascii="Avenir Next" w:hAnsi="Avenir Next"/>
          <w:i/>
          <w:iCs/>
          <w:color w:val="808080" w:themeColor="background1" w:themeShade="80"/>
        </w:rPr>
        <w:t>Re Bear Sterns</w:t>
      </w:r>
      <w:r w:rsidR="00A26BB7">
        <w:rPr>
          <w:rFonts w:ascii="Avenir Next" w:hAnsi="Avenir Next"/>
          <w:color w:val="808080" w:themeColor="background1" w:themeShade="80"/>
        </w:rPr>
        <w:t xml:space="preserve"> is distinguishable on the facts, as although </w:t>
      </w:r>
      <w:r w:rsidR="00BD6B67">
        <w:rPr>
          <w:rFonts w:ascii="Avenir Next" w:hAnsi="Avenir Next"/>
          <w:color w:val="808080" w:themeColor="background1" w:themeShade="80"/>
        </w:rPr>
        <w:t xml:space="preserve">neither </w:t>
      </w:r>
      <w:r w:rsidR="00A26BB7">
        <w:rPr>
          <w:rFonts w:ascii="Avenir Next" w:hAnsi="Avenir Next"/>
          <w:color w:val="808080" w:themeColor="background1" w:themeShade="80"/>
        </w:rPr>
        <w:t xml:space="preserve">GH </w:t>
      </w:r>
      <w:r w:rsidR="00BD6B67">
        <w:rPr>
          <w:rFonts w:ascii="Avenir Next" w:hAnsi="Avenir Next"/>
          <w:color w:val="808080" w:themeColor="background1" w:themeShade="80"/>
        </w:rPr>
        <w:t>nor</w:t>
      </w:r>
      <w:r w:rsidR="00A26BB7">
        <w:rPr>
          <w:rFonts w:ascii="Avenir Next" w:hAnsi="Avenir Next"/>
          <w:color w:val="808080" w:themeColor="background1" w:themeShade="80"/>
        </w:rPr>
        <w:t xml:space="preserve"> the hedge fund in </w:t>
      </w:r>
      <w:r w:rsidR="00A26BB7" w:rsidRPr="00A26BB7">
        <w:rPr>
          <w:rFonts w:ascii="Avenir Next" w:hAnsi="Avenir Next"/>
          <w:i/>
          <w:iCs/>
          <w:color w:val="808080" w:themeColor="background1" w:themeShade="80"/>
        </w:rPr>
        <w:t>Re Bear Sterns</w:t>
      </w:r>
      <w:r w:rsidR="00A26BB7">
        <w:rPr>
          <w:rFonts w:ascii="Avenir Next" w:hAnsi="Avenir Next"/>
          <w:color w:val="808080" w:themeColor="background1" w:themeShade="80"/>
        </w:rPr>
        <w:t xml:space="preserve"> each</w:t>
      </w:r>
      <w:r>
        <w:rPr>
          <w:rFonts w:ascii="Avenir Next" w:hAnsi="Avenir Next"/>
          <w:color w:val="808080" w:themeColor="background1" w:themeShade="80"/>
        </w:rPr>
        <w:t xml:space="preserve"> </w:t>
      </w:r>
      <w:r w:rsidR="00A26BB7">
        <w:rPr>
          <w:rFonts w:ascii="Avenir Next" w:hAnsi="Avenir Next"/>
          <w:color w:val="808080" w:themeColor="background1" w:themeShade="80"/>
        </w:rPr>
        <w:t>ha</w:t>
      </w:r>
      <w:r w:rsidR="00BD6B67">
        <w:rPr>
          <w:rFonts w:ascii="Avenir Next" w:hAnsi="Avenir Next"/>
          <w:color w:val="808080" w:themeColor="background1" w:themeShade="80"/>
        </w:rPr>
        <w:t>d/has</w:t>
      </w:r>
      <w:r w:rsidR="00A26BB7">
        <w:rPr>
          <w:rFonts w:ascii="Avenir Next" w:hAnsi="Avenir Next"/>
          <w:color w:val="808080" w:themeColor="background1" w:themeShade="80"/>
        </w:rPr>
        <w:t xml:space="preserve"> operations in Cayman, the hedge fund had no establishment in Cayman prior to its insolvency, whereas arguably, GH has. As an aside,</w:t>
      </w:r>
      <w:r w:rsidR="00FE476B">
        <w:rPr>
          <w:rFonts w:ascii="Avenir Next" w:hAnsi="Avenir Next"/>
          <w:color w:val="808080" w:themeColor="background1" w:themeShade="80"/>
        </w:rPr>
        <w:t xml:space="preserve"> b</w:t>
      </w:r>
      <w:r w:rsidR="002E7EDD">
        <w:rPr>
          <w:rFonts w:ascii="Avenir Next" w:hAnsi="Avenir Next"/>
          <w:color w:val="808080" w:themeColor="background1" w:themeShade="80"/>
        </w:rPr>
        <w:t>ased on the facts, it may have been advisable for GH to have</w:t>
      </w:r>
      <w:r w:rsidR="00FE476B">
        <w:rPr>
          <w:rFonts w:ascii="Avenir Next" w:hAnsi="Avenir Next"/>
          <w:color w:val="808080" w:themeColor="background1" w:themeShade="80"/>
        </w:rPr>
        <w:t xml:space="preserve"> </w:t>
      </w:r>
      <w:proofErr w:type="spellStart"/>
      <w:r w:rsidR="00FE476B">
        <w:rPr>
          <w:rFonts w:ascii="Avenir Next" w:hAnsi="Avenir Next"/>
          <w:color w:val="808080" w:themeColor="background1" w:themeShade="80"/>
        </w:rPr>
        <w:t>reorgani</w:t>
      </w:r>
      <w:r w:rsidR="00BD6B67">
        <w:rPr>
          <w:rFonts w:ascii="Avenir Next" w:hAnsi="Avenir Next"/>
          <w:color w:val="808080" w:themeColor="background1" w:themeShade="80"/>
        </w:rPr>
        <w:t>s</w:t>
      </w:r>
      <w:r w:rsidR="00FE476B">
        <w:rPr>
          <w:rFonts w:ascii="Avenir Next" w:hAnsi="Avenir Next"/>
          <w:color w:val="808080" w:themeColor="background1" w:themeShade="80"/>
        </w:rPr>
        <w:t>ed</w:t>
      </w:r>
      <w:proofErr w:type="spellEnd"/>
      <w:r w:rsidR="00FE476B">
        <w:rPr>
          <w:rFonts w:ascii="Avenir Next" w:hAnsi="Avenir Next"/>
          <w:color w:val="808080" w:themeColor="background1" w:themeShade="80"/>
        </w:rPr>
        <w:t xml:space="preserve"> </w:t>
      </w:r>
      <w:r w:rsidR="007B6530">
        <w:rPr>
          <w:rFonts w:ascii="Avenir Next" w:hAnsi="Avenir Next"/>
          <w:color w:val="808080" w:themeColor="background1" w:themeShade="80"/>
        </w:rPr>
        <w:t>under</w:t>
      </w:r>
      <w:r w:rsidR="002E7EDD">
        <w:rPr>
          <w:rFonts w:ascii="Avenir Next" w:hAnsi="Avenir Next"/>
          <w:color w:val="808080" w:themeColor="background1" w:themeShade="80"/>
        </w:rPr>
        <w:t xml:space="preserve"> </w:t>
      </w:r>
      <w:r w:rsidR="007B6530">
        <w:rPr>
          <w:rFonts w:ascii="Avenir Next" w:hAnsi="Avenir Next"/>
          <w:color w:val="808080" w:themeColor="background1" w:themeShade="80"/>
        </w:rPr>
        <w:t>C</w:t>
      </w:r>
      <w:r w:rsidR="002E7EDD">
        <w:rPr>
          <w:rFonts w:ascii="Avenir Next" w:hAnsi="Avenir Next"/>
          <w:color w:val="808080" w:themeColor="background1" w:themeShade="80"/>
        </w:rPr>
        <w:t>hapter 11</w:t>
      </w:r>
      <w:r w:rsidR="003C6762">
        <w:rPr>
          <w:rFonts w:ascii="Avenir Next" w:hAnsi="Avenir Next"/>
          <w:color w:val="808080" w:themeColor="background1" w:themeShade="80"/>
        </w:rPr>
        <w:t xml:space="preserve">, as that is an option that would have been available to it. </w:t>
      </w:r>
      <w:r w:rsidR="00D6649D">
        <w:rPr>
          <w:rFonts w:ascii="Avenir Next" w:hAnsi="Avenir Next"/>
          <w:color w:val="808080" w:themeColor="background1" w:themeShade="80"/>
        </w:rPr>
        <w:t xml:space="preserve"> </w:t>
      </w:r>
      <w:r w:rsidR="00A7403D">
        <w:rPr>
          <w:rFonts w:ascii="Avenir Next" w:hAnsi="Avenir Next"/>
          <w:color w:val="808080" w:themeColor="background1" w:themeShade="80"/>
        </w:rPr>
        <w:t xml:space="preserve"> </w:t>
      </w:r>
    </w:p>
    <w:p w14:paraId="60A57758" w14:textId="77777777" w:rsidR="00671828" w:rsidRDefault="00671828" w:rsidP="00D6649D">
      <w:pPr>
        <w:pStyle w:val="AODocTxt"/>
        <w:spacing w:before="0" w:line="240" w:lineRule="auto"/>
        <w:rPr>
          <w:rFonts w:ascii="Avenir Next" w:hAnsi="Avenir Next"/>
          <w:color w:val="808080" w:themeColor="background1" w:themeShade="80"/>
        </w:rPr>
      </w:pPr>
    </w:p>
    <w:p w14:paraId="480A6E4C" w14:textId="4476A957" w:rsidR="00671828" w:rsidRPr="00671828" w:rsidRDefault="00671828" w:rsidP="00D6649D">
      <w:pPr>
        <w:pStyle w:val="AODocTxt"/>
        <w:spacing w:before="0" w:line="240" w:lineRule="auto"/>
        <w:rPr>
          <w:rFonts w:ascii="Avenir Next" w:hAnsi="Avenir Next"/>
          <w:b/>
          <w:bCs/>
          <w:color w:val="808080" w:themeColor="background1" w:themeShade="80"/>
        </w:rPr>
      </w:pPr>
      <w:r w:rsidRPr="00671828">
        <w:rPr>
          <w:rFonts w:ascii="Avenir Next" w:hAnsi="Avenir Next"/>
          <w:b/>
          <w:bCs/>
          <w:color w:val="808080" w:themeColor="background1" w:themeShade="80"/>
        </w:rPr>
        <w:t xml:space="preserve">Relief to be </w:t>
      </w:r>
      <w:proofErr w:type="gramStart"/>
      <w:r w:rsidRPr="00671828">
        <w:rPr>
          <w:rFonts w:ascii="Avenir Next" w:hAnsi="Avenir Next"/>
          <w:b/>
          <w:bCs/>
          <w:color w:val="808080" w:themeColor="background1" w:themeShade="80"/>
        </w:rPr>
        <w:t>sought</w:t>
      </w:r>
      <w:proofErr w:type="gramEnd"/>
    </w:p>
    <w:p w14:paraId="45AFFD87" w14:textId="77777777" w:rsidR="00671828" w:rsidRDefault="00671828" w:rsidP="00D6649D">
      <w:pPr>
        <w:pStyle w:val="AODocTxt"/>
        <w:spacing w:before="0" w:line="240" w:lineRule="auto"/>
        <w:rPr>
          <w:rFonts w:ascii="Avenir Next" w:hAnsi="Avenir Next"/>
          <w:color w:val="808080" w:themeColor="background1" w:themeShade="80"/>
        </w:rPr>
      </w:pPr>
    </w:p>
    <w:p w14:paraId="24944CAF" w14:textId="60E45870" w:rsidR="00671828" w:rsidRDefault="00671828" w:rsidP="00D6649D">
      <w:pPr>
        <w:pStyle w:val="AODocTxt"/>
        <w:spacing w:before="0" w:line="240" w:lineRule="auto"/>
        <w:rPr>
          <w:rFonts w:ascii="Avenir Next" w:hAnsi="Avenir Next"/>
          <w:color w:val="808080" w:themeColor="background1" w:themeShade="80"/>
        </w:rPr>
      </w:pPr>
      <w:r>
        <w:rPr>
          <w:rFonts w:ascii="Avenir Next" w:hAnsi="Avenir Next" w:cs="Arial"/>
          <w:color w:val="808080" w:themeColor="background1" w:themeShade="80"/>
          <w:lang w:val="en-GB"/>
        </w:rPr>
        <w:t>In the context of seeking recognition of a foreign non-main proceeding, GH</w:t>
      </w:r>
      <w:r w:rsidRPr="000707B5">
        <w:rPr>
          <w:rFonts w:ascii="Avenir Next" w:hAnsi="Avenir Next" w:cs="Arial"/>
          <w:color w:val="808080" w:themeColor="background1" w:themeShade="80"/>
          <w:lang w:val="en-GB"/>
        </w:rPr>
        <w:t xml:space="preserve"> would be advised to apply to the US court (under Article 21(1) of the MLCBI) (on day one of the recognition application filing) for a stay of proceedings against it to mitigate any effect of a class action in the USA (should one be filed), a stay of execution over GH’s assets, suspension of the right to  transfer, encumber or otherwise dispose of any assets, and any other necessary relief </w:t>
      </w:r>
      <w:r w:rsidRPr="00BD6B67">
        <w:rPr>
          <w:rFonts w:ascii="Avenir Next" w:hAnsi="Avenir Next" w:cs="Arial"/>
          <w:color w:val="808080" w:themeColor="background1" w:themeShade="80"/>
          <w:lang w:val="en-GB"/>
        </w:rPr>
        <w:t>GH deems necessary or desirable pursuant to Article 21</w:t>
      </w:r>
      <w:r>
        <w:rPr>
          <w:rFonts w:ascii="Avenir Next" w:hAnsi="Avenir Next" w:cs="Arial"/>
          <w:color w:val="808080" w:themeColor="background1" w:themeShade="80"/>
          <w:lang w:val="en-GB"/>
        </w:rPr>
        <w:t>.</w:t>
      </w:r>
    </w:p>
    <w:p w14:paraId="27EE460E" w14:textId="77777777" w:rsidR="00671828" w:rsidRDefault="00671828" w:rsidP="00D6649D">
      <w:pPr>
        <w:pStyle w:val="AODocTxt"/>
        <w:spacing w:before="0" w:line="240" w:lineRule="auto"/>
        <w:rPr>
          <w:rFonts w:ascii="Avenir Next" w:hAnsi="Avenir Next"/>
          <w:color w:val="808080" w:themeColor="background1" w:themeShade="80"/>
        </w:rPr>
      </w:pPr>
    </w:p>
    <w:p w14:paraId="76ED1643" w14:textId="1B8604A0" w:rsidR="008B388A" w:rsidRPr="00671828" w:rsidRDefault="00671828" w:rsidP="00D6649D">
      <w:pPr>
        <w:pStyle w:val="AODocTxt"/>
        <w:spacing w:before="0" w:line="240" w:lineRule="auto"/>
        <w:rPr>
          <w:rFonts w:ascii="Avenir Next" w:hAnsi="Avenir Next"/>
          <w:b/>
          <w:bCs/>
          <w:color w:val="808080" w:themeColor="background1" w:themeShade="80"/>
        </w:rPr>
      </w:pPr>
      <w:r w:rsidRPr="00671828">
        <w:rPr>
          <w:rFonts w:ascii="Avenir Next" w:hAnsi="Avenir Next" w:cs="Arial"/>
          <w:b/>
          <w:bCs/>
          <w:color w:val="808080" w:themeColor="background1" w:themeShade="80"/>
          <w:lang w:val="en-GB"/>
        </w:rPr>
        <w:t>D</w:t>
      </w:r>
      <w:r w:rsidRPr="00671828">
        <w:rPr>
          <w:rFonts w:ascii="Avenir Next" w:hAnsi="Avenir Next" w:cs="Arial"/>
          <w:b/>
          <w:bCs/>
          <w:color w:val="808080" w:themeColor="background1" w:themeShade="80"/>
          <w:lang w:val="en-GB"/>
        </w:rPr>
        <w:t xml:space="preserve">ocuments to be </w:t>
      </w:r>
      <w:proofErr w:type="gramStart"/>
      <w:r>
        <w:rPr>
          <w:rFonts w:ascii="Avenir Next" w:hAnsi="Avenir Next" w:cs="Arial"/>
          <w:b/>
          <w:bCs/>
          <w:color w:val="808080" w:themeColor="background1" w:themeShade="80"/>
          <w:lang w:val="en-GB"/>
        </w:rPr>
        <w:t>f</w:t>
      </w:r>
      <w:r w:rsidRPr="00671828">
        <w:rPr>
          <w:rFonts w:ascii="Avenir Next" w:hAnsi="Avenir Next" w:cs="Arial"/>
          <w:b/>
          <w:bCs/>
          <w:color w:val="808080" w:themeColor="background1" w:themeShade="80"/>
          <w:lang w:val="en-GB"/>
        </w:rPr>
        <w:t>iled</w:t>
      </w:r>
      <w:proofErr w:type="gramEnd"/>
      <w:r w:rsidR="00A7403D" w:rsidRPr="00671828">
        <w:rPr>
          <w:rFonts w:ascii="Avenir Next" w:hAnsi="Avenir Next"/>
          <w:b/>
          <w:bCs/>
          <w:color w:val="808080" w:themeColor="background1" w:themeShade="80"/>
        </w:rPr>
        <w:t xml:space="preserve">      </w:t>
      </w:r>
    </w:p>
    <w:p w14:paraId="312710D5" w14:textId="77777777" w:rsidR="008B388A" w:rsidRDefault="008B388A" w:rsidP="000707B5">
      <w:pPr>
        <w:jc w:val="both"/>
        <w:rPr>
          <w:rFonts w:ascii="Avenir Next" w:hAnsi="Avenir Next" w:cs="Arial"/>
          <w:color w:val="808080" w:themeColor="background1" w:themeShade="80"/>
          <w:sz w:val="22"/>
          <w:szCs w:val="22"/>
          <w:lang w:val="en-GB"/>
        </w:rPr>
      </w:pPr>
    </w:p>
    <w:p w14:paraId="4F696BCD" w14:textId="3DD54B3E" w:rsidR="000707B5" w:rsidRPr="00EC56DE" w:rsidRDefault="000707B5" w:rsidP="000707B5">
      <w:pPr>
        <w:jc w:val="both"/>
        <w:rPr>
          <w:rFonts w:ascii="Avenir Next" w:hAnsi="Avenir Next" w:cs="Arial"/>
          <w:color w:val="808080" w:themeColor="background1" w:themeShade="80"/>
          <w:sz w:val="22"/>
          <w:szCs w:val="22"/>
          <w:lang w:val="en-GB"/>
        </w:rPr>
      </w:pPr>
      <w:r w:rsidRPr="00EC56DE">
        <w:rPr>
          <w:rFonts w:ascii="Avenir Next" w:hAnsi="Avenir Next" w:cs="Arial"/>
          <w:color w:val="808080" w:themeColor="background1" w:themeShade="80"/>
          <w:sz w:val="22"/>
          <w:szCs w:val="22"/>
          <w:lang w:val="en-GB"/>
        </w:rPr>
        <w:t xml:space="preserve">In terms of the documents to be filed with a US recognition application, </w:t>
      </w:r>
      <w:r w:rsidR="007E0F5D">
        <w:rPr>
          <w:rFonts w:ascii="Avenir Next" w:hAnsi="Avenir Next" w:cs="Arial"/>
          <w:color w:val="808080" w:themeColor="background1" w:themeShade="80"/>
          <w:sz w:val="22"/>
          <w:szCs w:val="22"/>
          <w:lang w:val="en-GB"/>
        </w:rPr>
        <w:t>Section 1515</w:t>
      </w:r>
      <w:r w:rsidR="00F6590C">
        <w:rPr>
          <w:rFonts w:ascii="Avenir Next" w:hAnsi="Avenir Next" w:cs="Arial"/>
          <w:color w:val="808080" w:themeColor="background1" w:themeShade="80"/>
          <w:sz w:val="22"/>
          <w:szCs w:val="22"/>
          <w:lang w:val="en-GB"/>
        </w:rPr>
        <w:t xml:space="preserve"> requires as follows</w:t>
      </w:r>
      <w:r w:rsidRPr="00EC56DE">
        <w:rPr>
          <w:rFonts w:ascii="Avenir Next" w:hAnsi="Avenir Next" w:cs="Arial"/>
          <w:color w:val="808080" w:themeColor="background1" w:themeShade="80"/>
          <w:sz w:val="22"/>
          <w:szCs w:val="22"/>
          <w:lang w:val="en-GB"/>
        </w:rPr>
        <w:t>:</w:t>
      </w:r>
    </w:p>
    <w:p w14:paraId="426E2695" w14:textId="7A568581" w:rsidR="007E0F5D" w:rsidRPr="00F6590C" w:rsidRDefault="00F6590C" w:rsidP="007E0F5D">
      <w:pPr>
        <w:jc w:val="both"/>
        <w:rPr>
          <w:rFonts w:ascii="Avenir Next" w:hAnsi="Avenir Next" w:cs="Arial"/>
          <w:i/>
          <w:iCs/>
          <w:color w:val="808080" w:themeColor="background1" w:themeShade="80"/>
          <w:sz w:val="22"/>
          <w:szCs w:val="22"/>
          <w:lang w:val="en-GB"/>
        </w:rPr>
      </w:pPr>
      <w:r w:rsidRPr="00F6590C">
        <w:rPr>
          <w:rFonts w:ascii="Avenir Next" w:hAnsi="Avenir Next" w:cs="Arial"/>
          <w:i/>
          <w:iCs/>
          <w:color w:val="808080" w:themeColor="background1" w:themeShade="80"/>
          <w:sz w:val="22"/>
          <w:szCs w:val="22"/>
          <w:lang w:val="en-GB"/>
        </w:rPr>
        <w:t>“</w:t>
      </w:r>
      <w:r w:rsidR="007E0F5D" w:rsidRPr="00F6590C">
        <w:rPr>
          <w:rFonts w:ascii="Avenir Next" w:hAnsi="Avenir Next" w:cs="Arial"/>
          <w:i/>
          <w:iCs/>
          <w:color w:val="808080" w:themeColor="background1" w:themeShade="80"/>
          <w:sz w:val="22"/>
          <w:szCs w:val="22"/>
          <w:lang w:val="en-GB"/>
        </w:rPr>
        <w:t>(b) A petition for recognition shall be accompanied by—</w:t>
      </w:r>
    </w:p>
    <w:p w14:paraId="16CAF6F4" w14:textId="5AEF6F10" w:rsidR="007E0F5D" w:rsidRPr="00F6590C" w:rsidRDefault="007E0F5D" w:rsidP="00F6590C">
      <w:pPr>
        <w:ind w:left="720"/>
        <w:jc w:val="both"/>
        <w:rPr>
          <w:rFonts w:ascii="Avenir Next" w:hAnsi="Avenir Next" w:cs="Arial"/>
          <w:i/>
          <w:iCs/>
          <w:color w:val="808080" w:themeColor="background1" w:themeShade="80"/>
          <w:sz w:val="22"/>
          <w:szCs w:val="22"/>
          <w:lang w:val="en-GB"/>
        </w:rPr>
      </w:pPr>
      <w:r w:rsidRPr="00F6590C">
        <w:rPr>
          <w:rFonts w:ascii="Avenir Next" w:hAnsi="Avenir Next" w:cs="Arial"/>
          <w:i/>
          <w:iCs/>
          <w:color w:val="808080" w:themeColor="background1" w:themeShade="80"/>
          <w:sz w:val="22"/>
          <w:szCs w:val="22"/>
          <w:lang w:val="en-GB"/>
        </w:rPr>
        <w:t xml:space="preserve">(1) a certified copy of the decision commencing such foreign proceeding and appointing the foreign </w:t>
      </w:r>
      <w:proofErr w:type="gramStart"/>
      <w:r w:rsidRPr="00F6590C">
        <w:rPr>
          <w:rFonts w:ascii="Avenir Next" w:hAnsi="Avenir Next" w:cs="Arial"/>
          <w:i/>
          <w:iCs/>
          <w:color w:val="808080" w:themeColor="background1" w:themeShade="80"/>
          <w:sz w:val="22"/>
          <w:szCs w:val="22"/>
          <w:lang w:val="en-GB"/>
        </w:rPr>
        <w:t>representative;</w:t>
      </w:r>
      <w:proofErr w:type="gramEnd"/>
    </w:p>
    <w:p w14:paraId="03709EE6" w14:textId="28442FED" w:rsidR="007E0F5D" w:rsidRPr="00F6590C" w:rsidRDefault="007E0F5D" w:rsidP="00F6590C">
      <w:pPr>
        <w:ind w:left="720"/>
        <w:jc w:val="both"/>
        <w:rPr>
          <w:rFonts w:ascii="Avenir Next" w:hAnsi="Avenir Next" w:cs="Arial"/>
          <w:i/>
          <w:iCs/>
          <w:color w:val="808080" w:themeColor="background1" w:themeShade="80"/>
          <w:sz w:val="22"/>
          <w:szCs w:val="22"/>
          <w:lang w:val="en-GB"/>
        </w:rPr>
      </w:pPr>
      <w:r w:rsidRPr="00F6590C">
        <w:rPr>
          <w:rFonts w:ascii="Avenir Next" w:hAnsi="Avenir Next" w:cs="Arial"/>
          <w:i/>
          <w:iCs/>
          <w:color w:val="808080" w:themeColor="background1" w:themeShade="80"/>
          <w:sz w:val="22"/>
          <w:szCs w:val="22"/>
          <w:lang w:val="en-GB"/>
        </w:rPr>
        <w:t>(2) a certificate from the foreign court affirming the existence of such foreign proceeding and of the appointment of the foreign representative; or</w:t>
      </w:r>
    </w:p>
    <w:p w14:paraId="128C9022" w14:textId="405F6F78" w:rsidR="007E0F5D" w:rsidRPr="00F6590C" w:rsidRDefault="007E0F5D" w:rsidP="00F6590C">
      <w:pPr>
        <w:ind w:left="720"/>
        <w:jc w:val="both"/>
        <w:rPr>
          <w:rFonts w:ascii="Avenir Next" w:hAnsi="Avenir Next" w:cs="Arial"/>
          <w:i/>
          <w:iCs/>
          <w:color w:val="808080" w:themeColor="background1" w:themeShade="80"/>
          <w:sz w:val="22"/>
          <w:szCs w:val="22"/>
          <w:lang w:val="en-GB"/>
        </w:rPr>
      </w:pPr>
      <w:r w:rsidRPr="00F6590C">
        <w:rPr>
          <w:rFonts w:ascii="Avenir Next" w:hAnsi="Avenir Next" w:cs="Arial"/>
          <w:i/>
          <w:iCs/>
          <w:color w:val="808080" w:themeColor="background1" w:themeShade="80"/>
          <w:sz w:val="22"/>
          <w:szCs w:val="22"/>
          <w:lang w:val="en-GB"/>
        </w:rPr>
        <w:t>(3) in the absence of evidence referred to in paragraphs (1) and (2), any other evidence acceptable to the court of the existence of such foreign proceeding and of the appointment of the foreign representative.</w:t>
      </w:r>
    </w:p>
    <w:p w14:paraId="35823322" w14:textId="5B23229E" w:rsidR="007E0F5D" w:rsidRPr="00F6590C" w:rsidRDefault="007E0F5D" w:rsidP="007E0F5D">
      <w:pPr>
        <w:jc w:val="both"/>
        <w:rPr>
          <w:rFonts w:ascii="Avenir Next" w:hAnsi="Avenir Next" w:cs="Arial"/>
          <w:i/>
          <w:iCs/>
          <w:color w:val="808080" w:themeColor="background1" w:themeShade="80"/>
          <w:sz w:val="22"/>
          <w:szCs w:val="22"/>
          <w:lang w:val="en-GB"/>
        </w:rPr>
      </w:pPr>
      <w:r w:rsidRPr="00F6590C">
        <w:rPr>
          <w:rFonts w:ascii="Avenir Next" w:hAnsi="Avenir Next" w:cs="Arial"/>
          <w:i/>
          <w:iCs/>
          <w:color w:val="808080" w:themeColor="background1" w:themeShade="80"/>
          <w:sz w:val="22"/>
          <w:szCs w:val="22"/>
          <w:lang w:val="en-GB"/>
        </w:rPr>
        <w:t>(c) A petition for recognition shall also be accompanied by a statement identifying all foreign proceedings with respect to the debtor that are known to the foreign representative.</w:t>
      </w:r>
    </w:p>
    <w:p w14:paraId="7D91134F" w14:textId="337FF216" w:rsidR="000707B5" w:rsidRPr="00F6590C" w:rsidRDefault="007E0F5D" w:rsidP="007E0F5D">
      <w:pPr>
        <w:jc w:val="both"/>
        <w:rPr>
          <w:rFonts w:ascii="Avenir Next" w:hAnsi="Avenir Next" w:cs="Arial"/>
          <w:i/>
          <w:iCs/>
          <w:color w:val="808080" w:themeColor="background1" w:themeShade="80"/>
          <w:sz w:val="22"/>
          <w:szCs w:val="22"/>
          <w:lang w:val="en-GB"/>
        </w:rPr>
      </w:pPr>
      <w:r w:rsidRPr="00F6590C">
        <w:rPr>
          <w:rFonts w:ascii="Avenir Next" w:hAnsi="Avenir Next" w:cs="Arial"/>
          <w:i/>
          <w:iCs/>
          <w:color w:val="808080" w:themeColor="background1" w:themeShade="80"/>
          <w:sz w:val="22"/>
          <w:szCs w:val="22"/>
          <w:lang w:val="en-GB"/>
        </w:rPr>
        <w:t>(d) The documents referred to in paragraphs (1) and (2) of subsection (b) shall be translated into English. The court may require a translation into English of additional documents.</w:t>
      </w:r>
      <w:r w:rsidR="00F6590C" w:rsidRPr="00F6590C">
        <w:rPr>
          <w:rFonts w:ascii="Avenir Next" w:hAnsi="Avenir Next" w:cs="Arial"/>
          <w:i/>
          <w:iCs/>
          <w:color w:val="808080" w:themeColor="background1" w:themeShade="80"/>
          <w:sz w:val="22"/>
          <w:szCs w:val="22"/>
          <w:lang w:val="en-GB"/>
        </w:rPr>
        <w:t>”</w:t>
      </w:r>
    </w:p>
    <w:p w14:paraId="192C7F7A" w14:textId="77777777" w:rsidR="007E0F5D" w:rsidRDefault="007E0F5D" w:rsidP="007E0F5D">
      <w:pPr>
        <w:jc w:val="both"/>
        <w:rPr>
          <w:rFonts w:ascii="Avenir Next" w:hAnsi="Avenir Next" w:cs="Arial"/>
          <w:color w:val="808080" w:themeColor="background1" w:themeShade="80"/>
          <w:sz w:val="22"/>
          <w:szCs w:val="22"/>
          <w:lang w:val="en-GB"/>
        </w:rPr>
      </w:pPr>
    </w:p>
    <w:p w14:paraId="2CBBCD00" w14:textId="77777777" w:rsidR="00671828" w:rsidRDefault="00671828" w:rsidP="000707B5">
      <w:pPr>
        <w:jc w:val="both"/>
        <w:rPr>
          <w:rFonts w:ascii="Avenir Next" w:hAnsi="Avenir Next" w:cs="Arial"/>
          <w:b/>
          <w:bCs/>
          <w:color w:val="808080" w:themeColor="background1" w:themeShade="80"/>
          <w:sz w:val="22"/>
          <w:szCs w:val="22"/>
          <w:lang w:val="en-GB"/>
        </w:rPr>
      </w:pPr>
    </w:p>
    <w:p w14:paraId="0BAAA405" w14:textId="77777777" w:rsidR="00671828" w:rsidRDefault="00671828" w:rsidP="000707B5">
      <w:pPr>
        <w:jc w:val="both"/>
        <w:rPr>
          <w:rFonts w:ascii="Avenir Next" w:hAnsi="Avenir Next" w:cs="Arial"/>
          <w:b/>
          <w:bCs/>
          <w:color w:val="808080" w:themeColor="background1" w:themeShade="80"/>
          <w:sz w:val="22"/>
          <w:szCs w:val="22"/>
          <w:lang w:val="en-GB"/>
        </w:rPr>
      </w:pPr>
    </w:p>
    <w:p w14:paraId="73601675" w14:textId="3BB436E4" w:rsidR="00671828" w:rsidRPr="00671828" w:rsidRDefault="00671828" w:rsidP="000707B5">
      <w:pPr>
        <w:jc w:val="both"/>
        <w:rPr>
          <w:rFonts w:ascii="Avenir Next" w:hAnsi="Avenir Next" w:cs="Arial"/>
          <w:b/>
          <w:bCs/>
          <w:color w:val="808080" w:themeColor="background1" w:themeShade="80"/>
          <w:sz w:val="22"/>
          <w:szCs w:val="22"/>
          <w:lang w:val="en-GB"/>
        </w:rPr>
      </w:pPr>
      <w:r w:rsidRPr="00671828">
        <w:rPr>
          <w:rFonts w:ascii="Avenir Next" w:hAnsi="Avenir Next" w:cs="Arial"/>
          <w:b/>
          <w:bCs/>
          <w:color w:val="808080" w:themeColor="background1" w:themeShade="80"/>
          <w:sz w:val="22"/>
          <w:szCs w:val="22"/>
          <w:lang w:val="en-GB"/>
        </w:rPr>
        <w:lastRenderedPageBreak/>
        <w:t xml:space="preserve">Further discussion </w:t>
      </w:r>
    </w:p>
    <w:p w14:paraId="295AA9A3" w14:textId="77777777" w:rsidR="00671828" w:rsidRDefault="00671828" w:rsidP="000707B5">
      <w:pPr>
        <w:jc w:val="both"/>
        <w:rPr>
          <w:rFonts w:ascii="Avenir Next" w:hAnsi="Avenir Next" w:cs="Arial"/>
          <w:color w:val="808080" w:themeColor="background1" w:themeShade="80"/>
          <w:sz w:val="22"/>
          <w:szCs w:val="22"/>
          <w:lang w:val="en-GB"/>
        </w:rPr>
      </w:pPr>
    </w:p>
    <w:p w14:paraId="5A0AC1A6" w14:textId="7F6C28A4" w:rsidR="000707B5" w:rsidRPr="000707B5" w:rsidRDefault="000707B5" w:rsidP="000707B5">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The following may be beyond what this question is looking for in terms of a response, however I note that the facts contain a lot of detail about the terms of the Scheme, including voting / class of creditors, i.e. “</w:t>
      </w:r>
      <w:r w:rsidRPr="00BD6B67">
        <w:rPr>
          <w:rFonts w:ascii="Avenir Next" w:hAnsi="Avenir Next" w:cs="Arial"/>
          <w:i/>
          <w:iCs/>
          <w:color w:val="808080" w:themeColor="background1" w:themeShade="80"/>
          <w:sz w:val="22"/>
          <w:szCs w:val="22"/>
          <w:lang w:val="en-GB"/>
        </w:rPr>
        <w:t>to extend the maturity of the Notes and obtain the flexibility to pay the quarterly interest “in kind””; “57% of the Noteholders acceded to the… RSA</w:t>
      </w:r>
      <w:r w:rsidRPr="000707B5">
        <w:rPr>
          <w:rFonts w:ascii="Avenir Next" w:hAnsi="Avenir Next" w:cs="Arial"/>
          <w:color w:val="808080" w:themeColor="background1" w:themeShade="80"/>
          <w:sz w:val="22"/>
          <w:szCs w:val="22"/>
          <w:lang w:val="en-GB"/>
        </w:rPr>
        <w:t>”; the largest Noteholders expected that the restructuring would take place in Cayman and this was recorded in the RSA; “</w:t>
      </w:r>
      <w:r w:rsidRPr="00BD6B67">
        <w:rPr>
          <w:rFonts w:ascii="Avenir Next" w:hAnsi="Avenir Next" w:cs="Arial"/>
          <w:i/>
          <w:iCs/>
          <w:color w:val="808080" w:themeColor="background1" w:themeShade="80"/>
          <w:sz w:val="22"/>
          <w:szCs w:val="22"/>
          <w:lang w:val="en-GB"/>
        </w:rPr>
        <w:t xml:space="preserve">the Scheme was overwhelmingly supported by the Noteholders, with 91.83% in number and 99.34% in value voting in </w:t>
      </w:r>
      <w:proofErr w:type="spellStart"/>
      <w:r w:rsidRPr="00BD6B67">
        <w:rPr>
          <w:rFonts w:ascii="Avenir Next" w:hAnsi="Avenir Next" w:cs="Arial"/>
          <w:i/>
          <w:iCs/>
          <w:color w:val="808080" w:themeColor="background1" w:themeShade="80"/>
          <w:sz w:val="22"/>
          <w:szCs w:val="22"/>
          <w:lang w:val="en-GB"/>
        </w:rPr>
        <w:t>favor</w:t>
      </w:r>
      <w:proofErr w:type="spellEnd"/>
      <w:r w:rsidRPr="00BD6B67">
        <w:rPr>
          <w:rFonts w:ascii="Avenir Next" w:hAnsi="Avenir Next" w:cs="Arial"/>
          <w:i/>
          <w:iCs/>
          <w:color w:val="808080" w:themeColor="background1" w:themeShade="80"/>
          <w:sz w:val="22"/>
          <w:szCs w:val="22"/>
          <w:lang w:val="en-GB"/>
        </w:rPr>
        <w:t xml:space="preserve"> of the Scheme</w:t>
      </w:r>
      <w:r w:rsidRPr="000707B5">
        <w:rPr>
          <w:rFonts w:ascii="Avenir Next" w:hAnsi="Avenir Next" w:cs="Arial"/>
          <w:color w:val="808080" w:themeColor="background1" w:themeShade="80"/>
          <w:sz w:val="22"/>
          <w:szCs w:val="22"/>
          <w:lang w:val="en-GB"/>
        </w:rPr>
        <w:t>”; “</w:t>
      </w:r>
      <w:r w:rsidRPr="00BD6B67">
        <w:rPr>
          <w:rFonts w:ascii="Avenir Next" w:hAnsi="Avenir Next" w:cs="Arial"/>
          <w:i/>
          <w:iCs/>
          <w:color w:val="808080" w:themeColor="background1" w:themeShade="80"/>
          <w:sz w:val="22"/>
          <w:szCs w:val="22"/>
          <w:lang w:val="en-GB"/>
        </w:rPr>
        <w:t>the Cayman Court entered a convening order (the Convening Order) on the papers</w:t>
      </w:r>
      <w:r w:rsidRPr="000707B5">
        <w:rPr>
          <w:rFonts w:ascii="Avenir Next" w:hAnsi="Avenir Next" w:cs="Arial"/>
          <w:color w:val="808080" w:themeColor="background1" w:themeShade="80"/>
          <w:sz w:val="22"/>
          <w:szCs w:val="22"/>
          <w:lang w:val="en-GB"/>
        </w:rPr>
        <w:t>”.</w:t>
      </w:r>
    </w:p>
    <w:p w14:paraId="194EABD9" w14:textId="77777777" w:rsidR="000707B5" w:rsidRDefault="000707B5" w:rsidP="000707B5">
      <w:pPr>
        <w:jc w:val="both"/>
        <w:rPr>
          <w:rFonts w:ascii="Avenir Next" w:hAnsi="Avenir Next" w:cs="Arial"/>
          <w:color w:val="808080" w:themeColor="background1" w:themeShade="80"/>
          <w:sz w:val="22"/>
          <w:szCs w:val="22"/>
          <w:lang w:val="en-GB"/>
        </w:rPr>
      </w:pPr>
    </w:p>
    <w:p w14:paraId="69B3D0EC" w14:textId="467889E3" w:rsidR="000707B5" w:rsidRPr="000707B5" w:rsidRDefault="000707B5" w:rsidP="000707B5">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These facts raise a few questions, which I would advise GH are considered further (as follows):</w:t>
      </w:r>
    </w:p>
    <w:p w14:paraId="178BDEDB" w14:textId="77777777" w:rsidR="000707B5" w:rsidRDefault="000707B5" w:rsidP="000707B5">
      <w:pPr>
        <w:jc w:val="both"/>
        <w:rPr>
          <w:rFonts w:ascii="Avenir Next" w:hAnsi="Avenir Next" w:cs="Arial"/>
          <w:color w:val="808080" w:themeColor="background1" w:themeShade="80"/>
          <w:sz w:val="22"/>
          <w:szCs w:val="22"/>
          <w:lang w:val="en-GB"/>
        </w:rPr>
      </w:pPr>
    </w:p>
    <w:p w14:paraId="15A77B60" w14:textId="77777777" w:rsidR="000707B5" w:rsidRDefault="000707B5" w:rsidP="000707B5">
      <w:pPr>
        <w:pStyle w:val="ListParagraph"/>
        <w:numPr>
          <w:ilvl w:val="0"/>
          <w:numId w:val="20"/>
        </w:num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 xml:space="preserve">A simple majority (57%) of Noteholders acceded to the terms of the RSA (which was implemented by way of the Sanction Order). It is not clear whether the 91% / 99% of Noteholders who supported the Scheme is 91/99% of the 57% or of 100% of the Noteholders. Accordingly, it may be the case that 43% of the Noteholders were effectively crammed down into the RSA / the Scheme. </w:t>
      </w:r>
    </w:p>
    <w:p w14:paraId="7F94FD07" w14:textId="77777777" w:rsidR="000707B5" w:rsidRDefault="000707B5" w:rsidP="000707B5">
      <w:pPr>
        <w:pStyle w:val="ListParagraph"/>
        <w:numPr>
          <w:ilvl w:val="0"/>
          <w:numId w:val="20"/>
        </w:num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The terms of the RSA affect the Noteholders’ rights (extension of maturity and payment “</w:t>
      </w:r>
      <w:r w:rsidRPr="00BD6B67">
        <w:rPr>
          <w:rFonts w:ascii="Avenir Next" w:hAnsi="Avenir Next" w:cs="Arial"/>
          <w:i/>
          <w:iCs/>
          <w:color w:val="808080" w:themeColor="background1" w:themeShade="80"/>
          <w:sz w:val="22"/>
          <w:szCs w:val="22"/>
          <w:lang w:val="en-GB"/>
        </w:rPr>
        <w:t>in kind</w:t>
      </w:r>
      <w:r w:rsidRPr="000707B5">
        <w:rPr>
          <w:rFonts w:ascii="Avenir Next" w:hAnsi="Avenir Next" w:cs="Arial"/>
          <w:color w:val="808080" w:themeColor="background1" w:themeShade="80"/>
          <w:sz w:val="22"/>
          <w:szCs w:val="22"/>
          <w:lang w:val="en-GB"/>
        </w:rPr>
        <w:t>”).</w:t>
      </w:r>
    </w:p>
    <w:p w14:paraId="6486567E" w14:textId="42F9AE00" w:rsidR="000707B5" w:rsidRPr="000707B5" w:rsidRDefault="000707B5" w:rsidP="000707B5">
      <w:pPr>
        <w:pStyle w:val="ListParagraph"/>
        <w:numPr>
          <w:ilvl w:val="0"/>
          <w:numId w:val="20"/>
        </w:num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 xml:space="preserve">The Convening Order was issued on the papers, i.e. without a hearing. </w:t>
      </w:r>
    </w:p>
    <w:p w14:paraId="73EEE533" w14:textId="77777777" w:rsidR="000707B5" w:rsidRDefault="000707B5" w:rsidP="000707B5">
      <w:pPr>
        <w:jc w:val="both"/>
        <w:rPr>
          <w:rFonts w:ascii="Avenir Next" w:hAnsi="Avenir Next" w:cs="Arial"/>
          <w:color w:val="808080" w:themeColor="background1" w:themeShade="80"/>
          <w:sz w:val="22"/>
          <w:szCs w:val="22"/>
          <w:lang w:val="en-GB"/>
        </w:rPr>
      </w:pPr>
    </w:p>
    <w:p w14:paraId="30D7E6F9" w14:textId="4B08171E" w:rsidR="009E3CA7" w:rsidRPr="000707B5" w:rsidRDefault="000707B5" w:rsidP="009E3CA7">
      <w:pPr>
        <w:jc w:val="both"/>
        <w:rPr>
          <w:rFonts w:ascii="Avenir Next" w:hAnsi="Avenir Next" w:cs="Arial"/>
          <w:color w:val="808080" w:themeColor="background1" w:themeShade="80"/>
          <w:sz w:val="22"/>
          <w:szCs w:val="22"/>
          <w:lang w:val="en-GB"/>
        </w:rPr>
      </w:pPr>
      <w:r w:rsidRPr="000707B5">
        <w:rPr>
          <w:rFonts w:ascii="Avenir Next" w:hAnsi="Avenir Next" w:cs="Arial"/>
          <w:color w:val="808080" w:themeColor="background1" w:themeShade="80"/>
          <w:sz w:val="22"/>
          <w:szCs w:val="22"/>
          <w:lang w:val="en-GB"/>
        </w:rPr>
        <w:t>Although I note that the Notes are US law governed and according to an article by Baker &amp; Partners, “</w:t>
      </w:r>
      <w:r w:rsidRPr="000707B5">
        <w:rPr>
          <w:rFonts w:ascii="Avenir Next" w:hAnsi="Avenir Next" w:cs="Arial"/>
          <w:i/>
          <w:iCs/>
          <w:color w:val="808080" w:themeColor="background1" w:themeShade="80"/>
          <w:sz w:val="22"/>
          <w:szCs w:val="22"/>
          <w:lang w:val="en-GB"/>
        </w:rPr>
        <w:t>Since the amendments [to Part V of the Companies Act (2022 Revision)] enhance the current restructuring regime, we do not expect that the new regime will alter the ability to compromise U.S. law-governed debt through a Cayman Islands scheme of arrangement and chapter 15 recognition, which Bankruptcy Judge Martin Glenn recently reaffirmed in In re Modern Land (China) Co. Ltd</w:t>
      </w:r>
      <w:r w:rsidRPr="000707B5">
        <w:rPr>
          <w:rFonts w:ascii="Avenir Next" w:hAnsi="Avenir Next" w:cs="Arial"/>
          <w:color w:val="808080" w:themeColor="background1" w:themeShade="80"/>
          <w:sz w:val="22"/>
          <w:szCs w:val="22"/>
          <w:lang w:val="en-GB"/>
        </w:rPr>
        <w:t>”</w:t>
      </w:r>
      <w:r w:rsidRPr="000707B5">
        <w:rPr>
          <w:rFonts w:ascii="Avenir Next" w:hAnsi="Avenir Next" w:cs="Arial"/>
          <w:color w:val="808080" w:themeColor="background1" w:themeShade="80"/>
          <w:sz w:val="16"/>
          <w:szCs w:val="16"/>
          <w:lang w:val="en-GB"/>
        </w:rPr>
        <w:footnoteReference w:id="3"/>
      </w:r>
      <w:r w:rsidRPr="000707B5">
        <w:rPr>
          <w:rFonts w:ascii="Avenir Next" w:hAnsi="Avenir Next" w:cs="Arial"/>
          <w:color w:val="808080" w:themeColor="background1" w:themeShade="80"/>
          <w:sz w:val="22"/>
          <w:szCs w:val="22"/>
          <w:lang w:val="en-GB"/>
        </w:rPr>
        <w:t xml:space="preserve"> which indicates that the Notes are capable of compromise through the Scheme and Chapter 15 recognition.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189F8A64" w14:textId="541ECB06" w:rsidR="00E2622D" w:rsidRPr="00E2622D" w:rsidRDefault="009B0723">
      <w:pPr>
        <w:rPr>
          <w:rFonts w:ascii="Avenir Next" w:hAnsi="Avenir Next" w:cs="Arial"/>
          <w:sz w:val="22"/>
          <w:szCs w:val="22"/>
          <w:lang w:val="en-GB"/>
        </w:rPr>
      </w:pPr>
      <w:r w:rsidRPr="00E2622D">
        <w:rPr>
          <w:rFonts w:ascii="Avenir Next" w:hAnsi="Avenir Next" w:cs="Arial"/>
          <w:sz w:val="22"/>
          <w:szCs w:val="22"/>
          <w:lang w:val="en-GB"/>
        </w:rPr>
        <w:t xml:space="preserve"> </w:t>
      </w:r>
    </w:p>
    <w:sectPr w:rsidR="00E2622D" w:rsidRPr="00E2622D" w:rsidSect="00DD6035">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9917" w14:textId="77777777" w:rsidR="00DD6035" w:rsidRDefault="00DD6035" w:rsidP="00241B44">
      <w:r>
        <w:separator/>
      </w:r>
    </w:p>
  </w:endnote>
  <w:endnote w:type="continuationSeparator" w:id="0">
    <w:p w14:paraId="41CE47DD" w14:textId="77777777" w:rsidR="00DD6035" w:rsidRDefault="00DD603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5D4143F" w:rsidR="000300E0" w:rsidRPr="00B46CE2" w:rsidRDefault="00A511EE" w:rsidP="000300E0">
    <w:pPr>
      <w:pStyle w:val="Footer"/>
      <w:ind w:right="360"/>
      <w:rPr>
        <w:rFonts w:ascii="Avenir Next" w:hAnsi="Avenir Next"/>
        <w:sz w:val="22"/>
        <w:szCs w:val="22"/>
      </w:rPr>
    </w:pPr>
    <w:r w:rsidRPr="00A511EE">
      <w:rPr>
        <w:sz w:val="24"/>
      </w:rPr>
      <w:t>FC202324-1373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B956" w14:textId="77777777" w:rsidR="00DD6035" w:rsidRDefault="00DD6035" w:rsidP="00241B44">
      <w:r>
        <w:separator/>
      </w:r>
    </w:p>
  </w:footnote>
  <w:footnote w:type="continuationSeparator" w:id="0">
    <w:p w14:paraId="5B7CA30E" w14:textId="77777777" w:rsidR="00DD6035" w:rsidRDefault="00DD6035" w:rsidP="00241B44">
      <w:r>
        <w:continuationSeparator/>
      </w:r>
    </w:p>
  </w:footnote>
  <w:footnote w:id="1">
    <w:p w14:paraId="71D79D05" w14:textId="77777777" w:rsidR="000707B5" w:rsidRDefault="000707B5" w:rsidP="000707B5">
      <w:pPr>
        <w:pStyle w:val="FootnoteText"/>
      </w:pPr>
      <w:r>
        <w:rPr>
          <w:rStyle w:val="FootnoteReference"/>
        </w:rPr>
        <w:footnoteRef/>
      </w:r>
      <w:r>
        <w:t xml:space="preserve"> Americas Restructuring Review 2022,</w:t>
      </w:r>
      <w:r w:rsidRPr="00EE56B4">
        <w:t xml:space="preserve"> </w:t>
      </w:r>
      <w:r>
        <w:t>Edited by Richard J Cooper and Lisa M Schweitzer</w:t>
      </w:r>
      <w:r w:rsidRPr="00EE56B4">
        <w:t xml:space="preserve"> </w:t>
      </w:r>
      <w:hyperlink r:id="rId1" w:history="1">
        <w:r w:rsidRPr="00EB1BFB">
          <w:rPr>
            <w:rStyle w:val="Hyperlink"/>
          </w:rPr>
          <w:t>https://www.campbellslegal.com/wp-content/uploads/2021/12/Cayman-Islands-chapter-Americas-Restructuring-Review-2022.pdf</w:t>
        </w:r>
      </w:hyperlink>
      <w:r>
        <w:t xml:space="preserve"> (accessed on 19 February 2024)</w:t>
      </w:r>
    </w:p>
  </w:footnote>
  <w:footnote w:id="2">
    <w:p w14:paraId="3B23D7F1" w14:textId="77777777" w:rsidR="009D06A3" w:rsidRDefault="009D06A3" w:rsidP="009D06A3">
      <w:pPr>
        <w:pStyle w:val="FootnoteText"/>
      </w:pPr>
      <w:r>
        <w:rPr>
          <w:rStyle w:val="FootnoteReference"/>
        </w:rPr>
        <w:footnoteRef/>
      </w:r>
      <w:r>
        <w:t xml:space="preserve"> Overview of the key Chapter 15 decisions in 2019, James A. Copeland and Francisco Vazquez</w:t>
      </w:r>
      <w:r w:rsidRPr="00E50E5C">
        <w:t xml:space="preserve"> </w:t>
      </w:r>
      <w:hyperlink r:id="rId2" w:history="1">
        <w:r w:rsidRPr="00EB1BFB">
          <w:rPr>
            <w:rStyle w:val="Hyperlink"/>
          </w:rPr>
          <w:t>https://www.nortonrosefulbright.com/en/knowledge/publications/8020ddf9/irnw-us</w:t>
        </w:r>
      </w:hyperlink>
      <w:r>
        <w:t xml:space="preserve"> (accessed 19 February 2024)</w:t>
      </w:r>
    </w:p>
  </w:footnote>
  <w:footnote w:id="3">
    <w:p w14:paraId="2E802DFA" w14:textId="77777777" w:rsidR="000707B5" w:rsidRDefault="000707B5" w:rsidP="000707B5">
      <w:pPr>
        <w:pStyle w:val="FootnoteText"/>
      </w:pPr>
      <w:r>
        <w:rPr>
          <w:rStyle w:val="FootnoteReference"/>
        </w:rPr>
        <w:footnoteRef/>
      </w:r>
      <w:r>
        <w:t xml:space="preserve"> </w:t>
      </w:r>
      <w:r w:rsidRPr="00642F0D">
        <w:t>Introduction of a New Restructuring Regime in the Cayman Islands</w:t>
      </w:r>
      <w:r>
        <w:t xml:space="preserve">, 12 September 2022, </w:t>
      </w:r>
      <w:r w:rsidRPr="00642F0D">
        <w:t>Adam Crane</w:t>
      </w:r>
      <w:r>
        <w:t xml:space="preserve"> </w:t>
      </w:r>
      <w:r w:rsidRPr="00642F0D">
        <w:t>and Nicosia Lawson</w:t>
      </w:r>
      <w:r>
        <w:t xml:space="preserve"> </w:t>
      </w:r>
      <w:hyperlink r:id="rId3" w:history="1">
        <w:r w:rsidRPr="00EB1BFB">
          <w:rPr>
            <w:rStyle w:val="Hyperlink"/>
          </w:rPr>
          <w:t>https://www.bakerandpartners.com/briefings-articles/introduction-of-a-new-restructuring-regime-in-the-cayman-islands/</w:t>
        </w:r>
      </w:hyperlink>
      <w:r>
        <w:t xml:space="preserve"> (accessed 19 February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4A1C5E"/>
    <w:multiLevelType w:val="hybridMultilevel"/>
    <w:tmpl w:val="5AD03CFA"/>
    <w:lvl w:ilvl="0" w:tplc="BBE2400E">
      <w:start w:val="1"/>
      <w:numFmt w:val="upperLetter"/>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067BD8"/>
    <w:multiLevelType w:val="hybridMultilevel"/>
    <w:tmpl w:val="FF78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6296F5A"/>
    <w:multiLevelType w:val="hybridMultilevel"/>
    <w:tmpl w:val="1908B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BC36B6"/>
    <w:multiLevelType w:val="hybridMultilevel"/>
    <w:tmpl w:val="E514BDF6"/>
    <w:lvl w:ilvl="0" w:tplc="2786B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7"/>
  </w:num>
  <w:num w:numId="3" w16cid:durableId="970591766">
    <w:abstractNumId w:val="3"/>
  </w:num>
  <w:num w:numId="4" w16cid:durableId="1327175081">
    <w:abstractNumId w:val="20"/>
  </w:num>
  <w:num w:numId="5" w16cid:durableId="998270126">
    <w:abstractNumId w:val="19"/>
  </w:num>
  <w:num w:numId="6" w16cid:durableId="657656171">
    <w:abstractNumId w:val="17"/>
  </w:num>
  <w:num w:numId="7" w16cid:durableId="1116829249">
    <w:abstractNumId w:val="5"/>
  </w:num>
  <w:num w:numId="8" w16cid:durableId="1055274873">
    <w:abstractNumId w:val="6"/>
  </w:num>
  <w:num w:numId="9" w16cid:durableId="790785319">
    <w:abstractNumId w:val="12"/>
  </w:num>
  <w:num w:numId="10" w16cid:durableId="59720369">
    <w:abstractNumId w:val="11"/>
  </w:num>
  <w:num w:numId="11" w16cid:durableId="1379276728">
    <w:abstractNumId w:val="4"/>
  </w:num>
  <w:num w:numId="12" w16cid:durableId="921179279">
    <w:abstractNumId w:val="9"/>
  </w:num>
  <w:num w:numId="13" w16cid:durableId="1060514793">
    <w:abstractNumId w:val="10"/>
  </w:num>
  <w:num w:numId="14" w16cid:durableId="64230155">
    <w:abstractNumId w:val="2"/>
  </w:num>
  <w:num w:numId="15" w16cid:durableId="1681084025">
    <w:abstractNumId w:val="0"/>
  </w:num>
  <w:num w:numId="16" w16cid:durableId="1275090443">
    <w:abstractNumId w:val="8"/>
  </w:num>
  <w:num w:numId="17" w16cid:durableId="269969236">
    <w:abstractNumId w:val="15"/>
  </w:num>
  <w:num w:numId="18" w16cid:durableId="1153839667">
    <w:abstractNumId w:val="18"/>
  </w:num>
  <w:num w:numId="19" w16cid:durableId="40713980">
    <w:abstractNumId w:val="13"/>
  </w:num>
  <w:num w:numId="20" w16cid:durableId="204607291">
    <w:abstractNumId w:val="16"/>
  </w:num>
  <w:num w:numId="21" w16cid:durableId="46458890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AA4"/>
    <w:rsid w:val="00001642"/>
    <w:rsid w:val="00001E0C"/>
    <w:rsid w:val="000077DD"/>
    <w:rsid w:val="00010BA0"/>
    <w:rsid w:val="00011778"/>
    <w:rsid w:val="000128CA"/>
    <w:rsid w:val="0001365B"/>
    <w:rsid w:val="00020557"/>
    <w:rsid w:val="000232A1"/>
    <w:rsid w:val="000250C7"/>
    <w:rsid w:val="00025871"/>
    <w:rsid w:val="00025CCF"/>
    <w:rsid w:val="000300E0"/>
    <w:rsid w:val="0003114A"/>
    <w:rsid w:val="000352C1"/>
    <w:rsid w:val="0003619C"/>
    <w:rsid w:val="0003743B"/>
    <w:rsid w:val="00037621"/>
    <w:rsid w:val="00041B38"/>
    <w:rsid w:val="00044D46"/>
    <w:rsid w:val="00045088"/>
    <w:rsid w:val="00045904"/>
    <w:rsid w:val="000464F7"/>
    <w:rsid w:val="0005141D"/>
    <w:rsid w:val="000546C9"/>
    <w:rsid w:val="00060E02"/>
    <w:rsid w:val="00062951"/>
    <w:rsid w:val="0006407C"/>
    <w:rsid w:val="00065166"/>
    <w:rsid w:val="00067A88"/>
    <w:rsid w:val="000707B5"/>
    <w:rsid w:val="00070B92"/>
    <w:rsid w:val="00072484"/>
    <w:rsid w:val="00073474"/>
    <w:rsid w:val="00077D49"/>
    <w:rsid w:val="00081A9C"/>
    <w:rsid w:val="00082609"/>
    <w:rsid w:val="00083B38"/>
    <w:rsid w:val="000842BD"/>
    <w:rsid w:val="000851CC"/>
    <w:rsid w:val="000879FB"/>
    <w:rsid w:val="0009282F"/>
    <w:rsid w:val="00093BE8"/>
    <w:rsid w:val="000A68ED"/>
    <w:rsid w:val="000A7B8D"/>
    <w:rsid w:val="000B4FEB"/>
    <w:rsid w:val="000B5FF1"/>
    <w:rsid w:val="000B609F"/>
    <w:rsid w:val="000C147F"/>
    <w:rsid w:val="000C461E"/>
    <w:rsid w:val="000C68F8"/>
    <w:rsid w:val="000C6BB9"/>
    <w:rsid w:val="000D0164"/>
    <w:rsid w:val="000D32A9"/>
    <w:rsid w:val="000D55A8"/>
    <w:rsid w:val="000E1D20"/>
    <w:rsid w:val="000E4841"/>
    <w:rsid w:val="000E4F04"/>
    <w:rsid w:val="000E6325"/>
    <w:rsid w:val="000F1677"/>
    <w:rsid w:val="000F3D6C"/>
    <w:rsid w:val="000F579C"/>
    <w:rsid w:val="000F6FF4"/>
    <w:rsid w:val="000F7EFC"/>
    <w:rsid w:val="00100E8F"/>
    <w:rsid w:val="00101707"/>
    <w:rsid w:val="00101A9E"/>
    <w:rsid w:val="00114082"/>
    <w:rsid w:val="0011473D"/>
    <w:rsid w:val="00115C85"/>
    <w:rsid w:val="00123855"/>
    <w:rsid w:val="00126A4D"/>
    <w:rsid w:val="00126E19"/>
    <w:rsid w:val="0013451E"/>
    <w:rsid w:val="0013639C"/>
    <w:rsid w:val="001374D8"/>
    <w:rsid w:val="00137ACD"/>
    <w:rsid w:val="00140E0A"/>
    <w:rsid w:val="0014171F"/>
    <w:rsid w:val="0014622C"/>
    <w:rsid w:val="00151F58"/>
    <w:rsid w:val="00152348"/>
    <w:rsid w:val="00152845"/>
    <w:rsid w:val="0015456D"/>
    <w:rsid w:val="0015549B"/>
    <w:rsid w:val="00155FA2"/>
    <w:rsid w:val="001578CB"/>
    <w:rsid w:val="001603F0"/>
    <w:rsid w:val="00161F1B"/>
    <w:rsid w:val="00162829"/>
    <w:rsid w:val="00166383"/>
    <w:rsid w:val="001672E0"/>
    <w:rsid w:val="00167C32"/>
    <w:rsid w:val="00167E46"/>
    <w:rsid w:val="0017211E"/>
    <w:rsid w:val="0017257C"/>
    <w:rsid w:val="00173710"/>
    <w:rsid w:val="00176079"/>
    <w:rsid w:val="0017652E"/>
    <w:rsid w:val="00180548"/>
    <w:rsid w:val="00180AC4"/>
    <w:rsid w:val="00180CCE"/>
    <w:rsid w:val="00182648"/>
    <w:rsid w:val="0018267A"/>
    <w:rsid w:val="00182779"/>
    <w:rsid w:val="001830DF"/>
    <w:rsid w:val="00190FD2"/>
    <w:rsid w:val="00191690"/>
    <w:rsid w:val="00194DD8"/>
    <w:rsid w:val="001966D9"/>
    <w:rsid w:val="00197BBE"/>
    <w:rsid w:val="001A0EB3"/>
    <w:rsid w:val="001A24E7"/>
    <w:rsid w:val="001A2B78"/>
    <w:rsid w:val="001A5710"/>
    <w:rsid w:val="001A7E9A"/>
    <w:rsid w:val="001B0F70"/>
    <w:rsid w:val="001B5016"/>
    <w:rsid w:val="001B65DE"/>
    <w:rsid w:val="001C0188"/>
    <w:rsid w:val="001C2801"/>
    <w:rsid w:val="001C45FC"/>
    <w:rsid w:val="001D02C5"/>
    <w:rsid w:val="001D4862"/>
    <w:rsid w:val="001E25B9"/>
    <w:rsid w:val="001E49E0"/>
    <w:rsid w:val="001E60C3"/>
    <w:rsid w:val="001E7B5A"/>
    <w:rsid w:val="001F0448"/>
    <w:rsid w:val="001F501E"/>
    <w:rsid w:val="001F7412"/>
    <w:rsid w:val="00200FDD"/>
    <w:rsid w:val="00201874"/>
    <w:rsid w:val="00202133"/>
    <w:rsid w:val="0020264E"/>
    <w:rsid w:val="00203614"/>
    <w:rsid w:val="00206C87"/>
    <w:rsid w:val="0020725B"/>
    <w:rsid w:val="00207C7E"/>
    <w:rsid w:val="002175BA"/>
    <w:rsid w:val="0022599E"/>
    <w:rsid w:val="00227C5E"/>
    <w:rsid w:val="002305E8"/>
    <w:rsid w:val="0023198D"/>
    <w:rsid w:val="0023317E"/>
    <w:rsid w:val="00234F2C"/>
    <w:rsid w:val="00237042"/>
    <w:rsid w:val="00240B0E"/>
    <w:rsid w:val="0024116D"/>
    <w:rsid w:val="00241B44"/>
    <w:rsid w:val="00245EFB"/>
    <w:rsid w:val="002478AE"/>
    <w:rsid w:val="00250E19"/>
    <w:rsid w:val="0025386E"/>
    <w:rsid w:val="002539D7"/>
    <w:rsid w:val="00257437"/>
    <w:rsid w:val="002638B0"/>
    <w:rsid w:val="00264FFF"/>
    <w:rsid w:val="00265028"/>
    <w:rsid w:val="002650D7"/>
    <w:rsid w:val="002654E8"/>
    <w:rsid w:val="0026647A"/>
    <w:rsid w:val="002668D3"/>
    <w:rsid w:val="002675BE"/>
    <w:rsid w:val="0027299F"/>
    <w:rsid w:val="00276913"/>
    <w:rsid w:val="0028135B"/>
    <w:rsid w:val="00282480"/>
    <w:rsid w:val="00284EBE"/>
    <w:rsid w:val="00290D56"/>
    <w:rsid w:val="0029433F"/>
    <w:rsid w:val="00294829"/>
    <w:rsid w:val="00294F3B"/>
    <w:rsid w:val="0029690F"/>
    <w:rsid w:val="002A077D"/>
    <w:rsid w:val="002A1EEC"/>
    <w:rsid w:val="002A253B"/>
    <w:rsid w:val="002A29FB"/>
    <w:rsid w:val="002A2A60"/>
    <w:rsid w:val="002A531E"/>
    <w:rsid w:val="002B078C"/>
    <w:rsid w:val="002B1C45"/>
    <w:rsid w:val="002B790F"/>
    <w:rsid w:val="002C13C8"/>
    <w:rsid w:val="002C3547"/>
    <w:rsid w:val="002D0021"/>
    <w:rsid w:val="002D12F6"/>
    <w:rsid w:val="002D3473"/>
    <w:rsid w:val="002D5C95"/>
    <w:rsid w:val="002E00F8"/>
    <w:rsid w:val="002E1BB5"/>
    <w:rsid w:val="002E2322"/>
    <w:rsid w:val="002E38E2"/>
    <w:rsid w:val="002E3CF1"/>
    <w:rsid w:val="002E7948"/>
    <w:rsid w:val="002E7EDD"/>
    <w:rsid w:val="002F1956"/>
    <w:rsid w:val="002F3440"/>
    <w:rsid w:val="002F4EC0"/>
    <w:rsid w:val="002F71BE"/>
    <w:rsid w:val="002F75A3"/>
    <w:rsid w:val="002F78CA"/>
    <w:rsid w:val="003008C8"/>
    <w:rsid w:val="00303C2F"/>
    <w:rsid w:val="00312911"/>
    <w:rsid w:val="003144EF"/>
    <w:rsid w:val="003148CA"/>
    <w:rsid w:val="00314C20"/>
    <w:rsid w:val="00315506"/>
    <w:rsid w:val="003220BA"/>
    <w:rsid w:val="00322F3B"/>
    <w:rsid w:val="00323940"/>
    <w:rsid w:val="00326292"/>
    <w:rsid w:val="00326415"/>
    <w:rsid w:val="003277EF"/>
    <w:rsid w:val="00330379"/>
    <w:rsid w:val="00330937"/>
    <w:rsid w:val="00330F31"/>
    <w:rsid w:val="00334351"/>
    <w:rsid w:val="0033442A"/>
    <w:rsid w:val="00334648"/>
    <w:rsid w:val="0033768C"/>
    <w:rsid w:val="00337938"/>
    <w:rsid w:val="00340769"/>
    <w:rsid w:val="00341AA6"/>
    <w:rsid w:val="00342459"/>
    <w:rsid w:val="003427B9"/>
    <w:rsid w:val="00346B16"/>
    <w:rsid w:val="00354377"/>
    <w:rsid w:val="00354C18"/>
    <w:rsid w:val="00361A0A"/>
    <w:rsid w:val="00364826"/>
    <w:rsid w:val="00364CBC"/>
    <w:rsid w:val="00364D78"/>
    <w:rsid w:val="00364E15"/>
    <w:rsid w:val="0036565C"/>
    <w:rsid w:val="0036625E"/>
    <w:rsid w:val="00366DF7"/>
    <w:rsid w:val="0036760B"/>
    <w:rsid w:val="00370302"/>
    <w:rsid w:val="003719B4"/>
    <w:rsid w:val="0037465A"/>
    <w:rsid w:val="0037544E"/>
    <w:rsid w:val="00380BAB"/>
    <w:rsid w:val="00382C98"/>
    <w:rsid w:val="0038533C"/>
    <w:rsid w:val="00386568"/>
    <w:rsid w:val="00387106"/>
    <w:rsid w:val="00391F3E"/>
    <w:rsid w:val="003948D5"/>
    <w:rsid w:val="003963D4"/>
    <w:rsid w:val="00396821"/>
    <w:rsid w:val="00396E7F"/>
    <w:rsid w:val="00397D3A"/>
    <w:rsid w:val="003A051E"/>
    <w:rsid w:val="003A1566"/>
    <w:rsid w:val="003A2CE0"/>
    <w:rsid w:val="003A2FEE"/>
    <w:rsid w:val="003B1310"/>
    <w:rsid w:val="003B170F"/>
    <w:rsid w:val="003B2016"/>
    <w:rsid w:val="003B3398"/>
    <w:rsid w:val="003B3C5F"/>
    <w:rsid w:val="003C089D"/>
    <w:rsid w:val="003C4471"/>
    <w:rsid w:val="003C4B37"/>
    <w:rsid w:val="003C66B1"/>
    <w:rsid w:val="003C6762"/>
    <w:rsid w:val="003D0A6D"/>
    <w:rsid w:val="003E0B16"/>
    <w:rsid w:val="003E67D1"/>
    <w:rsid w:val="003E6B15"/>
    <w:rsid w:val="003F7A08"/>
    <w:rsid w:val="00401B16"/>
    <w:rsid w:val="00403550"/>
    <w:rsid w:val="00405DC1"/>
    <w:rsid w:val="0040710D"/>
    <w:rsid w:val="0041139B"/>
    <w:rsid w:val="00411DDE"/>
    <w:rsid w:val="0041202D"/>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1120"/>
    <w:rsid w:val="00443403"/>
    <w:rsid w:val="00444284"/>
    <w:rsid w:val="00445CE6"/>
    <w:rsid w:val="00447BAE"/>
    <w:rsid w:val="00447FE6"/>
    <w:rsid w:val="004504B2"/>
    <w:rsid w:val="004534C2"/>
    <w:rsid w:val="00453B4B"/>
    <w:rsid w:val="0045446F"/>
    <w:rsid w:val="004554B9"/>
    <w:rsid w:val="0045683E"/>
    <w:rsid w:val="0047025B"/>
    <w:rsid w:val="00491675"/>
    <w:rsid w:val="00493855"/>
    <w:rsid w:val="0049508F"/>
    <w:rsid w:val="00495ACD"/>
    <w:rsid w:val="004A171E"/>
    <w:rsid w:val="004A1D4E"/>
    <w:rsid w:val="004A5337"/>
    <w:rsid w:val="004A57DD"/>
    <w:rsid w:val="004A7B51"/>
    <w:rsid w:val="004A7D71"/>
    <w:rsid w:val="004A7EF3"/>
    <w:rsid w:val="004B11FD"/>
    <w:rsid w:val="004B23A2"/>
    <w:rsid w:val="004B2A55"/>
    <w:rsid w:val="004B3A07"/>
    <w:rsid w:val="004C4E97"/>
    <w:rsid w:val="004D1918"/>
    <w:rsid w:val="004D1A5A"/>
    <w:rsid w:val="004D29AE"/>
    <w:rsid w:val="004D2FFF"/>
    <w:rsid w:val="004D3721"/>
    <w:rsid w:val="004D64F9"/>
    <w:rsid w:val="004E0549"/>
    <w:rsid w:val="004E1674"/>
    <w:rsid w:val="004E2E92"/>
    <w:rsid w:val="004E30B0"/>
    <w:rsid w:val="004E622C"/>
    <w:rsid w:val="004F5FDF"/>
    <w:rsid w:val="0050157D"/>
    <w:rsid w:val="00506803"/>
    <w:rsid w:val="0050682B"/>
    <w:rsid w:val="00507AAC"/>
    <w:rsid w:val="00515D2E"/>
    <w:rsid w:val="005177F4"/>
    <w:rsid w:val="005177FE"/>
    <w:rsid w:val="0052263B"/>
    <w:rsid w:val="00524728"/>
    <w:rsid w:val="00530003"/>
    <w:rsid w:val="00530E88"/>
    <w:rsid w:val="005331CA"/>
    <w:rsid w:val="0053353F"/>
    <w:rsid w:val="00533739"/>
    <w:rsid w:val="00537970"/>
    <w:rsid w:val="00540B44"/>
    <w:rsid w:val="00540E3A"/>
    <w:rsid w:val="00542A1B"/>
    <w:rsid w:val="00544127"/>
    <w:rsid w:val="00544273"/>
    <w:rsid w:val="005463A9"/>
    <w:rsid w:val="00547993"/>
    <w:rsid w:val="00551441"/>
    <w:rsid w:val="00553EB2"/>
    <w:rsid w:val="00554436"/>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6672"/>
    <w:rsid w:val="00587461"/>
    <w:rsid w:val="00590023"/>
    <w:rsid w:val="0059200C"/>
    <w:rsid w:val="00592F82"/>
    <w:rsid w:val="005A00B8"/>
    <w:rsid w:val="005A0CCA"/>
    <w:rsid w:val="005A726D"/>
    <w:rsid w:val="005B67AC"/>
    <w:rsid w:val="005C2C94"/>
    <w:rsid w:val="005C36BC"/>
    <w:rsid w:val="005C4865"/>
    <w:rsid w:val="005C52EA"/>
    <w:rsid w:val="005D43E0"/>
    <w:rsid w:val="005D58A3"/>
    <w:rsid w:val="005D58CD"/>
    <w:rsid w:val="005E1B79"/>
    <w:rsid w:val="005E5C28"/>
    <w:rsid w:val="005F026D"/>
    <w:rsid w:val="005F21F4"/>
    <w:rsid w:val="005F2D0B"/>
    <w:rsid w:val="005F4B31"/>
    <w:rsid w:val="005F4FED"/>
    <w:rsid w:val="006006E0"/>
    <w:rsid w:val="00610388"/>
    <w:rsid w:val="00612CA5"/>
    <w:rsid w:val="006153EC"/>
    <w:rsid w:val="00621A17"/>
    <w:rsid w:val="00622586"/>
    <w:rsid w:val="00622C2B"/>
    <w:rsid w:val="00622DCB"/>
    <w:rsid w:val="00623AB6"/>
    <w:rsid w:val="00626A7A"/>
    <w:rsid w:val="00626D0C"/>
    <w:rsid w:val="00627CC9"/>
    <w:rsid w:val="00627E7B"/>
    <w:rsid w:val="00630542"/>
    <w:rsid w:val="00632E44"/>
    <w:rsid w:val="00634622"/>
    <w:rsid w:val="00636808"/>
    <w:rsid w:val="00636EDD"/>
    <w:rsid w:val="00641002"/>
    <w:rsid w:val="00641515"/>
    <w:rsid w:val="00651AE3"/>
    <w:rsid w:val="00654C2F"/>
    <w:rsid w:val="00657087"/>
    <w:rsid w:val="0066252C"/>
    <w:rsid w:val="006633B2"/>
    <w:rsid w:val="006661EF"/>
    <w:rsid w:val="00670380"/>
    <w:rsid w:val="00671828"/>
    <w:rsid w:val="0067294B"/>
    <w:rsid w:val="00677736"/>
    <w:rsid w:val="0067785F"/>
    <w:rsid w:val="00677AEB"/>
    <w:rsid w:val="00680EF2"/>
    <w:rsid w:val="006839C2"/>
    <w:rsid w:val="00687A1D"/>
    <w:rsid w:val="006920CC"/>
    <w:rsid w:val="0069280C"/>
    <w:rsid w:val="00692AB2"/>
    <w:rsid w:val="0069412D"/>
    <w:rsid w:val="006944F5"/>
    <w:rsid w:val="0069647C"/>
    <w:rsid w:val="00697EA1"/>
    <w:rsid w:val="006A1850"/>
    <w:rsid w:val="006A2646"/>
    <w:rsid w:val="006A3DF0"/>
    <w:rsid w:val="006A6530"/>
    <w:rsid w:val="006B1BB1"/>
    <w:rsid w:val="006B29FE"/>
    <w:rsid w:val="006B435A"/>
    <w:rsid w:val="006B47F2"/>
    <w:rsid w:val="006B4C64"/>
    <w:rsid w:val="006B4FFC"/>
    <w:rsid w:val="006C084E"/>
    <w:rsid w:val="006D0E6E"/>
    <w:rsid w:val="006D6BD5"/>
    <w:rsid w:val="006E2440"/>
    <w:rsid w:val="006E25C9"/>
    <w:rsid w:val="006E481A"/>
    <w:rsid w:val="006E5298"/>
    <w:rsid w:val="006E6C37"/>
    <w:rsid w:val="006F017B"/>
    <w:rsid w:val="006F2CE3"/>
    <w:rsid w:val="006F37B8"/>
    <w:rsid w:val="006F45D9"/>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3C15"/>
    <w:rsid w:val="0074656A"/>
    <w:rsid w:val="00751F66"/>
    <w:rsid w:val="007603F5"/>
    <w:rsid w:val="00764DB0"/>
    <w:rsid w:val="00766F8A"/>
    <w:rsid w:val="00767024"/>
    <w:rsid w:val="0076764D"/>
    <w:rsid w:val="00771EFD"/>
    <w:rsid w:val="0077219E"/>
    <w:rsid w:val="0077498C"/>
    <w:rsid w:val="00776CE2"/>
    <w:rsid w:val="00777183"/>
    <w:rsid w:val="00784128"/>
    <w:rsid w:val="00784B4B"/>
    <w:rsid w:val="007854ED"/>
    <w:rsid w:val="0079085C"/>
    <w:rsid w:val="00790EF7"/>
    <w:rsid w:val="00792146"/>
    <w:rsid w:val="00793173"/>
    <w:rsid w:val="0079427C"/>
    <w:rsid w:val="007A2177"/>
    <w:rsid w:val="007A23DD"/>
    <w:rsid w:val="007A56BA"/>
    <w:rsid w:val="007A7264"/>
    <w:rsid w:val="007B3AC7"/>
    <w:rsid w:val="007B497A"/>
    <w:rsid w:val="007B6530"/>
    <w:rsid w:val="007C1FCC"/>
    <w:rsid w:val="007C32A8"/>
    <w:rsid w:val="007C3FE5"/>
    <w:rsid w:val="007C6201"/>
    <w:rsid w:val="007C6988"/>
    <w:rsid w:val="007D28A1"/>
    <w:rsid w:val="007D7C92"/>
    <w:rsid w:val="007E0765"/>
    <w:rsid w:val="007E0F5D"/>
    <w:rsid w:val="007E1154"/>
    <w:rsid w:val="007E6BA4"/>
    <w:rsid w:val="007E71A9"/>
    <w:rsid w:val="007E7678"/>
    <w:rsid w:val="007F41F8"/>
    <w:rsid w:val="007F60D0"/>
    <w:rsid w:val="0080454E"/>
    <w:rsid w:val="00804C32"/>
    <w:rsid w:val="00806302"/>
    <w:rsid w:val="00807119"/>
    <w:rsid w:val="00812AFE"/>
    <w:rsid w:val="00817D57"/>
    <w:rsid w:val="008200DD"/>
    <w:rsid w:val="00822119"/>
    <w:rsid w:val="00822764"/>
    <w:rsid w:val="008241C4"/>
    <w:rsid w:val="0082483F"/>
    <w:rsid w:val="008264CB"/>
    <w:rsid w:val="008279C0"/>
    <w:rsid w:val="00835FD1"/>
    <w:rsid w:val="00837645"/>
    <w:rsid w:val="0084683C"/>
    <w:rsid w:val="008512FA"/>
    <w:rsid w:val="00852403"/>
    <w:rsid w:val="00853A74"/>
    <w:rsid w:val="0085478F"/>
    <w:rsid w:val="00857763"/>
    <w:rsid w:val="00860E61"/>
    <w:rsid w:val="00865350"/>
    <w:rsid w:val="00867A8F"/>
    <w:rsid w:val="00872256"/>
    <w:rsid w:val="008723F3"/>
    <w:rsid w:val="00872943"/>
    <w:rsid w:val="00875F6F"/>
    <w:rsid w:val="00881833"/>
    <w:rsid w:val="00881DE6"/>
    <w:rsid w:val="008837A6"/>
    <w:rsid w:val="0089094D"/>
    <w:rsid w:val="0089145D"/>
    <w:rsid w:val="00892358"/>
    <w:rsid w:val="00893A03"/>
    <w:rsid w:val="0089521D"/>
    <w:rsid w:val="008A08B7"/>
    <w:rsid w:val="008A0C6E"/>
    <w:rsid w:val="008A46CF"/>
    <w:rsid w:val="008A4DF2"/>
    <w:rsid w:val="008A6CFE"/>
    <w:rsid w:val="008A7470"/>
    <w:rsid w:val="008B1A08"/>
    <w:rsid w:val="008B2DE3"/>
    <w:rsid w:val="008B388A"/>
    <w:rsid w:val="008B5333"/>
    <w:rsid w:val="008B6223"/>
    <w:rsid w:val="008B7342"/>
    <w:rsid w:val="008C22D8"/>
    <w:rsid w:val="008C66E0"/>
    <w:rsid w:val="008D27E7"/>
    <w:rsid w:val="008E2DFA"/>
    <w:rsid w:val="008E3339"/>
    <w:rsid w:val="008E549B"/>
    <w:rsid w:val="008F18EF"/>
    <w:rsid w:val="008F20FC"/>
    <w:rsid w:val="008F2B24"/>
    <w:rsid w:val="008F5FFE"/>
    <w:rsid w:val="00903B61"/>
    <w:rsid w:val="0090421A"/>
    <w:rsid w:val="00905A43"/>
    <w:rsid w:val="00907DC2"/>
    <w:rsid w:val="00910BC5"/>
    <w:rsid w:val="00912C79"/>
    <w:rsid w:val="00916E1A"/>
    <w:rsid w:val="009260A2"/>
    <w:rsid w:val="00931328"/>
    <w:rsid w:val="009344C1"/>
    <w:rsid w:val="00934A95"/>
    <w:rsid w:val="00937A5B"/>
    <w:rsid w:val="00942123"/>
    <w:rsid w:val="00951031"/>
    <w:rsid w:val="0095207B"/>
    <w:rsid w:val="00954461"/>
    <w:rsid w:val="00956085"/>
    <w:rsid w:val="00957951"/>
    <w:rsid w:val="00960449"/>
    <w:rsid w:val="00962045"/>
    <w:rsid w:val="00962DBA"/>
    <w:rsid w:val="00967EDA"/>
    <w:rsid w:val="00970897"/>
    <w:rsid w:val="00971AFA"/>
    <w:rsid w:val="0097337E"/>
    <w:rsid w:val="00980314"/>
    <w:rsid w:val="009816D0"/>
    <w:rsid w:val="00991428"/>
    <w:rsid w:val="00991674"/>
    <w:rsid w:val="00992676"/>
    <w:rsid w:val="00996691"/>
    <w:rsid w:val="009A136A"/>
    <w:rsid w:val="009A1644"/>
    <w:rsid w:val="009A43B0"/>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3675"/>
    <w:rsid w:val="009D06A3"/>
    <w:rsid w:val="009D0811"/>
    <w:rsid w:val="009D0EE1"/>
    <w:rsid w:val="009D30BB"/>
    <w:rsid w:val="009E2AEB"/>
    <w:rsid w:val="009E2E27"/>
    <w:rsid w:val="009E3CA7"/>
    <w:rsid w:val="009E3DC1"/>
    <w:rsid w:val="009E4DE3"/>
    <w:rsid w:val="009E5A23"/>
    <w:rsid w:val="009E7E77"/>
    <w:rsid w:val="009F402C"/>
    <w:rsid w:val="009F7C39"/>
    <w:rsid w:val="00A0258C"/>
    <w:rsid w:val="00A02B80"/>
    <w:rsid w:val="00A047EE"/>
    <w:rsid w:val="00A114EA"/>
    <w:rsid w:val="00A14903"/>
    <w:rsid w:val="00A153F7"/>
    <w:rsid w:val="00A2274A"/>
    <w:rsid w:val="00A235B7"/>
    <w:rsid w:val="00A26BB7"/>
    <w:rsid w:val="00A27A7A"/>
    <w:rsid w:val="00A407EF"/>
    <w:rsid w:val="00A4585D"/>
    <w:rsid w:val="00A45E4C"/>
    <w:rsid w:val="00A46B4C"/>
    <w:rsid w:val="00A5117B"/>
    <w:rsid w:val="00A511EE"/>
    <w:rsid w:val="00A54000"/>
    <w:rsid w:val="00A54689"/>
    <w:rsid w:val="00A60074"/>
    <w:rsid w:val="00A62CAC"/>
    <w:rsid w:val="00A6627C"/>
    <w:rsid w:val="00A6649C"/>
    <w:rsid w:val="00A70BBC"/>
    <w:rsid w:val="00A71019"/>
    <w:rsid w:val="00A720BD"/>
    <w:rsid w:val="00A7403D"/>
    <w:rsid w:val="00A81029"/>
    <w:rsid w:val="00A83CB5"/>
    <w:rsid w:val="00A865A7"/>
    <w:rsid w:val="00A94DD9"/>
    <w:rsid w:val="00A96489"/>
    <w:rsid w:val="00A975B1"/>
    <w:rsid w:val="00A97747"/>
    <w:rsid w:val="00AA3A42"/>
    <w:rsid w:val="00AA5311"/>
    <w:rsid w:val="00AA677F"/>
    <w:rsid w:val="00AA7BAA"/>
    <w:rsid w:val="00AB1DD4"/>
    <w:rsid w:val="00AB50D3"/>
    <w:rsid w:val="00AB685C"/>
    <w:rsid w:val="00AB6C2D"/>
    <w:rsid w:val="00AC08F7"/>
    <w:rsid w:val="00AC3839"/>
    <w:rsid w:val="00AC7082"/>
    <w:rsid w:val="00AD0E59"/>
    <w:rsid w:val="00AD2FD4"/>
    <w:rsid w:val="00AD3FEA"/>
    <w:rsid w:val="00AD434C"/>
    <w:rsid w:val="00AD7BBD"/>
    <w:rsid w:val="00AF228E"/>
    <w:rsid w:val="00AF302B"/>
    <w:rsid w:val="00B04137"/>
    <w:rsid w:val="00B05DB7"/>
    <w:rsid w:val="00B10D05"/>
    <w:rsid w:val="00B1112C"/>
    <w:rsid w:val="00B11D19"/>
    <w:rsid w:val="00B12936"/>
    <w:rsid w:val="00B12C2D"/>
    <w:rsid w:val="00B14819"/>
    <w:rsid w:val="00B15031"/>
    <w:rsid w:val="00B1777A"/>
    <w:rsid w:val="00B17AA9"/>
    <w:rsid w:val="00B263D0"/>
    <w:rsid w:val="00B32DE4"/>
    <w:rsid w:val="00B33578"/>
    <w:rsid w:val="00B339C7"/>
    <w:rsid w:val="00B370C3"/>
    <w:rsid w:val="00B411AE"/>
    <w:rsid w:val="00B413F5"/>
    <w:rsid w:val="00B457BF"/>
    <w:rsid w:val="00B458DA"/>
    <w:rsid w:val="00B46CE2"/>
    <w:rsid w:val="00B47A16"/>
    <w:rsid w:val="00B54563"/>
    <w:rsid w:val="00B55AF9"/>
    <w:rsid w:val="00B60190"/>
    <w:rsid w:val="00B61419"/>
    <w:rsid w:val="00B66441"/>
    <w:rsid w:val="00B6760E"/>
    <w:rsid w:val="00B72F5F"/>
    <w:rsid w:val="00B736DF"/>
    <w:rsid w:val="00B74FBD"/>
    <w:rsid w:val="00B77352"/>
    <w:rsid w:val="00B82586"/>
    <w:rsid w:val="00B829A3"/>
    <w:rsid w:val="00B86DB1"/>
    <w:rsid w:val="00B87869"/>
    <w:rsid w:val="00B903EB"/>
    <w:rsid w:val="00B953BD"/>
    <w:rsid w:val="00B958E3"/>
    <w:rsid w:val="00BA0E44"/>
    <w:rsid w:val="00BA47C5"/>
    <w:rsid w:val="00BB0F2B"/>
    <w:rsid w:val="00BC2923"/>
    <w:rsid w:val="00BC2E9F"/>
    <w:rsid w:val="00BD0D57"/>
    <w:rsid w:val="00BD1D69"/>
    <w:rsid w:val="00BD6B67"/>
    <w:rsid w:val="00BE1A50"/>
    <w:rsid w:val="00BE229D"/>
    <w:rsid w:val="00BE2EF2"/>
    <w:rsid w:val="00BE40DA"/>
    <w:rsid w:val="00BF03B0"/>
    <w:rsid w:val="00BF50F7"/>
    <w:rsid w:val="00BF5544"/>
    <w:rsid w:val="00C00111"/>
    <w:rsid w:val="00C01B7E"/>
    <w:rsid w:val="00C02F29"/>
    <w:rsid w:val="00C04905"/>
    <w:rsid w:val="00C10C13"/>
    <w:rsid w:val="00C17111"/>
    <w:rsid w:val="00C17731"/>
    <w:rsid w:val="00C17A14"/>
    <w:rsid w:val="00C20747"/>
    <w:rsid w:val="00C20AFE"/>
    <w:rsid w:val="00C22A25"/>
    <w:rsid w:val="00C23B79"/>
    <w:rsid w:val="00C315F5"/>
    <w:rsid w:val="00C316D7"/>
    <w:rsid w:val="00C33CE0"/>
    <w:rsid w:val="00C33D50"/>
    <w:rsid w:val="00C35671"/>
    <w:rsid w:val="00C35B77"/>
    <w:rsid w:val="00C370D3"/>
    <w:rsid w:val="00C376EB"/>
    <w:rsid w:val="00C37D0F"/>
    <w:rsid w:val="00C4003A"/>
    <w:rsid w:val="00C4510C"/>
    <w:rsid w:val="00C4627B"/>
    <w:rsid w:val="00C46EC1"/>
    <w:rsid w:val="00C504E5"/>
    <w:rsid w:val="00C51D04"/>
    <w:rsid w:val="00C53E2C"/>
    <w:rsid w:val="00C550C8"/>
    <w:rsid w:val="00C56B61"/>
    <w:rsid w:val="00C57857"/>
    <w:rsid w:val="00C606C3"/>
    <w:rsid w:val="00C620F4"/>
    <w:rsid w:val="00C65634"/>
    <w:rsid w:val="00C668B6"/>
    <w:rsid w:val="00C67ECE"/>
    <w:rsid w:val="00C7161B"/>
    <w:rsid w:val="00C72848"/>
    <w:rsid w:val="00C73155"/>
    <w:rsid w:val="00C755B9"/>
    <w:rsid w:val="00C7736C"/>
    <w:rsid w:val="00C82D87"/>
    <w:rsid w:val="00C834F7"/>
    <w:rsid w:val="00C8361F"/>
    <w:rsid w:val="00C841ED"/>
    <w:rsid w:val="00C84E78"/>
    <w:rsid w:val="00C85F17"/>
    <w:rsid w:val="00C8712A"/>
    <w:rsid w:val="00C91324"/>
    <w:rsid w:val="00C914F7"/>
    <w:rsid w:val="00C963D3"/>
    <w:rsid w:val="00CA0072"/>
    <w:rsid w:val="00CA2BFE"/>
    <w:rsid w:val="00CA6E0D"/>
    <w:rsid w:val="00CB2CBB"/>
    <w:rsid w:val="00CB2DB2"/>
    <w:rsid w:val="00CB56CE"/>
    <w:rsid w:val="00CB7B62"/>
    <w:rsid w:val="00CB7CAC"/>
    <w:rsid w:val="00CC0EA0"/>
    <w:rsid w:val="00CC5335"/>
    <w:rsid w:val="00CC5BA4"/>
    <w:rsid w:val="00CC70BB"/>
    <w:rsid w:val="00CD3420"/>
    <w:rsid w:val="00CD35DA"/>
    <w:rsid w:val="00CD3D81"/>
    <w:rsid w:val="00CD4998"/>
    <w:rsid w:val="00CE01BD"/>
    <w:rsid w:val="00CE1035"/>
    <w:rsid w:val="00CE2A6A"/>
    <w:rsid w:val="00CF130A"/>
    <w:rsid w:val="00CF2819"/>
    <w:rsid w:val="00CF3F5B"/>
    <w:rsid w:val="00CF4A7D"/>
    <w:rsid w:val="00CF4F9D"/>
    <w:rsid w:val="00CF697E"/>
    <w:rsid w:val="00CF70DC"/>
    <w:rsid w:val="00D148DC"/>
    <w:rsid w:val="00D17FDC"/>
    <w:rsid w:val="00D259D2"/>
    <w:rsid w:val="00D3163E"/>
    <w:rsid w:val="00D32F50"/>
    <w:rsid w:val="00D444C5"/>
    <w:rsid w:val="00D45AEA"/>
    <w:rsid w:val="00D47BB2"/>
    <w:rsid w:val="00D5244F"/>
    <w:rsid w:val="00D52E4F"/>
    <w:rsid w:val="00D563A2"/>
    <w:rsid w:val="00D56A37"/>
    <w:rsid w:val="00D57202"/>
    <w:rsid w:val="00D610E1"/>
    <w:rsid w:val="00D6277E"/>
    <w:rsid w:val="00D6386E"/>
    <w:rsid w:val="00D63EFD"/>
    <w:rsid w:val="00D64826"/>
    <w:rsid w:val="00D6649D"/>
    <w:rsid w:val="00D67D91"/>
    <w:rsid w:val="00D7080A"/>
    <w:rsid w:val="00D71657"/>
    <w:rsid w:val="00D7568A"/>
    <w:rsid w:val="00D80DF2"/>
    <w:rsid w:val="00D84150"/>
    <w:rsid w:val="00D841CE"/>
    <w:rsid w:val="00D84752"/>
    <w:rsid w:val="00D85AB0"/>
    <w:rsid w:val="00D86B3B"/>
    <w:rsid w:val="00D8748A"/>
    <w:rsid w:val="00D93196"/>
    <w:rsid w:val="00D946A3"/>
    <w:rsid w:val="00D94A4D"/>
    <w:rsid w:val="00D97A93"/>
    <w:rsid w:val="00DA1083"/>
    <w:rsid w:val="00DA26C8"/>
    <w:rsid w:val="00DA7859"/>
    <w:rsid w:val="00DB00CA"/>
    <w:rsid w:val="00DB243C"/>
    <w:rsid w:val="00DB45DD"/>
    <w:rsid w:val="00DB482A"/>
    <w:rsid w:val="00DB56F2"/>
    <w:rsid w:val="00DB58A5"/>
    <w:rsid w:val="00DB6D84"/>
    <w:rsid w:val="00DB6EF5"/>
    <w:rsid w:val="00DC3089"/>
    <w:rsid w:val="00DC4420"/>
    <w:rsid w:val="00DD0802"/>
    <w:rsid w:val="00DD0A50"/>
    <w:rsid w:val="00DD2E11"/>
    <w:rsid w:val="00DD4447"/>
    <w:rsid w:val="00DD6035"/>
    <w:rsid w:val="00DE03AF"/>
    <w:rsid w:val="00DE121C"/>
    <w:rsid w:val="00DE2A27"/>
    <w:rsid w:val="00DE3705"/>
    <w:rsid w:val="00DE6633"/>
    <w:rsid w:val="00DE743B"/>
    <w:rsid w:val="00DF105E"/>
    <w:rsid w:val="00DF1A02"/>
    <w:rsid w:val="00DF75F8"/>
    <w:rsid w:val="00DF7A3A"/>
    <w:rsid w:val="00E00C00"/>
    <w:rsid w:val="00E04A7C"/>
    <w:rsid w:val="00E059FB"/>
    <w:rsid w:val="00E069C4"/>
    <w:rsid w:val="00E07275"/>
    <w:rsid w:val="00E07866"/>
    <w:rsid w:val="00E07A0D"/>
    <w:rsid w:val="00E07C5A"/>
    <w:rsid w:val="00E15BA9"/>
    <w:rsid w:val="00E25B22"/>
    <w:rsid w:val="00E25EB1"/>
    <w:rsid w:val="00E2622D"/>
    <w:rsid w:val="00E2681B"/>
    <w:rsid w:val="00E26E19"/>
    <w:rsid w:val="00E27E3C"/>
    <w:rsid w:val="00E31DF3"/>
    <w:rsid w:val="00E32814"/>
    <w:rsid w:val="00E328DF"/>
    <w:rsid w:val="00E33448"/>
    <w:rsid w:val="00E33486"/>
    <w:rsid w:val="00E34181"/>
    <w:rsid w:val="00E42AAD"/>
    <w:rsid w:val="00E450A4"/>
    <w:rsid w:val="00E506BE"/>
    <w:rsid w:val="00E55547"/>
    <w:rsid w:val="00E57410"/>
    <w:rsid w:val="00E607BD"/>
    <w:rsid w:val="00E61C42"/>
    <w:rsid w:val="00E6302B"/>
    <w:rsid w:val="00E6452F"/>
    <w:rsid w:val="00E64619"/>
    <w:rsid w:val="00E64F45"/>
    <w:rsid w:val="00E65327"/>
    <w:rsid w:val="00E6742D"/>
    <w:rsid w:val="00E71CB0"/>
    <w:rsid w:val="00E73529"/>
    <w:rsid w:val="00E76A57"/>
    <w:rsid w:val="00E77C3D"/>
    <w:rsid w:val="00E82E22"/>
    <w:rsid w:val="00E834B6"/>
    <w:rsid w:val="00E83F1B"/>
    <w:rsid w:val="00E850FE"/>
    <w:rsid w:val="00E909F0"/>
    <w:rsid w:val="00E90D47"/>
    <w:rsid w:val="00E93993"/>
    <w:rsid w:val="00E9597C"/>
    <w:rsid w:val="00EA0913"/>
    <w:rsid w:val="00EA0A2F"/>
    <w:rsid w:val="00EA6D31"/>
    <w:rsid w:val="00EB146B"/>
    <w:rsid w:val="00EB45AC"/>
    <w:rsid w:val="00EC2AEA"/>
    <w:rsid w:val="00EC56DE"/>
    <w:rsid w:val="00EC7B11"/>
    <w:rsid w:val="00EC7F95"/>
    <w:rsid w:val="00ED0BC4"/>
    <w:rsid w:val="00ED3771"/>
    <w:rsid w:val="00ED4AB7"/>
    <w:rsid w:val="00ED6920"/>
    <w:rsid w:val="00ED6A32"/>
    <w:rsid w:val="00ED6DD7"/>
    <w:rsid w:val="00EE087C"/>
    <w:rsid w:val="00EE4971"/>
    <w:rsid w:val="00EF090E"/>
    <w:rsid w:val="00EF67AE"/>
    <w:rsid w:val="00EF7280"/>
    <w:rsid w:val="00F033DA"/>
    <w:rsid w:val="00F042EB"/>
    <w:rsid w:val="00F11AAB"/>
    <w:rsid w:val="00F13856"/>
    <w:rsid w:val="00F13FB1"/>
    <w:rsid w:val="00F17BC1"/>
    <w:rsid w:val="00F17C87"/>
    <w:rsid w:val="00F201DD"/>
    <w:rsid w:val="00F20272"/>
    <w:rsid w:val="00F2204E"/>
    <w:rsid w:val="00F223E7"/>
    <w:rsid w:val="00F2288D"/>
    <w:rsid w:val="00F25779"/>
    <w:rsid w:val="00F2750A"/>
    <w:rsid w:val="00F27CD8"/>
    <w:rsid w:val="00F30351"/>
    <w:rsid w:val="00F30B58"/>
    <w:rsid w:val="00F31033"/>
    <w:rsid w:val="00F31EE9"/>
    <w:rsid w:val="00F3323E"/>
    <w:rsid w:val="00F341F4"/>
    <w:rsid w:val="00F34C14"/>
    <w:rsid w:val="00F34F9D"/>
    <w:rsid w:val="00F35CCE"/>
    <w:rsid w:val="00F35E71"/>
    <w:rsid w:val="00F51EE5"/>
    <w:rsid w:val="00F55241"/>
    <w:rsid w:val="00F5524B"/>
    <w:rsid w:val="00F56F0C"/>
    <w:rsid w:val="00F60538"/>
    <w:rsid w:val="00F61DD2"/>
    <w:rsid w:val="00F6523A"/>
    <w:rsid w:val="00F6590C"/>
    <w:rsid w:val="00F66AFF"/>
    <w:rsid w:val="00F71433"/>
    <w:rsid w:val="00F7241A"/>
    <w:rsid w:val="00F76205"/>
    <w:rsid w:val="00F83E76"/>
    <w:rsid w:val="00F87BEA"/>
    <w:rsid w:val="00F90A57"/>
    <w:rsid w:val="00F90B56"/>
    <w:rsid w:val="00F93A12"/>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140"/>
    <w:rsid w:val="00FE1D12"/>
    <w:rsid w:val="00FE2122"/>
    <w:rsid w:val="00FE2A86"/>
    <w:rsid w:val="00FE476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customStyle="1" w:styleId="AODocTxt">
    <w:name w:val="AODocTxt"/>
    <w:basedOn w:val="Normal"/>
    <w:qFormat/>
    <w:rsid w:val="00A7403D"/>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kerandpartners.com/briefings-articles/introduction-of-a-new-restructuring-regime-in-the-cayman-islands/" TargetMode="External"/><Relationship Id="rId2" Type="http://schemas.openxmlformats.org/officeDocument/2006/relationships/hyperlink" Target="https://www.nortonrosefulbright.com/en/knowledge/publications/8020ddf9/irnw-us" TargetMode="External"/><Relationship Id="rId1" Type="http://schemas.openxmlformats.org/officeDocument/2006/relationships/hyperlink" Target="https://www.campbellslegal.com/wp-content/uploads/2021/12/Cayman-Islands-chapter-Americas-Restructuring-Review-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Nicola</cp:lastModifiedBy>
  <cp:revision>8</cp:revision>
  <cp:lastPrinted>2019-08-27T05:42:00Z</cp:lastPrinted>
  <dcterms:created xsi:type="dcterms:W3CDTF">2024-02-28T18:47:00Z</dcterms:created>
  <dcterms:modified xsi:type="dcterms:W3CDTF">2024-03-01T15:40:00Z</dcterms:modified>
</cp:coreProperties>
</file>