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HK"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86ABA" w:rsidRDefault="00AE5B6F" w:rsidP="00B04033">
      <w:pPr>
        <w:pStyle w:val="ListParagraph"/>
        <w:numPr>
          <w:ilvl w:val="0"/>
          <w:numId w:val="1"/>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w</w:t>
      </w:r>
      <w:r w:rsidR="00C91062" w:rsidRPr="00F86ABA">
        <w:rPr>
          <w:rFonts w:ascii="Avenir Next" w:hAnsi="Avenir Next" w:cs="Arial"/>
          <w:sz w:val="22"/>
          <w:szCs w:val="22"/>
          <w:highlight w:val="yellow"/>
          <w:lang w:val="en-GB"/>
        </w:rPr>
        <w:t xml:space="preserve">ithin </w:t>
      </w:r>
      <w:r w:rsidR="00733A34" w:rsidRPr="00F86ABA">
        <w:rPr>
          <w:rFonts w:ascii="Avenir Next" w:hAnsi="Avenir Next" w:cs="Arial"/>
          <w:sz w:val="22"/>
          <w:szCs w:val="22"/>
          <w:highlight w:val="yellow"/>
          <w:lang w:val="en-GB"/>
        </w:rPr>
        <w:t>eight</w:t>
      </w:r>
      <w:r w:rsidR="00C91062" w:rsidRPr="00F86ABA">
        <w:rPr>
          <w:rFonts w:ascii="Avenir Next" w:hAnsi="Avenir Next" w:cs="Arial"/>
          <w:sz w:val="22"/>
          <w:szCs w:val="22"/>
          <w:highlight w:val="yellow"/>
          <w:lang w:val="en-GB"/>
        </w:rPr>
        <w:t xml:space="preserve"> weeks of the commencement of the administration</w:t>
      </w:r>
      <w:r w:rsidR="00763348" w:rsidRPr="00F86AB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F86ABA" w:rsidRDefault="00E443D7" w:rsidP="00C55824">
      <w:pPr>
        <w:pStyle w:val="ListParagraph"/>
        <w:numPr>
          <w:ilvl w:val="0"/>
          <w:numId w:val="2"/>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One year</w:t>
      </w:r>
      <w:r w:rsidR="00763348" w:rsidRPr="00F86ABA">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F86ABA" w:rsidRDefault="00AE5B6F" w:rsidP="00B04033">
      <w:pPr>
        <w:pStyle w:val="ListParagraph"/>
        <w:numPr>
          <w:ilvl w:val="0"/>
          <w:numId w:val="3"/>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T</w:t>
      </w:r>
      <w:r w:rsidR="008D1616" w:rsidRPr="00F86ABA">
        <w:rPr>
          <w:rFonts w:ascii="Avenir Next" w:hAnsi="Avenir Next" w:cs="Arial"/>
          <w:sz w:val="22"/>
          <w:szCs w:val="22"/>
          <w:highlight w:val="yellow"/>
          <w:lang w:val="en-GB"/>
        </w:rPr>
        <w:t>he company is, or is likely to become, unable to pay their debts, as defined under s</w:t>
      </w:r>
      <w:r w:rsidR="00E833F4" w:rsidRPr="00F86ABA">
        <w:rPr>
          <w:rFonts w:ascii="Avenir Next" w:hAnsi="Avenir Next" w:cs="Arial"/>
          <w:sz w:val="22"/>
          <w:szCs w:val="22"/>
          <w:highlight w:val="yellow"/>
          <w:lang w:val="en-GB"/>
        </w:rPr>
        <w:t>ection</w:t>
      </w:r>
      <w:r w:rsidR="008D1616" w:rsidRPr="00F86ABA">
        <w:rPr>
          <w:rFonts w:ascii="Avenir Next" w:hAnsi="Avenir Next" w:cs="Arial"/>
          <w:sz w:val="22"/>
          <w:szCs w:val="22"/>
          <w:highlight w:val="yellow"/>
          <w:lang w:val="en-GB"/>
        </w:rPr>
        <w:t xml:space="preserve"> 123 of the Insolvency Act 1986</w:t>
      </w:r>
      <w:r w:rsidR="00763348" w:rsidRPr="00F86AB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F86ABA" w:rsidRDefault="00C91062" w:rsidP="00B04033">
      <w:pPr>
        <w:pStyle w:val="ListParagraph"/>
        <w:numPr>
          <w:ilvl w:val="0"/>
          <w:numId w:val="4"/>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The purchaser</w:t>
      </w:r>
      <w:r w:rsidR="00763348" w:rsidRPr="00F86ABA">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F86ABA" w:rsidRDefault="00BA1CFD" w:rsidP="00B04033">
      <w:pPr>
        <w:pStyle w:val="ListParagraph"/>
        <w:numPr>
          <w:ilvl w:val="0"/>
          <w:numId w:val="5"/>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Administration</w:t>
      </w:r>
      <w:r w:rsidR="00763348" w:rsidRPr="00F86ABA">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F86ABA" w:rsidRDefault="00221444" w:rsidP="00221444">
      <w:pPr>
        <w:pStyle w:val="ListParagraph"/>
        <w:numPr>
          <w:ilvl w:val="0"/>
          <w:numId w:val="6"/>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6804A6" w:rsidRDefault="00BA1CFD" w:rsidP="00B04033">
      <w:pPr>
        <w:pStyle w:val="ListParagraph"/>
        <w:numPr>
          <w:ilvl w:val="0"/>
          <w:numId w:val="7"/>
        </w:numPr>
        <w:ind w:left="426"/>
        <w:jc w:val="both"/>
        <w:rPr>
          <w:rFonts w:ascii="Avenir Next" w:hAnsi="Avenir Next" w:cs="Arial"/>
          <w:sz w:val="22"/>
          <w:szCs w:val="22"/>
          <w:lang w:val="en-GB"/>
        </w:rPr>
      </w:pPr>
      <w:r w:rsidRPr="006804A6">
        <w:rPr>
          <w:rFonts w:ascii="Avenir Next" w:hAnsi="Avenir Next" w:cs="Arial"/>
          <w:sz w:val="22"/>
          <w:szCs w:val="22"/>
          <w:lang w:val="en-GB"/>
        </w:rPr>
        <w:t>Breach of fiduciary duty</w:t>
      </w:r>
      <w:r w:rsidR="00763348" w:rsidRPr="006804A6">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6804A6" w:rsidRDefault="00BA1CFD" w:rsidP="00B04033">
      <w:pPr>
        <w:pStyle w:val="ListParagraph"/>
        <w:numPr>
          <w:ilvl w:val="0"/>
          <w:numId w:val="7"/>
        </w:numPr>
        <w:ind w:left="426"/>
        <w:jc w:val="both"/>
        <w:rPr>
          <w:rFonts w:ascii="Avenir Next" w:hAnsi="Avenir Next" w:cs="Arial"/>
          <w:sz w:val="22"/>
          <w:szCs w:val="22"/>
          <w:highlight w:val="yellow"/>
          <w:lang w:val="en-GB"/>
        </w:rPr>
      </w:pPr>
      <w:r w:rsidRPr="006804A6">
        <w:rPr>
          <w:rFonts w:ascii="Avenir Next" w:hAnsi="Avenir Next" w:cs="Arial"/>
          <w:sz w:val="22"/>
          <w:szCs w:val="22"/>
          <w:highlight w:val="yellow"/>
          <w:lang w:val="en-GB"/>
        </w:rPr>
        <w:t>Being found guilty of an indictable offence in Great Britain</w:t>
      </w:r>
      <w:r w:rsidR="00763348" w:rsidRPr="006804A6">
        <w:rPr>
          <w:rFonts w:ascii="Avenir Next" w:hAnsi="Avenir Next" w:cs="Arial"/>
          <w:sz w:val="22"/>
          <w:szCs w:val="22"/>
          <w:highlight w:val="yellow"/>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F86ABA" w:rsidRDefault="00450393" w:rsidP="00450393">
      <w:pPr>
        <w:pStyle w:val="ListParagraph"/>
        <w:numPr>
          <w:ilvl w:val="0"/>
          <w:numId w:val="8"/>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F86ABA" w:rsidRDefault="00E833F4" w:rsidP="00B04033">
      <w:pPr>
        <w:pStyle w:val="ListParagraph"/>
        <w:numPr>
          <w:ilvl w:val="0"/>
          <w:numId w:val="9"/>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A</w:t>
      </w:r>
      <w:r w:rsidR="000D10C6" w:rsidRPr="00F86AB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F86ABA" w:rsidRDefault="000D4CFA" w:rsidP="004C7A8F">
      <w:pPr>
        <w:pStyle w:val="ListParagraph"/>
        <w:numPr>
          <w:ilvl w:val="0"/>
          <w:numId w:val="10"/>
        </w:numPr>
        <w:ind w:left="426"/>
        <w:jc w:val="both"/>
        <w:rPr>
          <w:rFonts w:ascii="Avenir Next" w:hAnsi="Avenir Next" w:cs="Arial"/>
          <w:sz w:val="22"/>
          <w:szCs w:val="22"/>
          <w:highlight w:val="yellow"/>
          <w:lang w:val="en-GB"/>
        </w:rPr>
      </w:pPr>
      <w:r w:rsidRPr="00F86ABA">
        <w:rPr>
          <w:rFonts w:ascii="Avenir Next" w:hAnsi="Avenir Next" w:cs="Arial"/>
          <w:sz w:val="22"/>
          <w:szCs w:val="22"/>
          <w:highlight w:val="yellow"/>
          <w:lang w:val="en-GB"/>
        </w:rPr>
        <w:t>Twelve</w:t>
      </w:r>
      <w:r w:rsidR="004C7A8F" w:rsidRPr="00F86ABA">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777689D2" w:rsidR="00DE03AF" w:rsidRPr="00D33347" w:rsidRDefault="00E25B5A"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A</w:t>
      </w:r>
      <w:r w:rsidR="0015167A" w:rsidRPr="00D33347">
        <w:rPr>
          <w:rFonts w:ascii="Arial" w:hAnsi="Arial" w:cs="Arial"/>
          <w:color w:val="4472C4" w:themeColor="accent1"/>
          <w:sz w:val="22"/>
          <w:szCs w:val="22"/>
          <w:lang w:val="en-GB"/>
        </w:rPr>
        <w:t xml:space="preserve">n action </w:t>
      </w:r>
      <w:r w:rsidR="006804A6">
        <w:rPr>
          <w:rFonts w:ascii="Arial" w:hAnsi="Arial" w:cs="Arial"/>
          <w:color w:val="4472C4" w:themeColor="accent1"/>
          <w:sz w:val="22"/>
          <w:szCs w:val="22"/>
          <w:lang w:val="en-GB"/>
        </w:rPr>
        <w:t xml:space="preserve">for a declaratory order </w:t>
      </w:r>
      <w:r w:rsidR="0015167A" w:rsidRPr="00D33347">
        <w:rPr>
          <w:rFonts w:ascii="Arial" w:hAnsi="Arial" w:cs="Arial"/>
          <w:color w:val="4472C4" w:themeColor="accent1"/>
          <w:sz w:val="22"/>
          <w:szCs w:val="22"/>
          <w:lang w:val="en-GB"/>
        </w:rPr>
        <w:t xml:space="preserve">under section 245 of the Insolvency Act 1986 (i.e. </w:t>
      </w:r>
      <w:r w:rsidR="006804A6">
        <w:rPr>
          <w:rFonts w:ascii="Arial" w:hAnsi="Arial" w:cs="Arial"/>
          <w:color w:val="4472C4" w:themeColor="accent1"/>
          <w:sz w:val="22"/>
          <w:szCs w:val="22"/>
          <w:lang w:val="en-GB"/>
        </w:rPr>
        <w:t>that a</w:t>
      </w:r>
      <w:r w:rsidRPr="00D33347">
        <w:rPr>
          <w:rFonts w:ascii="Arial" w:hAnsi="Arial" w:cs="Arial"/>
          <w:color w:val="4472C4" w:themeColor="accent1"/>
          <w:sz w:val="22"/>
          <w:szCs w:val="22"/>
          <w:lang w:val="en-GB"/>
        </w:rPr>
        <w:t xml:space="preserve"> floating charge</w:t>
      </w:r>
      <w:r w:rsidR="006804A6">
        <w:rPr>
          <w:rFonts w:ascii="Arial" w:hAnsi="Arial" w:cs="Arial"/>
          <w:color w:val="4472C4" w:themeColor="accent1"/>
          <w:sz w:val="22"/>
          <w:szCs w:val="22"/>
          <w:lang w:val="en-GB"/>
        </w:rPr>
        <w:t xml:space="preserve"> is invalid</w:t>
      </w:r>
      <w:r w:rsidRPr="00D33347">
        <w:rPr>
          <w:rFonts w:ascii="Arial" w:hAnsi="Arial" w:cs="Arial"/>
          <w:color w:val="4472C4" w:themeColor="accent1"/>
          <w:sz w:val="22"/>
          <w:szCs w:val="22"/>
          <w:lang w:val="en-GB"/>
        </w:rPr>
        <w:t xml:space="preserve">) can be </w:t>
      </w:r>
      <w:r w:rsidR="00D60FB6">
        <w:rPr>
          <w:rFonts w:ascii="Arial" w:hAnsi="Arial" w:cs="Arial"/>
          <w:color w:val="4472C4" w:themeColor="accent1"/>
          <w:sz w:val="22"/>
          <w:szCs w:val="22"/>
          <w:lang w:val="en-GB"/>
        </w:rPr>
        <w:t>brought</w:t>
      </w:r>
      <w:r w:rsidRPr="00D33347">
        <w:rPr>
          <w:rFonts w:ascii="Arial" w:hAnsi="Arial" w:cs="Arial"/>
          <w:color w:val="4472C4" w:themeColor="accent1"/>
          <w:sz w:val="22"/>
          <w:szCs w:val="22"/>
          <w:lang w:val="en-GB"/>
        </w:rPr>
        <w:t xml:space="preserve"> by the insolvency officeholder (</w:t>
      </w:r>
      <w:r w:rsidR="00CB7D89">
        <w:rPr>
          <w:rFonts w:ascii="Arial" w:hAnsi="Arial" w:cs="Arial"/>
          <w:color w:val="4472C4" w:themeColor="accent1"/>
          <w:sz w:val="22"/>
          <w:szCs w:val="22"/>
          <w:lang w:val="en-GB"/>
        </w:rPr>
        <w:t>including</w:t>
      </w:r>
      <w:r w:rsidRPr="00D33347">
        <w:rPr>
          <w:rFonts w:ascii="Arial" w:hAnsi="Arial" w:cs="Arial"/>
          <w:color w:val="4472C4" w:themeColor="accent1"/>
          <w:sz w:val="22"/>
          <w:szCs w:val="22"/>
          <w:lang w:val="en-GB"/>
        </w:rPr>
        <w:t xml:space="preserve"> the liquidator in a liquidation, </w:t>
      </w:r>
      <w:r w:rsidR="00CB7D89">
        <w:rPr>
          <w:rFonts w:ascii="Arial" w:hAnsi="Arial" w:cs="Arial"/>
          <w:color w:val="4472C4" w:themeColor="accent1"/>
          <w:sz w:val="22"/>
          <w:szCs w:val="22"/>
          <w:lang w:val="en-GB"/>
        </w:rPr>
        <w:t>or</w:t>
      </w:r>
      <w:r w:rsidR="00CB7D89"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the administrator in an administration).</w:t>
      </w:r>
    </w:p>
    <w:p w14:paraId="4A9BEC0B" w14:textId="3F98E386" w:rsidR="00E25B5A" w:rsidRPr="00D33347" w:rsidRDefault="00E25B5A" w:rsidP="002A37BB">
      <w:pPr>
        <w:jc w:val="both"/>
        <w:rPr>
          <w:rFonts w:ascii="Arial" w:hAnsi="Arial" w:cs="Arial"/>
          <w:color w:val="4472C4" w:themeColor="accent1"/>
          <w:sz w:val="22"/>
          <w:szCs w:val="22"/>
          <w:lang w:val="en-GB"/>
        </w:rPr>
      </w:pPr>
    </w:p>
    <w:p w14:paraId="675D6AD6" w14:textId="0AB166CE" w:rsidR="00E25B5A" w:rsidRPr="00D33347" w:rsidRDefault="00E25B5A"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An action under section 6 of the Company Directors Disqualification Act 1986 can be </w:t>
      </w:r>
      <w:r w:rsidR="00D60FB6">
        <w:rPr>
          <w:rFonts w:ascii="Arial" w:hAnsi="Arial" w:cs="Arial"/>
          <w:color w:val="4472C4" w:themeColor="accent1"/>
          <w:sz w:val="22"/>
          <w:szCs w:val="22"/>
          <w:lang w:val="en-GB"/>
        </w:rPr>
        <w:t>brought</w:t>
      </w:r>
      <w:r w:rsidR="00D60FB6"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 xml:space="preserve">by </w:t>
      </w:r>
      <w:r w:rsidR="00612184">
        <w:rPr>
          <w:rFonts w:ascii="Arial" w:hAnsi="Arial" w:cs="Arial"/>
          <w:color w:val="4472C4" w:themeColor="accent1"/>
          <w:sz w:val="22"/>
          <w:szCs w:val="22"/>
          <w:lang w:val="en-GB"/>
        </w:rPr>
        <w:t xml:space="preserve">the </w:t>
      </w:r>
      <w:r w:rsidRPr="00D33347">
        <w:rPr>
          <w:rFonts w:ascii="Arial" w:hAnsi="Arial" w:cs="Arial"/>
          <w:color w:val="4472C4" w:themeColor="accent1"/>
          <w:sz w:val="22"/>
          <w:szCs w:val="22"/>
          <w:lang w:val="en-GB"/>
        </w:rPr>
        <w:t>Secretary of State, or the Official Receiver on the instructions of the Secretary of State where the company in question has been wound up by the court.</w:t>
      </w:r>
    </w:p>
    <w:p w14:paraId="7A35DCF8" w14:textId="138ED39E" w:rsidR="00E25B5A" w:rsidRPr="00D33347" w:rsidRDefault="00E25B5A" w:rsidP="002A37BB">
      <w:pPr>
        <w:jc w:val="both"/>
        <w:rPr>
          <w:rFonts w:ascii="Arial" w:hAnsi="Arial" w:cs="Arial"/>
          <w:color w:val="4472C4" w:themeColor="accent1"/>
          <w:sz w:val="22"/>
          <w:szCs w:val="22"/>
          <w:lang w:val="en-GB"/>
        </w:rPr>
      </w:pPr>
    </w:p>
    <w:p w14:paraId="69591AC1" w14:textId="77C3F236" w:rsidR="00E25B5A" w:rsidRPr="00D33347" w:rsidRDefault="00E25B5A"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An action under section 246ZB of the Insolvency Act 1986 (i.e. wrongful trading)</w:t>
      </w:r>
      <w:r w:rsidR="00BE05A4"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 xml:space="preserve">can be </w:t>
      </w:r>
      <w:r w:rsidR="00D60FB6">
        <w:rPr>
          <w:rFonts w:ascii="Arial" w:hAnsi="Arial" w:cs="Arial"/>
          <w:color w:val="4472C4" w:themeColor="accent1"/>
          <w:sz w:val="22"/>
          <w:szCs w:val="22"/>
          <w:lang w:val="en-GB"/>
        </w:rPr>
        <w:t>brought</w:t>
      </w:r>
      <w:r w:rsidR="00D60FB6"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 xml:space="preserve">by </w:t>
      </w:r>
      <w:r w:rsidR="00BE05A4" w:rsidRPr="00D33347">
        <w:rPr>
          <w:rFonts w:ascii="Arial" w:hAnsi="Arial" w:cs="Arial"/>
          <w:color w:val="4472C4" w:themeColor="accent1"/>
          <w:sz w:val="22"/>
          <w:szCs w:val="22"/>
          <w:lang w:val="en-GB"/>
        </w:rPr>
        <w:t xml:space="preserve">the </w:t>
      </w:r>
      <w:r w:rsidR="00CB7D89">
        <w:rPr>
          <w:rFonts w:ascii="Arial" w:hAnsi="Arial" w:cs="Arial"/>
          <w:color w:val="4472C4" w:themeColor="accent1"/>
          <w:sz w:val="22"/>
          <w:szCs w:val="22"/>
          <w:lang w:val="en-GB"/>
        </w:rPr>
        <w:t xml:space="preserve">insolvency officeholder (including the </w:t>
      </w:r>
      <w:r w:rsidR="00BE05A4" w:rsidRPr="00D33347">
        <w:rPr>
          <w:rFonts w:ascii="Arial" w:hAnsi="Arial" w:cs="Arial"/>
          <w:color w:val="4472C4" w:themeColor="accent1"/>
          <w:sz w:val="22"/>
          <w:szCs w:val="22"/>
          <w:lang w:val="en-GB"/>
        </w:rPr>
        <w:t>liquidator in a liquidation</w:t>
      </w:r>
      <w:r w:rsidR="00CB7D89">
        <w:rPr>
          <w:rFonts w:ascii="Arial" w:hAnsi="Arial" w:cs="Arial"/>
          <w:color w:val="4472C4" w:themeColor="accent1"/>
          <w:sz w:val="22"/>
          <w:szCs w:val="22"/>
          <w:lang w:val="en-GB"/>
        </w:rPr>
        <w:t>, or the administrator in an administration)</w:t>
      </w:r>
      <w:r w:rsidR="00BE05A4" w:rsidRPr="00D33347">
        <w:rPr>
          <w:rFonts w:ascii="Arial" w:hAnsi="Arial" w:cs="Arial"/>
          <w:color w:val="4472C4" w:themeColor="accent1"/>
          <w:sz w:val="22"/>
          <w:szCs w:val="22"/>
          <w:lang w:val="en-GB"/>
        </w:rPr>
        <w:t>.</w:t>
      </w:r>
    </w:p>
    <w:p w14:paraId="2CE85D0A" w14:textId="0A09AA9F" w:rsidR="00BE05A4" w:rsidRPr="00D33347" w:rsidRDefault="00BE05A4" w:rsidP="002A37BB">
      <w:pPr>
        <w:jc w:val="both"/>
        <w:rPr>
          <w:rFonts w:ascii="Arial" w:hAnsi="Arial" w:cs="Arial"/>
          <w:color w:val="4472C4" w:themeColor="accent1"/>
          <w:sz w:val="22"/>
          <w:szCs w:val="22"/>
          <w:lang w:val="en-GB"/>
        </w:rPr>
      </w:pPr>
    </w:p>
    <w:p w14:paraId="6DD19CEB" w14:textId="6BB67917" w:rsidR="00E25B5A" w:rsidRPr="00D33347" w:rsidRDefault="00BE05A4"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For actions under section 127 of the Insolvency Act 1986 (i.e. disposition void unless validated) –</w:t>
      </w:r>
      <w:r w:rsidR="00085E03" w:rsidRPr="00D33347">
        <w:rPr>
          <w:rFonts w:ascii="Arial" w:hAnsi="Arial" w:cs="Arial"/>
          <w:color w:val="4472C4" w:themeColor="accent1"/>
          <w:sz w:val="22"/>
          <w:szCs w:val="22"/>
          <w:lang w:val="en-GB"/>
        </w:rPr>
        <w:t xml:space="preserve"> if seeking to </w:t>
      </w:r>
      <w:r w:rsidR="006804A6">
        <w:rPr>
          <w:rFonts w:ascii="Arial" w:hAnsi="Arial" w:cs="Arial"/>
          <w:color w:val="4472C4" w:themeColor="accent1"/>
          <w:sz w:val="22"/>
          <w:szCs w:val="22"/>
          <w:lang w:val="en-GB"/>
        </w:rPr>
        <w:t>a declaratory order under</w:t>
      </w:r>
      <w:r w:rsidR="00085E03" w:rsidRPr="00D33347">
        <w:rPr>
          <w:rFonts w:ascii="Arial" w:hAnsi="Arial" w:cs="Arial"/>
          <w:color w:val="4472C4" w:themeColor="accent1"/>
          <w:sz w:val="22"/>
          <w:szCs w:val="22"/>
          <w:lang w:val="en-GB"/>
        </w:rPr>
        <w:t xml:space="preserve"> section 127 to retrieve company assets disposed of during the relevant period, such application </w:t>
      </w:r>
      <w:r w:rsidR="00CB7D89">
        <w:rPr>
          <w:rFonts w:ascii="Arial" w:hAnsi="Arial" w:cs="Arial"/>
          <w:color w:val="4472C4" w:themeColor="accent1"/>
          <w:sz w:val="22"/>
          <w:szCs w:val="22"/>
          <w:lang w:val="en-GB"/>
        </w:rPr>
        <w:t>would normally</w:t>
      </w:r>
      <w:r w:rsidR="00CB7D89" w:rsidRPr="00D33347">
        <w:rPr>
          <w:rFonts w:ascii="Arial" w:hAnsi="Arial" w:cs="Arial"/>
          <w:color w:val="4472C4" w:themeColor="accent1"/>
          <w:sz w:val="22"/>
          <w:szCs w:val="22"/>
          <w:lang w:val="en-GB"/>
        </w:rPr>
        <w:t xml:space="preserve"> </w:t>
      </w:r>
      <w:r w:rsidR="00085E03" w:rsidRPr="00D33347">
        <w:rPr>
          <w:rFonts w:ascii="Arial" w:hAnsi="Arial" w:cs="Arial"/>
          <w:color w:val="4472C4" w:themeColor="accent1"/>
          <w:sz w:val="22"/>
          <w:szCs w:val="22"/>
          <w:lang w:val="en-GB"/>
        </w:rPr>
        <w:t xml:space="preserve">be </w:t>
      </w:r>
      <w:r w:rsidR="00D60FB6">
        <w:rPr>
          <w:rFonts w:ascii="Arial" w:hAnsi="Arial" w:cs="Arial"/>
          <w:color w:val="4472C4" w:themeColor="accent1"/>
          <w:sz w:val="22"/>
          <w:szCs w:val="22"/>
          <w:lang w:val="en-GB"/>
        </w:rPr>
        <w:t>brought</w:t>
      </w:r>
      <w:r w:rsidR="00D60FB6" w:rsidRPr="00D33347">
        <w:rPr>
          <w:rFonts w:ascii="Arial" w:hAnsi="Arial" w:cs="Arial"/>
          <w:color w:val="4472C4" w:themeColor="accent1"/>
          <w:sz w:val="22"/>
          <w:szCs w:val="22"/>
          <w:lang w:val="en-GB"/>
        </w:rPr>
        <w:t xml:space="preserve"> </w:t>
      </w:r>
      <w:r w:rsidR="00085E03" w:rsidRPr="00D33347">
        <w:rPr>
          <w:rFonts w:ascii="Arial" w:hAnsi="Arial" w:cs="Arial"/>
          <w:color w:val="4472C4" w:themeColor="accent1"/>
          <w:sz w:val="22"/>
          <w:szCs w:val="22"/>
          <w:lang w:val="en-GB"/>
        </w:rPr>
        <w:t xml:space="preserve">by the </w:t>
      </w:r>
      <w:r w:rsidR="00CB7D89">
        <w:rPr>
          <w:rFonts w:ascii="Arial" w:hAnsi="Arial" w:cs="Arial"/>
          <w:color w:val="4472C4" w:themeColor="accent1"/>
          <w:sz w:val="22"/>
          <w:szCs w:val="22"/>
          <w:lang w:val="en-GB"/>
        </w:rPr>
        <w:t xml:space="preserve">insolvency officeholder (including the </w:t>
      </w:r>
      <w:r w:rsidR="00CB7D89" w:rsidRPr="00A957DC">
        <w:rPr>
          <w:rFonts w:ascii="Arial" w:hAnsi="Arial" w:cs="Arial"/>
          <w:color w:val="4472C4" w:themeColor="accent1"/>
          <w:sz w:val="22"/>
          <w:szCs w:val="22"/>
          <w:lang w:val="en-GB"/>
        </w:rPr>
        <w:t>liquidator in a liquidation</w:t>
      </w:r>
      <w:r w:rsidR="00CB7D89">
        <w:rPr>
          <w:rFonts w:ascii="Arial" w:hAnsi="Arial" w:cs="Arial"/>
          <w:color w:val="4472C4" w:themeColor="accent1"/>
          <w:sz w:val="22"/>
          <w:szCs w:val="22"/>
          <w:lang w:val="en-GB"/>
        </w:rPr>
        <w:t>, or the administrator in an administration)</w:t>
      </w:r>
      <w:r w:rsidR="00085E03" w:rsidRPr="00D33347">
        <w:rPr>
          <w:rFonts w:ascii="Arial" w:hAnsi="Arial" w:cs="Arial"/>
          <w:color w:val="4472C4" w:themeColor="accent1"/>
          <w:sz w:val="22"/>
          <w:szCs w:val="22"/>
          <w:lang w:val="en-GB"/>
        </w:rPr>
        <w:t xml:space="preserve">; if seeking a validation order from the court that the disposition is not void, the recipient of the company assets </w:t>
      </w:r>
      <w:r w:rsidR="00CB7D89">
        <w:rPr>
          <w:rFonts w:ascii="Arial" w:hAnsi="Arial" w:cs="Arial"/>
          <w:color w:val="4472C4" w:themeColor="accent1"/>
          <w:sz w:val="22"/>
          <w:szCs w:val="22"/>
          <w:lang w:val="en-GB"/>
        </w:rPr>
        <w:t>would normally</w:t>
      </w:r>
      <w:r w:rsidR="00CB7D89" w:rsidRPr="00D33347">
        <w:rPr>
          <w:rFonts w:ascii="Arial" w:hAnsi="Arial" w:cs="Arial"/>
          <w:color w:val="4472C4" w:themeColor="accent1"/>
          <w:sz w:val="22"/>
          <w:szCs w:val="22"/>
          <w:lang w:val="en-GB"/>
        </w:rPr>
        <w:t xml:space="preserve"> </w:t>
      </w:r>
      <w:r w:rsidR="00D60FB6">
        <w:rPr>
          <w:rFonts w:ascii="Arial" w:hAnsi="Arial" w:cs="Arial"/>
          <w:color w:val="4472C4" w:themeColor="accent1"/>
          <w:sz w:val="22"/>
          <w:szCs w:val="22"/>
          <w:lang w:val="en-GB"/>
        </w:rPr>
        <w:t>bring</w:t>
      </w:r>
      <w:r w:rsidR="00085E03" w:rsidRPr="00D33347">
        <w:rPr>
          <w:rFonts w:ascii="Arial" w:hAnsi="Arial" w:cs="Arial"/>
          <w:color w:val="4472C4" w:themeColor="accent1"/>
          <w:sz w:val="22"/>
          <w:szCs w:val="22"/>
          <w:lang w:val="en-GB"/>
        </w:rPr>
        <w:t xml:space="preserve"> the application.</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AF78D09" w14:textId="0CF91D22" w:rsidR="00FB3AE8" w:rsidRPr="00D33347" w:rsidRDefault="00FB3AE8" w:rsidP="00085E03">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It should be noted that a Moratorium does not prevent enforcement of creditor actions in relation to the debts incurred during the Moratorium, </w:t>
      </w:r>
      <w:r w:rsidR="00CB7D89">
        <w:rPr>
          <w:rFonts w:ascii="Arial" w:hAnsi="Arial" w:cs="Arial"/>
          <w:color w:val="4472C4" w:themeColor="accent1"/>
          <w:sz w:val="22"/>
          <w:szCs w:val="22"/>
          <w:lang w:val="en-GB"/>
        </w:rPr>
        <w:t>rather it</w:t>
      </w:r>
      <w:r w:rsidR="00CB7D89"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imposes restrictions on enforcement or payment of pre-Moratorium debts.</w:t>
      </w:r>
    </w:p>
    <w:p w14:paraId="1E9A682D" w14:textId="77777777" w:rsidR="00FB3AE8" w:rsidRPr="00D33347" w:rsidRDefault="00FB3AE8" w:rsidP="00085E03">
      <w:pPr>
        <w:jc w:val="both"/>
        <w:rPr>
          <w:rFonts w:ascii="Arial" w:hAnsi="Arial" w:cs="Arial"/>
          <w:color w:val="4472C4" w:themeColor="accent1"/>
          <w:sz w:val="22"/>
          <w:szCs w:val="22"/>
          <w:lang w:val="en-GB"/>
        </w:rPr>
      </w:pPr>
    </w:p>
    <w:p w14:paraId="64E71FB9" w14:textId="4BDF5DF8" w:rsidR="00085E03" w:rsidRPr="00D33347" w:rsidRDefault="00CB7D89" w:rsidP="00085E03">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w:t>
      </w:r>
      <w:r w:rsidR="00FB3AE8" w:rsidRPr="00D33347">
        <w:rPr>
          <w:rFonts w:ascii="Arial" w:hAnsi="Arial" w:cs="Arial"/>
          <w:color w:val="4472C4" w:themeColor="accent1"/>
          <w:sz w:val="22"/>
          <w:szCs w:val="22"/>
          <w:lang w:val="en-GB"/>
        </w:rPr>
        <w:t>he</w:t>
      </w:r>
      <w:r w:rsidR="00085E03" w:rsidRPr="00D33347">
        <w:rPr>
          <w:rFonts w:ascii="Arial" w:hAnsi="Arial" w:cs="Arial"/>
          <w:color w:val="4472C4" w:themeColor="accent1"/>
          <w:sz w:val="22"/>
          <w:szCs w:val="22"/>
          <w:lang w:val="en-GB"/>
        </w:rPr>
        <w:t xml:space="preserve"> following types of </w:t>
      </w:r>
      <w:r w:rsidR="00FB3AE8" w:rsidRPr="00D33347">
        <w:rPr>
          <w:rFonts w:ascii="Arial" w:hAnsi="Arial" w:cs="Arial"/>
          <w:color w:val="4472C4" w:themeColor="accent1"/>
          <w:sz w:val="22"/>
          <w:szCs w:val="22"/>
          <w:lang w:val="en-GB"/>
        </w:rPr>
        <w:t xml:space="preserve">pre-Moratorium </w:t>
      </w:r>
      <w:r w:rsidR="00085E03" w:rsidRPr="00D33347">
        <w:rPr>
          <w:rFonts w:ascii="Arial" w:hAnsi="Arial" w:cs="Arial"/>
          <w:color w:val="4472C4" w:themeColor="accent1"/>
          <w:sz w:val="22"/>
          <w:szCs w:val="22"/>
          <w:lang w:val="en-GB"/>
        </w:rPr>
        <w:t>debts do not form part of the payment holiday under Part A1 of the Insolvency Act 1986 when a company is subject to a Moratorium:</w:t>
      </w:r>
    </w:p>
    <w:p w14:paraId="5B1ACDA0" w14:textId="3B6229E6" w:rsidR="00085E03" w:rsidRPr="00D33347" w:rsidRDefault="00085E03" w:rsidP="00085E03">
      <w:pPr>
        <w:jc w:val="both"/>
        <w:rPr>
          <w:rFonts w:ascii="Arial" w:hAnsi="Arial" w:cs="Arial"/>
          <w:color w:val="4472C4" w:themeColor="accent1"/>
          <w:sz w:val="22"/>
          <w:szCs w:val="22"/>
          <w:lang w:val="en-GB"/>
        </w:rPr>
      </w:pPr>
    </w:p>
    <w:p w14:paraId="3FEE2F33" w14:textId="4A96B860" w:rsidR="00085E03" w:rsidRPr="00D33347" w:rsidRDefault="00085E03" w:rsidP="00085E03">
      <w:pPr>
        <w:pStyle w:val="ListParagraph"/>
        <w:numPr>
          <w:ilvl w:val="0"/>
          <w:numId w:val="18"/>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the monitor’s remuneration or expenses;</w:t>
      </w:r>
    </w:p>
    <w:p w14:paraId="38B0605D" w14:textId="53767D48" w:rsidR="00085E03" w:rsidRPr="00D33347" w:rsidRDefault="00085E03" w:rsidP="00085E03">
      <w:pPr>
        <w:pStyle w:val="ListParagraph"/>
        <w:numPr>
          <w:ilvl w:val="0"/>
          <w:numId w:val="18"/>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rent in respect of a period during the Moratorium;</w:t>
      </w:r>
    </w:p>
    <w:p w14:paraId="03B10CED" w14:textId="159E7073" w:rsidR="00085E03" w:rsidRPr="00D33347" w:rsidRDefault="00085E03" w:rsidP="00085E03">
      <w:pPr>
        <w:pStyle w:val="ListParagraph"/>
        <w:numPr>
          <w:ilvl w:val="0"/>
          <w:numId w:val="18"/>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wages or salary arising under a contract of employment</w:t>
      </w:r>
      <w:r w:rsidR="004F6614" w:rsidRPr="00D33347">
        <w:rPr>
          <w:rFonts w:ascii="Arial" w:hAnsi="Arial" w:cs="Arial"/>
          <w:color w:val="4472C4" w:themeColor="accent1"/>
          <w:sz w:val="22"/>
          <w:szCs w:val="22"/>
          <w:lang w:val="en-GB"/>
        </w:rPr>
        <w:t>;</w:t>
      </w:r>
    </w:p>
    <w:p w14:paraId="57AEF0D0" w14:textId="563739BD" w:rsidR="00085E03" w:rsidRPr="00D33347" w:rsidRDefault="00085E03" w:rsidP="00085E03">
      <w:pPr>
        <w:pStyle w:val="ListParagraph"/>
        <w:numPr>
          <w:ilvl w:val="0"/>
          <w:numId w:val="18"/>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redundancy payments</w:t>
      </w:r>
      <w:r w:rsidR="004F6614" w:rsidRPr="00D33347">
        <w:rPr>
          <w:rFonts w:ascii="Arial" w:hAnsi="Arial" w:cs="Arial"/>
          <w:color w:val="4472C4" w:themeColor="accent1"/>
          <w:sz w:val="22"/>
          <w:szCs w:val="22"/>
          <w:lang w:val="en-GB"/>
        </w:rPr>
        <w:t>; and</w:t>
      </w:r>
    </w:p>
    <w:p w14:paraId="59A51F24" w14:textId="6C98012A" w:rsidR="00085E03" w:rsidRPr="00D33347" w:rsidRDefault="00085E03" w:rsidP="00085E03">
      <w:pPr>
        <w:pStyle w:val="ListParagraph"/>
        <w:numPr>
          <w:ilvl w:val="0"/>
          <w:numId w:val="18"/>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debts or other liabilities arising under a contract or other instrument involving “financial services”, which includes lending, financial leasing or providing guarantees</w:t>
      </w:r>
      <w:r w:rsidR="004F6614" w:rsidRPr="00D33347">
        <w:rPr>
          <w:rFonts w:ascii="Arial" w:hAnsi="Arial" w:cs="Arial"/>
          <w:color w:val="4472C4" w:themeColor="accent1"/>
          <w:sz w:val="22"/>
          <w:szCs w:val="22"/>
          <w:lang w:val="en-GB"/>
        </w:rPr>
        <w:t>.</w:t>
      </w:r>
    </w:p>
    <w:p w14:paraId="572227E7" w14:textId="1E877095"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52FB8EDC" w:rsidR="0063381C" w:rsidRDefault="0063381C" w:rsidP="002A37BB">
      <w:pPr>
        <w:jc w:val="both"/>
        <w:rPr>
          <w:rFonts w:ascii="Avenir Next" w:hAnsi="Avenir Next" w:cs="Arial"/>
          <w:color w:val="7B7B7B" w:themeColor="accent3" w:themeShade="BF"/>
          <w:sz w:val="22"/>
          <w:szCs w:val="22"/>
          <w:lang w:val="en-GB"/>
        </w:rPr>
      </w:pPr>
    </w:p>
    <w:p w14:paraId="17A464FE" w14:textId="02C85341" w:rsidR="004F6614" w:rsidRPr="00D33347" w:rsidRDefault="00BA5883"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It should be noted that </w:t>
      </w:r>
      <w:r w:rsidR="00CB7D89">
        <w:rPr>
          <w:rFonts w:ascii="Arial" w:hAnsi="Arial" w:cs="Arial"/>
          <w:color w:val="4472C4" w:themeColor="accent1"/>
          <w:sz w:val="22"/>
          <w:szCs w:val="22"/>
          <w:lang w:val="en-GB"/>
        </w:rPr>
        <w:t xml:space="preserve">the </w:t>
      </w:r>
      <w:r w:rsidRPr="00D33347">
        <w:rPr>
          <w:rFonts w:ascii="Arial" w:hAnsi="Arial" w:cs="Arial"/>
          <w:color w:val="4472C4" w:themeColor="accent1"/>
          <w:sz w:val="22"/>
          <w:szCs w:val="22"/>
          <w:lang w:val="en-GB"/>
        </w:rPr>
        <w:t xml:space="preserve">appointment of an administrator does not automatically terminate a company’s executory contracts, such as ongoing contracts of supply of goods and services. However, such contracts of supply of goods and services may contain </w:t>
      </w:r>
      <w:r w:rsidRPr="00D33347">
        <w:rPr>
          <w:rFonts w:ascii="Arial" w:hAnsi="Arial" w:cs="Arial"/>
          <w:i/>
          <w:color w:val="4472C4" w:themeColor="accent1"/>
          <w:sz w:val="22"/>
          <w:szCs w:val="22"/>
          <w:lang w:val="en-GB"/>
        </w:rPr>
        <w:t>ipso facto</w:t>
      </w:r>
      <w:r w:rsidRPr="00D33347">
        <w:rPr>
          <w:rFonts w:ascii="Arial" w:hAnsi="Arial" w:cs="Arial"/>
          <w:color w:val="4472C4" w:themeColor="accent1"/>
          <w:sz w:val="22"/>
          <w:szCs w:val="22"/>
          <w:lang w:val="en-GB"/>
        </w:rPr>
        <w:t xml:space="preserve"> clauses providing for automatic termination when the company enters into an insolvency process (such as administration). The administrator have various statutory powers and protections against this, to require suppliers of goods and services to continue supplying goods and services </w:t>
      </w:r>
      <w:r w:rsidR="00612184">
        <w:rPr>
          <w:rFonts w:ascii="Arial" w:hAnsi="Arial" w:cs="Arial"/>
          <w:color w:val="4472C4" w:themeColor="accent1"/>
          <w:sz w:val="22"/>
          <w:szCs w:val="22"/>
          <w:lang w:val="en-GB"/>
        </w:rPr>
        <w:t xml:space="preserve">to the company </w:t>
      </w:r>
      <w:r w:rsidRPr="00D33347">
        <w:rPr>
          <w:rFonts w:ascii="Arial" w:hAnsi="Arial" w:cs="Arial"/>
          <w:color w:val="4472C4" w:themeColor="accent1"/>
          <w:sz w:val="22"/>
          <w:szCs w:val="22"/>
          <w:lang w:val="en-GB"/>
        </w:rPr>
        <w:t>during the administration.</w:t>
      </w:r>
    </w:p>
    <w:p w14:paraId="26121722" w14:textId="440397EB" w:rsidR="00BA5883" w:rsidRPr="00D33347" w:rsidRDefault="00BA5883" w:rsidP="002A37BB">
      <w:pPr>
        <w:jc w:val="both"/>
        <w:rPr>
          <w:rFonts w:ascii="Arial" w:hAnsi="Arial" w:cs="Arial"/>
          <w:color w:val="4472C4" w:themeColor="accent1"/>
          <w:sz w:val="22"/>
          <w:szCs w:val="22"/>
          <w:lang w:val="en-GB"/>
        </w:rPr>
      </w:pPr>
    </w:p>
    <w:p w14:paraId="0DDBE361" w14:textId="0296AF5B" w:rsidR="0026544D" w:rsidRPr="00D33347" w:rsidRDefault="0026544D" w:rsidP="002A37BB">
      <w:pPr>
        <w:jc w:val="both"/>
        <w:rPr>
          <w:rFonts w:ascii="Arial" w:hAnsi="Arial" w:cs="Arial"/>
          <w:i/>
          <w:color w:val="4472C4" w:themeColor="accent1"/>
          <w:sz w:val="22"/>
          <w:szCs w:val="22"/>
          <w:u w:val="single"/>
          <w:lang w:val="en-GB"/>
        </w:rPr>
      </w:pPr>
      <w:r w:rsidRPr="00D33347">
        <w:rPr>
          <w:rFonts w:ascii="Arial" w:hAnsi="Arial" w:cs="Arial"/>
          <w:i/>
          <w:color w:val="4472C4" w:themeColor="accent1"/>
          <w:sz w:val="22"/>
          <w:szCs w:val="22"/>
          <w:u w:val="single"/>
          <w:lang w:val="en-GB"/>
        </w:rPr>
        <w:t>For suppliers of gas, electricity, water and communication services</w:t>
      </w:r>
    </w:p>
    <w:p w14:paraId="4EF5C7D5" w14:textId="77777777" w:rsidR="0026544D" w:rsidRPr="00D33347" w:rsidRDefault="0026544D" w:rsidP="002A37BB">
      <w:pPr>
        <w:jc w:val="both"/>
        <w:rPr>
          <w:rFonts w:ascii="Arial" w:hAnsi="Arial" w:cs="Arial"/>
          <w:color w:val="4472C4" w:themeColor="accent1"/>
          <w:sz w:val="22"/>
          <w:szCs w:val="22"/>
          <w:lang w:val="en-GB"/>
        </w:rPr>
      </w:pPr>
    </w:p>
    <w:p w14:paraId="58E7F520" w14:textId="08E4DCC3" w:rsidR="00BA5883" w:rsidRPr="00D33347" w:rsidRDefault="00BA5883"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Section 233 of the Insolvency Act 1986 provides that suppliers of gas, electricity, water and communication services (including point of sale terminals, computer hardware and software, information, advice and technical assistance, data storage and processing and website hosting) are not permitted to require payment of outstanding debts to secure new or continued supply to the company in administration, though such suppliers can require the administrator to personally guarantee payment of charges in respect of the new supply.</w:t>
      </w:r>
    </w:p>
    <w:p w14:paraId="1F340EC6" w14:textId="561BC669" w:rsidR="00BA5883" w:rsidRPr="00D33347" w:rsidRDefault="00BA5883" w:rsidP="002A37BB">
      <w:pPr>
        <w:jc w:val="both"/>
        <w:rPr>
          <w:rFonts w:ascii="Arial" w:hAnsi="Arial" w:cs="Arial"/>
          <w:color w:val="4472C4" w:themeColor="accent1"/>
          <w:sz w:val="22"/>
          <w:szCs w:val="22"/>
          <w:lang w:val="en-GB"/>
        </w:rPr>
      </w:pPr>
    </w:p>
    <w:p w14:paraId="02979692" w14:textId="34C7B1BC" w:rsidR="00BA5883" w:rsidRPr="00D33347" w:rsidRDefault="00BA5883" w:rsidP="002A37B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Section 233A </w:t>
      </w:r>
      <w:r w:rsidR="0026544D" w:rsidRPr="00D33347">
        <w:rPr>
          <w:rFonts w:ascii="Arial" w:hAnsi="Arial" w:cs="Arial"/>
          <w:color w:val="4472C4" w:themeColor="accent1"/>
          <w:sz w:val="22"/>
          <w:szCs w:val="22"/>
          <w:lang w:val="en-GB"/>
        </w:rPr>
        <w:t xml:space="preserve">of the Insolvency Act 1986 </w:t>
      </w:r>
      <w:r w:rsidRPr="00D33347">
        <w:rPr>
          <w:rFonts w:ascii="Arial" w:hAnsi="Arial" w:cs="Arial"/>
          <w:color w:val="4472C4" w:themeColor="accent1"/>
          <w:sz w:val="22"/>
          <w:szCs w:val="22"/>
          <w:lang w:val="en-GB"/>
        </w:rPr>
        <w:t>provides that a supplier of services mentioned in section 233 is generally unable to rely on ipso facto clauses entitling the supplier to terminate the supply or alter the terms of supply or compel higher payments for continued supply.</w:t>
      </w:r>
    </w:p>
    <w:p w14:paraId="16C5334D" w14:textId="126CD58B" w:rsidR="00BA5883" w:rsidRPr="00D33347" w:rsidRDefault="00BA5883" w:rsidP="002A37BB">
      <w:pPr>
        <w:jc w:val="both"/>
        <w:rPr>
          <w:rFonts w:ascii="Arial" w:hAnsi="Arial" w:cs="Arial"/>
          <w:color w:val="4472C4" w:themeColor="accent1"/>
          <w:sz w:val="22"/>
          <w:szCs w:val="22"/>
          <w:lang w:val="en-GB"/>
        </w:rPr>
      </w:pPr>
    </w:p>
    <w:p w14:paraId="0B789AB7" w14:textId="11CCEE4D" w:rsidR="0026544D" w:rsidRPr="00D33347" w:rsidRDefault="0026544D" w:rsidP="0026544D">
      <w:pPr>
        <w:jc w:val="both"/>
        <w:rPr>
          <w:rFonts w:ascii="Arial" w:hAnsi="Arial" w:cs="Arial"/>
          <w:i/>
          <w:color w:val="4472C4" w:themeColor="accent1"/>
          <w:sz w:val="22"/>
          <w:szCs w:val="22"/>
          <w:u w:val="single"/>
          <w:lang w:val="en-GB"/>
        </w:rPr>
      </w:pPr>
      <w:r w:rsidRPr="00D33347">
        <w:rPr>
          <w:rFonts w:ascii="Arial" w:hAnsi="Arial" w:cs="Arial"/>
          <w:i/>
          <w:color w:val="4472C4" w:themeColor="accent1"/>
          <w:sz w:val="22"/>
          <w:szCs w:val="22"/>
          <w:u w:val="single"/>
          <w:lang w:val="en-GB"/>
        </w:rPr>
        <w:t>For suppliers of other goods and services</w:t>
      </w:r>
    </w:p>
    <w:p w14:paraId="7448F7F4" w14:textId="77777777" w:rsidR="00BA5883" w:rsidRPr="00D33347" w:rsidRDefault="00BA5883" w:rsidP="002A37BB">
      <w:pPr>
        <w:jc w:val="both"/>
        <w:rPr>
          <w:rFonts w:ascii="Arial" w:hAnsi="Arial" w:cs="Arial"/>
          <w:color w:val="4472C4" w:themeColor="accent1"/>
          <w:sz w:val="22"/>
          <w:szCs w:val="22"/>
          <w:lang w:val="en-GB"/>
        </w:rPr>
      </w:pPr>
    </w:p>
    <w:p w14:paraId="5ADFCA94" w14:textId="69FDF12C" w:rsidR="0026544D" w:rsidRPr="00D33347" w:rsidRDefault="0026544D" w:rsidP="0026544D">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Section 233B of the Insolvency Act 1986 generally prohibits clauses which allow the supplier of any goods or services to terminate or do any other thing in relation to the supply contract if the company enters a formal insolvency procedure (e.g. administration). This empowers the administrator to prevent the suppliers from making it a condition of continued supply that pre-insolvency arrears be paid, or make other changes to the contract such as increasing prices, nor can the supplier insist on the administrator providing a personal guarantee for payment of charges in respect of the new supply.</w:t>
      </w:r>
    </w:p>
    <w:p w14:paraId="4E1A14DA" w14:textId="71464A67" w:rsidR="0026544D" w:rsidRPr="00D33347" w:rsidRDefault="0026544D" w:rsidP="0026544D">
      <w:pPr>
        <w:jc w:val="both"/>
        <w:rPr>
          <w:rFonts w:ascii="Arial" w:hAnsi="Arial" w:cs="Arial"/>
          <w:color w:val="4472C4" w:themeColor="accent1"/>
          <w:sz w:val="22"/>
          <w:szCs w:val="22"/>
          <w:lang w:val="en-GB"/>
        </w:rPr>
      </w:pPr>
    </w:p>
    <w:p w14:paraId="5E0EC5CA" w14:textId="5324CAE9" w:rsidR="0026544D" w:rsidRPr="00D33347" w:rsidRDefault="0026544D" w:rsidP="0026544D">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However, the supplier </w:t>
      </w:r>
      <w:r w:rsidR="00CB7D89">
        <w:rPr>
          <w:rFonts w:ascii="Arial" w:hAnsi="Arial" w:cs="Arial"/>
          <w:color w:val="4472C4" w:themeColor="accent1"/>
          <w:sz w:val="22"/>
          <w:szCs w:val="22"/>
          <w:lang w:val="en-GB"/>
        </w:rPr>
        <w:t>may (a) terminate the contract if the company or the insolvency officeholder consents, or (b)</w:t>
      </w:r>
      <w:r w:rsidRPr="00D33347">
        <w:rPr>
          <w:rFonts w:ascii="Arial" w:hAnsi="Arial" w:cs="Arial"/>
          <w:color w:val="4472C4" w:themeColor="accent1"/>
          <w:sz w:val="22"/>
          <w:szCs w:val="22"/>
          <w:lang w:val="en-GB"/>
        </w:rPr>
        <w:t xml:space="preserve"> make an application to the court that continuation of the contract would cause the supplier hardship, and if the court is so satisfied, it may grant permission for termination of the supply contract.</w:t>
      </w:r>
    </w:p>
    <w:p w14:paraId="4ADCBAE9" w14:textId="1D380BD0" w:rsidR="0026544D" w:rsidRPr="00D33347" w:rsidRDefault="0026544D" w:rsidP="0026544D">
      <w:pPr>
        <w:jc w:val="both"/>
        <w:rPr>
          <w:rFonts w:ascii="Arial" w:hAnsi="Arial" w:cs="Arial"/>
          <w:color w:val="4472C4" w:themeColor="accent1"/>
          <w:sz w:val="22"/>
          <w:szCs w:val="22"/>
          <w:lang w:val="en-GB"/>
        </w:rPr>
      </w:pPr>
    </w:p>
    <w:p w14:paraId="0A29DDE4" w14:textId="4E14EF6F" w:rsidR="0026544D" w:rsidRPr="00D33347" w:rsidRDefault="0026544D" w:rsidP="0026544D">
      <w:pPr>
        <w:jc w:val="both"/>
        <w:rPr>
          <w:rFonts w:ascii="Arial" w:hAnsi="Arial" w:cs="Arial"/>
          <w:i/>
          <w:color w:val="4472C4" w:themeColor="accent1"/>
          <w:sz w:val="22"/>
          <w:szCs w:val="22"/>
          <w:u w:val="single"/>
          <w:lang w:val="en-GB"/>
        </w:rPr>
      </w:pPr>
      <w:r w:rsidRPr="00D33347">
        <w:rPr>
          <w:rFonts w:ascii="Arial" w:hAnsi="Arial" w:cs="Arial"/>
          <w:i/>
          <w:color w:val="4472C4" w:themeColor="accent1"/>
          <w:sz w:val="22"/>
          <w:szCs w:val="22"/>
          <w:u w:val="single"/>
          <w:lang w:val="en-GB"/>
        </w:rPr>
        <w:t>For suppliers of certain exempted functions</w:t>
      </w:r>
    </w:p>
    <w:p w14:paraId="600B46A1" w14:textId="3492AACB" w:rsidR="0026544D" w:rsidRPr="00D33347" w:rsidRDefault="0026544D" w:rsidP="0026544D">
      <w:pPr>
        <w:jc w:val="both"/>
        <w:rPr>
          <w:rFonts w:ascii="Arial" w:hAnsi="Arial" w:cs="Arial"/>
          <w:color w:val="4472C4" w:themeColor="accent1"/>
          <w:sz w:val="22"/>
          <w:szCs w:val="22"/>
          <w:lang w:val="en-GB"/>
        </w:rPr>
      </w:pPr>
    </w:p>
    <w:p w14:paraId="79AF0316" w14:textId="458921FD" w:rsidR="0026544D" w:rsidRPr="00D33347" w:rsidRDefault="0026544D" w:rsidP="0026544D">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There are certain suppliers who are not limited by the restrictions set out in sections 223, 223A or 223B of the </w:t>
      </w:r>
      <w:r w:rsidR="00D86F87" w:rsidRPr="00D33347">
        <w:rPr>
          <w:rFonts w:ascii="Arial" w:hAnsi="Arial" w:cs="Arial"/>
          <w:color w:val="4472C4" w:themeColor="accent1"/>
          <w:sz w:val="22"/>
          <w:szCs w:val="22"/>
          <w:lang w:val="en-GB"/>
        </w:rPr>
        <w:t>Insolvency Act 1986</w:t>
      </w:r>
      <w:r w:rsidRPr="00D33347">
        <w:rPr>
          <w:rFonts w:ascii="Arial" w:hAnsi="Arial" w:cs="Arial"/>
          <w:color w:val="4472C4" w:themeColor="accent1"/>
          <w:sz w:val="22"/>
          <w:szCs w:val="22"/>
          <w:lang w:val="en-GB"/>
        </w:rPr>
        <w:t>, including insurers, banks, electronic money institutions, recognised investment exchanges and clearing houses, securitisation companies, overseas companies with corresponding functions. The administrator will have limited powers to stop these suppliers from terminating their contracts if the supply contract so provides.</w:t>
      </w:r>
    </w:p>
    <w:p w14:paraId="79638FF0" w14:textId="77777777" w:rsidR="0026544D" w:rsidRPr="00BA5883" w:rsidRDefault="0026544D" w:rsidP="002A37BB">
      <w:pPr>
        <w:jc w:val="both"/>
        <w:rPr>
          <w:rFonts w:ascii="Avenir Next" w:hAnsi="Avenir Next" w:cs="Arial"/>
          <w:sz w:val="22"/>
          <w:szCs w:val="22"/>
          <w:lang w:val="en-GB"/>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3B6DBFF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66D52C0" w14:textId="50CEE2AD" w:rsidR="009A7A44" w:rsidRPr="00D33347" w:rsidRDefault="009A7A44" w:rsidP="0026544D">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It should be noted that the assets distributed to creditors according to the statutory priority of payments rules do not include – (</w:t>
      </w:r>
      <w:proofErr w:type="spellStart"/>
      <w:r w:rsidRPr="00D33347">
        <w:rPr>
          <w:rFonts w:ascii="Arial" w:hAnsi="Arial" w:cs="Arial"/>
          <w:color w:val="4472C4" w:themeColor="accent1"/>
          <w:sz w:val="22"/>
          <w:szCs w:val="22"/>
          <w:lang w:val="en-GB"/>
        </w:rPr>
        <w:t>i</w:t>
      </w:r>
      <w:proofErr w:type="spellEnd"/>
      <w:r w:rsidRPr="00D33347">
        <w:rPr>
          <w:rFonts w:ascii="Arial" w:hAnsi="Arial" w:cs="Arial"/>
          <w:color w:val="4472C4" w:themeColor="accent1"/>
          <w:sz w:val="22"/>
          <w:szCs w:val="22"/>
          <w:lang w:val="en-GB"/>
        </w:rPr>
        <w:t>) those assets which the company does not have title, for example debts effectively assigned to a receivables financier, or assets subject to hire purchase or retention of title contracts; and (ii) those assets which are under some “fixed” security in favour of a creditor (e.g. a mortgage of fixed charge over the assets).</w:t>
      </w:r>
    </w:p>
    <w:p w14:paraId="55C41CA0" w14:textId="77777777" w:rsidR="009A7A44" w:rsidRPr="00D33347" w:rsidRDefault="009A7A44" w:rsidP="0026544D">
      <w:pPr>
        <w:jc w:val="both"/>
        <w:rPr>
          <w:rFonts w:ascii="Arial" w:hAnsi="Arial" w:cs="Arial"/>
          <w:color w:val="4472C4" w:themeColor="accent1"/>
          <w:sz w:val="22"/>
          <w:szCs w:val="22"/>
          <w:lang w:val="en-GB"/>
        </w:rPr>
      </w:pPr>
    </w:p>
    <w:p w14:paraId="47ACA961" w14:textId="52CB212A" w:rsidR="0026544D" w:rsidRPr="00D33347" w:rsidRDefault="0026544D" w:rsidP="0026544D">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The order of priority of payments in a liquidation is generally as follows:</w:t>
      </w:r>
    </w:p>
    <w:p w14:paraId="4CCC85E1" w14:textId="67FEFEA7" w:rsidR="0026544D" w:rsidRPr="00D33347" w:rsidRDefault="0026544D" w:rsidP="0026544D">
      <w:pPr>
        <w:jc w:val="both"/>
        <w:rPr>
          <w:rFonts w:ascii="Arial" w:hAnsi="Arial" w:cs="Arial"/>
          <w:color w:val="4472C4" w:themeColor="accent1"/>
          <w:sz w:val="22"/>
          <w:szCs w:val="22"/>
          <w:lang w:val="en-GB"/>
        </w:rPr>
      </w:pPr>
    </w:p>
    <w:p w14:paraId="48773002" w14:textId="1D50A36B" w:rsidR="0026544D" w:rsidRPr="00D33347" w:rsidRDefault="00D86F87" w:rsidP="00495E18">
      <w:pPr>
        <w:pStyle w:val="ListParagraph"/>
        <w:numPr>
          <w:ilvl w:val="0"/>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Expenses of the liquidation (section 115 of the Insolvency Act 1986) – this includes the following (in order of priority):</w:t>
      </w:r>
    </w:p>
    <w:p w14:paraId="1E5C0C51" w14:textId="77777777" w:rsidR="00D86F87" w:rsidRPr="00D33347" w:rsidRDefault="00D86F87" w:rsidP="00D86F87">
      <w:pPr>
        <w:pStyle w:val="ListParagraph"/>
        <w:ind w:left="1440"/>
        <w:jc w:val="both"/>
        <w:rPr>
          <w:rFonts w:ascii="Arial" w:hAnsi="Arial" w:cs="Arial"/>
          <w:color w:val="4472C4" w:themeColor="accent1"/>
          <w:sz w:val="22"/>
          <w:szCs w:val="22"/>
          <w:lang w:val="en-GB"/>
        </w:rPr>
      </w:pPr>
    </w:p>
    <w:p w14:paraId="399A0A33" w14:textId="1C19A1AC"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expenses properly incurred by the liquidator in preserving, realising or getting in any assets of the company;</w:t>
      </w:r>
    </w:p>
    <w:p w14:paraId="3916D283" w14:textId="78020AB9"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cost of any security provided by the liquidator;</w:t>
      </w:r>
    </w:p>
    <w:p w14:paraId="59B319E7" w14:textId="34FB289B"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amount payable to a person assisting with preparation of statement of affairs or accounts;</w:t>
      </w:r>
    </w:p>
    <w:p w14:paraId="15EAABE3" w14:textId="3BDB74C3"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necessary disbursements b</w:t>
      </w:r>
      <w:r w:rsidR="00CB7D89">
        <w:rPr>
          <w:rFonts w:ascii="Arial" w:hAnsi="Arial" w:cs="Arial"/>
          <w:color w:val="4472C4" w:themeColor="accent1"/>
          <w:sz w:val="22"/>
          <w:szCs w:val="22"/>
          <w:lang w:val="en-GB"/>
        </w:rPr>
        <w:t>y</w:t>
      </w:r>
      <w:r w:rsidRPr="00D33347">
        <w:rPr>
          <w:rFonts w:ascii="Arial" w:hAnsi="Arial" w:cs="Arial"/>
          <w:color w:val="4472C4" w:themeColor="accent1"/>
          <w:sz w:val="22"/>
          <w:szCs w:val="22"/>
          <w:lang w:val="en-GB"/>
        </w:rPr>
        <w:t xml:space="preserve"> the liquidator in the course of the winding up;</w:t>
      </w:r>
    </w:p>
    <w:p w14:paraId="4C7683ED" w14:textId="6F9E66FC"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remuneration of any person who has been employed by the liquidator to perform any services for the company;</w:t>
      </w:r>
    </w:p>
    <w:p w14:paraId="23311981" w14:textId="529071E0"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remuneration of the liquidator;</w:t>
      </w:r>
    </w:p>
    <w:p w14:paraId="75D8E39D" w14:textId="633D2F4C"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any corporation tax on chargeable gains accruing on realisation of any assets of the company; and </w:t>
      </w:r>
    </w:p>
    <w:p w14:paraId="3069EE36" w14:textId="6DDECC6E"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other expenses properly chargeable by the liquidator in carrying out its functions in the winding up.</w:t>
      </w:r>
    </w:p>
    <w:p w14:paraId="6B985ED5" w14:textId="77777777" w:rsidR="00D86F87" w:rsidRPr="00D33347" w:rsidRDefault="00D86F87" w:rsidP="00D86F87">
      <w:pPr>
        <w:pStyle w:val="ListParagraph"/>
        <w:jc w:val="both"/>
        <w:rPr>
          <w:rFonts w:ascii="Arial" w:hAnsi="Arial" w:cs="Arial"/>
          <w:color w:val="4472C4" w:themeColor="accent1"/>
          <w:sz w:val="22"/>
          <w:szCs w:val="22"/>
          <w:lang w:val="en-GB"/>
        </w:rPr>
      </w:pPr>
    </w:p>
    <w:p w14:paraId="02E05A2D" w14:textId="46615EA9" w:rsidR="00D86F87" w:rsidRPr="00D33347" w:rsidRDefault="00D86F87" w:rsidP="00495E18">
      <w:pPr>
        <w:pStyle w:val="ListParagraph"/>
        <w:numPr>
          <w:ilvl w:val="0"/>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Preferential creditors (sections 175 of the Insolvency Act 1986). There are two classes of preferential debts – ordinary preferential debts are paid before secondary preferential debts, but preferential debts in their respective classes rank equally amongst themselves.</w:t>
      </w:r>
    </w:p>
    <w:p w14:paraId="3AAD0217" w14:textId="77777777" w:rsidR="00D86F87" w:rsidRPr="00D33347" w:rsidRDefault="00D86F87" w:rsidP="00D86F87">
      <w:pPr>
        <w:pStyle w:val="ListParagraph"/>
        <w:jc w:val="both"/>
        <w:rPr>
          <w:rFonts w:ascii="Arial" w:hAnsi="Arial" w:cs="Arial"/>
          <w:color w:val="4472C4" w:themeColor="accent1"/>
          <w:sz w:val="22"/>
          <w:szCs w:val="22"/>
          <w:lang w:val="en-GB"/>
        </w:rPr>
      </w:pPr>
    </w:p>
    <w:p w14:paraId="1D813C5F" w14:textId="1CB4FC50" w:rsidR="00D86F87" w:rsidRPr="00D33347" w:rsidRDefault="00D86F87" w:rsidP="00D86F87">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Ordinary preferential debts</w:t>
      </w:r>
    </w:p>
    <w:p w14:paraId="664058C9" w14:textId="793F9EFF"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sums owed on account on an employee’s contribution to an occupational pension scheme for certain periods of time;</w:t>
      </w:r>
    </w:p>
    <w:p w14:paraId="12FC387A" w14:textId="7C5F4C76"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remuneration owed to an employee and payable in respect of four months prior to commencement of the winding up, up to maximum of GBP800 per employee;</w:t>
      </w:r>
    </w:p>
    <w:p w14:paraId="6F054F1D" w14:textId="314C0C27"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amounts owed by way of accrued holiday remuneration in respect of any period of employment before winding up;</w:t>
      </w:r>
    </w:p>
    <w:p w14:paraId="679372E3" w14:textId="5700F85A"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claims for monies advanced to pay wages or holiday remuneration;</w:t>
      </w:r>
    </w:p>
    <w:p w14:paraId="5B4488AF" w14:textId="34C7D6E4"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levies on production of coal and steel referred to in the European Coal and Steel Community Treaty;</w:t>
      </w:r>
    </w:p>
    <w:p w14:paraId="718BCA3B" w14:textId="0F33FFE4" w:rsidR="00D86F87" w:rsidRPr="00D33347" w:rsidRDefault="00D86F87"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claims for amounts ordered to be paid by the company under the Reserve Forces (Safeguard of Employment) Act 1985; </w:t>
      </w:r>
      <w:r w:rsidR="00571C48" w:rsidRPr="00D33347">
        <w:rPr>
          <w:rFonts w:ascii="Arial" w:hAnsi="Arial" w:cs="Arial"/>
          <w:color w:val="4472C4" w:themeColor="accent1"/>
          <w:sz w:val="22"/>
          <w:szCs w:val="22"/>
          <w:lang w:val="en-GB"/>
        </w:rPr>
        <w:t>and</w:t>
      </w:r>
    </w:p>
    <w:p w14:paraId="6A333FBA" w14:textId="4D6D09DB" w:rsidR="00D86F87" w:rsidRPr="00D33347" w:rsidRDefault="00571C48"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w:t>
      </w:r>
      <w:r w:rsidRPr="00D33347">
        <w:rPr>
          <w:rFonts w:ascii="Arial" w:hAnsi="Arial" w:cs="Arial"/>
          <w:i/>
          <w:color w:val="4472C4" w:themeColor="accent1"/>
          <w:sz w:val="22"/>
          <w:szCs w:val="22"/>
          <w:lang w:val="en-GB"/>
        </w:rPr>
        <w:t xml:space="preserve">in the case of </w:t>
      </w:r>
      <w:r w:rsidR="009A7A44" w:rsidRPr="00D33347">
        <w:rPr>
          <w:rFonts w:ascii="Arial" w:hAnsi="Arial" w:cs="Arial"/>
          <w:i/>
          <w:color w:val="4472C4" w:themeColor="accent1"/>
          <w:sz w:val="22"/>
          <w:szCs w:val="22"/>
          <w:lang w:val="en-GB"/>
        </w:rPr>
        <w:t xml:space="preserve">insolvent </w:t>
      </w:r>
      <w:r w:rsidRPr="00D33347">
        <w:rPr>
          <w:rFonts w:ascii="Arial" w:hAnsi="Arial" w:cs="Arial"/>
          <w:i/>
          <w:color w:val="4472C4" w:themeColor="accent1"/>
          <w:sz w:val="22"/>
          <w:szCs w:val="22"/>
          <w:lang w:val="en-GB"/>
        </w:rPr>
        <w:t>financial institutions</w:t>
      </w:r>
      <w:r w:rsidR="009A7A44" w:rsidRPr="00D33347">
        <w:rPr>
          <w:rFonts w:ascii="Arial" w:hAnsi="Arial" w:cs="Arial"/>
          <w:i/>
          <w:color w:val="4472C4" w:themeColor="accent1"/>
          <w:sz w:val="22"/>
          <w:szCs w:val="22"/>
          <w:lang w:val="en-GB"/>
        </w:rPr>
        <w:t xml:space="preserve"> that held deposits</w:t>
      </w:r>
      <w:r w:rsidRPr="00D33347">
        <w:rPr>
          <w:rFonts w:ascii="Arial" w:hAnsi="Arial" w:cs="Arial"/>
          <w:color w:val="4472C4" w:themeColor="accent1"/>
          <w:sz w:val="22"/>
          <w:szCs w:val="22"/>
          <w:lang w:val="en-GB"/>
        </w:rPr>
        <w:t>) eligible deposit that does not exceed the compensation payable in respect of the deposit under the Financial Services Compensation Scheme.</w:t>
      </w:r>
    </w:p>
    <w:p w14:paraId="255F4185" w14:textId="77777777" w:rsidR="00D86F87" w:rsidRPr="00D33347" w:rsidRDefault="00D86F87" w:rsidP="00D86F87">
      <w:pPr>
        <w:pStyle w:val="ListParagraph"/>
        <w:ind w:left="1440"/>
        <w:jc w:val="both"/>
        <w:rPr>
          <w:rFonts w:ascii="Arial" w:hAnsi="Arial" w:cs="Arial"/>
          <w:color w:val="4472C4" w:themeColor="accent1"/>
          <w:sz w:val="22"/>
          <w:szCs w:val="22"/>
          <w:lang w:val="en-GB"/>
        </w:rPr>
      </w:pPr>
    </w:p>
    <w:p w14:paraId="1F311C43" w14:textId="7F4B8D22" w:rsidR="00571C48" w:rsidRPr="00D33347" w:rsidRDefault="00D86F87" w:rsidP="00571C48">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Secondary preferential debts</w:t>
      </w:r>
    </w:p>
    <w:p w14:paraId="45A707B9" w14:textId="2F5BEC9A" w:rsidR="00D86F87" w:rsidRPr="00D33347" w:rsidRDefault="009A7A44"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w:t>
      </w:r>
      <w:r w:rsidRPr="00D33347">
        <w:rPr>
          <w:rFonts w:ascii="Arial" w:hAnsi="Arial" w:cs="Arial"/>
          <w:i/>
          <w:color w:val="4472C4" w:themeColor="accent1"/>
          <w:sz w:val="22"/>
          <w:szCs w:val="22"/>
          <w:lang w:val="en-GB"/>
        </w:rPr>
        <w:t>in the case of insolvent financial institutions that held deposits</w:t>
      </w:r>
      <w:r w:rsidRPr="00D33347">
        <w:rPr>
          <w:rFonts w:ascii="Arial" w:hAnsi="Arial" w:cs="Arial"/>
          <w:color w:val="4472C4" w:themeColor="accent1"/>
          <w:sz w:val="22"/>
          <w:szCs w:val="22"/>
          <w:lang w:val="en-GB"/>
        </w:rPr>
        <w:t xml:space="preserve">) </w:t>
      </w:r>
      <w:r w:rsidR="00EF2870">
        <w:rPr>
          <w:rFonts w:ascii="Arial" w:hAnsi="Arial" w:cs="Arial"/>
          <w:color w:val="4472C4" w:themeColor="accent1"/>
          <w:sz w:val="22"/>
          <w:szCs w:val="22"/>
          <w:lang w:val="en-GB"/>
        </w:rPr>
        <w:t xml:space="preserve">amount owed </w:t>
      </w:r>
      <w:r w:rsidR="00571C48" w:rsidRPr="00D33347">
        <w:rPr>
          <w:rFonts w:ascii="Arial" w:hAnsi="Arial" w:cs="Arial"/>
          <w:color w:val="4472C4" w:themeColor="accent1"/>
          <w:sz w:val="22"/>
          <w:szCs w:val="22"/>
          <w:lang w:val="en-GB"/>
        </w:rPr>
        <w:t>to eligible persons for the amount in respect of an eligible deposit exceeding any compensation payable in respect of the deposit under the Financial Services Compensation Scheme;</w:t>
      </w:r>
    </w:p>
    <w:p w14:paraId="0E5B1C3C" w14:textId="153C8A09" w:rsidR="00571C48" w:rsidRPr="00D33347" w:rsidRDefault="009A7A44" w:rsidP="00D86F87">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w:t>
      </w:r>
      <w:r w:rsidRPr="00D33347">
        <w:rPr>
          <w:rFonts w:ascii="Arial" w:hAnsi="Arial" w:cs="Arial"/>
          <w:i/>
          <w:color w:val="4472C4" w:themeColor="accent1"/>
          <w:sz w:val="22"/>
          <w:szCs w:val="22"/>
          <w:lang w:val="en-GB"/>
        </w:rPr>
        <w:t>in the case of insolvent financial institutions that held deposits</w:t>
      </w:r>
      <w:r w:rsidRPr="00D33347">
        <w:rPr>
          <w:rFonts w:ascii="Arial" w:hAnsi="Arial" w:cs="Arial"/>
          <w:color w:val="4472C4" w:themeColor="accent1"/>
          <w:sz w:val="22"/>
          <w:szCs w:val="22"/>
          <w:lang w:val="en-GB"/>
        </w:rPr>
        <w:t xml:space="preserve">) </w:t>
      </w:r>
      <w:r w:rsidR="00571C48" w:rsidRPr="00D33347">
        <w:rPr>
          <w:rFonts w:ascii="Arial" w:hAnsi="Arial" w:cs="Arial"/>
          <w:color w:val="4472C4" w:themeColor="accent1"/>
          <w:sz w:val="22"/>
          <w:szCs w:val="22"/>
          <w:lang w:val="en-GB"/>
        </w:rPr>
        <w:t>amount owed to eligible persons in respect of a deposit made through a non-UK branch of a credit institution authorised by the competent authority of the UK, and would have been an eligible deposit if it had been made through a UK branch of that credit institution;</w:t>
      </w:r>
      <w:r w:rsidRPr="00D33347">
        <w:rPr>
          <w:rFonts w:ascii="Arial" w:hAnsi="Arial" w:cs="Arial"/>
          <w:color w:val="4472C4" w:themeColor="accent1"/>
          <w:sz w:val="22"/>
          <w:szCs w:val="22"/>
          <w:lang w:val="en-GB"/>
        </w:rPr>
        <w:t xml:space="preserve"> and</w:t>
      </w:r>
    </w:p>
    <w:p w14:paraId="1B9208B5" w14:textId="27DB3D82" w:rsidR="00D86F87" w:rsidRPr="00D33347" w:rsidRDefault="009A7A44" w:rsidP="009A7A44">
      <w:pPr>
        <w:pStyle w:val="ListParagraph"/>
        <w:numPr>
          <w:ilvl w:val="2"/>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PAYE income tax deductions, national insurance deductions, VAT payments, Construction Industry Scheme deductions and student loan repayments.</w:t>
      </w:r>
    </w:p>
    <w:p w14:paraId="1C051964" w14:textId="77777777" w:rsidR="00D86F87" w:rsidRPr="00D33347" w:rsidRDefault="00D86F87" w:rsidP="00D86F87">
      <w:pPr>
        <w:pStyle w:val="ListParagraph"/>
        <w:rPr>
          <w:rFonts w:ascii="Arial" w:hAnsi="Arial" w:cs="Arial"/>
          <w:color w:val="4472C4" w:themeColor="accent1"/>
          <w:sz w:val="22"/>
          <w:szCs w:val="22"/>
          <w:lang w:val="en-GB"/>
        </w:rPr>
      </w:pPr>
    </w:p>
    <w:p w14:paraId="5A88F838" w14:textId="77526047" w:rsidR="00D86F87" w:rsidRPr="00D33347" w:rsidRDefault="009A7A44" w:rsidP="00495E18">
      <w:pPr>
        <w:pStyle w:val="ListParagraph"/>
        <w:numPr>
          <w:ilvl w:val="0"/>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Floating charge holders. If there are more than one floating charge holder, then priority between them usually turns upon which floating charge was created first in time. The liquidator must set aside a “prescribed part” of the company’s net property available for satisfaction of unsecured debts, and must not distribute this to a floating charge holder. If a floating charge holder has an outstanding unsecured balance owing to it, it cannot participate in the distribution of the prescribed part.</w:t>
      </w:r>
    </w:p>
    <w:p w14:paraId="2E447B3B" w14:textId="77777777" w:rsidR="009A7A44" w:rsidRPr="00D33347" w:rsidRDefault="009A7A44" w:rsidP="009A7A44">
      <w:pPr>
        <w:pStyle w:val="ListParagraph"/>
        <w:jc w:val="both"/>
        <w:rPr>
          <w:rFonts w:ascii="Arial" w:hAnsi="Arial" w:cs="Arial"/>
          <w:color w:val="4472C4" w:themeColor="accent1"/>
          <w:sz w:val="22"/>
          <w:szCs w:val="22"/>
          <w:lang w:val="en-GB"/>
        </w:rPr>
      </w:pPr>
    </w:p>
    <w:p w14:paraId="11CDB9ED" w14:textId="1F8C3183" w:rsidR="009A7A44" w:rsidRPr="00D33347" w:rsidRDefault="009A7A44" w:rsidP="009A7A44">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If the insolvent company’s net property does not exceed GBP 10,000 – the prescribed part is 50% of the property. </w:t>
      </w:r>
    </w:p>
    <w:p w14:paraId="60542B21" w14:textId="1493C139" w:rsidR="009A7A44" w:rsidRPr="00D33347" w:rsidRDefault="009A7A44" w:rsidP="009A7A44">
      <w:pPr>
        <w:pStyle w:val="ListParagraph"/>
        <w:numPr>
          <w:ilvl w:val="1"/>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If the insolvent company’s net property exceeds GBP 10,000 – the prescribed part is the sum of 50% of the first GBP 10,000 and 20% of the excess value above GBP 10,000, subject to a maximum amount of GBP 800,000.</w:t>
      </w:r>
    </w:p>
    <w:p w14:paraId="4F4EF2DE" w14:textId="77777777" w:rsidR="009A7A44" w:rsidRPr="00D33347" w:rsidRDefault="009A7A44" w:rsidP="009A7A44">
      <w:pPr>
        <w:pStyle w:val="ListParagraph"/>
        <w:jc w:val="both"/>
        <w:rPr>
          <w:rFonts w:ascii="Arial" w:hAnsi="Arial" w:cs="Arial"/>
          <w:color w:val="4472C4" w:themeColor="accent1"/>
          <w:sz w:val="22"/>
          <w:szCs w:val="22"/>
          <w:lang w:val="en-GB"/>
        </w:rPr>
      </w:pPr>
    </w:p>
    <w:p w14:paraId="0676917D" w14:textId="4A324741" w:rsidR="009A7A44" w:rsidRPr="00D33347" w:rsidRDefault="00B011BD" w:rsidP="00495E18">
      <w:pPr>
        <w:pStyle w:val="ListParagraph"/>
        <w:numPr>
          <w:ilvl w:val="0"/>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Unsecured creditors.</w:t>
      </w:r>
    </w:p>
    <w:p w14:paraId="05E4592A" w14:textId="77777777" w:rsidR="00B011BD" w:rsidRPr="00D33347" w:rsidRDefault="00B011BD" w:rsidP="00B011BD">
      <w:pPr>
        <w:pStyle w:val="ListParagraph"/>
        <w:jc w:val="both"/>
        <w:rPr>
          <w:rFonts w:ascii="Arial" w:hAnsi="Arial" w:cs="Arial"/>
          <w:color w:val="4472C4" w:themeColor="accent1"/>
          <w:sz w:val="22"/>
          <w:szCs w:val="22"/>
          <w:lang w:val="en-GB"/>
        </w:rPr>
      </w:pPr>
    </w:p>
    <w:p w14:paraId="4BBA220D" w14:textId="3E165A28" w:rsidR="00B011BD" w:rsidRPr="00D33347" w:rsidRDefault="00B011BD" w:rsidP="00495E18">
      <w:pPr>
        <w:pStyle w:val="ListParagraph"/>
        <w:numPr>
          <w:ilvl w:val="0"/>
          <w:numId w:val="19"/>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Shareholders, to the extent there are sufficient funds to pay all the creditors. The surplus is distributed amongst the shareholders according to the company’s constitution.</w:t>
      </w:r>
    </w:p>
    <w:p w14:paraId="262341D4" w14:textId="77777777" w:rsidR="00B011BD" w:rsidRPr="00D33347" w:rsidRDefault="00B011BD" w:rsidP="00B011BD">
      <w:pPr>
        <w:pStyle w:val="ListParagraph"/>
        <w:rPr>
          <w:rFonts w:ascii="Arial" w:hAnsi="Arial" w:cs="Arial"/>
          <w:color w:val="4472C4" w:themeColor="accent1"/>
          <w:sz w:val="22"/>
          <w:szCs w:val="22"/>
          <w:lang w:val="en-GB"/>
        </w:rPr>
      </w:pPr>
    </w:p>
    <w:p w14:paraId="6CB01EEE" w14:textId="4B09DFA9" w:rsidR="00B011BD" w:rsidRPr="00D33347" w:rsidRDefault="00D60FB6" w:rsidP="00B011BD">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w:t>
      </w:r>
      <w:r w:rsidR="00092D3A" w:rsidRPr="00D33347">
        <w:rPr>
          <w:rFonts w:ascii="Arial" w:hAnsi="Arial" w:cs="Arial"/>
          <w:color w:val="4472C4" w:themeColor="accent1"/>
          <w:sz w:val="22"/>
          <w:szCs w:val="22"/>
          <w:lang w:val="en-GB"/>
        </w:rPr>
        <w:t xml:space="preserve">f the company had been subject to a </w:t>
      </w:r>
      <w:r>
        <w:rPr>
          <w:rFonts w:ascii="Arial" w:hAnsi="Arial" w:cs="Arial"/>
          <w:color w:val="4472C4" w:themeColor="accent1"/>
          <w:sz w:val="22"/>
          <w:szCs w:val="22"/>
          <w:lang w:val="en-GB"/>
        </w:rPr>
        <w:t>M</w:t>
      </w:r>
      <w:r w:rsidRPr="00D33347">
        <w:rPr>
          <w:rFonts w:ascii="Arial" w:hAnsi="Arial" w:cs="Arial"/>
          <w:color w:val="4472C4" w:themeColor="accent1"/>
          <w:sz w:val="22"/>
          <w:szCs w:val="22"/>
          <w:lang w:val="en-GB"/>
        </w:rPr>
        <w:t xml:space="preserve">oratorium </w:t>
      </w:r>
      <w:r w:rsidR="00092D3A" w:rsidRPr="00D33347">
        <w:rPr>
          <w:rFonts w:ascii="Arial" w:hAnsi="Arial" w:cs="Arial"/>
          <w:color w:val="4472C4" w:themeColor="accent1"/>
          <w:sz w:val="22"/>
          <w:szCs w:val="22"/>
          <w:lang w:val="en-GB"/>
        </w:rPr>
        <w:t>under Part A1 of the Insolvency Act 1986 during the 12-week period prior to the commencement of the liquidation, section 174A of the Insolvency Act 1986 provides that certain unpaid pre-</w:t>
      </w:r>
      <w:r>
        <w:rPr>
          <w:rFonts w:ascii="Arial" w:hAnsi="Arial" w:cs="Arial"/>
          <w:color w:val="4472C4" w:themeColor="accent1"/>
          <w:sz w:val="22"/>
          <w:szCs w:val="22"/>
          <w:lang w:val="en-GB"/>
        </w:rPr>
        <w:t>M</w:t>
      </w:r>
      <w:r w:rsidRPr="00D33347">
        <w:rPr>
          <w:rFonts w:ascii="Arial" w:hAnsi="Arial" w:cs="Arial"/>
          <w:color w:val="4472C4" w:themeColor="accent1"/>
          <w:sz w:val="22"/>
          <w:szCs w:val="22"/>
          <w:lang w:val="en-GB"/>
        </w:rPr>
        <w:t xml:space="preserve">oratorium </w:t>
      </w:r>
      <w:r w:rsidR="00092D3A" w:rsidRPr="00D33347">
        <w:rPr>
          <w:rFonts w:ascii="Arial" w:hAnsi="Arial" w:cs="Arial"/>
          <w:color w:val="4472C4" w:themeColor="accent1"/>
          <w:sz w:val="22"/>
          <w:szCs w:val="22"/>
          <w:lang w:val="en-GB"/>
        </w:rPr>
        <w:t xml:space="preserve">or </w:t>
      </w:r>
      <w:r>
        <w:rPr>
          <w:rFonts w:ascii="Arial" w:hAnsi="Arial" w:cs="Arial"/>
          <w:color w:val="4472C4" w:themeColor="accent1"/>
          <w:sz w:val="22"/>
          <w:szCs w:val="22"/>
          <w:lang w:val="en-GB"/>
        </w:rPr>
        <w:t>M</w:t>
      </w:r>
      <w:r w:rsidRPr="00D33347">
        <w:rPr>
          <w:rFonts w:ascii="Arial" w:hAnsi="Arial" w:cs="Arial"/>
          <w:color w:val="4472C4" w:themeColor="accent1"/>
          <w:sz w:val="22"/>
          <w:szCs w:val="22"/>
          <w:lang w:val="en-GB"/>
        </w:rPr>
        <w:t xml:space="preserve">oratorium </w:t>
      </w:r>
      <w:r w:rsidR="00092D3A" w:rsidRPr="00D33347">
        <w:rPr>
          <w:rFonts w:ascii="Arial" w:hAnsi="Arial" w:cs="Arial"/>
          <w:color w:val="4472C4" w:themeColor="accent1"/>
          <w:sz w:val="22"/>
          <w:szCs w:val="22"/>
          <w:lang w:val="en-GB"/>
        </w:rPr>
        <w:t>debts are afforded “super priority” status, and such debts are paid in higher priority to expenses of the liquidation, which would have ranked highest under the general statutory priority payment rules.</w:t>
      </w:r>
    </w:p>
    <w:p w14:paraId="3DAA6780" w14:textId="657CEFE1" w:rsidR="00962045" w:rsidRPr="00D86F87" w:rsidRDefault="00962045" w:rsidP="002A37BB">
      <w:pPr>
        <w:jc w:val="both"/>
        <w:rPr>
          <w:rFonts w:ascii="Avenir Next" w:hAnsi="Avenir Next" w:cs="Arial"/>
          <w:color w:val="4472C4" w:themeColor="accent1"/>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D33347"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D33347">
        <w:rPr>
          <w:rFonts w:ascii="Avenir Next" w:hAnsi="Avenir Next" w:cs="Arial"/>
          <w:sz w:val="22"/>
          <w:szCs w:val="22"/>
        </w:rPr>
        <w:t xml:space="preserve">Prior to going into compulsory liquidation on 28 February 2024, under pressure from its bank, Ambitus Bank plc, and in order to prevent it from demanding repayment of the company’s loans, Blazer Laser Limited (the Company), granted a debenture in </w:t>
      </w:r>
      <w:proofErr w:type="spellStart"/>
      <w:r w:rsidRPr="00D33347">
        <w:rPr>
          <w:rFonts w:ascii="Avenir Next" w:hAnsi="Avenir Next" w:cs="Arial"/>
          <w:sz w:val="22"/>
          <w:szCs w:val="22"/>
        </w:rPr>
        <w:t>favour</w:t>
      </w:r>
      <w:proofErr w:type="spellEnd"/>
      <w:r w:rsidRPr="00D33347">
        <w:rPr>
          <w:rFonts w:ascii="Avenir Next" w:hAnsi="Avenir Next" w:cs="Arial"/>
          <w:sz w:val="22"/>
          <w:szCs w:val="22"/>
        </w:rPr>
        <w:t xml:space="preserve"> of Ambitus Bank plc in June 2023. The debenture contained a floating charge over the whole of the Company’s undertaking.</w:t>
      </w:r>
    </w:p>
    <w:p w14:paraId="7ACCFAD5" w14:textId="77777777" w:rsidR="00880059" w:rsidRPr="00D33347"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D33347" w:rsidRDefault="00880059" w:rsidP="00880059">
      <w:pPr>
        <w:pStyle w:val="NormalWeb"/>
        <w:spacing w:before="0" w:beforeAutospacing="0" w:after="0" w:afterAutospacing="0"/>
        <w:jc w:val="both"/>
        <w:rPr>
          <w:rFonts w:ascii="Avenir Next" w:hAnsi="Avenir Next" w:cs="Arial"/>
          <w:sz w:val="22"/>
          <w:szCs w:val="22"/>
        </w:rPr>
      </w:pPr>
      <w:r w:rsidRPr="00D33347">
        <w:rPr>
          <w:rFonts w:ascii="Avenir Next" w:hAnsi="Avenir Next" w:cs="Arial"/>
          <w:sz w:val="22"/>
          <w:szCs w:val="22"/>
        </w:rPr>
        <w:t>The winding up order followed a creditor’s winding up petition issued on 13 January 2024.</w:t>
      </w:r>
    </w:p>
    <w:p w14:paraId="697A1EA7" w14:textId="77777777" w:rsidR="00880059" w:rsidRPr="00D33347"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D33347" w:rsidRDefault="00880059" w:rsidP="00880059">
      <w:pPr>
        <w:pStyle w:val="NormalWeb"/>
        <w:spacing w:before="0" w:beforeAutospacing="0" w:after="0" w:afterAutospacing="0"/>
        <w:jc w:val="both"/>
        <w:rPr>
          <w:rFonts w:ascii="Avenir Next" w:hAnsi="Avenir Next" w:cs="Arial"/>
          <w:sz w:val="22"/>
          <w:szCs w:val="22"/>
        </w:rPr>
      </w:pPr>
      <w:r w:rsidRPr="00D33347">
        <w:rPr>
          <w:rFonts w:ascii="Avenir Next" w:hAnsi="Avenir Next" w:cs="Arial"/>
          <w:sz w:val="22"/>
          <w:szCs w:val="22"/>
        </w:rPr>
        <w:t xml:space="preserve">Sometime in January 2023, as the Company continued to suffer cash flow problems, the directors approved the sale of two </w:t>
      </w:r>
      <w:r w:rsidR="0002443E" w:rsidRPr="00D33347">
        <w:rPr>
          <w:rFonts w:ascii="Avenir Next" w:hAnsi="Avenir Next" w:cs="Arial"/>
          <w:sz w:val="22"/>
          <w:szCs w:val="22"/>
        </w:rPr>
        <w:t>laser cutting</w:t>
      </w:r>
      <w:r w:rsidRPr="00D33347">
        <w:rPr>
          <w:rFonts w:ascii="Avenir Next" w:hAnsi="Avenir Next" w:cs="Arial"/>
          <w:sz w:val="22"/>
          <w:szCs w:val="22"/>
        </w:rPr>
        <w:t xml:space="preserve"> machines to Angela Bannister (a director) for GBP 40,000 in cash. The machines had been bought for GBP 100,000 a year before.</w:t>
      </w:r>
    </w:p>
    <w:p w14:paraId="73BF88A9" w14:textId="77777777" w:rsidR="00880059" w:rsidRPr="00D33347"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D33347" w:rsidRDefault="00880059" w:rsidP="00880059">
      <w:pPr>
        <w:pStyle w:val="NormalWeb"/>
        <w:spacing w:before="0" w:beforeAutospacing="0" w:after="0" w:afterAutospacing="0"/>
        <w:jc w:val="both"/>
        <w:rPr>
          <w:rFonts w:ascii="Avenir Next" w:hAnsi="Avenir Next" w:cs="Arial"/>
          <w:sz w:val="22"/>
          <w:szCs w:val="22"/>
          <w:lang w:val="en-GB"/>
        </w:rPr>
      </w:pPr>
      <w:r w:rsidRPr="00D33347">
        <w:rPr>
          <w:rFonts w:ascii="Avenir Next" w:hAnsi="Avenir Next" w:cs="Arial"/>
          <w:sz w:val="22"/>
          <w:szCs w:val="22"/>
          <w:lang w:val="en-GB"/>
        </w:rPr>
        <w:t xml:space="preserve">A month before the winding up order was made, Angela Bannister received an email from Aluminium </w:t>
      </w:r>
      <w:proofErr w:type="spellStart"/>
      <w:r w:rsidRPr="00D33347">
        <w:rPr>
          <w:rFonts w:ascii="Avenir Next" w:hAnsi="Avenir Next" w:cs="Arial"/>
          <w:sz w:val="22"/>
          <w:szCs w:val="22"/>
          <w:lang w:val="en-GB"/>
        </w:rPr>
        <w:t>Alumini</w:t>
      </w:r>
      <w:proofErr w:type="spellEnd"/>
      <w:r w:rsidRPr="00D33347">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D33347"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B2EBF4A"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D33347">
        <w:rPr>
          <w:rFonts w:ascii="Avenir Next" w:hAnsi="Avenir Next"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B73A932" w14:textId="368BF212" w:rsidR="00EA2990" w:rsidRPr="00D33347" w:rsidRDefault="00EA2990" w:rsidP="005F22A5">
      <w:pPr>
        <w:jc w:val="both"/>
        <w:rPr>
          <w:rFonts w:ascii="Arial" w:hAnsi="Arial" w:cs="Arial"/>
          <w:i/>
          <w:color w:val="4472C4" w:themeColor="accent1"/>
          <w:sz w:val="22"/>
          <w:szCs w:val="22"/>
          <w:u w:val="single"/>
          <w:lang w:val="en-GB"/>
        </w:rPr>
      </w:pPr>
      <w:r w:rsidRPr="00D33347">
        <w:rPr>
          <w:rFonts w:ascii="Arial" w:hAnsi="Arial" w:cs="Arial"/>
          <w:i/>
          <w:color w:val="4472C4" w:themeColor="accent1"/>
          <w:sz w:val="22"/>
          <w:szCs w:val="22"/>
          <w:u w:val="single"/>
          <w:lang w:val="en-GB"/>
        </w:rPr>
        <w:t>Avoidance of floating charge</w:t>
      </w:r>
    </w:p>
    <w:p w14:paraId="3A17CF60" w14:textId="77777777" w:rsidR="00EA2990" w:rsidRPr="00D33347" w:rsidRDefault="00EA2990" w:rsidP="005F22A5">
      <w:pPr>
        <w:jc w:val="both"/>
        <w:rPr>
          <w:rFonts w:ascii="Arial" w:hAnsi="Arial" w:cs="Arial"/>
          <w:color w:val="4472C4" w:themeColor="accent1"/>
          <w:sz w:val="22"/>
          <w:szCs w:val="22"/>
          <w:lang w:val="en-GB"/>
        </w:rPr>
      </w:pPr>
    </w:p>
    <w:p w14:paraId="51195A00" w14:textId="1E5120E9" w:rsidR="005F22A5" w:rsidRPr="00D33347" w:rsidRDefault="005F22A5"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Under section 245 of </w:t>
      </w:r>
      <w:r w:rsidR="00EF2870">
        <w:rPr>
          <w:rFonts w:ascii="Arial" w:hAnsi="Arial" w:cs="Arial"/>
          <w:color w:val="4472C4" w:themeColor="accent1"/>
          <w:sz w:val="22"/>
          <w:szCs w:val="22"/>
          <w:lang w:val="en-GB"/>
        </w:rPr>
        <w:t xml:space="preserve">Insolvency Act 1986, </w:t>
      </w:r>
      <w:r w:rsidRPr="00D33347">
        <w:rPr>
          <w:rFonts w:ascii="Arial" w:hAnsi="Arial" w:cs="Arial"/>
          <w:color w:val="4472C4" w:themeColor="accent1"/>
          <w:sz w:val="22"/>
          <w:szCs w:val="22"/>
          <w:lang w:val="en-GB"/>
        </w:rPr>
        <w:t xml:space="preserve">the </w:t>
      </w:r>
      <w:r w:rsidR="00FF78C4" w:rsidRPr="00D33347">
        <w:rPr>
          <w:rFonts w:ascii="Arial" w:hAnsi="Arial" w:cs="Arial"/>
          <w:color w:val="4472C4" w:themeColor="accent1"/>
          <w:sz w:val="22"/>
          <w:szCs w:val="22"/>
          <w:lang w:val="en-GB"/>
        </w:rPr>
        <w:t xml:space="preserve">floating charges created in favour of pre-existing unsecured creditors shortly before the company enters a formal insolvency procedure may be rendered invalid. Ambitus Bank plc is an existing creditor/lender of the company, therefore </w:t>
      </w:r>
      <w:r w:rsidR="00FF78C4" w:rsidRPr="00D33347">
        <w:rPr>
          <w:rFonts w:ascii="Arial" w:hAnsi="Arial" w:cs="Arial"/>
          <w:i/>
          <w:color w:val="4472C4" w:themeColor="accent1"/>
          <w:sz w:val="22"/>
          <w:szCs w:val="22"/>
          <w:lang w:val="en-GB"/>
        </w:rPr>
        <w:t>prima facie</w:t>
      </w:r>
      <w:r w:rsidR="00FF78C4" w:rsidRPr="00D33347">
        <w:rPr>
          <w:rFonts w:ascii="Arial" w:hAnsi="Arial" w:cs="Arial"/>
          <w:color w:val="4472C4" w:themeColor="accent1"/>
          <w:sz w:val="22"/>
          <w:szCs w:val="22"/>
          <w:lang w:val="en-GB"/>
        </w:rPr>
        <w:t xml:space="preserve"> section 245 could be relevant for the liquidator to</w:t>
      </w:r>
      <w:r w:rsidR="00612184">
        <w:rPr>
          <w:rFonts w:ascii="Arial" w:hAnsi="Arial" w:cs="Arial"/>
          <w:color w:val="4472C4" w:themeColor="accent1"/>
          <w:sz w:val="22"/>
          <w:szCs w:val="22"/>
          <w:lang w:val="en-GB"/>
        </w:rPr>
        <w:t xml:space="preserve"> seek a declaratory order for</w:t>
      </w:r>
      <w:r w:rsidR="00FF78C4" w:rsidRPr="00D33347">
        <w:rPr>
          <w:rFonts w:ascii="Arial" w:hAnsi="Arial" w:cs="Arial"/>
          <w:color w:val="4472C4" w:themeColor="accent1"/>
          <w:sz w:val="22"/>
          <w:szCs w:val="22"/>
          <w:lang w:val="en-GB"/>
        </w:rPr>
        <w:t xml:space="preserve"> invalidat</w:t>
      </w:r>
      <w:r w:rsidR="00612184">
        <w:rPr>
          <w:rFonts w:ascii="Arial" w:hAnsi="Arial" w:cs="Arial"/>
          <w:color w:val="4472C4" w:themeColor="accent1"/>
          <w:sz w:val="22"/>
          <w:szCs w:val="22"/>
          <w:lang w:val="en-GB"/>
        </w:rPr>
        <w:t>ing</w:t>
      </w:r>
      <w:r w:rsidR="00FF78C4" w:rsidRPr="00D33347">
        <w:rPr>
          <w:rFonts w:ascii="Arial" w:hAnsi="Arial" w:cs="Arial"/>
          <w:color w:val="4472C4" w:themeColor="accent1"/>
          <w:sz w:val="22"/>
          <w:szCs w:val="22"/>
          <w:lang w:val="en-GB"/>
        </w:rPr>
        <w:t xml:space="preserve"> the floating charge granted in favour of Ambitus Bank plc.</w:t>
      </w:r>
    </w:p>
    <w:p w14:paraId="56761E23" w14:textId="7EA0DA76" w:rsidR="00FF78C4" w:rsidRPr="00D33347" w:rsidRDefault="00FF78C4" w:rsidP="005F22A5">
      <w:pPr>
        <w:jc w:val="both"/>
        <w:rPr>
          <w:rFonts w:ascii="Arial" w:hAnsi="Arial" w:cs="Arial"/>
          <w:color w:val="4472C4" w:themeColor="accent1"/>
          <w:sz w:val="22"/>
          <w:szCs w:val="22"/>
          <w:lang w:val="en-GB"/>
        </w:rPr>
      </w:pPr>
    </w:p>
    <w:p w14:paraId="7BE9CBA3" w14:textId="79F07ECA" w:rsidR="00FF78C4" w:rsidRPr="00D33347" w:rsidRDefault="00FF78C4"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Ambitus Bank plc, as an independent financier, is unlikely a person connected with the company, therefore the relevant time to consider whether a floating charge can be avoided is likely 12 months prior to onset of insolvency (i.e. 12 months prior to 13 January 2024, </w:t>
      </w:r>
      <w:r w:rsidR="00EF2870">
        <w:rPr>
          <w:rFonts w:ascii="Arial" w:hAnsi="Arial" w:cs="Arial"/>
          <w:color w:val="4472C4" w:themeColor="accent1"/>
          <w:sz w:val="22"/>
          <w:szCs w:val="22"/>
          <w:lang w:val="en-GB"/>
        </w:rPr>
        <w:t>starting from</w:t>
      </w:r>
      <w:r w:rsidR="00EF2870"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 xml:space="preserve">13 January 2023). </w:t>
      </w:r>
      <w:r w:rsidR="00EA2990" w:rsidRPr="00D33347">
        <w:rPr>
          <w:rFonts w:ascii="Arial" w:hAnsi="Arial" w:cs="Arial"/>
          <w:color w:val="4472C4" w:themeColor="accent1"/>
          <w:sz w:val="22"/>
          <w:szCs w:val="22"/>
          <w:lang w:val="en-GB"/>
        </w:rPr>
        <w:t>Since the floating charge was granted in June 2023, it is caught within the relevant time period.</w:t>
      </w:r>
    </w:p>
    <w:p w14:paraId="236ACA48" w14:textId="4E5679EA" w:rsidR="00EA2990" w:rsidRPr="00D33347" w:rsidRDefault="00EA2990" w:rsidP="005F22A5">
      <w:pPr>
        <w:jc w:val="both"/>
        <w:rPr>
          <w:rFonts w:ascii="Arial" w:hAnsi="Arial" w:cs="Arial"/>
          <w:color w:val="4472C4" w:themeColor="accent1"/>
          <w:sz w:val="22"/>
          <w:szCs w:val="22"/>
          <w:lang w:val="en-GB"/>
        </w:rPr>
      </w:pPr>
    </w:p>
    <w:p w14:paraId="668FDF65" w14:textId="19A4A161" w:rsidR="00EA2990" w:rsidRPr="00D33347" w:rsidRDefault="00EA2990"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It should be ascertained whether any new consideration </w:t>
      </w:r>
      <w:r w:rsidR="00495E18" w:rsidRPr="00D33347">
        <w:rPr>
          <w:rFonts w:ascii="Arial" w:hAnsi="Arial" w:cs="Arial"/>
          <w:color w:val="4472C4" w:themeColor="accent1"/>
          <w:sz w:val="22"/>
          <w:szCs w:val="22"/>
          <w:lang w:val="en-GB"/>
        </w:rPr>
        <w:t xml:space="preserve">was provided by the company </w:t>
      </w:r>
      <w:r w:rsidRPr="00D33347">
        <w:rPr>
          <w:rFonts w:ascii="Arial" w:hAnsi="Arial" w:cs="Arial"/>
          <w:color w:val="4472C4" w:themeColor="accent1"/>
          <w:sz w:val="22"/>
          <w:szCs w:val="22"/>
          <w:lang w:val="en-GB"/>
        </w:rPr>
        <w:t>for the floating charge</w:t>
      </w:r>
      <w:r w:rsidR="006804A6">
        <w:rPr>
          <w:rFonts w:ascii="Arial" w:hAnsi="Arial" w:cs="Arial"/>
          <w:color w:val="4472C4" w:themeColor="accent1"/>
          <w:sz w:val="22"/>
          <w:szCs w:val="22"/>
          <w:lang w:val="en-GB"/>
        </w:rPr>
        <w:t xml:space="preserve">. For example, </w:t>
      </w:r>
      <w:r w:rsidR="00495E18" w:rsidRPr="00D33347">
        <w:rPr>
          <w:rFonts w:ascii="Arial" w:hAnsi="Arial" w:cs="Arial"/>
          <w:color w:val="4472C4" w:themeColor="accent1"/>
          <w:sz w:val="22"/>
          <w:szCs w:val="22"/>
          <w:lang w:val="en-GB"/>
        </w:rPr>
        <w:t xml:space="preserve">did </w:t>
      </w:r>
      <w:r w:rsidRPr="00D33347">
        <w:rPr>
          <w:rFonts w:ascii="Arial" w:hAnsi="Arial" w:cs="Arial"/>
          <w:color w:val="4472C4" w:themeColor="accent1"/>
          <w:sz w:val="22"/>
          <w:szCs w:val="22"/>
          <w:lang w:val="en-GB"/>
        </w:rPr>
        <w:t>Ambitus Bank plc</w:t>
      </w:r>
      <w:r w:rsidR="00495E18" w:rsidRPr="00D33347">
        <w:rPr>
          <w:rFonts w:ascii="Arial" w:hAnsi="Arial" w:cs="Arial"/>
          <w:color w:val="4472C4" w:themeColor="accent1"/>
          <w:sz w:val="22"/>
          <w:szCs w:val="22"/>
          <w:lang w:val="en-GB"/>
        </w:rPr>
        <w:t xml:space="preserve"> grant</w:t>
      </w:r>
      <w:r w:rsidR="006804A6">
        <w:rPr>
          <w:rFonts w:ascii="Arial" w:hAnsi="Arial" w:cs="Arial"/>
          <w:color w:val="4472C4" w:themeColor="accent1"/>
          <w:sz w:val="22"/>
          <w:szCs w:val="22"/>
          <w:lang w:val="en-GB"/>
        </w:rPr>
        <w:t xml:space="preserve"> new money</w:t>
      </w:r>
      <w:r w:rsidR="00495E18" w:rsidRPr="00D33347">
        <w:rPr>
          <w:rFonts w:ascii="Arial" w:hAnsi="Arial" w:cs="Arial"/>
          <w:color w:val="4472C4" w:themeColor="accent1"/>
          <w:sz w:val="22"/>
          <w:szCs w:val="22"/>
          <w:lang w:val="en-GB"/>
        </w:rPr>
        <w:t xml:space="preserve"> to the company at the same time as or after creation of the floating charge, </w:t>
      </w:r>
      <w:r w:rsidR="006804A6">
        <w:rPr>
          <w:rFonts w:ascii="Arial" w:hAnsi="Arial" w:cs="Arial"/>
          <w:color w:val="4472C4" w:themeColor="accent1"/>
          <w:sz w:val="22"/>
          <w:szCs w:val="22"/>
          <w:lang w:val="en-GB"/>
        </w:rPr>
        <w:t>and/</w:t>
      </w:r>
      <w:r w:rsidR="00495E18" w:rsidRPr="00D33347">
        <w:rPr>
          <w:rFonts w:ascii="Arial" w:hAnsi="Arial" w:cs="Arial"/>
          <w:color w:val="4472C4" w:themeColor="accent1"/>
          <w:sz w:val="22"/>
          <w:szCs w:val="22"/>
          <w:lang w:val="en-GB"/>
        </w:rPr>
        <w:t>or discharge</w:t>
      </w:r>
      <w:r w:rsidR="006804A6">
        <w:rPr>
          <w:rFonts w:ascii="Arial" w:hAnsi="Arial" w:cs="Arial"/>
          <w:color w:val="4472C4" w:themeColor="accent1"/>
          <w:sz w:val="22"/>
          <w:szCs w:val="22"/>
          <w:lang w:val="en-GB"/>
        </w:rPr>
        <w:t>d</w:t>
      </w:r>
      <w:r w:rsidR="00495E18" w:rsidRPr="00D33347">
        <w:rPr>
          <w:rFonts w:ascii="Arial" w:hAnsi="Arial" w:cs="Arial"/>
          <w:color w:val="4472C4" w:themeColor="accent1"/>
          <w:sz w:val="22"/>
          <w:szCs w:val="22"/>
          <w:lang w:val="en-GB"/>
        </w:rPr>
        <w:t xml:space="preserve"> or reduc</w:t>
      </w:r>
      <w:r w:rsidR="006804A6">
        <w:rPr>
          <w:rFonts w:ascii="Arial" w:hAnsi="Arial" w:cs="Arial"/>
          <w:color w:val="4472C4" w:themeColor="accent1"/>
          <w:sz w:val="22"/>
          <w:szCs w:val="22"/>
          <w:lang w:val="en-GB"/>
        </w:rPr>
        <w:t>ed</w:t>
      </w:r>
      <w:r w:rsidR="00495E18" w:rsidRPr="00D33347">
        <w:rPr>
          <w:rFonts w:ascii="Arial" w:hAnsi="Arial" w:cs="Arial"/>
          <w:color w:val="4472C4" w:themeColor="accent1"/>
          <w:sz w:val="22"/>
          <w:szCs w:val="22"/>
          <w:lang w:val="en-GB"/>
        </w:rPr>
        <w:t xml:space="preserve"> the debt owed to Ambitus Bank plc at the same time or after creation of the floating charge</w:t>
      </w:r>
      <w:r w:rsidR="006804A6">
        <w:rPr>
          <w:rFonts w:ascii="Arial" w:hAnsi="Arial" w:cs="Arial"/>
          <w:color w:val="4472C4" w:themeColor="accent1"/>
          <w:sz w:val="22"/>
          <w:szCs w:val="22"/>
          <w:lang w:val="en-GB"/>
        </w:rPr>
        <w:t>?</w:t>
      </w:r>
      <w:r w:rsidR="00495E18" w:rsidRPr="00D33347">
        <w:rPr>
          <w:rFonts w:ascii="Arial" w:hAnsi="Arial" w:cs="Arial"/>
          <w:color w:val="4472C4" w:themeColor="accent1"/>
          <w:sz w:val="22"/>
          <w:szCs w:val="22"/>
          <w:lang w:val="en-GB"/>
        </w:rPr>
        <w:t xml:space="preserve"> From the facts, it is unclear if any new consideration was provided for the floating charge in question.</w:t>
      </w:r>
    </w:p>
    <w:p w14:paraId="3AE2BF73" w14:textId="253A272B" w:rsidR="00FF78C4" w:rsidRPr="00D33347" w:rsidRDefault="00FF78C4" w:rsidP="005F22A5">
      <w:pPr>
        <w:jc w:val="both"/>
        <w:rPr>
          <w:rFonts w:ascii="Arial" w:hAnsi="Arial" w:cs="Arial"/>
          <w:color w:val="4472C4" w:themeColor="accent1"/>
          <w:sz w:val="22"/>
          <w:szCs w:val="22"/>
          <w:lang w:val="en-GB"/>
        </w:rPr>
      </w:pPr>
    </w:p>
    <w:p w14:paraId="42FD7629" w14:textId="4FE3D8D5" w:rsidR="00FF78C4" w:rsidRPr="00D33347" w:rsidRDefault="00495E18" w:rsidP="005F22A5">
      <w:pPr>
        <w:jc w:val="both"/>
        <w:rPr>
          <w:rFonts w:ascii="Arial" w:hAnsi="Arial" w:cs="Arial"/>
          <w:i/>
          <w:color w:val="4472C4" w:themeColor="accent1"/>
          <w:sz w:val="22"/>
          <w:szCs w:val="22"/>
          <w:u w:val="single"/>
          <w:lang w:val="en-GB"/>
        </w:rPr>
      </w:pPr>
      <w:r w:rsidRPr="00D33347">
        <w:rPr>
          <w:rFonts w:ascii="Arial" w:hAnsi="Arial" w:cs="Arial"/>
          <w:i/>
          <w:color w:val="4472C4" w:themeColor="accent1"/>
          <w:sz w:val="22"/>
          <w:szCs w:val="22"/>
          <w:u w:val="single"/>
          <w:lang w:val="en-GB"/>
        </w:rPr>
        <w:t>Unfair preference</w:t>
      </w:r>
    </w:p>
    <w:p w14:paraId="7302429C" w14:textId="77777777" w:rsidR="00495E18" w:rsidRPr="00D33347" w:rsidRDefault="00495E18" w:rsidP="005F22A5">
      <w:pPr>
        <w:jc w:val="both"/>
        <w:rPr>
          <w:rFonts w:ascii="Arial" w:hAnsi="Arial" w:cs="Arial"/>
          <w:color w:val="4472C4" w:themeColor="accent1"/>
          <w:sz w:val="22"/>
          <w:szCs w:val="22"/>
          <w:lang w:val="en-GB"/>
        </w:rPr>
      </w:pPr>
    </w:p>
    <w:p w14:paraId="796D1FCB" w14:textId="0BD2E68E" w:rsidR="00C11F21" w:rsidRPr="00D33347" w:rsidRDefault="00495E18"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Under section 239 of the Insolvency Act 1986,</w:t>
      </w:r>
      <w:r w:rsidR="00A132F0" w:rsidRPr="00D33347">
        <w:rPr>
          <w:rFonts w:ascii="Arial" w:hAnsi="Arial" w:cs="Arial"/>
          <w:color w:val="4472C4" w:themeColor="accent1"/>
          <w:sz w:val="22"/>
          <w:szCs w:val="22"/>
          <w:lang w:val="en-GB"/>
        </w:rPr>
        <w:t xml:space="preserve"> a transaction entered into by the company</w:t>
      </w:r>
      <w:r w:rsidR="00C11F21" w:rsidRPr="00D33347">
        <w:rPr>
          <w:rFonts w:ascii="Arial" w:hAnsi="Arial" w:cs="Arial"/>
          <w:color w:val="4472C4" w:themeColor="accent1"/>
          <w:sz w:val="22"/>
          <w:szCs w:val="22"/>
          <w:lang w:val="en-GB"/>
        </w:rPr>
        <w:t xml:space="preserve"> (including the grant of security to a creditor)</w:t>
      </w:r>
      <w:r w:rsidR="00A132F0" w:rsidRPr="00D33347">
        <w:rPr>
          <w:rFonts w:ascii="Arial" w:hAnsi="Arial" w:cs="Arial"/>
          <w:color w:val="4472C4" w:themeColor="accent1"/>
          <w:sz w:val="22"/>
          <w:szCs w:val="22"/>
          <w:lang w:val="en-GB"/>
        </w:rPr>
        <w:t xml:space="preserve"> shortly before entering a formal insolvency process placing one of its creditors in a better position than others</w:t>
      </w:r>
      <w:r w:rsidR="00C11F21" w:rsidRPr="00D33347">
        <w:rPr>
          <w:rFonts w:ascii="Arial" w:hAnsi="Arial" w:cs="Arial"/>
          <w:color w:val="4472C4" w:themeColor="accent1"/>
          <w:sz w:val="22"/>
          <w:szCs w:val="22"/>
          <w:lang w:val="en-GB"/>
        </w:rPr>
        <w:t xml:space="preserve">, could be avoided for unfair preference. </w:t>
      </w:r>
    </w:p>
    <w:p w14:paraId="34E392CE" w14:textId="2474CC21" w:rsidR="00C11F21" w:rsidRPr="00D33347" w:rsidRDefault="00C11F21" w:rsidP="005F22A5">
      <w:pPr>
        <w:jc w:val="both"/>
        <w:rPr>
          <w:rFonts w:ascii="Arial" w:hAnsi="Arial" w:cs="Arial"/>
          <w:color w:val="4472C4" w:themeColor="accent1"/>
          <w:sz w:val="22"/>
          <w:szCs w:val="22"/>
          <w:lang w:val="en-GB"/>
        </w:rPr>
      </w:pPr>
    </w:p>
    <w:p w14:paraId="18386B9B" w14:textId="7B5DC73D" w:rsidR="00C11F21" w:rsidRPr="00D33347" w:rsidRDefault="00C11F21"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If a preference was given in favour of a person </w:t>
      </w:r>
      <w:r w:rsidR="00EF2870">
        <w:rPr>
          <w:rFonts w:ascii="Arial" w:hAnsi="Arial" w:cs="Arial"/>
          <w:color w:val="4472C4" w:themeColor="accent1"/>
          <w:sz w:val="22"/>
          <w:szCs w:val="22"/>
          <w:lang w:val="en-GB"/>
        </w:rPr>
        <w:t>not</w:t>
      </w:r>
      <w:r w:rsidR="00EF2870"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 xml:space="preserve">connected to the company, the relevant period where a preference transaction will be captured is 6 months prior to onset of insolvency (i.e. 6 months prior to 13 January 2024, </w:t>
      </w:r>
      <w:r w:rsidR="00D60FB6">
        <w:rPr>
          <w:rFonts w:ascii="Arial" w:hAnsi="Arial" w:cs="Arial"/>
          <w:color w:val="4472C4" w:themeColor="accent1"/>
          <w:sz w:val="22"/>
          <w:szCs w:val="22"/>
          <w:lang w:val="en-GB"/>
        </w:rPr>
        <w:t>starting from</w:t>
      </w:r>
      <w:r w:rsidRPr="00D33347">
        <w:rPr>
          <w:rFonts w:ascii="Arial" w:hAnsi="Arial" w:cs="Arial"/>
          <w:color w:val="4472C4" w:themeColor="accent1"/>
          <w:sz w:val="22"/>
          <w:szCs w:val="22"/>
          <w:lang w:val="en-GB"/>
        </w:rPr>
        <w:t xml:space="preserve"> 13 July 2023). Since the floating charge was granted</w:t>
      </w:r>
      <w:r w:rsidR="006053E5" w:rsidRPr="00D33347">
        <w:rPr>
          <w:rFonts w:ascii="Arial" w:hAnsi="Arial" w:cs="Arial"/>
          <w:color w:val="4472C4" w:themeColor="accent1"/>
          <w:sz w:val="22"/>
          <w:szCs w:val="22"/>
          <w:lang w:val="en-GB"/>
        </w:rPr>
        <w:t xml:space="preserve"> to Ambitus Bank plc</w:t>
      </w:r>
      <w:r w:rsidRPr="00D33347">
        <w:rPr>
          <w:rFonts w:ascii="Arial" w:hAnsi="Arial" w:cs="Arial"/>
          <w:color w:val="4472C4" w:themeColor="accent1"/>
          <w:sz w:val="22"/>
          <w:szCs w:val="22"/>
          <w:lang w:val="en-GB"/>
        </w:rPr>
        <w:t xml:space="preserve"> in June 2023, it is unlikely that such grant of security could be avoided for unfair preference.</w:t>
      </w:r>
    </w:p>
    <w:p w14:paraId="0A1E77AB" w14:textId="77777777" w:rsidR="00C11F21" w:rsidRPr="00D33347" w:rsidRDefault="00C11F21" w:rsidP="005F22A5">
      <w:pPr>
        <w:jc w:val="both"/>
        <w:rPr>
          <w:rFonts w:ascii="Arial" w:hAnsi="Arial" w:cs="Arial"/>
          <w:color w:val="4472C4" w:themeColor="accent1"/>
          <w:sz w:val="22"/>
          <w:szCs w:val="22"/>
          <w:lang w:val="en-GB"/>
        </w:rPr>
      </w:pPr>
    </w:p>
    <w:p w14:paraId="0A99EB29" w14:textId="7482B636" w:rsidR="00FF78C4" w:rsidRPr="00D33347" w:rsidRDefault="00C11F21" w:rsidP="005F22A5">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In any event, to establish an unfair preference, a desire to prefer must be established. In this case, Ambitus Bank plc placed pressure on the company to grant the security, and the company acceded to such pressure to prevent the bank from demanding for repayment of the company’s loan – considering the reasoning in </w:t>
      </w:r>
      <w:r w:rsidRPr="00D33347">
        <w:rPr>
          <w:rFonts w:ascii="Arial" w:hAnsi="Arial" w:cs="Arial"/>
          <w:i/>
          <w:color w:val="4472C4" w:themeColor="accent1"/>
          <w:sz w:val="22"/>
          <w:szCs w:val="22"/>
          <w:lang w:val="en-GB"/>
        </w:rPr>
        <w:t>Re MC Bacon Ltd</w:t>
      </w:r>
      <w:r w:rsidRPr="00D33347">
        <w:rPr>
          <w:rFonts w:ascii="Arial" w:hAnsi="Arial" w:cs="Arial"/>
          <w:color w:val="4472C4" w:themeColor="accent1"/>
          <w:sz w:val="22"/>
          <w:szCs w:val="22"/>
          <w:lang w:val="en-GB"/>
        </w:rPr>
        <w:t xml:space="preserve"> [1990] BCC 78, it </w:t>
      </w:r>
      <w:r w:rsidR="00D60FB6">
        <w:rPr>
          <w:rFonts w:ascii="Arial" w:hAnsi="Arial" w:cs="Arial"/>
          <w:color w:val="4472C4" w:themeColor="accent1"/>
          <w:sz w:val="22"/>
          <w:szCs w:val="22"/>
          <w:lang w:val="en-GB"/>
        </w:rPr>
        <w:t>may</w:t>
      </w:r>
      <w:r w:rsidRPr="00D33347">
        <w:rPr>
          <w:rFonts w:ascii="Arial" w:hAnsi="Arial" w:cs="Arial"/>
          <w:color w:val="4472C4" w:themeColor="accent1"/>
          <w:sz w:val="22"/>
          <w:szCs w:val="22"/>
          <w:lang w:val="en-GB"/>
        </w:rPr>
        <w:t xml:space="preserve"> be difficult to establish a desire by the company to prefer the bank when the company was likely influence</w:t>
      </w:r>
      <w:r w:rsidR="00EF2870">
        <w:rPr>
          <w:rFonts w:ascii="Arial" w:hAnsi="Arial" w:cs="Arial"/>
          <w:color w:val="4472C4" w:themeColor="accent1"/>
          <w:sz w:val="22"/>
          <w:szCs w:val="22"/>
          <w:lang w:val="en-GB"/>
        </w:rPr>
        <w:t>d</w:t>
      </w:r>
      <w:r w:rsidRPr="00D33347">
        <w:rPr>
          <w:rFonts w:ascii="Arial" w:hAnsi="Arial" w:cs="Arial"/>
          <w:color w:val="4472C4" w:themeColor="accent1"/>
          <w:sz w:val="22"/>
          <w:szCs w:val="22"/>
          <w:lang w:val="en-GB"/>
        </w:rPr>
        <w:t xml:space="preserve"> solely by commercial considerations in granting the floating charge in favour of Ambitus Bank plc.  </w:t>
      </w:r>
    </w:p>
    <w:p w14:paraId="74C366AC" w14:textId="6BD8484D" w:rsidR="007E2919" w:rsidRPr="005F22A5" w:rsidRDefault="007E2919" w:rsidP="007E2919">
      <w:pPr>
        <w:rPr>
          <w:rFonts w:ascii="Avenir Next" w:hAnsi="Avenir Next" w:cs="Arial"/>
          <w:b/>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4ADF1241" w14:textId="7505E71B" w:rsidR="00BE3473" w:rsidRDefault="00BE3473" w:rsidP="00197F24">
      <w:pPr>
        <w:jc w:val="both"/>
        <w:rPr>
          <w:rFonts w:ascii="Avenir Next" w:hAnsi="Avenir Next" w:cs="Arial"/>
          <w:color w:val="7B7B7B" w:themeColor="accent3" w:themeShade="BF"/>
          <w:sz w:val="22"/>
          <w:szCs w:val="22"/>
        </w:rPr>
      </w:pPr>
    </w:p>
    <w:p w14:paraId="1A65EFD0" w14:textId="21D53A52" w:rsidR="00BE3473" w:rsidRPr="00D33347" w:rsidRDefault="00BE3473" w:rsidP="00197F24">
      <w:pPr>
        <w:jc w:val="both"/>
        <w:rPr>
          <w:rFonts w:ascii="Arial" w:hAnsi="Arial" w:cs="Arial"/>
          <w:i/>
          <w:color w:val="4472C4" w:themeColor="accent1"/>
          <w:sz w:val="22"/>
          <w:szCs w:val="22"/>
          <w:u w:val="single"/>
        </w:rPr>
      </w:pPr>
      <w:r w:rsidRPr="00D33347">
        <w:rPr>
          <w:rFonts w:ascii="Arial" w:hAnsi="Arial" w:cs="Arial"/>
          <w:i/>
          <w:color w:val="4472C4" w:themeColor="accent1"/>
          <w:sz w:val="22"/>
          <w:szCs w:val="22"/>
          <w:u w:val="single"/>
        </w:rPr>
        <w:t>Transaction at an undervalue</w:t>
      </w:r>
    </w:p>
    <w:p w14:paraId="0C2B25AC" w14:textId="77777777" w:rsidR="00BE3473" w:rsidRPr="00D33347" w:rsidRDefault="00BE3473" w:rsidP="00197F24">
      <w:pPr>
        <w:jc w:val="both"/>
        <w:rPr>
          <w:rFonts w:ascii="Arial" w:hAnsi="Arial" w:cs="Arial"/>
          <w:color w:val="7B7B7B" w:themeColor="accent3" w:themeShade="BF"/>
          <w:sz w:val="22"/>
          <w:szCs w:val="22"/>
        </w:rPr>
      </w:pPr>
    </w:p>
    <w:p w14:paraId="4A2B7327" w14:textId="028A2492" w:rsidR="00BE3473" w:rsidRPr="00D33347" w:rsidRDefault="006053E5"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Under section 238 of the Insolvency Act 1986, transactions entered shortly before the company entered formal insolvency proceedings at an undervalue could be avoided.</w:t>
      </w:r>
    </w:p>
    <w:p w14:paraId="08A99E1A" w14:textId="493A9136" w:rsidR="006053E5" w:rsidRPr="00D33347" w:rsidRDefault="006053E5" w:rsidP="00197F24">
      <w:pPr>
        <w:jc w:val="both"/>
        <w:rPr>
          <w:rFonts w:ascii="Arial" w:hAnsi="Arial" w:cs="Arial"/>
          <w:color w:val="4472C4" w:themeColor="accent1"/>
          <w:sz w:val="22"/>
          <w:szCs w:val="22"/>
        </w:rPr>
      </w:pPr>
    </w:p>
    <w:p w14:paraId="66E1B0E3" w14:textId="00549A4A" w:rsidR="006053E5" w:rsidRPr="00D33347" w:rsidRDefault="006053E5"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In order </w:t>
      </w:r>
      <w:r w:rsidR="00D60FB6">
        <w:rPr>
          <w:rFonts w:ascii="Arial" w:hAnsi="Arial" w:cs="Arial"/>
          <w:color w:val="4472C4" w:themeColor="accent1"/>
          <w:sz w:val="22"/>
          <w:szCs w:val="22"/>
        </w:rPr>
        <w:t>to challenge</w:t>
      </w:r>
      <w:r w:rsidRPr="00D33347">
        <w:rPr>
          <w:rFonts w:ascii="Arial" w:hAnsi="Arial" w:cs="Arial"/>
          <w:color w:val="4472C4" w:themeColor="accent1"/>
          <w:sz w:val="22"/>
          <w:szCs w:val="22"/>
        </w:rPr>
        <w:t xml:space="preserve"> the transaction, it must have taken place 2 years prior to commencement of the liquidation (i.e. 2 years prior to 13 January 2024, </w:t>
      </w:r>
      <w:r w:rsidR="00EF2870">
        <w:rPr>
          <w:rFonts w:ascii="Arial" w:hAnsi="Arial" w:cs="Arial"/>
          <w:color w:val="4472C4" w:themeColor="accent1"/>
          <w:sz w:val="22"/>
          <w:szCs w:val="22"/>
        </w:rPr>
        <w:t>starting from</w:t>
      </w:r>
      <w:r w:rsidR="00EF2870" w:rsidRPr="00D33347">
        <w:rPr>
          <w:rFonts w:ascii="Arial" w:hAnsi="Arial" w:cs="Arial"/>
          <w:color w:val="4472C4" w:themeColor="accent1"/>
          <w:sz w:val="22"/>
          <w:szCs w:val="22"/>
        </w:rPr>
        <w:t xml:space="preserve"> </w:t>
      </w:r>
      <w:r w:rsidRPr="00D33347">
        <w:rPr>
          <w:rFonts w:ascii="Arial" w:hAnsi="Arial" w:cs="Arial"/>
          <w:color w:val="4472C4" w:themeColor="accent1"/>
          <w:sz w:val="22"/>
          <w:szCs w:val="22"/>
        </w:rPr>
        <w:t>13 January 2022). Since the disposal of the two laser cutting machines took place in January 2023, the transaction falls within the relevant period.</w:t>
      </w:r>
    </w:p>
    <w:p w14:paraId="07DF8A8D" w14:textId="1D82FF84" w:rsidR="006053E5" w:rsidRPr="00D33347" w:rsidRDefault="006053E5" w:rsidP="00197F24">
      <w:pPr>
        <w:jc w:val="both"/>
        <w:rPr>
          <w:rFonts w:ascii="Arial" w:hAnsi="Arial" w:cs="Arial"/>
          <w:color w:val="4472C4" w:themeColor="accent1"/>
          <w:sz w:val="22"/>
          <w:szCs w:val="22"/>
        </w:rPr>
      </w:pPr>
    </w:p>
    <w:p w14:paraId="45913AC0" w14:textId="5EE6B8BF" w:rsidR="006053E5" w:rsidRPr="00D33347" w:rsidRDefault="006053E5"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The liquidator must show that the company entered into the transaction for disposal of the two laser machines for a consideration which, in money or money’s worth, was at the date of the transaction, significantly less than the value in money or money’s worth of the consideration provided by the company. It is difficult to tell from the facts whether the two laser cutting machines were disposed at below market value – while the machines originally cost GBP 100,000, such value was a year before the transaction took place, and the value of the machines as of January 2023 may need to account for depreciation and fair wear and tear after one year of use. Nonetheless, given that Angela Bannister paid less than half the original price of the machines (GBP 40,000, only 40% of the original price), </w:t>
      </w:r>
      <w:r w:rsidRPr="00D33347">
        <w:rPr>
          <w:rFonts w:ascii="Arial" w:hAnsi="Arial" w:cs="Arial"/>
          <w:i/>
          <w:color w:val="4472C4" w:themeColor="accent1"/>
          <w:sz w:val="22"/>
          <w:szCs w:val="22"/>
        </w:rPr>
        <w:t>prima facie</w:t>
      </w:r>
      <w:r w:rsidRPr="00D33347">
        <w:rPr>
          <w:rFonts w:ascii="Arial" w:hAnsi="Arial" w:cs="Arial"/>
          <w:color w:val="4472C4" w:themeColor="accent1"/>
          <w:sz w:val="22"/>
          <w:szCs w:val="22"/>
        </w:rPr>
        <w:t xml:space="preserve"> there </w:t>
      </w:r>
      <w:r w:rsidR="00D60FB6">
        <w:rPr>
          <w:rFonts w:ascii="Arial" w:hAnsi="Arial" w:cs="Arial"/>
          <w:color w:val="4472C4" w:themeColor="accent1"/>
          <w:sz w:val="22"/>
          <w:szCs w:val="22"/>
        </w:rPr>
        <w:t>seems to be</w:t>
      </w:r>
      <w:r w:rsidRPr="00D33347">
        <w:rPr>
          <w:rFonts w:ascii="Arial" w:hAnsi="Arial" w:cs="Arial"/>
          <w:color w:val="4472C4" w:themeColor="accent1"/>
          <w:sz w:val="22"/>
          <w:szCs w:val="22"/>
        </w:rPr>
        <w:t xml:space="preserve"> an argument that the machines </w:t>
      </w:r>
      <w:r w:rsidR="00D60FB6">
        <w:rPr>
          <w:rFonts w:ascii="Arial" w:hAnsi="Arial" w:cs="Arial"/>
          <w:color w:val="4472C4" w:themeColor="accent1"/>
          <w:sz w:val="22"/>
          <w:szCs w:val="22"/>
        </w:rPr>
        <w:t>have been</w:t>
      </w:r>
      <w:r w:rsidRPr="00D33347">
        <w:rPr>
          <w:rFonts w:ascii="Arial" w:hAnsi="Arial" w:cs="Arial"/>
          <w:color w:val="4472C4" w:themeColor="accent1"/>
          <w:sz w:val="22"/>
          <w:szCs w:val="22"/>
        </w:rPr>
        <w:t xml:space="preserve"> disposed </w:t>
      </w:r>
      <w:r w:rsidR="00D60FB6">
        <w:rPr>
          <w:rFonts w:ascii="Arial" w:hAnsi="Arial" w:cs="Arial"/>
          <w:color w:val="4472C4" w:themeColor="accent1"/>
          <w:sz w:val="22"/>
          <w:szCs w:val="22"/>
        </w:rPr>
        <w:t xml:space="preserve">of </w:t>
      </w:r>
      <w:r w:rsidRPr="00D33347">
        <w:rPr>
          <w:rFonts w:ascii="Arial" w:hAnsi="Arial" w:cs="Arial"/>
          <w:color w:val="4472C4" w:themeColor="accent1"/>
          <w:sz w:val="22"/>
          <w:szCs w:val="22"/>
        </w:rPr>
        <w:t>below market value.</w:t>
      </w:r>
    </w:p>
    <w:p w14:paraId="16C6520D" w14:textId="77777777" w:rsidR="006053E5" w:rsidRPr="00D33347" w:rsidRDefault="006053E5" w:rsidP="00197F24">
      <w:pPr>
        <w:jc w:val="both"/>
        <w:rPr>
          <w:rFonts w:ascii="Arial" w:hAnsi="Arial" w:cs="Arial"/>
          <w:color w:val="4472C4" w:themeColor="accent1"/>
          <w:sz w:val="22"/>
          <w:szCs w:val="22"/>
        </w:rPr>
      </w:pPr>
    </w:p>
    <w:p w14:paraId="38D4B781" w14:textId="515F4E07" w:rsidR="006053E5" w:rsidRPr="00D33347" w:rsidRDefault="006053E5"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The liquidator must also show that the company was unable to pay its debt as they fell due when the transaction was entered into, or became unable to pay its debt as a result of the transaction.</w:t>
      </w:r>
      <w:r w:rsidR="009F5DDE" w:rsidRPr="00D33347">
        <w:rPr>
          <w:rFonts w:ascii="Arial" w:hAnsi="Arial" w:cs="Arial"/>
          <w:color w:val="4472C4" w:themeColor="accent1"/>
          <w:sz w:val="22"/>
          <w:szCs w:val="22"/>
        </w:rPr>
        <w:t xml:space="preserve"> In this case, since Angela Bannister as a director of the company is a “connected person”, the company is presumed to have been insolvent or have become insolvent as a result of the transaction, unless the contrary is proved.</w:t>
      </w:r>
    </w:p>
    <w:p w14:paraId="50413D6E" w14:textId="6292F1C6" w:rsidR="009F5DDE" w:rsidRPr="00D33347" w:rsidRDefault="009F5DDE" w:rsidP="00197F24">
      <w:pPr>
        <w:jc w:val="both"/>
        <w:rPr>
          <w:rFonts w:ascii="Arial" w:hAnsi="Arial" w:cs="Arial"/>
          <w:color w:val="4472C4" w:themeColor="accent1"/>
          <w:sz w:val="22"/>
          <w:szCs w:val="22"/>
        </w:rPr>
      </w:pPr>
    </w:p>
    <w:p w14:paraId="3A522C65" w14:textId="7A57348D" w:rsidR="009F5DDE" w:rsidRPr="00D33347" w:rsidRDefault="009F5DDE"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Angela Bannister can attempt to raise a </w:t>
      </w:r>
      <w:proofErr w:type="spellStart"/>
      <w:r w:rsidRPr="00D33347">
        <w:rPr>
          <w:rFonts w:ascii="Arial" w:hAnsi="Arial" w:cs="Arial"/>
          <w:color w:val="4472C4" w:themeColor="accent1"/>
          <w:sz w:val="22"/>
          <w:szCs w:val="22"/>
        </w:rPr>
        <w:t>defence</w:t>
      </w:r>
      <w:proofErr w:type="spellEnd"/>
      <w:r w:rsidRPr="00D33347">
        <w:rPr>
          <w:rFonts w:ascii="Arial" w:hAnsi="Arial" w:cs="Arial"/>
          <w:color w:val="4472C4" w:themeColor="accent1"/>
          <w:sz w:val="22"/>
          <w:szCs w:val="22"/>
        </w:rPr>
        <w:t xml:space="preserve"> that the transaction was entered into by the company in good faith and for purposes of carrying on its business, and there were reasonable grounds at the time of the transaction for believing the transaction would benefit the company. Since the company had cash flow problems, the sale of the machines to the director could improve the company’s cash position, and potentially benefited the company. However, it is uncertain what Angela’s intentions are for purchasing the machines, hence there is a counterargument that the transaction was not entered in good faith, and potentially for other reasons (e.g. for the director to purchase the machines at a low price for her own </w:t>
      </w:r>
      <w:r w:rsidR="00D60FB6">
        <w:rPr>
          <w:rFonts w:ascii="Arial" w:hAnsi="Arial" w:cs="Arial"/>
          <w:color w:val="4472C4" w:themeColor="accent1"/>
          <w:sz w:val="22"/>
          <w:szCs w:val="22"/>
        </w:rPr>
        <w:t xml:space="preserve">personal </w:t>
      </w:r>
      <w:r w:rsidRPr="00D33347">
        <w:rPr>
          <w:rFonts w:ascii="Arial" w:hAnsi="Arial" w:cs="Arial"/>
          <w:color w:val="4472C4" w:themeColor="accent1"/>
          <w:sz w:val="22"/>
          <w:szCs w:val="22"/>
        </w:rPr>
        <w:t>benefit).</w:t>
      </w:r>
    </w:p>
    <w:p w14:paraId="48C0A367" w14:textId="3F8885C4" w:rsidR="009F5DDE" w:rsidRPr="00D33347" w:rsidRDefault="009F5DDE" w:rsidP="00197F24">
      <w:pPr>
        <w:jc w:val="both"/>
        <w:rPr>
          <w:rFonts w:ascii="Arial" w:hAnsi="Arial" w:cs="Arial"/>
          <w:color w:val="4472C4" w:themeColor="accent1"/>
          <w:sz w:val="22"/>
          <w:szCs w:val="22"/>
        </w:rPr>
      </w:pPr>
    </w:p>
    <w:p w14:paraId="4802D76D" w14:textId="7DFABEAD" w:rsidR="009F5DDE" w:rsidRPr="00D33347" w:rsidRDefault="009F5DDE"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Assuming Angela still holds the machines, the court could make an order to reverse the transaction. However, if the machines had since been sold to a third party buyer who acquired them in good faith and for value, then the court may grant alternative relief, e.g. compensation order made against Angela to make good the loss suffered by the company as a result of the transaction.</w:t>
      </w:r>
    </w:p>
    <w:p w14:paraId="651FE997" w14:textId="77777777" w:rsidR="004D5FFB" w:rsidRPr="00D33347" w:rsidRDefault="004D5FFB" w:rsidP="00197F24">
      <w:pPr>
        <w:jc w:val="both"/>
        <w:rPr>
          <w:rFonts w:ascii="Arial" w:hAnsi="Arial" w:cs="Arial"/>
          <w:color w:val="4472C4" w:themeColor="accent1"/>
          <w:sz w:val="22"/>
          <w:szCs w:val="22"/>
        </w:rPr>
      </w:pPr>
    </w:p>
    <w:p w14:paraId="513BADBD" w14:textId="0C188F41" w:rsidR="006053E5" w:rsidRPr="00D33347" w:rsidRDefault="009F5DDE" w:rsidP="00197F24">
      <w:pPr>
        <w:jc w:val="both"/>
        <w:rPr>
          <w:rFonts w:ascii="Arial" w:hAnsi="Arial" w:cs="Arial"/>
          <w:i/>
          <w:color w:val="4472C4" w:themeColor="accent1"/>
          <w:sz w:val="22"/>
          <w:szCs w:val="22"/>
          <w:u w:val="single"/>
        </w:rPr>
      </w:pPr>
      <w:r w:rsidRPr="00D33347">
        <w:rPr>
          <w:rFonts w:ascii="Arial" w:hAnsi="Arial" w:cs="Arial"/>
          <w:i/>
          <w:color w:val="4472C4" w:themeColor="accent1"/>
          <w:sz w:val="22"/>
          <w:szCs w:val="22"/>
          <w:u w:val="single"/>
        </w:rPr>
        <w:t>Transactions defrauding creditors</w:t>
      </w:r>
    </w:p>
    <w:p w14:paraId="017DAFD1" w14:textId="77777777" w:rsidR="004D5FFB" w:rsidRPr="00D33347" w:rsidRDefault="004D5FFB" w:rsidP="004D5FFB">
      <w:pPr>
        <w:jc w:val="both"/>
        <w:rPr>
          <w:rFonts w:ascii="Arial" w:hAnsi="Arial" w:cs="Arial"/>
          <w:color w:val="4472C4" w:themeColor="accent1"/>
          <w:sz w:val="22"/>
          <w:szCs w:val="22"/>
        </w:rPr>
      </w:pPr>
    </w:p>
    <w:p w14:paraId="5B43A140" w14:textId="7CA3CB6F" w:rsidR="004D5FFB" w:rsidRPr="00D33347" w:rsidRDefault="004D5FFB" w:rsidP="004D5FFB">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Under section 423 of the Insolvency Act 1986, where a transaction was entered into to defraud creditors, the liquidator can </w:t>
      </w:r>
      <w:r w:rsidR="00D60FB6">
        <w:rPr>
          <w:rFonts w:ascii="Arial" w:hAnsi="Arial" w:cs="Arial"/>
          <w:color w:val="4472C4" w:themeColor="accent1"/>
          <w:sz w:val="22"/>
          <w:szCs w:val="22"/>
        </w:rPr>
        <w:t>challenge</w:t>
      </w:r>
      <w:r w:rsidRPr="00D33347">
        <w:rPr>
          <w:rFonts w:ascii="Arial" w:hAnsi="Arial" w:cs="Arial"/>
          <w:color w:val="4472C4" w:themeColor="accent1"/>
          <w:sz w:val="22"/>
          <w:szCs w:val="22"/>
        </w:rPr>
        <w:t xml:space="preserve"> the transaction and seek to have it avoided or obtain appropriate relief against the person benefitting from the transaction.</w:t>
      </w:r>
    </w:p>
    <w:p w14:paraId="3BA68AB5" w14:textId="3B0AB37B" w:rsidR="004D5FFB" w:rsidRPr="00D33347" w:rsidRDefault="004D5FFB" w:rsidP="004D5FFB">
      <w:pPr>
        <w:jc w:val="both"/>
        <w:rPr>
          <w:rFonts w:ascii="Arial" w:hAnsi="Arial" w:cs="Arial"/>
          <w:color w:val="4472C4" w:themeColor="accent1"/>
          <w:sz w:val="22"/>
          <w:szCs w:val="22"/>
        </w:rPr>
      </w:pPr>
    </w:p>
    <w:p w14:paraId="249440C4" w14:textId="3A20417E" w:rsidR="004D5FFB" w:rsidRPr="00D33347" w:rsidRDefault="004D5FFB" w:rsidP="004D5FFB">
      <w:pPr>
        <w:jc w:val="both"/>
        <w:rPr>
          <w:rFonts w:ascii="Arial" w:hAnsi="Arial" w:cs="Arial"/>
          <w:color w:val="4472C4" w:themeColor="accent1"/>
          <w:sz w:val="22"/>
          <w:szCs w:val="22"/>
        </w:rPr>
      </w:pPr>
      <w:r w:rsidRPr="00D33347">
        <w:rPr>
          <w:rFonts w:ascii="Arial" w:hAnsi="Arial" w:cs="Arial"/>
          <w:color w:val="4472C4" w:themeColor="accent1"/>
          <w:sz w:val="22"/>
          <w:szCs w:val="22"/>
        </w:rPr>
        <w:t>To succeed on this action, it must be shown that (</w:t>
      </w:r>
      <w:proofErr w:type="spellStart"/>
      <w:r w:rsidRPr="00D33347">
        <w:rPr>
          <w:rFonts w:ascii="Arial" w:hAnsi="Arial" w:cs="Arial"/>
          <w:color w:val="4472C4" w:themeColor="accent1"/>
          <w:sz w:val="22"/>
          <w:szCs w:val="22"/>
        </w:rPr>
        <w:t>i</w:t>
      </w:r>
      <w:proofErr w:type="spellEnd"/>
      <w:r w:rsidRPr="00D33347">
        <w:rPr>
          <w:rFonts w:ascii="Arial" w:hAnsi="Arial" w:cs="Arial"/>
          <w:color w:val="4472C4" w:themeColor="accent1"/>
          <w:sz w:val="22"/>
          <w:szCs w:val="22"/>
        </w:rPr>
        <w:t>) the company entered into a transaction with another person at an undervalue (including receiving significantly less consideration than it has provided), and (ii) the company entered into the transaction for purposes of putting the assets beyond reach of creditors or otherwise prejudicing interests of creditors in relation to a claim they may make against the company. There are no time limits in respect of which the transaction must have been entered.</w:t>
      </w:r>
    </w:p>
    <w:p w14:paraId="043604A7" w14:textId="165F9BDA" w:rsidR="004D5FFB" w:rsidRPr="00D33347" w:rsidRDefault="004D5FFB" w:rsidP="004D5FFB">
      <w:pPr>
        <w:jc w:val="both"/>
        <w:rPr>
          <w:rFonts w:ascii="Arial" w:hAnsi="Arial" w:cs="Arial"/>
          <w:color w:val="4472C4" w:themeColor="accent1"/>
          <w:sz w:val="22"/>
          <w:szCs w:val="22"/>
        </w:rPr>
      </w:pPr>
    </w:p>
    <w:p w14:paraId="6CEAB516" w14:textId="79B3B923" w:rsidR="004D5FFB" w:rsidRPr="00D33347" w:rsidRDefault="008F3E8E" w:rsidP="004D5FFB">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As discussed above, there is a </w:t>
      </w:r>
      <w:r w:rsidRPr="00D33347">
        <w:rPr>
          <w:rFonts w:ascii="Arial" w:hAnsi="Arial" w:cs="Arial"/>
          <w:i/>
          <w:color w:val="4472C4" w:themeColor="accent1"/>
          <w:sz w:val="22"/>
          <w:szCs w:val="22"/>
        </w:rPr>
        <w:t>prima facie</w:t>
      </w:r>
      <w:r w:rsidRPr="00D33347">
        <w:rPr>
          <w:rFonts w:ascii="Arial" w:hAnsi="Arial" w:cs="Arial"/>
          <w:color w:val="4472C4" w:themeColor="accent1"/>
          <w:sz w:val="22"/>
          <w:szCs w:val="22"/>
        </w:rPr>
        <w:t xml:space="preserve"> argument that the machines have been disposed</w:t>
      </w:r>
      <w:r w:rsidR="00D60FB6">
        <w:rPr>
          <w:rFonts w:ascii="Arial" w:hAnsi="Arial" w:cs="Arial"/>
          <w:color w:val="4472C4" w:themeColor="accent1"/>
          <w:sz w:val="22"/>
          <w:szCs w:val="22"/>
        </w:rPr>
        <w:t xml:space="preserve"> of</w:t>
      </w:r>
      <w:r w:rsidRPr="00D33347">
        <w:rPr>
          <w:rFonts w:ascii="Arial" w:hAnsi="Arial" w:cs="Arial"/>
          <w:color w:val="4472C4" w:themeColor="accent1"/>
          <w:sz w:val="22"/>
          <w:szCs w:val="22"/>
        </w:rPr>
        <w:t xml:space="preserve"> at an undervalue. However, the liquidators also need to show the transaction was entered into for purposes of putting assets beyond control of the creditors – Angela could </w:t>
      </w:r>
      <w:r w:rsidR="00D60FB6">
        <w:rPr>
          <w:rFonts w:ascii="Arial" w:hAnsi="Arial" w:cs="Arial"/>
          <w:color w:val="4472C4" w:themeColor="accent1"/>
          <w:sz w:val="22"/>
          <w:szCs w:val="22"/>
        </w:rPr>
        <w:t xml:space="preserve">offer different explanations for this, for example that </w:t>
      </w:r>
      <w:r w:rsidRPr="00D33347">
        <w:rPr>
          <w:rFonts w:ascii="Arial" w:hAnsi="Arial" w:cs="Arial"/>
          <w:color w:val="4472C4" w:themeColor="accent1"/>
          <w:sz w:val="22"/>
          <w:szCs w:val="22"/>
        </w:rPr>
        <w:t xml:space="preserve">the </w:t>
      </w:r>
      <w:r w:rsidR="00D60FB6">
        <w:rPr>
          <w:rFonts w:ascii="Arial" w:hAnsi="Arial" w:cs="Arial"/>
          <w:color w:val="4472C4" w:themeColor="accent1"/>
          <w:sz w:val="22"/>
          <w:szCs w:val="22"/>
        </w:rPr>
        <w:t xml:space="preserve">transaction was intended by Angela to inject cash into the company with a view to alleviate </w:t>
      </w:r>
      <w:r w:rsidRPr="00D33347">
        <w:rPr>
          <w:rFonts w:ascii="Arial" w:hAnsi="Arial" w:cs="Arial"/>
          <w:color w:val="4472C4" w:themeColor="accent1"/>
          <w:sz w:val="22"/>
          <w:szCs w:val="22"/>
        </w:rPr>
        <w:t xml:space="preserve">its </w:t>
      </w:r>
      <w:r w:rsidR="00D60FB6">
        <w:rPr>
          <w:rFonts w:ascii="Arial" w:hAnsi="Arial" w:cs="Arial"/>
          <w:color w:val="4472C4" w:themeColor="accent1"/>
          <w:sz w:val="22"/>
          <w:szCs w:val="22"/>
        </w:rPr>
        <w:t xml:space="preserve">immediate </w:t>
      </w:r>
      <w:r w:rsidRPr="00D33347">
        <w:rPr>
          <w:rFonts w:ascii="Arial" w:hAnsi="Arial" w:cs="Arial"/>
          <w:color w:val="4472C4" w:themeColor="accent1"/>
          <w:sz w:val="22"/>
          <w:szCs w:val="22"/>
        </w:rPr>
        <w:t xml:space="preserve">cash flow problems. </w:t>
      </w:r>
    </w:p>
    <w:p w14:paraId="253C5568" w14:textId="0895EA64" w:rsidR="009F5DDE" w:rsidRPr="00D33347" w:rsidRDefault="009F5DDE" w:rsidP="00197F24">
      <w:pPr>
        <w:jc w:val="both"/>
        <w:rPr>
          <w:rFonts w:ascii="Arial" w:hAnsi="Arial" w:cs="Arial"/>
          <w:color w:val="4472C4" w:themeColor="accent1"/>
          <w:sz w:val="22"/>
          <w:szCs w:val="22"/>
        </w:rPr>
      </w:pPr>
    </w:p>
    <w:p w14:paraId="7A4DC07D" w14:textId="7B76409B" w:rsidR="008F3E8E" w:rsidRPr="00D33347" w:rsidRDefault="008F3E8E" w:rsidP="00197F24">
      <w:pPr>
        <w:jc w:val="both"/>
        <w:rPr>
          <w:rFonts w:ascii="Arial" w:hAnsi="Arial" w:cs="Arial"/>
          <w:color w:val="4472C4" w:themeColor="accent1"/>
          <w:sz w:val="22"/>
          <w:szCs w:val="22"/>
        </w:rPr>
      </w:pPr>
      <w:r w:rsidRPr="00D33347">
        <w:rPr>
          <w:rFonts w:ascii="Arial" w:hAnsi="Arial" w:cs="Arial"/>
          <w:color w:val="4472C4" w:themeColor="accent1"/>
          <w:sz w:val="22"/>
          <w:szCs w:val="22"/>
        </w:rPr>
        <w:t xml:space="preserve">Assuming the challenge is successful, the relief available is similar to transaction at an undervalue – </w:t>
      </w:r>
      <w:r w:rsidR="00612184">
        <w:rPr>
          <w:rFonts w:ascii="Arial" w:hAnsi="Arial" w:cs="Arial"/>
          <w:color w:val="4472C4" w:themeColor="accent1"/>
          <w:sz w:val="22"/>
          <w:szCs w:val="22"/>
        </w:rPr>
        <w:t xml:space="preserve">the court could make an order to reverse </w:t>
      </w:r>
      <w:r w:rsidRPr="00D33347">
        <w:rPr>
          <w:rFonts w:ascii="Arial" w:hAnsi="Arial" w:cs="Arial"/>
          <w:color w:val="4472C4" w:themeColor="accent1"/>
          <w:sz w:val="22"/>
          <w:szCs w:val="22"/>
        </w:rPr>
        <w:t xml:space="preserve">the transaction, or </w:t>
      </w:r>
      <w:r w:rsidR="00612184">
        <w:rPr>
          <w:rFonts w:ascii="Arial" w:hAnsi="Arial" w:cs="Arial"/>
          <w:color w:val="4472C4" w:themeColor="accent1"/>
          <w:sz w:val="22"/>
          <w:szCs w:val="22"/>
        </w:rPr>
        <w:t xml:space="preserve">make a </w:t>
      </w:r>
      <w:r w:rsidRPr="00D33347">
        <w:rPr>
          <w:rFonts w:ascii="Arial" w:hAnsi="Arial" w:cs="Arial"/>
          <w:color w:val="4472C4" w:themeColor="accent1"/>
          <w:sz w:val="22"/>
          <w:szCs w:val="22"/>
        </w:rPr>
        <w:t xml:space="preserve">compensation order against Angela if the assets have since been sold to a </w:t>
      </w:r>
      <w:r w:rsidRPr="00D33347">
        <w:rPr>
          <w:rFonts w:ascii="Arial" w:hAnsi="Arial" w:cs="Arial"/>
          <w:i/>
          <w:color w:val="4472C4" w:themeColor="accent1"/>
          <w:sz w:val="22"/>
          <w:szCs w:val="22"/>
        </w:rPr>
        <w:t>bona fide</w:t>
      </w:r>
      <w:r w:rsidRPr="00D33347">
        <w:rPr>
          <w:rFonts w:ascii="Arial" w:hAnsi="Arial" w:cs="Arial"/>
          <w:color w:val="4472C4" w:themeColor="accent1"/>
          <w:sz w:val="22"/>
          <w:szCs w:val="22"/>
        </w:rPr>
        <w:t xml:space="preserve"> purchase</w:t>
      </w:r>
      <w:r w:rsidR="00486602" w:rsidRPr="00D33347">
        <w:rPr>
          <w:rFonts w:ascii="Arial" w:hAnsi="Arial" w:cs="Arial"/>
          <w:color w:val="4472C4" w:themeColor="accent1"/>
          <w:sz w:val="22"/>
          <w:szCs w:val="22"/>
        </w:rPr>
        <w:t>r for</w:t>
      </w:r>
      <w:r w:rsidRPr="00D33347">
        <w:rPr>
          <w:rFonts w:ascii="Arial" w:hAnsi="Arial" w:cs="Arial"/>
          <w:color w:val="4472C4" w:themeColor="accent1"/>
          <w:sz w:val="22"/>
          <w:szCs w:val="22"/>
        </w:rPr>
        <w:t xml:space="preserve"> value.</w:t>
      </w:r>
    </w:p>
    <w:p w14:paraId="22A8BCAA" w14:textId="77777777" w:rsidR="004D5FFB" w:rsidRPr="006925C1" w:rsidRDefault="004D5FFB"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D1DE052" w14:textId="46F78670" w:rsidR="00486602" w:rsidRPr="00D33347" w:rsidRDefault="00486602" w:rsidP="00486602">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The winding up order was made on 28 February 2024, and the winding up petition was issued on 13 January 2024. The commencement of winding up of the company will relate back to the date of the winding up petition, i.e. 13 January 2024.</w:t>
      </w:r>
    </w:p>
    <w:p w14:paraId="20ED5074" w14:textId="4D604721" w:rsidR="00486602" w:rsidRPr="00D33347" w:rsidRDefault="00486602" w:rsidP="00486602">
      <w:pPr>
        <w:jc w:val="both"/>
        <w:rPr>
          <w:rFonts w:ascii="Arial" w:hAnsi="Arial" w:cs="Arial"/>
          <w:color w:val="4472C4" w:themeColor="accent1"/>
          <w:sz w:val="22"/>
          <w:szCs w:val="22"/>
          <w:lang w:val="en-GB"/>
        </w:rPr>
      </w:pPr>
    </w:p>
    <w:p w14:paraId="01959376" w14:textId="36932D28" w:rsidR="00486602" w:rsidRPr="00D33347" w:rsidRDefault="00486602" w:rsidP="00486602">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Under section 127 of the Insolvency Act 1986, any disposition of property of the company (including any payment of money) made after commencement of winding up is avoid, unless the court otherwise orders. Since the payment of GBP 20,000 and further payment of GBP 8,000 for further supplies to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w:t>
      </w:r>
      <w:r w:rsidR="00622ACE" w:rsidRPr="00D33347">
        <w:rPr>
          <w:rFonts w:ascii="Arial" w:hAnsi="Arial" w:cs="Arial"/>
          <w:color w:val="4472C4" w:themeColor="accent1"/>
          <w:sz w:val="22"/>
          <w:szCs w:val="22"/>
          <w:lang w:val="en-GB"/>
        </w:rPr>
        <w:t>(the “</w:t>
      </w:r>
      <w:r w:rsidR="00622ACE" w:rsidRPr="00D33347">
        <w:rPr>
          <w:rFonts w:ascii="Arial" w:hAnsi="Arial" w:cs="Arial"/>
          <w:b/>
          <w:color w:val="4472C4" w:themeColor="accent1"/>
          <w:sz w:val="22"/>
          <w:szCs w:val="22"/>
          <w:lang w:val="en-GB"/>
        </w:rPr>
        <w:t>Payments</w:t>
      </w:r>
      <w:r w:rsidR="00622ACE" w:rsidRPr="00D33347">
        <w:rPr>
          <w:rFonts w:ascii="Arial" w:hAnsi="Arial" w:cs="Arial"/>
          <w:color w:val="4472C4" w:themeColor="accent1"/>
          <w:sz w:val="22"/>
          <w:szCs w:val="22"/>
          <w:lang w:val="en-GB"/>
        </w:rPr>
        <w:t xml:space="preserve">”) </w:t>
      </w:r>
      <w:r w:rsidRPr="00D33347">
        <w:rPr>
          <w:rFonts w:ascii="Arial" w:hAnsi="Arial" w:cs="Arial"/>
          <w:color w:val="4472C4" w:themeColor="accent1"/>
          <w:sz w:val="22"/>
          <w:szCs w:val="22"/>
          <w:lang w:val="en-GB"/>
        </w:rPr>
        <w:t>appear to have been made on a month before the winding up order was made</w:t>
      </w:r>
      <w:r w:rsidR="00D60FB6">
        <w:rPr>
          <w:rFonts w:ascii="Arial" w:hAnsi="Arial" w:cs="Arial"/>
          <w:color w:val="4472C4" w:themeColor="accent1"/>
          <w:sz w:val="22"/>
          <w:szCs w:val="22"/>
          <w:lang w:val="en-GB"/>
        </w:rPr>
        <w:t xml:space="preserve"> (i.e. on or around 28 January 2024)</w:t>
      </w:r>
      <w:r w:rsidRPr="00D33347">
        <w:rPr>
          <w:rFonts w:ascii="Arial" w:hAnsi="Arial" w:cs="Arial"/>
          <w:color w:val="4472C4" w:themeColor="accent1"/>
          <w:sz w:val="22"/>
          <w:szCs w:val="22"/>
          <w:lang w:val="en-GB"/>
        </w:rPr>
        <w:t xml:space="preserve">, </w:t>
      </w:r>
      <w:r w:rsidR="00622ACE" w:rsidRPr="00D33347">
        <w:rPr>
          <w:rFonts w:ascii="Arial" w:hAnsi="Arial" w:cs="Arial"/>
          <w:color w:val="4472C4" w:themeColor="accent1"/>
          <w:sz w:val="22"/>
          <w:szCs w:val="22"/>
          <w:lang w:val="en-GB"/>
        </w:rPr>
        <w:t>the</w:t>
      </w:r>
      <w:r w:rsidRPr="00D33347">
        <w:rPr>
          <w:rFonts w:ascii="Arial" w:hAnsi="Arial" w:cs="Arial"/>
          <w:color w:val="4472C4" w:themeColor="accent1"/>
          <w:sz w:val="22"/>
          <w:szCs w:val="22"/>
          <w:lang w:val="en-GB"/>
        </w:rPr>
        <w:t xml:space="preserve"> </w:t>
      </w:r>
      <w:r w:rsidR="00622ACE" w:rsidRPr="00D33347">
        <w:rPr>
          <w:rFonts w:ascii="Arial" w:hAnsi="Arial" w:cs="Arial"/>
          <w:color w:val="4472C4" w:themeColor="accent1"/>
          <w:sz w:val="22"/>
          <w:szCs w:val="22"/>
          <w:lang w:val="en-GB"/>
        </w:rPr>
        <w:t xml:space="preserve">Payments </w:t>
      </w:r>
      <w:r w:rsidRPr="00D33347">
        <w:rPr>
          <w:rFonts w:ascii="Arial" w:hAnsi="Arial" w:cs="Arial"/>
          <w:color w:val="4472C4" w:themeColor="accent1"/>
          <w:sz w:val="22"/>
          <w:szCs w:val="22"/>
          <w:lang w:val="en-GB"/>
        </w:rPr>
        <w:t xml:space="preserve">are </w:t>
      </w:r>
      <w:r w:rsidRPr="00D33347">
        <w:rPr>
          <w:rFonts w:ascii="Arial" w:hAnsi="Arial" w:cs="Arial"/>
          <w:i/>
          <w:color w:val="4472C4" w:themeColor="accent1"/>
          <w:sz w:val="22"/>
          <w:szCs w:val="22"/>
          <w:lang w:val="en-GB"/>
        </w:rPr>
        <w:t>prima face</w:t>
      </w:r>
      <w:r w:rsidRPr="00D33347">
        <w:rPr>
          <w:rFonts w:ascii="Arial" w:hAnsi="Arial" w:cs="Arial"/>
          <w:color w:val="4472C4" w:themeColor="accent1"/>
          <w:sz w:val="22"/>
          <w:szCs w:val="22"/>
          <w:lang w:val="en-GB"/>
        </w:rPr>
        <w:t xml:space="preserve"> unlawful dispositions of the company’s assets, and the liquidator can attempt to claw back such payments from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w:t>
      </w:r>
    </w:p>
    <w:p w14:paraId="6D3B4BFB" w14:textId="04831FCD" w:rsidR="00486602" w:rsidRPr="00D33347" w:rsidRDefault="00486602" w:rsidP="00486602">
      <w:pPr>
        <w:jc w:val="both"/>
        <w:rPr>
          <w:rFonts w:ascii="Arial" w:hAnsi="Arial" w:cs="Arial"/>
          <w:color w:val="4472C4" w:themeColor="accent1"/>
          <w:sz w:val="22"/>
          <w:szCs w:val="22"/>
          <w:lang w:val="en-GB"/>
        </w:rPr>
      </w:pPr>
    </w:p>
    <w:p w14:paraId="24331419" w14:textId="5D933542" w:rsidR="00083BAE" w:rsidRPr="00D33347" w:rsidRDefault="00486602" w:rsidP="00486602">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may apply to the court for a validation order to declare such </w:t>
      </w:r>
      <w:r w:rsidR="00622ACE" w:rsidRPr="00D33347">
        <w:rPr>
          <w:rFonts w:ascii="Arial" w:hAnsi="Arial" w:cs="Arial"/>
          <w:color w:val="4472C4" w:themeColor="accent1"/>
          <w:sz w:val="22"/>
          <w:szCs w:val="22"/>
          <w:lang w:val="en-GB"/>
        </w:rPr>
        <w:t xml:space="preserve">Payments </w:t>
      </w:r>
      <w:r w:rsidRPr="00D33347">
        <w:rPr>
          <w:rFonts w:ascii="Arial" w:hAnsi="Arial" w:cs="Arial"/>
          <w:color w:val="4472C4" w:themeColor="accent1"/>
          <w:sz w:val="22"/>
          <w:szCs w:val="22"/>
          <w:lang w:val="en-GB"/>
        </w:rPr>
        <w:t>shall not be void</w:t>
      </w:r>
      <w:r w:rsidR="00083BAE" w:rsidRPr="00D33347">
        <w:rPr>
          <w:rFonts w:ascii="Arial" w:hAnsi="Arial" w:cs="Arial"/>
          <w:color w:val="4472C4" w:themeColor="accent1"/>
          <w:sz w:val="22"/>
          <w:szCs w:val="22"/>
          <w:lang w:val="en-GB"/>
        </w:rPr>
        <w:t xml:space="preserve">, and has the burden of showing that the order should be made – it will need to establish that the </w:t>
      </w:r>
      <w:r w:rsidR="00622ACE" w:rsidRPr="00D33347">
        <w:rPr>
          <w:rFonts w:ascii="Arial" w:hAnsi="Arial" w:cs="Arial"/>
          <w:color w:val="4472C4" w:themeColor="accent1"/>
          <w:sz w:val="22"/>
          <w:szCs w:val="22"/>
          <w:lang w:val="en-GB"/>
        </w:rPr>
        <w:t xml:space="preserve">Payments </w:t>
      </w:r>
      <w:r w:rsidR="00083BAE" w:rsidRPr="00D33347">
        <w:rPr>
          <w:rFonts w:ascii="Arial" w:hAnsi="Arial" w:cs="Arial"/>
          <w:color w:val="4472C4" w:themeColor="accent1"/>
          <w:sz w:val="22"/>
          <w:szCs w:val="22"/>
          <w:lang w:val="en-GB"/>
        </w:rPr>
        <w:t xml:space="preserve">were made </w:t>
      </w:r>
      <w:r w:rsidR="00083BAE" w:rsidRPr="00D33347">
        <w:rPr>
          <w:rFonts w:ascii="Arial" w:hAnsi="Arial" w:cs="Arial"/>
          <w:i/>
          <w:color w:val="4472C4" w:themeColor="accent1"/>
          <w:sz w:val="22"/>
          <w:szCs w:val="22"/>
          <w:lang w:val="en-GB"/>
        </w:rPr>
        <w:t>bona fide</w:t>
      </w:r>
      <w:r w:rsidR="00083BAE" w:rsidRPr="00D33347">
        <w:rPr>
          <w:rFonts w:ascii="Arial" w:hAnsi="Arial" w:cs="Arial"/>
          <w:color w:val="4472C4" w:themeColor="accent1"/>
          <w:sz w:val="22"/>
          <w:szCs w:val="22"/>
          <w:lang w:val="en-GB"/>
        </w:rPr>
        <w:t xml:space="preserve"> in the ordinary course of business of the company without prejudicing the interests of parties interested in the assets of the company, such that the </w:t>
      </w:r>
      <w:r w:rsidR="00622ACE" w:rsidRPr="00D33347">
        <w:rPr>
          <w:rFonts w:ascii="Arial" w:hAnsi="Arial" w:cs="Arial"/>
          <w:color w:val="4472C4" w:themeColor="accent1"/>
          <w:sz w:val="22"/>
          <w:szCs w:val="22"/>
          <w:lang w:val="en-GB"/>
        </w:rPr>
        <w:t xml:space="preserve">Payments </w:t>
      </w:r>
      <w:r w:rsidR="00083BAE" w:rsidRPr="00D33347">
        <w:rPr>
          <w:rFonts w:ascii="Arial" w:hAnsi="Arial" w:cs="Arial"/>
          <w:color w:val="4472C4" w:themeColor="accent1"/>
          <w:sz w:val="22"/>
          <w:szCs w:val="22"/>
          <w:lang w:val="en-GB"/>
        </w:rPr>
        <w:t>were made for the benefit of the general body of the unsecured creditors. In this case:</w:t>
      </w:r>
    </w:p>
    <w:p w14:paraId="0C1246AC" w14:textId="77777777" w:rsidR="00083BAE" w:rsidRPr="00D33347" w:rsidRDefault="00083BAE" w:rsidP="00486602">
      <w:pPr>
        <w:jc w:val="both"/>
        <w:rPr>
          <w:rFonts w:ascii="Arial" w:hAnsi="Arial" w:cs="Arial"/>
          <w:color w:val="4472C4" w:themeColor="accent1"/>
          <w:sz w:val="22"/>
          <w:szCs w:val="22"/>
          <w:lang w:val="en-GB"/>
        </w:rPr>
      </w:pPr>
    </w:p>
    <w:p w14:paraId="567E9904" w14:textId="7A15444A" w:rsidR="00083BAE" w:rsidRPr="00D33347" w:rsidRDefault="00083BAE" w:rsidP="00083BAE">
      <w:pPr>
        <w:pStyle w:val="ListParagraph"/>
        <w:numPr>
          <w:ilvl w:val="0"/>
          <w:numId w:val="20"/>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the effect of the </w:t>
      </w:r>
      <w:r w:rsidR="00622ACE" w:rsidRPr="00D33347">
        <w:rPr>
          <w:rFonts w:ascii="Arial" w:hAnsi="Arial" w:cs="Arial"/>
          <w:color w:val="4472C4" w:themeColor="accent1"/>
          <w:sz w:val="22"/>
          <w:szCs w:val="22"/>
          <w:lang w:val="en-GB"/>
        </w:rPr>
        <w:t xml:space="preserve">Payments </w:t>
      </w:r>
      <w:r w:rsidRPr="00D33347">
        <w:rPr>
          <w:rFonts w:ascii="Arial" w:hAnsi="Arial" w:cs="Arial"/>
          <w:color w:val="4472C4" w:themeColor="accent1"/>
          <w:sz w:val="22"/>
          <w:szCs w:val="22"/>
          <w:lang w:val="en-GB"/>
        </w:rPr>
        <w:t xml:space="preserve">seems to have been to give a preference to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over other creditors, and departs from the </w:t>
      </w:r>
      <w:proofErr w:type="spellStart"/>
      <w:r w:rsidRPr="00D33347">
        <w:rPr>
          <w:rFonts w:ascii="Arial" w:hAnsi="Arial" w:cs="Arial"/>
          <w:i/>
          <w:color w:val="4472C4" w:themeColor="accent1"/>
          <w:sz w:val="22"/>
          <w:szCs w:val="22"/>
          <w:lang w:val="en-GB"/>
        </w:rPr>
        <w:t>pari</w:t>
      </w:r>
      <w:proofErr w:type="spellEnd"/>
      <w:r w:rsidRPr="00D33347">
        <w:rPr>
          <w:rFonts w:ascii="Arial" w:hAnsi="Arial" w:cs="Arial"/>
          <w:i/>
          <w:color w:val="4472C4" w:themeColor="accent1"/>
          <w:sz w:val="22"/>
          <w:szCs w:val="22"/>
          <w:lang w:val="en-GB"/>
        </w:rPr>
        <w:t xml:space="preserve"> passu</w:t>
      </w:r>
      <w:r w:rsidRPr="00D33347">
        <w:rPr>
          <w:rFonts w:ascii="Arial" w:hAnsi="Arial" w:cs="Arial"/>
          <w:color w:val="4472C4" w:themeColor="accent1"/>
          <w:sz w:val="22"/>
          <w:szCs w:val="22"/>
          <w:lang w:val="en-GB"/>
        </w:rPr>
        <w:t xml:space="preserve"> principle;</w:t>
      </w:r>
    </w:p>
    <w:p w14:paraId="0B77B68E" w14:textId="0529831C" w:rsidR="00083BAE" w:rsidRPr="00D33347" w:rsidRDefault="00083BAE" w:rsidP="00083BAE">
      <w:pPr>
        <w:jc w:val="both"/>
        <w:rPr>
          <w:rFonts w:ascii="Arial" w:hAnsi="Arial" w:cs="Arial"/>
          <w:color w:val="4472C4" w:themeColor="accent1"/>
          <w:sz w:val="22"/>
          <w:szCs w:val="22"/>
          <w:lang w:val="en-GB"/>
        </w:rPr>
      </w:pPr>
    </w:p>
    <w:p w14:paraId="6881D8DF" w14:textId="47382502" w:rsidR="00083BAE" w:rsidRPr="00D33347" w:rsidRDefault="00083BAE" w:rsidP="00083BAE">
      <w:pPr>
        <w:pStyle w:val="ListParagraph"/>
        <w:numPr>
          <w:ilvl w:val="0"/>
          <w:numId w:val="20"/>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however, in cases where the court considers that continuance of trading was in the best interests of creditors, payments necessary to ensure continued supplies to enable the company to continue trading, and goods paid for on terms of cash on delivery to enable further supplies to be received by the company, could be validated by the court; </w:t>
      </w:r>
    </w:p>
    <w:p w14:paraId="78B38668" w14:textId="77777777" w:rsidR="00083BAE" w:rsidRPr="00D33347" w:rsidRDefault="00083BAE" w:rsidP="00083BAE">
      <w:pPr>
        <w:pStyle w:val="ListParagraph"/>
        <w:jc w:val="both"/>
        <w:rPr>
          <w:rFonts w:ascii="Arial" w:hAnsi="Arial" w:cs="Arial"/>
          <w:color w:val="4472C4" w:themeColor="accent1"/>
          <w:sz w:val="22"/>
          <w:szCs w:val="22"/>
          <w:lang w:val="en-GB"/>
        </w:rPr>
      </w:pPr>
    </w:p>
    <w:p w14:paraId="326AE5F6" w14:textId="5D086DC8" w:rsidR="00083BAE" w:rsidRPr="00D33347" w:rsidRDefault="00083BAE" w:rsidP="00083BAE">
      <w:pPr>
        <w:pStyle w:val="ListParagraph"/>
        <w:numPr>
          <w:ilvl w:val="0"/>
          <w:numId w:val="20"/>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as one of the company’</w:t>
      </w:r>
      <w:r w:rsidR="00F363CB" w:rsidRPr="00D33347">
        <w:rPr>
          <w:rFonts w:ascii="Arial" w:hAnsi="Arial" w:cs="Arial"/>
          <w:color w:val="4472C4" w:themeColor="accent1"/>
          <w:sz w:val="22"/>
          <w:szCs w:val="22"/>
          <w:lang w:val="en-GB"/>
        </w:rPr>
        <w:t xml:space="preserve">s key suppliers </w:t>
      </w:r>
      <w:r w:rsidRPr="00D33347">
        <w:rPr>
          <w:rFonts w:ascii="Arial" w:hAnsi="Arial" w:cs="Arial"/>
          <w:color w:val="4472C4" w:themeColor="accent1"/>
          <w:sz w:val="22"/>
          <w:szCs w:val="22"/>
          <w:lang w:val="en-GB"/>
        </w:rPr>
        <w:t>is critical to enabling the company to continue trading</w:t>
      </w:r>
      <w:r w:rsidR="00F363CB" w:rsidRPr="00D33347">
        <w:rPr>
          <w:rFonts w:ascii="Arial" w:hAnsi="Arial" w:cs="Arial"/>
          <w:color w:val="4472C4" w:themeColor="accent1"/>
          <w:sz w:val="22"/>
          <w:szCs w:val="22"/>
          <w:lang w:val="en-GB"/>
        </w:rPr>
        <w:t>, and as mentioned in the facts continued supply of metal was seen as essential by the company</w:t>
      </w:r>
      <w:r w:rsidRPr="00D33347">
        <w:rPr>
          <w:rFonts w:ascii="Arial" w:hAnsi="Arial" w:cs="Arial"/>
          <w:color w:val="4472C4" w:themeColor="accent1"/>
          <w:sz w:val="22"/>
          <w:szCs w:val="22"/>
          <w:lang w:val="en-GB"/>
        </w:rPr>
        <w:t>. However, the court could take a view that continuance of trading a month before the winding up order was made is not in the best interests of the creditor, and that the company should have been put into liquidation as soon as possible; and</w:t>
      </w:r>
    </w:p>
    <w:p w14:paraId="2A70D183" w14:textId="77777777" w:rsidR="00083BAE" w:rsidRPr="00D33347" w:rsidRDefault="00083BAE" w:rsidP="00083BAE">
      <w:pPr>
        <w:pStyle w:val="ListParagraph"/>
        <w:rPr>
          <w:rFonts w:ascii="Arial" w:hAnsi="Arial" w:cs="Arial"/>
          <w:color w:val="4472C4" w:themeColor="accent1"/>
          <w:sz w:val="22"/>
          <w:szCs w:val="22"/>
          <w:lang w:val="en-GB"/>
        </w:rPr>
      </w:pPr>
    </w:p>
    <w:p w14:paraId="2C0A18B9" w14:textId="1939D9CB" w:rsidR="00083BAE" w:rsidRPr="00D33347" w:rsidRDefault="00F363CB" w:rsidP="00083BAE">
      <w:pPr>
        <w:pStyle w:val="ListParagraph"/>
        <w:numPr>
          <w:ilvl w:val="0"/>
          <w:numId w:val="20"/>
        </w:num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it </w:t>
      </w:r>
      <w:r w:rsidR="00D60FB6">
        <w:rPr>
          <w:rFonts w:ascii="Arial" w:hAnsi="Arial" w:cs="Arial"/>
          <w:color w:val="4472C4" w:themeColor="accent1"/>
          <w:sz w:val="22"/>
          <w:szCs w:val="22"/>
          <w:lang w:val="en-GB"/>
        </w:rPr>
        <w:t>may</w:t>
      </w:r>
      <w:r w:rsidRPr="00D33347">
        <w:rPr>
          <w:rFonts w:ascii="Arial" w:hAnsi="Arial" w:cs="Arial"/>
          <w:color w:val="4472C4" w:themeColor="accent1"/>
          <w:sz w:val="22"/>
          <w:szCs w:val="22"/>
          <w:lang w:val="en-GB"/>
        </w:rPr>
        <w:t xml:space="preserve"> be difficult for </w:t>
      </w:r>
      <w:r w:rsidR="00083BAE" w:rsidRPr="00D33347">
        <w:rPr>
          <w:rFonts w:ascii="Arial" w:hAnsi="Arial" w:cs="Arial"/>
          <w:color w:val="4472C4" w:themeColor="accent1"/>
          <w:sz w:val="22"/>
          <w:szCs w:val="22"/>
          <w:lang w:val="en-GB"/>
        </w:rPr>
        <w:t xml:space="preserve">Aluminium </w:t>
      </w:r>
      <w:proofErr w:type="spellStart"/>
      <w:r w:rsidR="00083BAE" w:rsidRPr="00D33347">
        <w:rPr>
          <w:rFonts w:ascii="Arial" w:hAnsi="Arial" w:cs="Arial"/>
          <w:color w:val="4472C4" w:themeColor="accent1"/>
          <w:sz w:val="22"/>
          <w:szCs w:val="22"/>
          <w:lang w:val="en-GB"/>
        </w:rPr>
        <w:t>Alumini</w:t>
      </w:r>
      <w:proofErr w:type="spellEnd"/>
      <w:r w:rsidR="00083BAE" w:rsidRPr="00D33347">
        <w:rPr>
          <w:rFonts w:ascii="Arial" w:hAnsi="Arial" w:cs="Arial"/>
          <w:color w:val="4472C4" w:themeColor="accent1"/>
          <w:sz w:val="22"/>
          <w:szCs w:val="22"/>
          <w:lang w:val="en-GB"/>
        </w:rPr>
        <w:t xml:space="preserve"> Ltd to </w:t>
      </w:r>
      <w:r w:rsidRPr="00D33347">
        <w:rPr>
          <w:rFonts w:ascii="Arial" w:hAnsi="Arial" w:cs="Arial"/>
          <w:color w:val="4472C4" w:themeColor="accent1"/>
          <w:sz w:val="22"/>
          <w:szCs w:val="22"/>
          <w:lang w:val="en-GB"/>
        </w:rPr>
        <w:t>argue</w:t>
      </w:r>
      <w:r w:rsidR="00083BAE" w:rsidRPr="00D33347">
        <w:rPr>
          <w:rFonts w:ascii="Arial" w:hAnsi="Arial" w:cs="Arial"/>
          <w:color w:val="4472C4" w:themeColor="accent1"/>
          <w:sz w:val="22"/>
          <w:szCs w:val="22"/>
          <w:lang w:val="en-GB"/>
        </w:rPr>
        <w:t xml:space="preserve"> that it </w:t>
      </w:r>
      <w:r w:rsidRPr="00D33347">
        <w:rPr>
          <w:rFonts w:ascii="Arial" w:hAnsi="Arial" w:cs="Arial"/>
          <w:color w:val="4472C4" w:themeColor="accent1"/>
          <w:sz w:val="22"/>
          <w:szCs w:val="22"/>
          <w:lang w:val="en-GB"/>
        </w:rPr>
        <w:t>was</w:t>
      </w:r>
      <w:r w:rsidR="00083BAE" w:rsidRPr="00D33347">
        <w:rPr>
          <w:rFonts w:ascii="Arial" w:hAnsi="Arial" w:cs="Arial"/>
          <w:color w:val="4472C4" w:themeColor="accent1"/>
          <w:sz w:val="22"/>
          <w:szCs w:val="22"/>
          <w:lang w:val="en-GB"/>
        </w:rPr>
        <w:t xml:space="preserve"> unaware that a</w:t>
      </w:r>
      <w:r w:rsidR="00D60FB6">
        <w:rPr>
          <w:rFonts w:ascii="Arial" w:hAnsi="Arial" w:cs="Arial"/>
          <w:color w:val="4472C4" w:themeColor="accent1"/>
          <w:sz w:val="22"/>
          <w:szCs w:val="22"/>
          <w:lang w:val="en-GB"/>
        </w:rPr>
        <w:t xml:space="preserve"> winding-up</w:t>
      </w:r>
      <w:r w:rsidR="00083BAE" w:rsidRPr="00D33347">
        <w:rPr>
          <w:rFonts w:ascii="Arial" w:hAnsi="Arial" w:cs="Arial"/>
          <w:color w:val="4472C4" w:themeColor="accent1"/>
          <w:sz w:val="22"/>
          <w:szCs w:val="22"/>
          <w:lang w:val="en-GB"/>
        </w:rPr>
        <w:t xml:space="preserve"> petition had b</w:t>
      </w:r>
      <w:r w:rsidRPr="00D33347">
        <w:rPr>
          <w:rFonts w:ascii="Arial" w:hAnsi="Arial" w:cs="Arial"/>
          <w:color w:val="4472C4" w:themeColor="accent1"/>
          <w:sz w:val="22"/>
          <w:szCs w:val="22"/>
          <w:lang w:val="en-GB"/>
        </w:rPr>
        <w:t>een presented</w:t>
      </w:r>
      <w:r w:rsidR="00D60FB6">
        <w:rPr>
          <w:rFonts w:ascii="Arial" w:hAnsi="Arial" w:cs="Arial"/>
          <w:color w:val="4472C4" w:themeColor="accent1"/>
          <w:sz w:val="22"/>
          <w:szCs w:val="22"/>
          <w:lang w:val="en-GB"/>
        </w:rPr>
        <w:t xml:space="preserve"> against the company</w:t>
      </w:r>
      <w:r w:rsidRPr="00D33347">
        <w:rPr>
          <w:rFonts w:ascii="Arial" w:hAnsi="Arial" w:cs="Arial"/>
          <w:color w:val="4472C4" w:themeColor="accent1"/>
          <w:sz w:val="22"/>
          <w:szCs w:val="22"/>
          <w:lang w:val="en-GB"/>
        </w:rPr>
        <w:t xml:space="preserve">, since some time had passed between the petition having been presented on 13 January 2024, and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obtaining the payments on 28 January 2024.</w:t>
      </w:r>
    </w:p>
    <w:p w14:paraId="2C5B320B" w14:textId="77777777" w:rsidR="00F363CB" w:rsidRPr="00D33347" w:rsidRDefault="00F363CB" w:rsidP="00F363CB">
      <w:pPr>
        <w:pStyle w:val="ListParagraph"/>
        <w:rPr>
          <w:rFonts w:ascii="Arial" w:hAnsi="Arial" w:cs="Arial"/>
          <w:color w:val="4472C4" w:themeColor="accent1"/>
          <w:sz w:val="22"/>
          <w:szCs w:val="22"/>
          <w:lang w:val="en-GB"/>
        </w:rPr>
      </w:pPr>
    </w:p>
    <w:p w14:paraId="15710AB0" w14:textId="7572590B" w:rsidR="00F363CB" w:rsidRPr="00D33347" w:rsidRDefault="00F363CB" w:rsidP="00F363CB">
      <w:pPr>
        <w:jc w:val="both"/>
        <w:rPr>
          <w:rFonts w:ascii="Arial" w:hAnsi="Arial" w:cs="Arial"/>
          <w:color w:val="4472C4" w:themeColor="accent1"/>
          <w:sz w:val="22"/>
          <w:szCs w:val="22"/>
          <w:lang w:val="en-GB"/>
        </w:rPr>
      </w:pPr>
      <w:r w:rsidRPr="00D33347">
        <w:rPr>
          <w:rFonts w:ascii="Arial" w:hAnsi="Arial" w:cs="Arial"/>
          <w:color w:val="4472C4" w:themeColor="accent1"/>
          <w:sz w:val="22"/>
          <w:szCs w:val="22"/>
          <w:lang w:val="en-GB"/>
        </w:rPr>
        <w:t xml:space="preserve">Summarising the above, the court could validate the </w:t>
      </w:r>
      <w:r w:rsidR="00622ACE" w:rsidRPr="00D33347">
        <w:rPr>
          <w:rFonts w:ascii="Arial" w:hAnsi="Arial" w:cs="Arial"/>
          <w:color w:val="4472C4" w:themeColor="accent1"/>
          <w:sz w:val="22"/>
          <w:szCs w:val="22"/>
          <w:lang w:val="en-GB"/>
        </w:rPr>
        <w:t xml:space="preserve">Payments </w:t>
      </w:r>
      <w:r w:rsidRPr="00D33347">
        <w:rPr>
          <w:rFonts w:ascii="Arial" w:hAnsi="Arial" w:cs="Arial"/>
          <w:color w:val="4472C4" w:themeColor="accent1"/>
          <w:sz w:val="22"/>
          <w:szCs w:val="22"/>
          <w:lang w:val="en-GB"/>
        </w:rPr>
        <w:t xml:space="preserve">on the basis that continued supply of metal by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would enable to the company to continue trading</w:t>
      </w:r>
      <w:r w:rsidR="00D60FB6">
        <w:rPr>
          <w:rFonts w:ascii="Arial" w:hAnsi="Arial" w:cs="Arial"/>
          <w:color w:val="4472C4" w:themeColor="accent1"/>
          <w:sz w:val="22"/>
          <w:szCs w:val="22"/>
          <w:lang w:val="en-GB"/>
        </w:rPr>
        <w:t xml:space="preserve"> which was in the best interests of the creditors</w:t>
      </w:r>
      <w:r w:rsidRPr="00D33347">
        <w:rPr>
          <w:rFonts w:ascii="Arial" w:hAnsi="Arial" w:cs="Arial"/>
          <w:color w:val="4472C4" w:themeColor="accent1"/>
          <w:sz w:val="22"/>
          <w:szCs w:val="22"/>
          <w:lang w:val="en-GB"/>
        </w:rPr>
        <w:t xml:space="preserve">. </w:t>
      </w:r>
      <w:r w:rsidR="00D60FB6">
        <w:rPr>
          <w:rFonts w:ascii="Arial" w:hAnsi="Arial" w:cs="Arial"/>
          <w:color w:val="4472C4" w:themeColor="accent1"/>
          <w:sz w:val="22"/>
          <w:szCs w:val="22"/>
          <w:lang w:val="en-GB"/>
        </w:rPr>
        <w:t xml:space="preserve">On the other hand, if the court does not agree that </w:t>
      </w:r>
      <w:r w:rsidR="00466EDB">
        <w:rPr>
          <w:rFonts w:ascii="Arial" w:hAnsi="Arial" w:cs="Arial"/>
          <w:color w:val="4472C4" w:themeColor="accent1"/>
          <w:sz w:val="22"/>
          <w:szCs w:val="22"/>
          <w:lang w:val="en-GB"/>
        </w:rPr>
        <w:t>continued trading</w:t>
      </w:r>
      <w:r w:rsidR="00D60FB6">
        <w:rPr>
          <w:rFonts w:ascii="Arial" w:hAnsi="Arial" w:cs="Arial"/>
          <w:color w:val="4472C4" w:themeColor="accent1"/>
          <w:sz w:val="22"/>
          <w:szCs w:val="22"/>
          <w:lang w:val="en-GB"/>
        </w:rPr>
        <w:t xml:space="preserve"> was in the best interests of the creditors, </w:t>
      </w:r>
      <w:r w:rsidR="00466EDB">
        <w:rPr>
          <w:rFonts w:ascii="Arial" w:hAnsi="Arial" w:cs="Arial"/>
          <w:color w:val="4472C4" w:themeColor="accent1"/>
          <w:sz w:val="22"/>
          <w:szCs w:val="22"/>
          <w:lang w:val="en-GB"/>
        </w:rPr>
        <w:t xml:space="preserve">and </w:t>
      </w:r>
      <w:r w:rsidR="00D60FB6">
        <w:rPr>
          <w:rFonts w:ascii="Arial" w:hAnsi="Arial" w:cs="Arial"/>
          <w:color w:val="4472C4" w:themeColor="accent1"/>
          <w:sz w:val="22"/>
          <w:szCs w:val="22"/>
          <w:lang w:val="en-GB"/>
        </w:rPr>
        <w:t xml:space="preserve">considering that the </w:t>
      </w:r>
      <w:r w:rsidR="00622ACE" w:rsidRPr="00D33347">
        <w:rPr>
          <w:rFonts w:ascii="Arial" w:hAnsi="Arial" w:cs="Arial"/>
          <w:color w:val="4472C4" w:themeColor="accent1"/>
          <w:sz w:val="22"/>
          <w:szCs w:val="22"/>
          <w:lang w:val="en-GB"/>
        </w:rPr>
        <w:t xml:space="preserve">Payments </w:t>
      </w:r>
      <w:r w:rsidR="00D60FB6">
        <w:rPr>
          <w:rFonts w:ascii="Arial" w:hAnsi="Arial" w:cs="Arial"/>
          <w:color w:val="4472C4" w:themeColor="accent1"/>
          <w:sz w:val="22"/>
          <w:szCs w:val="22"/>
          <w:lang w:val="en-GB"/>
        </w:rPr>
        <w:t xml:space="preserve">appeared </w:t>
      </w:r>
      <w:r w:rsidRPr="00D33347">
        <w:rPr>
          <w:rFonts w:ascii="Arial" w:hAnsi="Arial" w:cs="Arial"/>
          <w:color w:val="4472C4" w:themeColor="accent1"/>
          <w:sz w:val="22"/>
          <w:szCs w:val="22"/>
          <w:lang w:val="en-GB"/>
        </w:rPr>
        <w:t xml:space="preserve">to benefit only one creditor (Aluminium </w:t>
      </w:r>
      <w:proofErr w:type="spellStart"/>
      <w:r w:rsidRPr="00D33347">
        <w:rPr>
          <w:rFonts w:ascii="Arial" w:hAnsi="Arial" w:cs="Arial"/>
          <w:color w:val="4472C4" w:themeColor="accent1"/>
          <w:sz w:val="22"/>
          <w:szCs w:val="22"/>
          <w:lang w:val="en-GB"/>
        </w:rPr>
        <w:t>Alumini</w:t>
      </w:r>
      <w:proofErr w:type="spellEnd"/>
      <w:r w:rsidRPr="00D33347">
        <w:rPr>
          <w:rFonts w:ascii="Arial" w:hAnsi="Arial" w:cs="Arial"/>
          <w:color w:val="4472C4" w:themeColor="accent1"/>
          <w:sz w:val="22"/>
          <w:szCs w:val="22"/>
          <w:lang w:val="en-GB"/>
        </w:rPr>
        <w:t xml:space="preserve"> Ltd) to the detriment of other unsecured creditors, the court could refuse to validate the </w:t>
      </w:r>
      <w:r w:rsidR="00622ACE" w:rsidRPr="00D33347">
        <w:rPr>
          <w:rFonts w:ascii="Arial" w:hAnsi="Arial" w:cs="Arial"/>
          <w:color w:val="4472C4" w:themeColor="accent1"/>
          <w:sz w:val="22"/>
          <w:szCs w:val="22"/>
          <w:lang w:val="en-GB"/>
        </w:rPr>
        <w:t>Payments</w:t>
      </w:r>
      <w:r w:rsidRPr="00D33347">
        <w:rPr>
          <w:rFonts w:ascii="Arial" w:hAnsi="Arial" w:cs="Arial"/>
          <w:color w:val="4472C4" w:themeColor="accent1"/>
          <w:sz w:val="22"/>
          <w:szCs w:val="22"/>
          <w:lang w:val="en-GB"/>
        </w:rPr>
        <w:t>.</w:t>
      </w:r>
    </w:p>
    <w:p w14:paraId="2954C3BE" w14:textId="73838BC3" w:rsidR="006E44E8" w:rsidRDefault="006E44E8" w:rsidP="00087F21">
      <w:pPr>
        <w:autoSpaceDE w:val="0"/>
        <w:autoSpaceDN w:val="0"/>
        <w:adjustRightInd w:val="0"/>
        <w:jc w:val="both"/>
        <w:rPr>
          <w:rFonts w:ascii="Avenir Next" w:hAnsi="Avenir Next" w:cs="Arial"/>
          <w:sz w:val="22"/>
          <w:szCs w:val="22"/>
          <w:lang w:val="en-GB"/>
        </w:rPr>
      </w:pPr>
    </w:p>
    <w:p w14:paraId="1895B6EC" w14:textId="77777777" w:rsidR="006E44E8" w:rsidRPr="006925C1" w:rsidRDefault="006E44E8"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89B2" w14:textId="77777777" w:rsidR="00384031" w:rsidRDefault="00384031" w:rsidP="00241B44">
      <w:r>
        <w:separator/>
      </w:r>
    </w:p>
  </w:endnote>
  <w:endnote w:type="continuationSeparator" w:id="0">
    <w:p w14:paraId="4E389638" w14:textId="77777777" w:rsidR="00384031" w:rsidRDefault="00384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95E18" w:rsidRPr="00FC7B47" w:rsidRDefault="00495E1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95E18" w:rsidRPr="00FC7B47" w:rsidRDefault="00495E1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65C3778" w:rsidR="00495E18" w:rsidRPr="009B4976" w:rsidRDefault="00495E18" w:rsidP="00495E18">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E06C06">
          <w:rPr>
            <w:rStyle w:val="PageNumber"/>
            <w:rFonts w:ascii="Avenir Next" w:hAnsi="Avenir Next" w:cs="Arial"/>
            <w:noProof/>
            <w:sz w:val="22"/>
            <w:szCs w:val="22"/>
          </w:rPr>
          <w:t>4</w:t>
        </w:r>
        <w:r w:rsidRPr="00A84235">
          <w:rPr>
            <w:rStyle w:val="PageNumber"/>
            <w:rFonts w:ascii="Avenir Next" w:hAnsi="Avenir Next" w:cs="Arial"/>
            <w:sz w:val="22"/>
            <w:szCs w:val="22"/>
          </w:rPr>
          <w:fldChar w:fldCharType="end"/>
        </w:r>
      </w:p>
    </w:sdtContent>
  </w:sdt>
  <w:p w14:paraId="30F05E79" w14:textId="1126D290" w:rsidR="00495E18" w:rsidRPr="00A84235" w:rsidRDefault="00E06C06" w:rsidP="009B4976">
    <w:pPr>
      <w:pStyle w:val="Footer"/>
      <w:ind w:right="360"/>
      <w:rPr>
        <w:rFonts w:ascii="Avenir Next" w:hAnsi="Avenir Next" w:cs="Arial"/>
        <w:sz w:val="22"/>
        <w:szCs w:val="22"/>
        <w:lang w:val="en-GB"/>
      </w:rPr>
    </w:pPr>
    <w:r w:rsidRPr="00E5216E">
      <w:rPr>
        <w:rFonts w:ascii="Avenir Next" w:hAnsi="Avenir Next" w:cs="Arial"/>
        <w:sz w:val="22"/>
        <w:szCs w:val="22"/>
      </w:rPr>
      <w:t>FC202324-1317</w:t>
    </w:r>
    <w:r w:rsidR="00495E18"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56B0" w14:textId="77777777" w:rsidR="00384031" w:rsidRDefault="00384031" w:rsidP="00241B44">
      <w:r>
        <w:separator/>
      </w:r>
    </w:p>
  </w:footnote>
  <w:footnote w:type="continuationSeparator" w:id="0">
    <w:p w14:paraId="4C177544" w14:textId="77777777" w:rsidR="00384031" w:rsidRDefault="00384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66CC7"/>
    <w:multiLevelType w:val="hybridMultilevel"/>
    <w:tmpl w:val="41E2076E"/>
    <w:lvl w:ilvl="0" w:tplc="4FE4442E">
      <w:start w:val="1"/>
      <w:numFmt w:val="decimal"/>
      <w:lvlText w:val="%1."/>
      <w:lvlJc w:val="left"/>
      <w:pPr>
        <w:ind w:left="720" w:hanging="360"/>
      </w:pPr>
      <w:rPr>
        <w:color w:val="4472C4" w:themeColor="accent1"/>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02FFA"/>
    <w:multiLevelType w:val="hybridMultilevel"/>
    <w:tmpl w:val="F75415E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B3308"/>
    <w:multiLevelType w:val="hybridMultilevel"/>
    <w:tmpl w:val="05DAF8F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3318601">
    <w:abstractNumId w:val="3"/>
  </w:num>
  <w:num w:numId="2" w16cid:durableId="495846648">
    <w:abstractNumId w:val="1"/>
  </w:num>
  <w:num w:numId="3" w16cid:durableId="832647627">
    <w:abstractNumId w:val="0"/>
  </w:num>
  <w:num w:numId="4" w16cid:durableId="954023159">
    <w:abstractNumId w:val="8"/>
  </w:num>
  <w:num w:numId="5" w16cid:durableId="1112554036">
    <w:abstractNumId w:val="12"/>
  </w:num>
  <w:num w:numId="6" w16cid:durableId="1279950496">
    <w:abstractNumId w:val="2"/>
  </w:num>
  <w:num w:numId="7" w16cid:durableId="1591306085">
    <w:abstractNumId w:val="13"/>
  </w:num>
  <w:num w:numId="8" w16cid:durableId="109663208">
    <w:abstractNumId w:val="17"/>
  </w:num>
  <w:num w:numId="9" w16cid:durableId="260526409">
    <w:abstractNumId w:val="9"/>
  </w:num>
  <w:num w:numId="10" w16cid:durableId="930698212">
    <w:abstractNumId w:val="19"/>
  </w:num>
  <w:num w:numId="11" w16cid:durableId="940261530">
    <w:abstractNumId w:val="5"/>
  </w:num>
  <w:num w:numId="12" w16cid:durableId="1002124274">
    <w:abstractNumId w:val="15"/>
  </w:num>
  <w:num w:numId="13" w16cid:durableId="1163400651">
    <w:abstractNumId w:val="10"/>
  </w:num>
  <w:num w:numId="14" w16cid:durableId="594090214">
    <w:abstractNumId w:val="4"/>
  </w:num>
  <w:num w:numId="15" w16cid:durableId="1186553841">
    <w:abstractNumId w:val="14"/>
  </w:num>
  <w:num w:numId="16" w16cid:durableId="1892571771">
    <w:abstractNumId w:val="16"/>
  </w:num>
  <w:num w:numId="17" w16cid:durableId="672340013">
    <w:abstractNumId w:val="7"/>
  </w:num>
  <w:num w:numId="18" w16cid:durableId="341398143">
    <w:abstractNumId w:val="11"/>
  </w:num>
  <w:num w:numId="19" w16cid:durableId="2121096976">
    <w:abstractNumId w:val="6"/>
  </w:num>
  <w:num w:numId="20" w16cid:durableId="6470556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3BAE"/>
    <w:rsid w:val="000851CC"/>
    <w:rsid w:val="00085E03"/>
    <w:rsid w:val="00086C55"/>
    <w:rsid w:val="00087F21"/>
    <w:rsid w:val="00092D3A"/>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2C58"/>
    <w:rsid w:val="00123855"/>
    <w:rsid w:val="00126A4D"/>
    <w:rsid w:val="0014171F"/>
    <w:rsid w:val="0014622C"/>
    <w:rsid w:val="0015167A"/>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544D"/>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031"/>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66EDB"/>
    <w:rsid w:val="00474C2B"/>
    <w:rsid w:val="00477C72"/>
    <w:rsid w:val="00486602"/>
    <w:rsid w:val="00491675"/>
    <w:rsid w:val="00493855"/>
    <w:rsid w:val="00495E18"/>
    <w:rsid w:val="00495E79"/>
    <w:rsid w:val="004A2D83"/>
    <w:rsid w:val="004A57DD"/>
    <w:rsid w:val="004A7B51"/>
    <w:rsid w:val="004A7D71"/>
    <w:rsid w:val="004A7EF3"/>
    <w:rsid w:val="004B11FD"/>
    <w:rsid w:val="004B23A2"/>
    <w:rsid w:val="004C7A8F"/>
    <w:rsid w:val="004D1A5A"/>
    <w:rsid w:val="004D1DDC"/>
    <w:rsid w:val="004D2FFF"/>
    <w:rsid w:val="004D3721"/>
    <w:rsid w:val="004D5FFB"/>
    <w:rsid w:val="004D64F9"/>
    <w:rsid w:val="004E3A6B"/>
    <w:rsid w:val="004E622C"/>
    <w:rsid w:val="004F5FDF"/>
    <w:rsid w:val="004F6614"/>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1C48"/>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2A5"/>
    <w:rsid w:val="005F2AEA"/>
    <w:rsid w:val="005F2D0B"/>
    <w:rsid w:val="005F4B31"/>
    <w:rsid w:val="00600DB2"/>
    <w:rsid w:val="006039EB"/>
    <w:rsid w:val="006053E5"/>
    <w:rsid w:val="00610388"/>
    <w:rsid w:val="00610AC7"/>
    <w:rsid w:val="00612184"/>
    <w:rsid w:val="00612CA5"/>
    <w:rsid w:val="006153EC"/>
    <w:rsid w:val="00621A17"/>
    <w:rsid w:val="00622ACE"/>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4A6"/>
    <w:rsid w:val="00680EF2"/>
    <w:rsid w:val="00687A1D"/>
    <w:rsid w:val="006925C1"/>
    <w:rsid w:val="00697EA1"/>
    <w:rsid w:val="006A2646"/>
    <w:rsid w:val="006A6530"/>
    <w:rsid w:val="006B31CE"/>
    <w:rsid w:val="006B435A"/>
    <w:rsid w:val="006B4C64"/>
    <w:rsid w:val="006D282B"/>
    <w:rsid w:val="006D65FD"/>
    <w:rsid w:val="006D6BD5"/>
    <w:rsid w:val="006E0D3B"/>
    <w:rsid w:val="006E44E8"/>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3E8E"/>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A7A44"/>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5DDE"/>
    <w:rsid w:val="00A047EE"/>
    <w:rsid w:val="00A132F0"/>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1BD"/>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A5883"/>
    <w:rsid w:val="00BB0F2B"/>
    <w:rsid w:val="00BC231B"/>
    <w:rsid w:val="00BE05A4"/>
    <w:rsid w:val="00BE3473"/>
    <w:rsid w:val="00BE4FF3"/>
    <w:rsid w:val="00BF2C93"/>
    <w:rsid w:val="00BF3C3A"/>
    <w:rsid w:val="00BF50F7"/>
    <w:rsid w:val="00BF6641"/>
    <w:rsid w:val="00C02F29"/>
    <w:rsid w:val="00C11F21"/>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B7D89"/>
    <w:rsid w:val="00CC5335"/>
    <w:rsid w:val="00CC5BA4"/>
    <w:rsid w:val="00CD4998"/>
    <w:rsid w:val="00CE1035"/>
    <w:rsid w:val="00CE6E50"/>
    <w:rsid w:val="00CF2819"/>
    <w:rsid w:val="00CF3708"/>
    <w:rsid w:val="00CF4F9D"/>
    <w:rsid w:val="00CF70DC"/>
    <w:rsid w:val="00D01697"/>
    <w:rsid w:val="00D148DC"/>
    <w:rsid w:val="00D17FDC"/>
    <w:rsid w:val="00D21D8C"/>
    <w:rsid w:val="00D33347"/>
    <w:rsid w:val="00D53719"/>
    <w:rsid w:val="00D60FB6"/>
    <w:rsid w:val="00D63EFD"/>
    <w:rsid w:val="00D84752"/>
    <w:rsid w:val="00D86B3B"/>
    <w:rsid w:val="00D86F87"/>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6C06"/>
    <w:rsid w:val="00E07C5A"/>
    <w:rsid w:val="00E15BA9"/>
    <w:rsid w:val="00E25B5A"/>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2990"/>
    <w:rsid w:val="00EA5B00"/>
    <w:rsid w:val="00EB146B"/>
    <w:rsid w:val="00EB45AC"/>
    <w:rsid w:val="00EC441F"/>
    <w:rsid w:val="00EC4755"/>
    <w:rsid w:val="00ED0BC4"/>
    <w:rsid w:val="00ED447D"/>
    <w:rsid w:val="00EE4971"/>
    <w:rsid w:val="00EE6CB0"/>
    <w:rsid w:val="00EF090E"/>
    <w:rsid w:val="00EF2870"/>
    <w:rsid w:val="00EF5572"/>
    <w:rsid w:val="00F01D7D"/>
    <w:rsid w:val="00F033DA"/>
    <w:rsid w:val="00F13691"/>
    <w:rsid w:val="00F13FB1"/>
    <w:rsid w:val="00F17F23"/>
    <w:rsid w:val="00F27CD8"/>
    <w:rsid w:val="00F30351"/>
    <w:rsid w:val="00F3323E"/>
    <w:rsid w:val="00F341F4"/>
    <w:rsid w:val="00F34F9D"/>
    <w:rsid w:val="00F35CCE"/>
    <w:rsid w:val="00F363CB"/>
    <w:rsid w:val="00F41146"/>
    <w:rsid w:val="00F422E3"/>
    <w:rsid w:val="00F5524B"/>
    <w:rsid w:val="00F60538"/>
    <w:rsid w:val="00F61DD2"/>
    <w:rsid w:val="00F62E7A"/>
    <w:rsid w:val="00F66AFF"/>
    <w:rsid w:val="00F70126"/>
    <w:rsid w:val="00F71433"/>
    <w:rsid w:val="00F86ABA"/>
    <w:rsid w:val="00F87B04"/>
    <w:rsid w:val="00F97C5B"/>
    <w:rsid w:val="00FA12B9"/>
    <w:rsid w:val="00FA3D50"/>
    <w:rsid w:val="00FA417D"/>
    <w:rsid w:val="00FB31D6"/>
    <w:rsid w:val="00FB3AE8"/>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CB7D8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61B14-41F3-4FCD-A372-A95ECAC4A356}">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13</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Leung, Hinny (Finance-HK)</cp:lastModifiedBy>
  <cp:revision>25</cp:revision>
  <cp:lastPrinted>2019-08-27T05:42:00Z</cp:lastPrinted>
  <dcterms:created xsi:type="dcterms:W3CDTF">2023-07-12T10:10:00Z</dcterms:created>
  <dcterms:modified xsi:type="dcterms:W3CDTF">2024-03-01T15:10:00Z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