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582660">
        <w:rPr>
          <w:rFonts w:ascii="Avenir Next" w:hAnsi="Avenir Next"/>
          <w:highlight w:val="yellow"/>
        </w:rPr>
        <w:t>(c)</w:t>
      </w:r>
      <w:r w:rsidRPr="00582660">
        <w:rPr>
          <w:rFonts w:ascii="Avenir Next" w:hAnsi="Avenir Next"/>
          <w:highlight w:val="yellow"/>
        </w:rPr>
        <w:tab/>
        <w:t xml:space="preserve">Yes, if other creditors owed at least </w:t>
      </w:r>
      <w:r w:rsidR="00A81F08" w:rsidRPr="00582660">
        <w:rPr>
          <w:rFonts w:ascii="Avenir Next" w:hAnsi="Avenir Next"/>
          <w:highlight w:val="yellow"/>
        </w:rPr>
        <w:t xml:space="preserve">USD </w:t>
      </w:r>
      <w:r w:rsidRPr="00582660">
        <w:rPr>
          <w:rFonts w:ascii="Avenir Next" w:hAnsi="Avenir Next"/>
          <w:highlight w:val="yellow"/>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w:t>
      </w:r>
      <w:r w:rsidRPr="000C4909">
        <w:rPr>
          <w:rFonts w:ascii="Avenir Next" w:hAnsi="Avenir Next"/>
          <w:highlight w:val="yellow"/>
        </w:rPr>
        <w:t>d)</w:t>
      </w:r>
      <w:r w:rsidRPr="000C4909">
        <w:rPr>
          <w:rFonts w:ascii="Avenir Next" w:hAnsi="Avenir Next"/>
          <w:highlight w:val="yellow"/>
        </w:rPr>
        <w:tab/>
        <w:t>A retired employee of Car Corp who receives payments from the company’s pension plan</w:t>
      </w:r>
      <w:r w:rsidR="00631394" w:rsidRPr="000C4909">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FC3A4C">
        <w:rPr>
          <w:rFonts w:ascii="Avenir Next" w:hAnsi="Avenir Next"/>
          <w:highlight w:val="yellow"/>
        </w:rPr>
        <w:t>(d)</w:t>
      </w:r>
      <w:r w:rsidRPr="00FC3A4C">
        <w:rPr>
          <w:rFonts w:ascii="Avenir Next" w:hAnsi="Avenir Next"/>
          <w:highlight w:val="yellow"/>
        </w:rPr>
        <w:tab/>
      </w:r>
      <w:r w:rsidR="00B849C5" w:rsidRPr="00FC3A4C">
        <w:rPr>
          <w:rFonts w:ascii="Avenir Next" w:hAnsi="Avenir Next"/>
          <w:highlight w:val="yellow"/>
        </w:rPr>
        <w:t xml:space="preserve">Options (a) to (c) </w:t>
      </w:r>
      <w:r w:rsidRPr="00FC3A4C">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720AD4">
        <w:rPr>
          <w:rFonts w:ascii="Avenir Next" w:hAnsi="Avenir Next"/>
          <w:highlight w:val="yellow"/>
        </w:rPr>
        <w:t>(e)</w:t>
      </w:r>
      <w:r w:rsidRPr="00720AD4">
        <w:rPr>
          <w:rFonts w:ascii="Avenir Next" w:hAnsi="Avenir Next"/>
          <w:highlight w:val="yellow"/>
        </w:rPr>
        <w:tab/>
        <w:t>All of the above</w:t>
      </w:r>
      <w:r w:rsidR="006A42F8" w:rsidRPr="00720AD4">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BF70F8">
        <w:rPr>
          <w:rFonts w:ascii="Avenir Next" w:hAnsi="Avenir Next"/>
          <w:highlight w:val="yellow"/>
        </w:rPr>
        <w:t>(b)</w:t>
      </w:r>
      <w:r w:rsidRPr="00BF70F8">
        <w:rPr>
          <w:rFonts w:ascii="Avenir Next" w:hAnsi="Avenir Next"/>
          <w:highlight w:val="yellow"/>
        </w:rPr>
        <w:tab/>
        <w:t xml:space="preserve">Executory contracts are clearly defined by the </w:t>
      </w:r>
      <w:r w:rsidR="00ED7BF3" w:rsidRPr="00BF70F8">
        <w:rPr>
          <w:rFonts w:ascii="Avenir Next" w:hAnsi="Avenir Next"/>
          <w:highlight w:val="yellow"/>
        </w:rPr>
        <w:t>B</w:t>
      </w:r>
      <w:r w:rsidRPr="00BF70F8">
        <w:rPr>
          <w:rFonts w:ascii="Avenir Next" w:hAnsi="Avenir Next"/>
          <w:highlight w:val="yellow"/>
        </w:rPr>
        <w:t xml:space="preserve">ankruptcy </w:t>
      </w:r>
      <w:r w:rsidR="00ED7BF3" w:rsidRPr="00BF70F8">
        <w:rPr>
          <w:rFonts w:ascii="Avenir Next" w:hAnsi="Avenir Next"/>
          <w:highlight w:val="yellow"/>
        </w:rPr>
        <w:t>C</w:t>
      </w:r>
      <w:r w:rsidRPr="00BF70F8">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191287">
      <w:pPr>
        <w:pStyle w:val="AODocTxt"/>
        <w:numPr>
          <w:ilvl w:val="0"/>
          <w:numId w:val="1"/>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191287">
      <w:pPr>
        <w:pStyle w:val="AODocTxt"/>
        <w:numPr>
          <w:ilvl w:val="0"/>
          <w:numId w:val="1"/>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1B188B" w:rsidRDefault="000643AB" w:rsidP="00191287">
      <w:pPr>
        <w:pStyle w:val="AODocTxt"/>
        <w:numPr>
          <w:ilvl w:val="0"/>
          <w:numId w:val="1"/>
        </w:numPr>
        <w:spacing w:before="0" w:line="240" w:lineRule="auto"/>
        <w:ind w:left="426" w:hanging="426"/>
        <w:rPr>
          <w:rFonts w:ascii="Avenir Next" w:hAnsi="Avenir Next"/>
          <w:highlight w:val="yellow"/>
        </w:rPr>
      </w:pPr>
      <w:r w:rsidRPr="001B188B">
        <w:rPr>
          <w:rFonts w:ascii="Avenir Next" w:hAnsi="Avenir Next"/>
          <w:highlight w:val="yellow"/>
        </w:rPr>
        <w:t>Acceptance of the plan by all classes of secured creditors</w:t>
      </w:r>
      <w:r w:rsidR="006844A8" w:rsidRPr="001B188B">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191287">
      <w:pPr>
        <w:pStyle w:val="AODocTxt"/>
        <w:numPr>
          <w:ilvl w:val="0"/>
          <w:numId w:val="1"/>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191287">
      <w:pPr>
        <w:pStyle w:val="AODocTxt"/>
        <w:numPr>
          <w:ilvl w:val="0"/>
          <w:numId w:val="1"/>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26472A" w:rsidRDefault="00C24FAB" w:rsidP="00191287">
      <w:pPr>
        <w:pStyle w:val="AODocTxt"/>
        <w:numPr>
          <w:ilvl w:val="0"/>
          <w:numId w:val="4"/>
        </w:numPr>
        <w:spacing w:before="0" w:line="240" w:lineRule="auto"/>
        <w:ind w:left="426" w:hanging="426"/>
        <w:rPr>
          <w:rFonts w:ascii="Avenir Next" w:hAnsi="Avenir Next"/>
          <w:highlight w:val="yellow"/>
        </w:rPr>
      </w:pPr>
      <w:r w:rsidRPr="0026472A">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191287">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191287">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191287">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191287">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C71CE5" w:rsidRDefault="00853272" w:rsidP="00191287">
      <w:pPr>
        <w:pStyle w:val="AODocTxt"/>
        <w:numPr>
          <w:ilvl w:val="0"/>
          <w:numId w:val="2"/>
        </w:numPr>
        <w:spacing w:before="0" w:line="240" w:lineRule="auto"/>
        <w:ind w:left="426" w:hanging="426"/>
        <w:rPr>
          <w:rFonts w:ascii="Avenir Next" w:hAnsi="Avenir Next"/>
          <w:highlight w:val="yellow"/>
        </w:rPr>
      </w:pPr>
      <w:r w:rsidRPr="00C71CE5">
        <w:rPr>
          <w:rFonts w:ascii="Avenir Next" w:hAnsi="Avenir Next"/>
          <w:highlight w:val="yellow"/>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191287">
      <w:pPr>
        <w:pStyle w:val="AODocTxt"/>
        <w:numPr>
          <w:ilvl w:val="0"/>
          <w:numId w:val="2"/>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191287">
      <w:pPr>
        <w:pStyle w:val="AODocTxt"/>
        <w:numPr>
          <w:ilvl w:val="0"/>
          <w:numId w:val="2"/>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191287">
      <w:pPr>
        <w:pStyle w:val="AODocTxt"/>
        <w:numPr>
          <w:ilvl w:val="0"/>
          <w:numId w:val="2"/>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191287">
      <w:pPr>
        <w:pStyle w:val="AODocTxt"/>
        <w:numPr>
          <w:ilvl w:val="0"/>
          <w:numId w:val="2"/>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191287">
      <w:pPr>
        <w:pStyle w:val="AODocTxt"/>
        <w:keepNext/>
        <w:numPr>
          <w:ilvl w:val="0"/>
          <w:numId w:val="3"/>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191287">
      <w:pPr>
        <w:pStyle w:val="AODocTxt"/>
        <w:keepNext/>
        <w:numPr>
          <w:ilvl w:val="0"/>
          <w:numId w:val="3"/>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657AE4" w:rsidRDefault="00334B98" w:rsidP="00191287">
      <w:pPr>
        <w:pStyle w:val="AODocTxt"/>
        <w:keepNext/>
        <w:numPr>
          <w:ilvl w:val="0"/>
          <w:numId w:val="3"/>
        </w:numPr>
        <w:spacing w:before="0" w:line="240" w:lineRule="auto"/>
        <w:ind w:left="426" w:hanging="426"/>
        <w:rPr>
          <w:rFonts w:ascii="Avenir Next" w:hAnsi="Avenir Next"/>
          <w:highlight w:val="yellow"/>
        </w:rPr>
      </w:pPr>
      <w:r w:rsidRPr="00657AE4">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191287">
      <w:pPr>
        <w:pStyle w:val="AODocTxt"/>
        <w:keepNext/>
        <w:numPr>
          <w:ilvl w:val="0"/>
          <w:numId w:val="3"/>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191287">
      <w:pPr>
        <w:pStyle w:val="AODocTxt"/>
        <w:keepNext/>
        <w:numPr>
          <w:ilvl w:val="0"/>
          <w:numId w:val="3"/>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191287">
      <w:pPr>
        <w:pStyle w:val="AODocTxt"/>
        <w:keepNext/>
        <w:numPr>
          <w:ilvl w:val="0"/>
          <w:numId w:val="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2D0045" w:rsidRDefault="00740655" w:rsidP="00191287">
      <w:pPr>
        <w:pStyle w:val="AODocTxt"/>
        <w:keepNext/>
        <w:numPr>
          <w:ilvl w:val="0"/>
          <w:numId w:val="5"/>
        </w:numPr>
        <w:spacing w:before="0" w:line="240" w:lineRule="auto"/>
        <w:ind w:left="426" w:hanging="426"/>
        <w:rPr>
          <w:rFonts w:ascii="Avenir Next" w:hAnsi="Avenir Next"/>
          <w:highlight w:val="yellow"/>
        </w:rPr>
      </w:pPr>
      <w:r w:rsidRPr="002D0045">
        <w:rPr>
          <w:rFonts w:ascii="Avenir Next" w:hAnsi="Avenir Next"/>
          <w:highlight w:val="yellow"/>
        </w:rPr>
        <w:t xml:space="preserve">If a creditor can show it extended credit </w:t>
      </w:r>
      <w:proofErr w:type="gramStart"/>
      <w:r w:rsidRPr="002D0045">
        <w:rPr>
          <w:rFonts w:ascii="Avenir Next" w:hAnsi="Avenir Next"/>
          <w:highlight w:val="yellow"/>
        </w:rPr>
        <w:t>on the basis of</w:t>
      </w:r>
      <w:proofErr w:type="gramEnd"/>
      <w:r w:rsidRPr="002D0045">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191287">
      <w:pPr>
        <w:pStyle w:val="AODocTxt"/>
        <w:keepNext/>
        <w:numPr>
          <w:ilvl w:val="0"/>
          <w:numId w:val="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191287">
      <w:pPr>
        <w:pStyle w:val="AODocTxt"/>
        <w:keepNext/>
        <w:numPr>
          <w:ilvl w:val="0"/>
          <w:numId w:val="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191287">
      <w:pPr>
        <w:pStyle w:val="AODocTxt"/>
        <w:keepNext/>
        <w:numPr>
          <w:ilvl w:val="0"/>
          <w:numId w:val="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E94263" w:rsidRDefault="00323167" w:rsidP="00323167">
      <w:pPr>
        <w:jc w:val="both"/>
        <w:rPr>
          <w:rFonts w:ascii="Avenir Next Demi Bold" w:hAnsi="Avenir Next Demi Bold" w:cs="Arial"/>
          <w:b/>
          <w:bCs/>
          <w:sz w:val="22"/>
          <w:szCs w:val="22"/>
          <w:lang w:val="fr-FR"/>
        </w:rPr>
      </w:pPr>
      <w:r w:rsidRPr="00E94263">
        <w:rPr>
          <w:rFonts w:ascii="Avenir Next Demi Bold" w:hAnsi="Avenir Next Demi Bold" w:cs="Arial"/>
          <w:b/>
          <w:bCs/>
          <w:sz w:val="22"/>
          <w:szCs w:val="22"/>
          <w:lang w:val="fr-FR"/>
        </w:rPr>
        <w:t xml:space="preserve">QUESTION 2 (direct questions) [10 marks] </w:t>
      </w:r>
    </w:p>
    <w:p w14:paraId="0C2E896B" w14:textId="77777777" w:rsidR="00323167" w:rsidRPr="00E94263" w:rsidRDefault="00323167" w:rsidP="00323167">
      <w:pPr>
        <w:pStyle w:val="AODocTxt"/>
        <w:spacing w:before="0" w:line="240" w:lineRule="auto"/>
        <w:rPr>
          <w:rFonts w:ascii="Avenir Next Demi Bold" w:hAnsi="Avenir Next Demi Bold" w:cs="Arial"/>
          <w:b/>
          <w:bCs/>
          <w:lang w:val="fr-FR"/>
        </w:rPr>
      </w:pPr>
    </w:p>
    <w:p w14:paraId="42EC6769" w14:textId="1B13C710" w:rsidR="00323167" w:rsidRPr="00E94263" w:rsidRDefault="00323167" w:rsidP="00323167">
      <w:pPr>
        <w:pStyle w:val="AODocTxt"/>
        <w:spacing w:before="0" w:line="240" w:lineRule="auto"/>
        <w:rPr>
          <w:rFonts w:ascii="Avenir Next Demi Bold" w:hAnsi="Avenir Next Demi Bold" w:cs="Arial"/>
          <w:b/>
          <w:bCs/>
          <w:lang w:val="fr-FR"/>
        </w:rPr>
      </w:pPr>
      <w:r w:rsidRPr="00E94263">
        <w:rPr>
          <w:rFonts w:ascii="Avenir Next Demi Bold" w:hAnsi="Avenir Next Demi Bold" w:cs="Arial"/>
          <w:b/>
          <w:bCs/>
          <w:lang w:val="fr-FR"/>
        </w:rPr>
        <w:t>Question 2.1 (</w:t>
      </w:r>
      <w:r w:rsidR="00AA0280" w:rsidRPr="00E94263">
        <w:rPr>
          <w:rFonts w:ascii="Avenir Next Demi Bold" w:hAnsi="Avenir Next Demi Bold" w:cs="Arial"/>
          <w:b/>
          <w:bCs/>
          <w:lang w:val="fr-FR"/>
        </w:rPr>
        <w:t>1</w:t>
      </w:r>
      <w:r w:rsidRPr="00E94263">
        <w:rPr>
          <w:rFonts w:ascii="Avenir Next Demi Bold" w:hAnsi="Avenir Next Demi Bold" w:cs="Arial"/>
          <w:b/>
          <w:bCs/>
          <w:lang w:val="fr-FR"/>
        </w:rPr>
        <w:t xml:space="preserve"> mark)</w:t>
      </w:r>
    </w:p>
    <w:p w14:paraId="5BFE5B0B" w14:textId="77777777" w:rsidR="00323167" w:rsidRPr="00E94263" w:rsidRDefault="00323167" w:rsidP="00323167">
      <w:pPr>
        <w:pStyle w:val="AODocTxt"/>
        <w:spacing w:before="0" w:line="240" w:lineRule="auto"/>
        <w:rPr>
          <w:rFonts w:ascii="Avenir Next" w:hAnsi="Avenir Next" w:cs="Arial"/>
          <w:lang w:val="fr-FR"/>
        </w:rPr>
      </w:pPr>
    </w:p>
    <w:p w14:paraId="4882FD5B" w14:textId="375A0841"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051AD6ED" w14:textId="79CE367E" w:rsidR="00EF637C" w:rsidRPr="00EF637C" w:rsidRDefault="00EF637C" w:rsidP="00EF637C">
      <w:pPr>
        <w:pStyle w:val="AODocTxt"/>
        <w:rPr>
          <w:rFonts w:ascii="Avenir Next" w:hAnsi="Avenir Next"/>
          <w:color w:val="808080" w:themeColor="background1" w:themeShade="80"/>
        </w:rPr>
      </w:pPr>
      <w:r w:rsidRPr="00EF637C">
        <w:rPr>
          <w:rFonts w:ascii="Avenir Next" w:hAnsi="Avenir Next"/>
          <w:color w:val="808080" w:themeColor="background1" w:themeShade="80"/>
        </w:rPr>
        <w:t xml:space="preserve">A bankruptcy setoff allows a creditor to offset what it owes a debtor against what the debtor owes them. However, this practice is limited in cases where it could give the creditor an advantage over other creditors who are not in a similar situation. This is because it reduces the amount the creditor owes to the estate by the debt owed by the debtor, rather than just a portion that would normally be paid to unsecured creditors. A set-off may not be allowed if any of the following conditions </w:t>
      </w:r>
      <w:proofErr w:type="gramStart"/>
      <w:r w:rsidRPr="00EF637C">
        <w:rPr>
          <w:rFonts w:ascii="Avenir Next" w:hAnsi="Avenir Next"/>
          <w:color w:val="808080" w:themeColor="background1" w:themeShade="80"/>
        </w:rPr>
        <w:t>apply;</w:t>
      </w:r>
      <w:proofErr w:type="gramEnd"/>
    </w:p>
    <w:p w14:paraId="71B3FDAA" w14:textId="34F48F44" w:rsidR="00EF637C" w:rsidRPr="00EF637C" w:rsidRDefault="00EF637C" w:rsidP="00736829">
      <w:pPr>
        <w:pStyle w:val="AODocTxt"/>
        <w:numPr>
          <w:ilvl w:val="0"/>
          <w:numId w:val="13"/>
        </w:numPr>
        <w:spacing w:before="0"/>
        <w:rPr>
          <w:rFonts w:ascii="Avenir Next" w:hAnsi="Avenir Next"/>
          <w:color w:val="808080" w:themeColor="background1" w:themeShade="80"/>
        </w:rPr>
      </w:pPr>
      <w:r w:rsidRPr="00EF637C">
        <w:rPr>
          <w:rFonts w:ascii="Avenir Next" w:hAnsi="Avenir Next"/>
          <w:color w:val="808080" w:themeColor="background1" w:themeShade="80"/>
        </w:rPr>
        <w:t>The creditor's claim against the estate is disallowed.</w:t>
      </w:r>
    </w:p>
    <w:p w14:paraId="21174C1C" w14:textId="3E57E29E" w:rsidR="00EF637C" w:rsidRPr="00EF637C" w:rsidRDefault="00EF637C" w:rsidP="00736829">
      <w:pPr>
        <w:pStyle w:val="AODocTxt"/>
        <w:numPr>
          <w:ilvl w:val="0"/>
          <w:numId w:val="13"/>
        </w:numPr>
        <w:spacing w:before="0"/>
        <w:rPr>
          <w:rFonts w:ascii="Avenir Next" w:hAnsi="Avenir Next"/>
          <w:color w:val="808080" w:themeColor="background1" w:themeShade="80"/>
        </w:rPr>
      </w:pPr>
      <w:r w:rsidRPr="00EF637C">
        <w:rPr>
          <w:rFonts w:ascii="Avenir Next" w:hAnsi="Avenir Next"/>
          <w:color w:val="808080" w:themeColor="background1" w:themeShade="80"/>
        </w:rPr>
        <w:t>The creditor's claim against the estate was obtained after the bankruptcy petition was filed or within 90 days before the petition was filed if the debtor was insolvent.</w:t>
      </w:r>
    </w:p>
    <w:p w14:paraId="15CF90A3" w14:textId="4C9DA1C3" w:rsidR="00EF637C" w:rsidRPr="00EF637C" w:rsidRDefault="00EF637C" w:rsidP="00736829">
      <w:pPr>
        <w:pStyle w:val="AODocTxt"/>
        <w:numPr>
          <w:ilvl w:val="0"/>
          <w:numId w:val="13"/>
        </w:numPr>
        <w:spacing w:before="0"/>
        <w:rPr>
          <w:rFonts w:ascii="Avenir Next" w:hAnsi="Avenir Next"/>
          <w:color w:val="808080" w:themeColor="background1" w:themeShade="80"/>
        </w:rPr>
      </w:pPr>
      <w:r w:rsidRPr="00EF637C">
        <w:rPr>
          <w:rFonts w:ascii="Avenir Next" w:hAnsi="Avenir Next"/>
          <w:color w:val="808080" w:themeColor="background1" w:themeShade="80"/>
        </w:rPr>
        <w:t>The creditor's claim against the debtor was incurred within 90 days prior to the filing of the bankruptcy petition when the debtor was insolvent with the intent to set it off.</w:t>
      </w:r>
    </w:p>
    <w:p w14:paraId="4855A058" w14:textId="565391ED" w:rsidR="00EF637C" w:rsidRPr="00EF637C" w:rsidRDefault="00EF637C" w:rsidP="00736829">
      <w:pPr>
        <w:pStyle w:val="AODocTxt"/>
        <w:numPr>
          <w:ilvl w:val="0"/>
          <w:numId w:val="13"/>
        </w:numPr>
        <w:spacing w:before="0"/>
        <w:rPr>
          <w:rFonts w:ascii="Avenir Next" w:hAnsi="Avenir Next"/>
          <w:color w:val="808080" w:themeColor="background1" w:themeShade="80"/>
        </w:rPr>
      </w:pPr>
      <w:r w:rsidRPr="00EF637C">
        <w:rPr>
          <w:rFonts w:ascii="Avenir Next" w:hAnsi="Avenir Next"/>
          <w:color w:val="808080" w:themeColor="background1" w:themeShade="80"/>
        </w:rPr>
        <w:t>The creditor obtains an advantage through the set-off as compared to its position if it had executed the set-off 90 days prior to the bankruptcy filing.</w:t>
      </w:r>
    </w:p>
    <w:p w14:paraId="56462F41" w14:textId="17F51C66" w:rsidR="00EF637C" w:rsidRPr="00EF637C" w:rsidRDefault="00EF637C" w:rsidP="00EF637C">
      <w:pPr>
        <w:pStyle w:val="AODocTxt"/>
        <w:rPr>
          <w:rFonts w:ascii="Avenir Next" w:hAnsi="Avenir Next"/>
          <w:color w:val="808080" w:themeColor="background1" w:themeShade="80"/>
        </w:rPr>
      </w:pPr>
      <w:proofErr w:type="gramStart"/>
      <w:r w:rsidRPr="00EF637C">
        <w:rPr>
          <w:rFonts w:ascii="Avenir Next" w:hAnsi="Avenir Next"/>
          <w:color w:val="808080" w:themeColor="background1" w:themeShade="80"/>
        </w:rPr>
        <w:t>In order to</w:t>
      </w:r>
      <w:proofErr w:type="gramEnd"/>
      <w:r w:rsidRPr="00EF637C">
        <w:rPr>
          <w:rFonts w:ascii="Avenir Next" w:hAnsi="Avenir Next"/>
          <w:color w:val="808080" w:themeColor="background1" w:themeShade="80"/>
        </w:rPr>
        <w:t xml:space="preserve"> maintain fairness among all creditors and to preserve the integrity of the bankruptcy process, restrictions on set-off may be implemented.</w:t>
      </w:r>
    </w:p>
    <w:p w14:paraId="5D4D3008" w14:textId="77777777" w:rsidR="00EF637C" w:rsidRPr="00323167" w:rsidRDefault="00EF637C"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164E7154" w14:textId="3AB8F119" w:rsidR="001647AD"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5C524A49" w14:textId="5F29828A" w:rsidR="007E3FAD" w:rsidRPr="007E3FAD" w:rsidRDefault="007E3FAD" w:rsidP="007E3FAD">
      <w:pPr>
        <w:pStyle w:val="AODocTxt"/>
        <w:rPr>
          <w:rFonts w:ascii="Avenir Next" w:hAnsi="Avenir Next"/>
          <w:color w:val="808080" w:themeColor="background1" w:themeShade="80"/>
        </w:rPr>
      </w:pPr>
      <w:r w:rsidRPr="007E3FAD">
        <w:rPr>
          <w:rFonts w:ascii="Avenir Next" w:hAnsi="Avenir Next"/>
          <w:color w:val="808080" w:themeColor="background1" w:themeShade="80"/>
        </w:rPr>
        <w:t xml:space="preserve">In a Chapter 11 bankruptcy case, a "priming lien" is a type of lien granted when a debtor-in-possession (DIP) secures financing that is senior to or equal to existing liens on the debtor's assets. This type of lien is critical to providing the debtor with the support it needs to operate and reorganize smoothly. To obtain a priming lien, certain conditions must be </w:t>
      </w:r>
      <w:proofErr w:type="gramStart"/>
      <w:r w:rsidRPr="007E3FAD">
        <w:rPr>
          <w:rFonts w:ascii="Avenir Next" w:hAnsi="Avenir Next"/>
          <w:color w:val="808080" w:themeColor="background1" w:themeShade="80"/>
        </w:rPr>
        <w:t>met;</w:t>
      </w:r>
      <w:proofErr w:type="gramEnd"/>
    </w:p>
    <w:p w14:paraId="5BF8B38D" w14:textId="0DC63BD4" w:rsidR="007E3FAD" w:rsidRPr="007E3FAD" w:rsidRDefault="007E3FAD" w:rsidP="007E3FAD">
      <w:pPr>
        <w:pStyle w:val="AODocTxt"/>
        <w:numPr>
          <w:ilvl w:val="0"/>
          <w:numId w:val="15"/>
        </w:numPr>
        <w:spacing w:before="0"/>
        <w:rPr>
          <w:rFonts w:ascii="Avenir Next" w:hAnsi="Avenir Next"/>
          <w:color w:val="808080" w:themeColor="background1" w:themeShade="80"/>
        </w:rPr>
      </w:pPr>
      <w:r w:rsidRPr="007E3FAD">
        <w:rPr>
          <w:rFonts w:ascii="Avenir Next" w:hAnsi="Avenir Next"/>
          <w:color w:val="808080" w:themeColor="background1" w:themeShade="80"/>
        </w:rPr>
        <w:t>The court must approve the priming lien after notice and a hearing.</w:t>
      </w:r>
    </w:p>
    <w:p w14:paraId="6F0D0AAD" w14:textId="73E99D10" w:rsidR="007E3FAD" w:rsidRPr="007E3FAD" w:rsidRDefault="007E3FAD" w:rsidP="007E3FAD">
      <w:pPr>
        <w:pStyle w:val="AODocTxt"/>
        <w:numPr>
          <w:ilvl w:val="0"/>
          <w:numId w:val="15"/>
        </w:numPr>
        <w:spacing w:before="0"/>
        <w:rPr>
          <w:rFonts w:ascii="Avenir Next" w:hAnsi="Avenir Next"/>
          <w:color w:val="808080" w:themeColor="background1" w:themeShade="80"/>
        </w:rPr>
      </w:pPr>
      <w:r w:rsidRPr="007E3FAD">
        <w:rPr>
          <w:rFonts w:ascii="Avenir Next" w:hAnsi="Avenir Next"/>
          <w:color w:val="808080" w:themeColor="background1" w:themeShade="80"/>
        </w:rPr>
        <w:t>The debtor must show that it couldn't obtain financing on favorable terms, including showing its inability to obtain unsecured debt with priority over administrative expenses or secured debt with a lien on unencumbered property of the estate or with a junior lien on encumbered property of the estate.</w:t>
      </w:r>
    </w:p>
    <w:p w14:paraId="05228CF1" w14:textId="7ED925C9" w:rsidR="007E3FAD" w:rsidRPr="007E3FAD" w:rsidRDefault="007E3FAD" w:rsidP="007E3FAD">
      <w:pPr>
        <w:pStyle w:val="AODocTxt"/>
        <w:numPr>
          <w:ilvl w:val="0"/>
          <w:numId w:val="15"/>
        </w:numPr>
        <w:spacing w:before="0"/>
        <w:rPr>
          <w:rFonts w:ascii="Avenir Next" w:hAnsi="Avenir Next"/>
          <w:color w:val="808080" w:themeColor="background1" w:themeShade="80"/>
        </w:rPr>
      </w:pPr>
      <w:r w:rsidRPr="007E3FAD">
        <w:rPr>
          <w:rFonts w:ascii="Avenir Next" w:hAnsi="Avenir Next"/>
          <w:color w:val="808080" w:themeColor="background1" w:themeShade="80"/>
        </w:rPr>
        <w:lastRenderedPageBreak/>
        <w:t>In addition, the debtor must demonstrate that the interests of the secured creditor receiving priority will be adequately protected.</w:t>
      </w:r>
    </w:p>
    <w:p w14:paraId="473861FC" w14:textId="1985AD1B" w:rsidR="00435733" w:rsidRDefault="007E3FAD" w:rsidP="007E3FAD">
      <w:pPr>
        <w:pStyle w:val="AODocTxt"/>
        <w:rPr>
          <w:rFonts w:ascii="Avenir Next" w:hAnsi="Avenir Next"/>
          <w:color w:val="808080" w:themeColor="background1" w:themeShade="80"/>
        </w:rPr>
      </w:pPr>
      <w:r w:rsidRPr="007E3FAD">
        <w:rPr>
          <w:rFonts w:ascii="Avenir Next" w:hAnsi="Avenir Next"/>
          <w:color w:val="808080" w:themeColor="background1" w:themeShade="80"/>
        </w:rPr>
        <w:t>By meeting these requirements, this process ensures that the debtor has access to funds while protecting the rights and interests of existing secured creditors.</w:t>
      </w:r>
    </w:p>
    <w:p w14:paraId="63F154D8" w14:textId="77777777" w:rsidR="003353D2" w:rsidRPr="00622C36" w:rsidRDefault="003353D2"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698BA87F" w14:textId="6BD8C256" w:rsidR="00855BA7" w:rsidRPr="00B76EDC" w:rsidRDefault="0087116D" w:rsidP="00855BA7">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094957C2" w14:textId="77777777" w:rsidR="00A14D4F" w:rsidRPr="00A14D4F" w:rsidRDefault="00A14D4F" w:rsidP="00A14D4F">
      <w:pPr>
        <w:pStyle w:val="AODocTxt"/>
        <w:rPr>
          <w:rFonts w:ascii="Avenir Next" w:hAnsi="Avenir Next"/>
          <w:color w:val="808080" w:themeColor="background1" w:themeShade="80"/>
        </w:rPr>
      </w:pPr>
      <w:r w:rsidRPr="00A14D4F">
        <w:rPr>
          <w:rFonts w:ascii="Avenir Next" w:hAnsi="Avenir Next"/>
          <w:color w:val="808080" w:themeColor="background1" w:themeShade="80"/>
        </w:rPr>
        <w:t xml:space="preserve">There are two outcomes when the automatic stay is </w:t>
      </w:r>
      <w:proofErr w:type="gramStart"/>
      <w:r w:rsidRPr="00A14D4F">
        <w:rPr>
          <w:rFonts w:ascii="Avenir Next" w:hAnsi="Avenir Next"/>
          <w:color w:val="808080" w:themeColor="background1" w:themeShade="80"/>
        </w:rPr>
        <w:t>violated;</w:t>
      </w:r>
      <w:proofErr w:type="gramEnd"/>
    </w:p>
    <w:p w14:paraId="5DB86599" w14:textId="706CC333" w:rsidR="00A14D4F" w:rsidRPr="00A14D4F" w:rsidRDefault="00A14D4F" w:rsidP="00A14D4F">
      <w:pPr>
        <w:pStyle w:val="AODocTxt"/>
        <w:numPr>
          <w:ilvl w:val="0"/>
          <w:numId w:val="17"/>
        </w:numPr>
        <w:spacing w:before="0"/>
        <w:rPr>
          <w:rFonts w:ascii="Avenir Next" w:hAnsi="Avenir Next"/>
          <w:color w:val="808080" w:themeColor="background1" w:themeShade="80"/>
        </w:rPr>
      </w:pPr>
      <w:r w:rsidRPr="00A14D4F">
        <w:rPr>
          <w:rFonts w:ascii="Avenir Next" w:hAnsi="Avenir Next"/>
          <w:color w:val="808080" w:themeColor="background1" w:themeShade="80"/>
        </w:rPr>
        <w:t>Violations of the stay could be considered contempt of court. May be deemed void or voidable based on jurisdiction. This means that any actions taken in violation of the stay could be unwound by the court, making any transactions or collection efforts appear as if they never occurred.</w:t>
      </w:r>
    </w:p>
    <w:p w14:paraId="53E1720C" w14:textId="2FA8C5C5" w:rsidR="003A5537" w:rsidRPr="00A14D4F" w:rsidRDefault="00A14D4F" w:rsidP="00A14D4F">
      <w:pPr>
        <w:pStyle w:val="AODocTxt"/>
        <w:numPr>
          <w:ilvl w:val="0"/>
          <w:numId w:val="17"/>
        </w:numPr>
        <w:spacing w:before="0"/>
        <w:rPr>
          <w:rFonts w:ascii="Avenir Next" w:hAnsi="Avenir Next"/>
          <w:color w:val="808080" w:themeColor="background1" w:themeShade="80"/>
        </w:rPr>
      </w:pPr>
      <w:r w:rsidRPr="00A14D4F">
        <w:rPr>
          <w:rFonts w:ascii="Avenir Next" w:hAnsi="Avenir Next"/>
          <w:color w:val="808080" w:themeColor="background1" w:themeShade="80"/>
        </w:rPr>
        <w:t>Parties with an interest in the matter may seek relief from the stay, either in advance to allow certain actions to proceed or retroactively to legitimize actions that would otherwise be considered violations. Failure to obtain relief from the stay could result in contempt penalties being imposed on the violator. These penalties may include paying the debtor's fees and requiring the violator to take steps to remedy the violation, such as disgorging ill-gotten assets. In addition, the court may impose coercive contempt sanctions, such as a fine, until compliance is achieved.</w:t>
      </w:r>
    </w:p>
    <w:p w14:paraId="3A0CB957" w14:textId="77777777" w:rsidR="00B76EDC" w:rsidRPr="00622C36" w:rsidRDefault="00B76EDC" w:rsidP="00B76EDC">
      <w:pPr>
        <w:pStyle w:val="AODocTxt"/>
        <w:spacing w:before="0" w:line="240" w:lineRule="auto"/>
        <w:ind w:left="1080"/>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51E9F8BA" w14:textId="2138B176" w:rsidR="001B33F5"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82BB436" w14:textId="0E1EC4CC" w:rsidR="00E82B8A" w:rsidRPr="00E82B8A" w:rsidRDefault="00E82B8A" w:rsidP="00E82B8A">
      <w:pPr>
        <w:pStyle w:val="AODocTxt"/>
        <w:rPr>
          <w:rFonts w:ascii="Avenir Next" w:hAnsi="Avenir Next"/>
          <w:color w:val="808080" w:themeColor="background1" w:themeShade="80"/>
        </w:rPr>
      </w:pPr>
      <w:r w:rsidRPr="00E82B8A">
        <w:rPr>
          <w:rFonts w:ascii="Avenir Next" w:hAnsi="Avenir Next"/>
          <w:color w:val="808080" w:themeColor="background1" w:themeShade="80"/>
        </w:rPr>
        <w:t>When voting on a plan of reorganization:</w:t>
      </w:r>
    </w:p>
    <w:p w14:paraId="588BD17A" w14:textId="24377700" w:rsidR="00E82B8A" w:rsidRPr="00E82B8A" w:rsidRDefault="00E82B8A" w:rsidP="00191287">
      <w:pPr>
        <w:pStyle w:val="AODocTxt"/>
        <w:numPr>
          <w:ilvl w:val="0"/>
          <w:numId w:val="7"/>
        </w:numPr>
        <w:spacing w:before="0"/>
        <w:rPr>
          <w:rFonts w:ascii="Avenir Next" w:hAnsi="Avenir Next"/>
          <w:color w:val="808080" w:themeColor="background1" w:themeShade="80"/>
        </w:rPr>
      </w:pPr>
      <w:r w:rsidRPr="00E82B8A">
        <w:rPr>
          <w:rFonts w:ascii="Avenir Next" w:hAnsi="Avenir Next"/>
          <w:color w:val="808080" w:themeColor="background1" w:themeShade="80"/>
        </w:rPr>
        <w:t xml:space="preserve">Classes deemed to have accepted the plan: </w:t>
      </w:r>
      <w:r w:rsidR="00B85F10" w:rsidRPr="00B85F10">
        <w:rPr>
          <w:rFonts w:ascii="Avenir Next" w:hAnsi="Avenir Next"/>
          <w:color w:val="808080" w:themeColor="background1" w:themeShade="80"/>
        </w:rPr>
        <w:t>A class is considered to have accepted the plan if it isn't impaired. Its rights remain unimpaired unless the plan reverses any contractual acceleration by resolving any monetary defaults and providing for damages. Alternatively, if the acceleration is paid in full after the effective date of the plan, the class may be deemed unimpaired. Unimpaired classes typically accept the plan because their rights are not materially impaired.</w:t>
      </w:r>
    </w:p>
    <w:p w14:paraId="421DCE18" w14:textId="232DA194" w:rsidR="00E82B8A" w:rsidRPr="00E82B8A" w:rsidRDefault="00E82B8A" w:rsidP="00191287">
      <w:pPr>
        <w:pStyle w:val="AODocTxt"/>
        <w:numPr>
          <w:ilvl w:val="0"/>
          <w:numId w:val="7"/>
        </w:numPr>
        <w:spacing w:before="0"/>
        <w:rPr>
          <w:rFonts w:ascii="Avenir Next" w:hAnsi="Avenir Next"/>
          <w:color w:val="808080" w:themeColor="background1" w:themeShade="80"/>
        </w:rPr>
      </w:pPr>
      <w:r w:rsidRPr="00E82B8A">
        <w:rPr>
          <w:rFonts w:ascii="Avenir Next" w:hAnsi="Avenir Next"/>
          <w:color w:val="808080" w:themeColor="background1" w:themeShade="80"/>
        </w:rPr>
        <w:t xml:space="preserve">Classes Presumed to Reject the Plan: </w:t>
      </w:r>
      <w:r w:rsidR="00897881" w:rsidRPr="00897881">
        <w:rPr>
          <w:rFonts w:ascii="Avenir Next" w:hAnsi="Avenir Next"/>
          <w:color w:val="808080" w:themeColor="background1" w:themeShade="80"/>
        </w:rPr>
        <w:t>Any class that receives nothing under the plan automatically rejects the plan. This is often the case with equity holders or subordinated debt holders when the debtor's assets are insufficient to cover secured claims.</w:t>
      </w:r>
    </w:p>
    <w:p w14:paraId="7C11984D" w14:textId="1A85D982" w:rsidR="00E82B8A" w:rsidRPr="007743C9" w:rsidRDefault="00E82B8A" w:rsidP="00191287">
      <w:pPr>
        <w:pStyle w:val="AODocTxt"/>
        <w:numPr>
          <w:ilvl w:val="0"/>
          <w:numId w:val="7"/>
        </w:numPr>
        <w:spacing w:before="0"/>
        <w:rPr>
          <w:rFonts w:ascii="Avenir Next" w:hAnsi="Avenir Next"/>
          <w:color w:val="808080" w:themeColor="background1" w:themeShade="80"/>
        </w:rPr>
      </w:pPr>
      <w:r w:rsidRPr="00E82B8A">
        <w:rPr>
          <w:rFonts w:ascii="Avenir Next" w:hAnsi="Avenir Next"/>
          <w:color w:val="808080" w:themeColor="background1" w:themeShade="80"/>
        </w:rPr>
        <w:t>Classes entitled to vote on the plan:</w:t>
      </w:r>
      <w:r w:rsidR="009166CF">
        <w:rPr>
          <w:rFonts w:ascii="Avenir Next" w:hAnsi="Avenir Next"/>
          <w:color w:val="808080" w:themeColor="background1" w:themeShade="80"/>
        </w:rPr>
        <w:t xml:space="preserve"> </w:t>
      </w:r>
      <w:r w:rsidR="009166CF" w:rsidRPr="009166CF">
        <w:rPr>
          <w:rFonts w:ascii="Avenir Next" w:hAnsi="Avenir Next"/>
          <w:color w:val="808080" w:themeColor="background1" w:themeShade="80"/>
        </w:rPr>
        <w:t>Only impaired classes may vote on the plan. An impaired class includes those whose claims or interests are altered in some way by the plan, such as a reduction in the amount owed, a change in the terms of the debt, or the issuance of securities.</w:t>
      </w:r>
    </w:p>
    <w:p w14:paraId="037B4B36" w14:textId="543C8E6C" w:rsidR="001D3BAA" w:rsidRPr="002B5D64" w:rsidRDefault="00E82B8A" w:rsidP="00E82B8A">
      <w:pPr>
        <w:pStyle w:val="AODocTxt"/>
        <w:spacing w:before="0" w:line="240" w:lineRule="auto"/>
        <w:rPr>
          <w:rFonts w:ascii="Avenir Next" w:hAnsi="Avenir Next"/>
          <w:color w:val="808080" w:themeColor="background1" w:themeShade="80"/>
        </w:rPr>
      </w:pPr>
      <w:r w:rsidRPr="00E82B8A">
        <w:rPr>
          <w:rFonts w:ascii="Avenir Next" w:hAnsi="Avenir Next"/>
          <w:color w:val="808080" w:themeColor="background1" w:themeShade="80"/>
        </w:rPr>
        <w:t xml:space="preserve">For a class of creditors to accept a plan, </w:t>
      </w:r>
      <w:proofErr w:type="gramStart"/>
      <w:r w:rsidR="004D3377" w:rsidRPr="004D3377">
        <w:rPr>
          <w:rFonts w:ascii="Avenir Next" w:hAnsi="Avenir Next"/>
          <w:color w:val="808080" w:themeColor="background1" w:themeShade="80"/>
        </w:rPr>
        <w:t>a majority of</w:t>
      </w:r>
      <w:proofErr w:type="gramEnd"/>
      <w:r w:rsidR="004D3377" w:rsidRPr="004D3377">
        <w:rPr>
          <w:rFonts w:ascii="Avenir Next" w:hAnsi="Avenir Next"/>
          <w:color w:val="808080" w:themeColor="background1" w:themeShade="80"/>
        </w:rPr>
        <w:t xml:space="preserve"> creditors and two-thirds of the total amount of claims in that class must vote in favor of the plan. This rule is intended to ensure that the plan is broadly supported by the affected creditors, </w:t>
      </w:r>
      <w:proofErr w:type="gramStart"/>
      <w:r w:rsidR="004D3377" w:rsidRPr="004D3377">
        <w:rPr>
          <w:rFonts w:ascii="Avenir Next" w:hAnsi="Avenir Next"/>
          <w:color w:val="808080" w:themeColor="background1" w:themeShade="80"/>
        </w:rPr>
        <w:t>taking into account</w:t>
      </w:r>
      <w:proofErr w:type="gramEnd"/>
      <w:r w:rsidR="004D3377" w:rsidRPr="004D3377">
        <w:rPr>
          <w:rFonts w:ascii="Avenir Next" w:hAnsi="Avenir Next"/>
          <w:color w:val="808080" w:themeColor="background1" w:themeShade="80"/>
        </w:rPr>
        <w:t xml:space="preserve"> both the number of creditors and the aggregate value of their claims.</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191287">
      <w:pPr>
        <w:pStyle w:val="AODocTxt"/>
        <w:numPr>
          <w:ilvl w:val="0"/>
          <w:numId w:val="6"/>
        </w:numPr>
        <w:spacing w:after="240" w:line="240" w:lineRule="auto"/>
        <w:ind w:left="426" w:hanging="426"/>
        <w:rPr>
          <w:rFonts w:ascii="Avenir Next" w:hAnsi="Avenir Next" w:cstheme="majorHAnsi"/>
        </w:rPr>
      </w:pPr>
      <w:r w:rsidRPr="00224888">
        <w:rPr>
          <w:rFonts w:ascii="Avenir Next" w:hAnsi="Avenir Next" w:cstheme="majorHAnsi"/>
        </w:rPr>
        <w:lastRenderedPageBreak/>
        <w:t>Which cause of action applies only to transfers made on account of antecedent debt?</w:t>
      </w:r>
    </w:p>
    <w:p w14:paraId="1D225EBF" w14:textId="3990C3EE" w:rsidR="004E1F4B" w:rsidRPr="00224888" w:rsidRDefault="004172DA" w:rsidP="00191287">
      <w:pPr>
        <w:pStyle w:val="AODocTxt"/>
        <w:numPr>
          <w:ilvl w:val="0"/>
          <w:numId w:val="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191287">
      <w:pPr>
        <w:pStyle w:val="AODocTxt"/>
        <w:numPr>
          <w:ilvl w:val="0"/>
          <w:numId w:val="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0A4D0CD2" w14:textId="5EA4AA82" w:rsidR="000A19EE" w:rsidRPr="000A19EE" w:rsidRDefault="000A19EE" w:rsidP="000A19EE">
      <w:pPr>
        <w:pStyle w:val="AODocTxt"/>
        <w:rPr>
          <w:rFonts w:ascii="Avenir Next" w:hAnsi="Avenir Next"/>
          <w:color w:val="808080" w:themeColor="background1" w:themeShade="80"/>
        </w:rPr>
      </w:pPr>
      <w:r w:rsidRPr="000A19EE">
        <w:rPr>
          <w:rFonts w:ascii="Avenir Next" w:hAnsi="Avenir Next"/>
          <w:color w:val="808080" w:themeColor="background1" w:themeShade="80"/>
        </w:rPr>
        <w:t xml:space="preserve">With respect to preferences, actual fraudulent </w:t>
      </w:r>
      <w:r w:rsidR="00CD503B" w:rsidRPr="000A19EE">
        <w:rPr>
          <w:rFonts w:ascii="Avenir Next" w:hAnsi="Avenir Next"/>
          <w:color w:val="808080" w:themeColor="background1" w:themeShade="80"/>
        </w:rPr>
        <w:t>conveyances,</w:t>
      </w:r>
      <w:r w:rsidRPr="000A19EE">
        <w:rPr>
          <w:rFonts w:ascii="Avenir Next" w:hAnsi="Avenir Next"/>
          <w:color w:val="808080" w:themeColor="background1" w:themeShade="80"/>
        </w:rPr>
        <w:t xml:space="preserve"> and constructive fraudulent conveyances:</w:t>
      </w:r>
    </w:p>
    <w:p w14:paraId="3C0120BB" w14:textId="77777777" w:rsidR="00B45630" w:rsidRDefault="00B45630" w:rsidP="00191287">
      <w:pPr>
        <w:pStyle w:val="AODocTxt"/>
        <w:numPr>
          <w:ilvl w:val="0"/>
          <w:numId w:val="11"/>
        </w:numPr>
        <w:spacing w:before="0"/>
        <w:rPr>
          <w:rFonts w:ascii="Avenir Next" w:hAnsi="Avenir Next"/>
          <w:color w:val="808080" w:themeColor="background1" w:themeShade="80"/>
        </w:rPr>
      </w:pPr>
      <w:r w:rsidRPr="00B45630">
        <w:rPr>
          <w:rFonts w:ascii="Avenir Next" w:hAnsi="Avenir Next"/>
          <w:color w:val="808080" w:themeColor="background1" w:themeShade="80"/>
        </w:rPr>
        <w:t>Preferences specifically refer to transfers made on account of an existing debt. This involves a scenario where the debtor pays or provides security to a creditor for a debt already owed, potentially showing favoritism to that creditor by paying them from others before declaring bankruptcy.</w:t>
      </w:r>
    </w:p>
    <w:p w14:paraId="289CCE00" w14:textId="7E287FF1" w:rsidR="00CD503B" w:rsidRDefault="00CD503B" w:rsidP="00CD503B">
      <w:pPr>
        <w:pStyle w:val="AODocTxt"/>
        <w:numPr>
          <w:ilvl w:val="0"/>
          <w:numId w:val="11"/>
        </w:numPr>
        <w:spacing w:before="0"/>
        <w:rPr>
          <w:rFonts w:ascii="Avenir Next" w:hAnsi="Avenir Next"/>
          <w:color w:val="808080" w:themeColor="background1" w:themeShade="80"/>
        </w:rPr>
      </w:pPr>
      <w:r w:rsidRPr="00CD503B">
        <w:rPr>
          <w:rFonts w:ascii="Avenir Next" w:hAnsi="Avenir Next"/>
          <w:color w:val="808080" w:themeColor="background1" w:themeShade="80"/>
        </w:rPr>
        <w:t xml:space="preserve">Constructive fraudulent transfers involve the debtor being presumed or proven insolvent at the time of the transfer. In cases where a transfer. An obligation is assumed without receiving fair value in return, resulting in insolvency either at the time of the transfer or </w:t>
      </w:r>
      <w:r w:rsidRPr="00CD503B">
        <w:rPr>
          <w:rFonts w:ascii="Avenir Next" w:hAnsi="Avenir Next"/>
          <w:color w:val="808080" w:themeColor="background1" w:themeShade="80"/>
        </w:rPr>
        <w:t>because of</w:t>
      </w:r>
      <w:r w:rsidRPr="00CD503B">
        <w:rPr>
          <w:rFonts w:ascii="Avenir Next" w:hAnsi="Avenir Next"/>
          <w:color w:val="808080" w:themeColor="background1" w:themeShade="80"/>
        </w:rPr>
        <w:t xml:space="preserve"> the transfer.</w:t>
      </w:r>
    </w:p>
    <w:p w14:paraId="7779A03A" w14:textId="54F07A9D" w:rsidR="001D3BAA" w:rsidRDefault="00CD503B" w:rsidP="00CD503B">
      <w:pPr>
        <w:pStyle w:val="AODocTxt"/>
        <w:numPr>
          <w:ilvl w:val="0"/>
          <w:numId w:val="11"/>
        </w:numPr>
        <w:spacing w:before="0"/>
        <w:rPr>
          <w:rFonts w:ascii="Avenir Next" w:hAnsi="Avenir Next"/>
          <w:color w:val="808080" w:themeColor="background1" w:themeShade="80"/>
        </w:rPr>
      </w:pPr>
      <w:r w:rsidRPr="00CD503B">
        <w:rPr>
          <w:rFonts w:ascii="Avenir Next" w:hAnsi="Avenir Next"/>
          <w:color w:val="808080" w:themeColor="background1" w:themeShade="80"/>
        </w:rPr>
        <w:t>Actual fraudulent transfers require proof that the debtor intended to hinder the recovery of creditors. This requires proof that the debtor made transfers or incurred obligations with the intent to hinder, delay or defraud entities to whom he was indebted.</w:t>
      </w:r>
    </w:p>
    <w:p w14:paraId="2D9E1B2C" w14:textId="77777777" w:rsidR="00CD503B" w:rsidRPr="00CD503B" w:rsidRDefault="00CD503B" w:rsidP="00CD503B">
      <w:pPr>
        <w:pStyle w:val="AODocTxt"/>
        <w:spacing w:before="0"/>
        <w:ind w:left="720"/>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58B40A0C" w14:textId="6D4C3BF6" w:rsidR="001D3BAA" w:rsidRPr="009A0970" w:rsidRDefault="007C690E" w:rsidP="001D3BAA">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480CD87B" w14:textId="77777777" w:rsidR="00890E13" w:rsidRPr="00890E13" w:rsidRDefault="00890E13" w:rsidP="00890E13">
      <w:pPr>
        <w:pStyle w:val="AODocTxt"/>
        <w:spacing w:after="240"/>
        <w:rPr>
          <w:rFonts w:ascii="Avenir Next" w:hAnsi="Avenir Next"/>
          <w:color w:val="808080" w:themeColor="background1" w:themeShade="80"/>
        </w:rPr>
      </w:pPr>
      <w:r w:rsidRPr="00890E13">
        <w:rPr>
          <w:rFonts w:ascii="Avenir Next" w:hAnsi="Avenir Next"/>
          <w:color w:val="808080" w:themeColor="background1" w:themeShade="80"/>
        </w:rPr>
        <w:t>Bankruptcy cases in the United States follow a system designed to balance the rights of debtors and creditors. A crucial aspect is how bankruptcy courts can make decisions and how those decisions are reviewed. The U.S. Constitution, Article III, is important in outlining the powers of bankruptcy courts. How their decisions are reviewed on appeal.</w:t>
      </w:r>
    </w:p>
    <w:p w14:paraId="2FD9B24A" w14:textId="77777777" w:rsidR="00890E13" w:rsidRPr="00890E13" w:rsidRDefault="00890E13" w:rsidP="00890E13">
      <w:pPr>
        <w:pStyle w:val="AODocTxt"/>
        <w:spacing w:after="240"/>
        <w:rPr>
          <w:rFonts w:ascii="Avenir Next" w:hAnsi="Avenir Next"/>
          <w:color w:val="808080" w:themeColor="background1" w:themeShade="80"/>
        </w:rPr>
      </w:pPr>
      <w:r w:rsidRPr="00890E13">
        <w:rPr>
          <w:rFonts w:ascii="Avenir Next" w:hAnsi="Avenir Next"/>
          <w:color w:val="808080" w:themeColor="background1" w:themeShade="80"/>
        </w:rPr>
        <w:t>The Supreme Court's decision in Stern v. Marshall emphasized the limits of bankruptcy courts in making decisions in core cases that touch on Article III jurisdiction. This important decision indicated that bankruptcy courts, which are not Article III courts, have limited authority to rule on matters normally handled by Article III courts. This distinction between "core" and "non-core" cases is critical in defining a bankruptcy court's ability to issue judgments.</w:t>
      </w:r>
    </w:p>
    <w:p w14:paraId="4D997EEC" w14:textId="77777777" w:rsidR="00890E13" w:rsidRPr="00890E13" w:rsidRDefault="00890E13" w:rsidP="00890E13">
      <w:pPr>
        <w:pStyle w:val="AODocTxt"/>
        <w:spacing w:after="240"/>
        <w:rPr>
          <w:rFonts w:ascii="Avenir Next" w:hAnsi="Avenir Next"/>
          <w:color w:val="808080" w:themeColor="background1" w:themeShade="80"/>
        </w:rPr>
      </w:pPr>
      <w:r w:rsidRPr="00890E13">
        <w:rPr>
          <w:rFonts w:ascii="Avenir Next" w:hAnsi="Avenir Next"/>
          <w:color w:val="808080" w:themeColor="background1" w:themeShade="80"/>
        </w:rPr>
        <w:t>For a bankruptcy court to issue a decision that is consistent with the U.S. Constitution, the issue must fall within its core jurisdiction. In non-core matters, with the express consent of all parties involved.</w:t>
      </w:r>
    </w:p>
    <w:p w14:paraId="14A70CDD" w14:textId="77777777" w:rsidR="00890E13" w:rsidRPr="00890E13" w:rsidRDefault="00890E13" w:rsidP="00890E13">
      <w:pPr>
        <w:pStyle w:val="AODocTxt"/>
        <w:spacing w:after="240"/>
        <w:rPr>
          <w:rFonts w:ascii="Avenir Next" w:hAnsi="Avenir Next"/>
          <w:color w:val="808080" w:themeColor="background1" w:themeShade="80"/>
        </w:rPr>
      </w:pPr>
      <w:r w:rsidRPr="00890E13">
        <w:rPr>
          <w:rFonts w:ascii="Avenir Next" w:hAnsi="Avenir Next"/>
          <w:color w:val="808080" w:themeColor="background1" w:themeShade="80"/>
        </w:rPr>
        <w:t>In cases where the matter involves rights and interests typically handled by Article III courts, the bankruptcy court must provide proposed findings of fact and legal conclusions for evaluation by the district court. This careful approach ensures that the bankruptcy court's actions remain within the bounds established by Article III.</w:t>
      </w:r>
    </w:p>
    <w:p w14:paraId="67A527B1" w14:textId="77777777" w:rsidR="00890E13" w:rsidRPr="00890E13" w:rsidRDefault="00890E13" w:rsidP="00890E13">
      <w:pPr>
        <w:pStyle w:val="AODocTxt"/>
        <w:spacing w:after="240"/>
        <w:rPr>
          <w:rFonts w:ascii="Avenir Next" w:hAnsi="Avenir Next"/>
          <w:color w:val="808080" w:themeColor="background1" w:themeShade="80"/>
        </w:rPr>
      </w:pPr>
    </w:p>
    <w:p w14:paraId="3883F0D6" w14:textId="198B5C57" w:rsidR="00890E13" w:rsidRPr="00890E13" w:rsidRDefault="00890E13" w:rsidP="00890E13">
      <w:pPr>
        <w:pStyle w:val="AODocTxt"/>
        <w:spacing w:after="240"/>
        <w:rPr>
          <w:rFonts w:ascii="Avenir Next" w:hAnsi="Avenir Next"/>
          <w:color w:val="808080" w:themeColor="background1" w:themeShade="80"/>
        </w:rPr>
      </w:pPr>
      <w:r w:rsidRPr="00890E13">
        <w:rPr>
          <w:rFonts w:ascii="Avenir Next" w:hAnsi="Avenir Next"/>
          <w:color w:val="808080" w:themeColor="background1" w:themeShade="80"/>
        </w:rPr>
        <w:lastRenderedPageBreak/>
        <w:t>Appeals from bankruptcy court decisions are heard primarily by the district court in the region where the bankruptcy case originated. In some circuits, a Bankruptcy Appellate Panel (BAP), composed of bankruptcy judges, may also hear appeals. The appellate process includes a review of interpretations and a more deferential review of factual determinations, recognizing the bankruptcy court's proximity to the evidence and proceedings.</w:t>
      </w:r>
    </w:p>
    <w:p w14:paraId="7C93FB01" w14:textId="6F140DB0" w:rsidR="00890E13" w:rsidRPr="00890E13" w:rsidRDefault="00890E13" w:rsidP="00890E13">
      <w:pPr>
        <w:pStyle w:val="AODocTxt"/>
        <w:spacing w:after="240"/>
        <w:rPr>
          <w:rFonts w:ascii="Avenir Next" w:hAnsi="Avenir Next"/>
          <w:color w:val="808080" w:themeColor="background1" w:themeShade="80"/>
        </w:rPr>
      </w:pPr>
      <w:r w:rsidRPr="00890E13">
        <w:rPr>
          <w:rFonts w:ascii="Avenir Next" w:hAnsi="Avenir Next"/>
          <w:color w:val="808080" w:themeColor="background1" w:themeShade="80"/>
        </w:rPr>
        <w:t>In cases where orders are not yet final, either the district court or the BAP serves as an intermediary to evaluate the bankruptcy court's proposed findings and conclusions. This additional level of review ensures that the final decision conforms to mandates and legal standards that protect the rights of the parties.</w:t>
      </w:r>
    </w:p>
    <w:p w14:paraId="54115B1C" w14:textId="77777777" w:rsidR="00890E13" w:rsidRPr="00890E13" w:rsidRDefault="00890E13" w:rsidP="00890E13">
      <w:pPr>
        <w:pStyle w:val="AODocTxt"/>
        <w:spacing w:after="240"/>
        <w:rPr>
          <w:rFonts w:ascii="Avenir Next" w:hAnsi="Avenir Next"/>
          <w:color w:val="808080" w:themeColor="background1" w:themeShade="80"/>
        </w:rPr>
      </w:pPr>
      <w:r w:rsidRPr="00890E13">
        <w:rPr>
          <w:rFonts w:ascii="Avenir Next" w:hAnsi="Avenir Next"/>
          <w:color w:val="808080" w:themeColor="background1" w:themeShade="80"/>
        </w:rPr>
        <w:t>The interplay between the principles of the U.S. Constitution and the ability of bankruptcy courts to make decisions underscores the judiciary's commitment to maintaining an impartial judicial system.</w:t>
      </w:r>
    </w:p>
    <w:p w14:paraId="41284EC0" w14:textId="38E123DA" w:rsidR="001D3BAA" w:rsidRPr="002B5D64" w:rsidRDefault="00890E13" w:rsidP="00890E13">
      <w:pPr>
        <w:pStyle w:val="AODocTxt"/>
        <w:spacing w:after="240"/>
        <w:rPr>
          <w:rFonts w:ascii="Avenir Next" w:hAnsi="Avenir Next"/>
          <w:color w:val="808080" w:themeColor="background1" w:themeShade="80"/>
        </w:rPr>
      </w:pPr>
      <w:r w:rsidRPr="00890E13">
        <w:rPr>
          <w:rFonts w:ascii="Avenir Next" w:hAnsi="Avenir Next"/>
          <w:color w:val="808080" w:themeColor="background1" w:themeShade="80"/>
        </w:rPr>
        <w:t>The Stern v. Marshall decision and subsequent decisions have helped to define the limits of this authority, ensuring that the rights of the individuals involved are respected. The appellate process adds a layer of protection by allowing for review of bankruptcy court decisions. By implementing these safeguards, the U.S. bankruptcy system aims to uphold both the handling of bankruptcy matters and the constitutional rights of those involved.</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210D1AF9" w14:textId="10FD4A37" w:rsidR="00D85AF6"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3E64D82B" w14:textId="77B45DCF" w:rsidR="007E6521" w:rsidRPr="007E6521" w:rsidRDefault="007E6521" w:rsidP="007E6521">
      <w:pPr>
        <w:pStyle w:val="AODocTxt"/>
        <w:rPr>
          <w:rFonts w:ascii="Avenir Next" w:hAnsi="Avenir Next"/>
          <w:color w:val="808080" w:themeColor="background1" w:themeShade="80"/>
        </w:rPr>
      </w:pPr>
      <w:r w:rsidRPr="007E6521">
        <w:rPr>
          <w:rFonts w:ascii="Avenir Next" w:hAnsi="Avenir Next"/>
          <w:color w:val="808080" w:themeColor="background1" w:themeShade="80"/>
        </w:rPr>
        <w:t xml:space="preserve">In Chapter 15 of the U.S. Bankruptcy Code, which deals with insolvency cases </w:t>
      </w:r>
      <w:proofErr w:type="gramStart"/>
      <w:r w:rsidRPr="007E6521">
        <w:rPr>
          <w:rFonts w:ascii="Avenir Next" w:hAnsi="Avenir Next"/>
          <w:color w:val="808080" w:themeColor="background1" w:themeShade="80"/>
        </w:rPr>
        <w:t>having an understanding of</w:t>
      </w:r>
      <w:proofErr w:type="gramEnd"/>
      <w:r w:rsidRPr="007E6521">
        <w:rPr>
          <w:rFonts w:ascii="Avenir Next" w:hAnsi="Avenir Next"/>
          <w:color w:val="808080" w:themeColor="background1" w:themeShade="80"/>
        </w:rPr>
        <w:t xml:space="preserve"> the constraints, on foreign representatives and the </w:t>
      </w:r>
      <w:r w:rsidRPr="007E6521">
        <w:rPr>
          <w:rFonts w:ascii="Avenir Next" w:hAnsi="Avenir Next"/>
          <w:color w:val="808080" w:themeColor="background1" w:themeShade="80"/>
        </w:rPr>
        <w:t>option</w:t>
      </w:r>
      <w:r w:rsidRPr="007E6521">
        <w:rPr>
          <w:rFonts w:ascii="Avenir Next" w:hAnsi="Avenir Next"/>
          <w:color w:val="808080" w:themeColor="background1" w:themeShade="80"/>
        </w:rPr>
        <w:t xml:space="preserve"> for achieving similar relief is essential. This article delves into the rules of the Bankruptcy Code that foreign representatives cannot access in Chapter 15 cases and explores how they can still achieve their goals despite these obstacles.</w:t>
      </w:r>
    </w:p>
    <w:p w14:paraId="649DFD62" w14:textId="1B5BDCEC" w:rsidR="007E6521" w:rsidRPr="007E6521" w:rsidRDefault="007E6521" w:rsidP="007E6521">
      <w:pPr>
        <w:pStyle w:val="AODocTxt"/>
        <w:rPr>
          <w:rFonts w:ascii="Avenir Next" w:hAnsi="Avenir Next"/>
          <w:color w:val="808080" w:themeColor="background1" w:themeShade="80"/>
        </w:rPr>
      </w:pPr>
      <w:r w:rsidRPr="007E6521">
        <w:rPr>
          <w:rFonts w:ascii="Avenir Next" w:hAnsi="Avenir Next"/>
          <w:color w:val="808080" w:themeColor="background1" w:themeShade="80"/>
        </w:rPr>
        <w:t xml:space="preserve">Chapter 15 acts as a framework to facilitate collaboration between U.S. Courts and parties in domestic bankruptcy matters and their counterparts in foreign insolvency proceedings. It aims to provide a way to handle insolvency cases involving assets, debtors and creditors across jurisdictions ensuring certainty for trade and investment fairness for all parties involved and efficient management of international insolvencies. </w:t>
      </w:r>
      <w:r w:rsidRPr="007E6521">
        <w:rPr>
          <w:rFonts w:ascii="Avenir Next" w:hAnsi="Avenir Next"/>
          <w:color w:val="808080" w:themeColor="background1" w:themeShade="80"/>
        </w:rPr>
        <w:t>However,</w:t>
      </w:r>
      <w:r w:rsidRPr="007E6521">
        <w:rPr>
          <w:rFonts w:ascii="Avenir Next" w:hAnsi="Avenir Next"/>
          <w:color w:val="808080" w:themeColor="background1" w:themeShade="80"/>
        </w:rPr>
        <w:t xml:space="preserve"> to balance respecting systems sovereignty with safeguarding U.S. Creditors and </w:t>
      </w:r>
      <w:r w:rsidRPr="007E6521">
        <w:rPr>
          <w:rFonts w:ascii="Avenir Next" w:hAnsi="Avenir Next"/>
          <w:color w:val="808080" w:themeColor="background1" w:themeShade="80"/>
        </w:rPr>
        <w:t>debtors’</w:t>
      </w:r>
      <w:r w:rsidRPr="007E6521">
        <w:rPr>
          <w:rFonts w:ascii="Avenir Next" w:hAnsi="Avenir Next"/>
          <w:color w:val="808080" w:themeColor="background1" w:themeShade="80"/>
        </w:rPr>
        <w:t xml:space="preserve"> interests Chapter 15 places restrictions on certain powers typically available, in domestic bankruptcy cases.</w:t>
      </w:r>
    </w:p>
    <w:p w14:paraId="1C0E8D0B" w14:textId="77777777" w:rsidR="007E6521" w:rsidRPr="007E6521" w:rsidRDefault="007E6521" w:rsidP="007E6521">
      <w:pPr>
        <w:pStyle w:val="AODocTxt"/>
        <w:rPr>
          <w:rFonts w:ascii="Avenir Next" w:hAnsi="Avenir Next"/>
          <w:color w:val="808080" w:themeColor="background1" w:themeShade="80"/>
        </w:rPr>
      </w:pPr>
      <w:r w:rsidRPr="007E6521">
        <w:rPr>
          <w:rFonts w:ascii="Avenir Next" w:hAnsi="Avenir Next"/>
          <w:color w:val="808080" w:themeColor="background1" w:themeShade="80"/>
        </w:rPr>
        <w:t>One significant limitation is that foreign representatives are restricted from using avoidance powers.</w:t>
      </w:r>
    </w:p>
    <w:p w14:paraId="0A9DABC9" w14:textId="2AD6A8E6" w:rsidR="007E6521" w:rsidRPr="007E6521" w:rsidRDefault="007E6521" w:rsidP="007E6521">
      <w:pPr>
        <w:pStyle w:val="AODocTxt"/>
        <w:rPr>
          <w:rFonts w:ascii="Avenir Next" w:hAnsi="Avenir Next"/>
          <w:color w:val="808080" w:themeColor="background1" w:themeShade="80"/>
        </w:rPr>
      </w:pPr>
      <w:r w:rsidRPr="007E6521">
        <w:rPr>
          <w:rFonts w:ascii="Avenir Next" w:hAnsi="Avenir Next"/>
          <w:color w:val="808080" w:themeColor="background1" w:themeShade="80"/>
        </w:rPr>
        <w:t xml:space="preserve">Avoidance measures play a role, in bankruptcy cases by helping to recover assets that were transferred before the bankruptcy filing in a way that may unfairly favor creditors or involve fraudulent transactions. </w:t>
      </w:r>
      <w:r w:rsidRPr="007E6521">
        <w:rPr>
          <w:rFonts w:ascii="Avenir Next" w:hAnsi="Avenir Next"/>
          <w:color w:val="808080" w:themeColor="background1" w:themeShade="80"/>
        </w:rPr>
        <w:t>The</w:t>
      </w:r>
      <w:r w:rsidRPr="007E6521">
        <w:rPr>
          <w:rFonts w:ascii="Avenir Next" w:hAnsi="Avenir Next"/>
          <w:color w:val="808080" w:themeColor="background1" w:themeShade="80"/>
        </w:rPr>
        <w:t xml:space="preserve"> rules regarding preferences and suspicious transfers outlined in sections of the Bankruptcy Code are not applicable to representatives involved in Chapter 15 cases. This exclusion is based on the idea that using powers could disrupt how a </w:t>
      </w:r>
      <w:r w:rsidRPr="007E6521">
        <w:rPr>
          <w:rFonts w:ascii="Avenir Next" w:hAnsi="Avenir Next"/>
          <w:color w:val="808080" w:themeColor="background1" w:themeShade="80"/>
        </w:rPr>
        <w:t>debtor’s</w:t>
      </w:r>
      <w:r w:rsidRPr="007E6521">
        <w:rPr>
          <w:rFonts w:ascii="Avenir Next" w:hAnsi="Avenir Next"/>
          <w:color w:val="808080" w:themeColor="background1" w:themeShade="80"/>
        </w:rPr>
        <w:t xml:space="preserve"> assets are distributed, potentially conflicting with the insolvency laws of the </w:t>
      </w:r>
      <w:r w:rsidRPr="007E6521">
        <w:rPr>
          <w:rFonts w:ascii="Avenir Next" w:hAnsi="Avenir Next"/>
          <w:color w:val="808080" w:themeColor="background1" w:themeShade="80"/>
        </w:rPr>
        <w:t>debtor’s</w:t>
      </w:r>
      <w:r w:rsidRPr="007E6521">
        <w:rPr>
          <w:rFonts w:ascii="Avenir Next" w:hAnsi="Avenir Next"/>
          <w:color w:val="808080" w:themeColor="background1" w:themeShade="80"/>
        </w:rPr>
        <w:t xml:space="preserve"> home country.</w:t>
      </w:r>
    </w:p>
    <w:p w14:paraId="5DD3F7CA" w14:textId="7177BC51" w:rsidR="007E6521" w:rsidRPr="007E6521" w:rsidRDefault="007E6521" w:rsidP="007E6521">
      <w:pPr>
        <w:pStyle w:val="AODocTxt"/>
        <w:rPr>
          <w:rFonts w:ascii="Avenir Next" w:hAnsi="Avenir Next"/>
          <w:color w:val="808080" w:themeColor="background1" w:themeShade="80"/>
        </w:rPr>
      </w:pPr>
      <w:r w:rsidRPr="007E6521">
        <w:rPr>
          <w:rFonts w:ascii="Avenir Next" w:hAnsi="Avenir Next"/>
          <w:color w:val="808080" w:themeColor="background1" w:themeShade="80"/>
        </w:rPr>
        <w:t xml:space="preserve">Despite these limitations foreign representatives have options to them. They can pursue their objectives </w:t>
      </w:r>
      <w:r w:rsidRPr="007E6521">
        <w:rPr>
          <w:rFonts w:ascii="Avenir Next" w:hAnsi="Avenir Next"/>
          <w:color w:val="808080" w:themeColor="background1" w:themeShade="80"/>
        </w:rPr>
        <w:t>like</w:t>
      </w:r>
      <w:r w:rsidRPr="007E6521">
        <w:rPr>
          <w:rFonts w:ascii="Avenir Next" w:hAnsi="Avenir Next"/>
          <w:color w:val="808080" w:themeColor="background1" w:themeShade="80"/>
        </w:rPr>
        <w:t xml:space="preserve"> avoidance actions through two approaches. </w:t>
      </w:r>
      <w:r w:rsidRPr="007E6521">
        <w:rPr>
          <w:rFonts w:ascii="Avenir Next" w:hAnsi="Avenir Next"/>
          <w:color w:val="808080" w:themeColor="background1" w:themeShade="80"/>
        </w:rPr>
        <w:t>Firstly,</w:t>
      </w:r>
      <w:r w:rsidRPr="007E6521">
        <w:rPr>
          <w:rFonts w:ascii="Avenir Next" w:hAnsi="Avenir Next"/>
          <w:color w:val="808080" w:themeColor="background1" w:themeShade="80"/>
        </w:rPr>
        <w:t xml:space="preserve"> a foreign representative can start a proceeding under another chapter of the Bankruptcy Code like Chapter 7 (liquidation) or Chapter 11 (reorganization) </w:t>
      </w:r>
      <w:r w:rsidRPr="007E6521">
        <w:rPr>
          <w:rFonts w:ascii="Avenir Next" w:hAnsi="Avenir Next"/>
          <w:color w:val="808080" w:themeColor="background1" w:themeShade="80"/>
        </w:rPr>
        <w:t>if</w:t>
      </w:r>
      <w:r w:rsidRPr="007E6521">
        <w:rPr>
          <w:rFonts w:ascii="Avenir Next" w:hAnsi="Avenir Next"/>
          <w:color w:val="808080" w:themeColor="background1" w:themeShade="80"/>
        </w:rPr>
        <w:t xml:space="preserve"> there is a significant connection to the United States, such as having assets located </w:t>
      </w:r>
      <w:r w:rsidRPr="007E6521">
        <w:rPr>
          <w:rFonts w:ascii="Avenir Next" w:hAnsi="Avenir Next"/>
          <w:color w:val="808080" w:themeColor="background1" w:themeShade="80"/>
        </w:rPr>
        <w:lastRenderedPageBreak/>
        <w:t xml:space="preserve">within its jurisdiction. This method allows foreign representatives to make use of all tools and authorities provided by U.S. Bankruptcy laws, including avoidance actions specifically targeted at the </w:t>
      </w:r>
      <w:r w:rsidRPr="007E6521">
        <w:rPr>
          <w:rFonts w:ascii="Avenir Next" w:hAnsi="Avenir Next"/>
          <w:color w:val="808080" w:themeColor="background1" w:themeShade="80"/>
        </w:rPr>
        <w:t>debtors’</w:t>
      </w:r>
      <w:r w:rsidRPr="007E6521">
        <w:rPr>
          <w:rFonts w:ascii="Avenir Next" w:hAnsi="Avenir Next"/>
          <w:color w:val="808080" w:themeColor="background1" w:themeShade="80"/>
        </w:rPr>
        <w:t xml:space="preserve"> assets, in the U.S.</w:t>
      </w:r>
    </w:p>
    <w:p w14:paraId="5263AB67" w14:textId="4BF27DF8" w:rsidR="007E6521" w:rsidRPr="007E6521" w:rsidRDefault="007E6521" w:rsidP="007E6521">
      <w:pPr>
        <w:pStyle w:val="AODocTxt"/>
        <w:rPr>
          <w:rFonts w:ascii="Avenir Next" w:hAnsi="Avenir Next"/>
          <w:color w:val="808080" w:themeColor="background1" w:themeShade="80"/>
        </w:rPr>
      </w:pPr>
      <w:r w:rsidRPr="007E6521">
        <w:rPr>
          <w:rFonts w:ascii="Avenir Next" w:hAnsi="Avenir Next"/>
          <w:color w:val="808080" w:themeColor="background1" w:themeShade="80"/>
        </w:rPr>
        <w:t>The range of processes is often confined to assets, within the United States and is carried out in collaboration with the foreign legal process to ensure a smooth resolution across different jurisdictions.</w:t>
      </w:r>
    </w:p>
    <w:p w14:paraId="04AD3B62" w14:textId="30D77434" w:rsidR="007E6521" w:rsidRPr="007E6521" w:rsidRDefault="007E6521" w:rsidP="007E6521">
      <w:pPr>
        <w:pStyle w:val="AODocTxt"/>
        <w:rPr>
          <w:rFonts w:ascii="Avenir Next" w:hAnsi="Avenir Next"/>
          <w:color w:val="808080" w:themeColor="background1" w:themeShade="80"/>
        </w:rPr>
      </w:pPr>
      <w:r w:rsidRPr="007E6521">
        <w:rPr>
          <w:rFonts w:ascii="Avenir Next" w:hAnsi="Avenir Next"/>
          <w:color w:val="808080" w:themeColor="background1" w:themeShade="80"/>
        </w:rPr>
        <w:t>Furthermore</w:t>
      </w:r>
      <w:r>
        <w:rPr>
          <w:rFonts w:ascii="Avenir Next" w:hAnsi="Avenir Next"/>
          <w:color w:val="808080" w:themeColor="background1" w:themeShade="80"/>
        </w:rPr>
        <w:t>,</w:t>
      </w:r>
      <w:r w:rsidRPr="007E6521">
        <w:rPr>
          <w:rFonts w:ascii="Avenir Next" w:hAnsi="Avenir Next"/>
          <w:color w:val="808080" w:themeColor="background1" w:themeShade="80"/>
        </w:rPr>
        <w:t xml:space="preserve"> foreign representatives may turn to laws outside of the Bankruptcy Code whether foreign, to reverse transactions or recover assets that might have been improperly transferred or burdened. This approach recognizes that even though the specific avoidance powers of the Bankruptcy Code may not be directly invoked the objectives of those powers can still be pursued through avenues. This approach may be especially important in situations where relief under laws is more advantageous or where limitations within the Bankruptcy Code such as statutes of limitations or absence of claims for constructive fraudulent conveyance make its provisions inadequate.</w:t>
      </w:r>
    </w:p>
    <w:p w14:paraId="04CBBFB9" w14:textId="77777777" w:rsidR="007E6521" w:rsidRPr="007E6521" w:rsidRDefault="007E6521" w:rsidP="007E6521">
      <w:pPr>
        <w:pStyle w:val="AODocTxt"/>
        <w:rPr>
          <w:rFonts w:ascii="Avenir Next" w:hAnsi="Avenir Next"/>
          <w:color w:val="808080" w:themeColor="background1" w:themeShade="80"/>
        </w:rPr>
      </w:pPr>
      <w:r w:rsidRPr="007E6521">
        <w:rPr>
          <w:rFonts w:ascii="Avenir Next" w:hAnsi="Avenir Next"/>
          <w:color w:val="808080" w:themeColor="background1" w:themeShade="80"/>
        </w:rPr>
        <w:t>To sum up while Chapter 15 of the U.S. Bankruptcy Code imposes restrictions on the authority of representatives particularly concerning avoidance actions it also provides ways to achieve similar relief. By permitting the commencement of proceedings under chapters of the Bankruptcy Code or utilizing alternative legal frameworks Chapter 15 strikes a balance between international cooperation in bankruptcy cases and safeguarding creditor and debtor rights, within the U.S. Legal system.</w:t>
      </w:r>
    </w:p>
    <w:p w14:paraId="563007FE" w14:textId="1786DAA0" w:rsidR="001D3BAA" w:rsidRPr="002B5D64" w:rsidRDefault="007E6521" w:rsidP="007E6521">
      <w:pPr>
        <w:pStyle w:val="AODocTxt"/>
        <w:rPr>
          <w:rFonts w:ascii="Avenir Next" w:hAnsi="Avenir Next"/>
          <w:color w:val="808080" w:themeColor="background1" w:themeShade="80"/>
        </w:rPr>
      </w:pPr>
      <w:r w:rsidRPr="007E6521">
        <w:rPr>
          <w:rFonts w:ascii="Avenir Next" w:hAnsi="Avenir Next"/>
          <w:color w:val="808080" w:themeColor="background1" w:themeShade="80"/>
        </w:rPr>
        <w:t>The systems, in place guarantee that international delegates can adequately safeguard the rights of lenders and the assets of the debtor emphasizing the dedication of the bankruptcy system to equity and effectiveness within insolvency cases.</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EF59AD8" w14:textId="5C481148" w:rsidR="00106CA8"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6937F1F8" w14:textId="2D6B26CE" w:rsidR="00285F10" w:rsidRPr="00285F10" w:rsidRDefault="00285F10" w:rsidP="00285F10">
      <w:pPr>
        <w:pStyle w:val="AODocTxt"/>
        <w:rPr>
          <w:rFonts w:ascii="Avenir Next" w:hAnsi="Avenir Next"/>
          <w:color w:val="808080" w:themeColor="background1" w:themeShade="80"/>
        </w:rPr>
      </w:pPr>
      <w:r w:rsidRPr="00285F10">
        <w:rPr>
          <w:rFonts w:ascii="Avenir Next" w:hAnsi="Avenir Next"/>
          <w:color w:val="808080" w:themeColor="background1" w:themeShade="80"/>
        </w:rPr>
        <w:t xml:space="preserve">Bankruptcy filings follow a framework to ensure a fair and orderly process. Before filing in bankruptcy </w:t>
      </w:r>
      <w:r w:rsidRPr="00285F10">
        <w:rPr>
          <w:rFonts w:ascii="Avenir Next" w:hAnsi="Avenir Next"/>
          <w:color w:val="808080" w:themeColor="background1" w:themeShade="80"/>
        </w:rPr>
        <w:t>court,</w:t>
      </w:r>
      <w:r w:rsidRPr="00285F10">
        <w:rPr>
          <w:rFonts w:ascii="Avenir Next" w:hAnsi="Avenir Next"/>
          <w:color w:val="808080" w:themeColor="background1" w:themeShade="80"/>
        </w:rPr>
        <w:t xml:space="preserve"> it's essential to understand rules, such, as the Federal Rules of Bankruptcy Procedure, local court regulations and relevant sections of the U.S. Bankruptcy Code. This comprehensive approach guarantees that the filing is thorough, accurate and meets all court requirements making the bankruptcy process smoother.</w:t>
      </w:r>
    </w:p>
    <w:p w14:paraId="224A9E7F" w14:textId="77777777" w:rsidR="00285F10" w:rsidRPr="00285F10" w:rsidRDefault="00285F10" w:rsidP="00285F10">
      <w:pPr>
        <w:pStyle w:val="AODocTxt"/>
        <w:rPr>
          <w:rFonts w:ascii="Avenir Next" w:hAnsi="Avenir Next"/>
          <w:color w:val="808080" w:themeColor="background1" w:themeShade="80"/>
        </w:rPr>
      </w:pPr>
      <w:r w:rsidRPr="00285F10">
        <w:rPr>
          <w:rFonts w:ascii="Avenir Next" w:hAnsi="Avenir Next"/>
          <w:color w:val="808080" w:themeColor="background1" w:themeShade="80"/>
        </w:rPr>
        <w:t>The Federal Rules of Bankruptcy Procedure (FRBP) act as a resource for navigating bankruptcy procedures. They incorporate elements from the Federal Rules of Civil Procedure especially regarding proceedings. These rules cover aspects like filing deadlines, formatting requirements and contested case procedures. Practitioners need to familiarize themselves with these rules to effectively maneuver through the bankruptcy process.</w:t>
      </w:r>
    </w:p>
    <w:p w14:paraId="147AA9BD" w14:textId="048D7DF1" w:rsidR="00285F10" w:rsidRPr="00285F10" w:rsidRDefault="00285F10" w:rsidP="00285F10">
      <w:pPr>
        <w:pStyle w:val="AODocTxt"/>
        <w:rPr>
          <w:rFonts w:ascii="Avenir Next" w:hAnsi="Avenir Next"/>
          <w:color w:val="808080" w:themeColor="background1" w:themeShade="80"/>
        </w:rPr>
      </w:pPr>
      <w:r w:rsidRPr="00285F10">
        <w:rPr>
          <w:rFonts w:ascii="Avenir Next" w:hAnsi="Avenir Next"/>
          <w:color w:val="808080" w:themeColor="background1" w:themeShade="80"/>
        </w:rPr>
        <w:t xml:space="preserve">Local bankruptcy court rules play a role too. Each court may have its set of regulations that could alter standard procedures including deadlines for filing and responding. Practitioners should review these rules on the courts website to ensure adherence, to specific court requirements. </w:t>
      </w:r>
      <w:r w:rsidRPr="00285F10">
        <w:rPr>
          <w:rFonts w:ascii="Avenir Next" w:hAnsi="Avenir Next"/>
          <w:color w:val="808080" w:themeColor="background1" w:themeShade="80"/>
        </w:rPr>
        <w:t>Moreover,</w:t>
      </w:r>
      <w:r w:rsidRPr="00285F10">
        <w:rPr>
          <w:rFonts w:ascii="Avenir Next" w:hAnsi="Avenir Next"/>
          <w:color w:val="808080" w:themeColor="background1" w:themeShade="80"/>
        </w:rPr>
        <w:t xml:space="preserve"> personal practices set by judges offer guidance on preferred procedures and courtroom practices.</w:t>
      </w:r>
    </w:p>
    <w:p w14:paraId="4C9D109B" w14:textId="3525849B" w:rsidR="00285F10" w:rsidRPr="00285F10" w:rsidRDefault="00285F10" w:rsidP="00285F10">
      <w:pPr>
        <w:pStyle w:val="AODocTxt"/>
        <w:rPr>
          <w:rFonts w:ascii="Avenir Next" w:hAnsi="Avenir Next"/>
          <w:color w:val="808080" w:themeColor="background1" w:themeShade="80"/>
        </w:rPr>
      </w:pPr>
      <w:r w:rsidRPr="00285F10">
        <w:rPr>
          <w:rFonts w:ascii="Avenir Next" w:hAnsi="Avenir Next"/>
          <w:color w:val="808080" w:themeColor="background1" w:themeShade="80"/>
        </w:rPr>
        <w:t>Understanding the U.S. Bankruptcy Code is crucial, for grasping the aspects of bankruptcy. Various sections of the Code cover topics such as who can file for bankruptcy the pause on collection actions handling types of debts and the steps involved in creating a reorganization plan. Knowing these rules is essential for advising clients on the consequences of bankruptcy filings and ensuring that all necessary documents comply with requirements.</w:t>
      </w:r>
    </w:p>
    <w:p w14:paraId="671A424A" w14:textId="1D5460FE" w:rsidR="001D3BAA" w:rsidRPr="002B5D64" w:rsidRDefault="00285F10" w:rsidP="00285F10">
      <w:pPr>
        <w:pStyle w:val="AODocTxt"/>
        <w:rPr>
          <w:rFonts w:ascii="Avenir Next" w:hAnsi="Avenir Next"/>
          <w:color w:val="808080" w:themeColor="background1" w:themeShade="80"/>
        </w:rPr>
      </w:pPr>
      <w:r w:rsidRPr="00285F10">
        <w:rPr>
          <w:rFonts w:ascii="Avenir Next" w:hAnsi="Avenir Next"/>
          <w:color w:val="808080" w:themeColor="background1" w:themeShade="80"/>
        </w:rPr>
        <w:lastRenderedPageBreak/>
        <w:t>Before</w:t>
      </w:r>
      <w:r>
        <w:rPr>
          <w:rFonts w:ascii="Avenir Next" w:hAnsi="Avenir Next"/>
          <w:color w:val="808080" w:themeColor="background1" w:themeShade="80"/>
        </w:rPr>
        <w:t xml:space="preserve"> </w:t>
      </w:r>
      <w:r w:rsidRPr="00285F10">
        <w:rPr>
          <w:rFonts w:ascii="Avenir Next" w:hAnsi="Avenir Next"/>
          <w:color w:val="808080" w:themeColor="background1" w:themeShade="80"/>
        </w:rPr>
        <w:t xml:space="preserve">filing for </w:t>
      </w:r>
      <w:r w:rsidRPr="00285F10">
        <w:rPr>
          <w:rFonts w:ascii="Avenir Next" w:hAnsi="Avenir Next"/>
          <w:color w:val="808080" w:themeColor="background1" w:themeShade="80"/>
        </w:rPr>
        <w:t>bankruptcy,</w:t>
      </w:r>
      <w:r w:rsidRPr="00285F10">
        <w:rPr>
          <w:rFonts w:ascii="Avenir Next" w:hAnsi="Avenir Next"/>
          <w:color w:val="808080" w:themeColor="background1" w:themeShade="80"/>
        </w:rPr>
        <w:t xml:space="preserve"> it's important to review the Federal Rules of Bankruptcy Procedure, local court regulations and the U.S. Bankruptcy Code. These resources establish a foundation for bankruptcy cases. By understanding and following these guidelines professionals can make sure their submissions are accurate, </w:t>
      </w:r>
      <w:r w:rsidRPr="00285F10">
        <w:rPr>
          <w:rFonts w:ascii="Avenir Next" w:hAnsi="Avenir Next"/>
          <w:color w:val="808080" w:themeColor="background1" w:themeShade="80"/>
        </w:rPr>
        <w:t>lawful,</w:t>
      </w:r>
      <w:r w:rsidRPr="00285F10">
        <w:rPr>
          <w:rFonts w:ascii="Avenir Next" w:hAnsi="Avenir Next"/>
          <w:color w:val="808080" w:themeColor="background1" w:themeShade="80"/>
        </w:rPr>
        <w:t xml:space="preserve"> and positioned for an outcome. The intricate nature of bankruptcy law emphasizes the need for preparation. Underscores how legal experts play a vital role, in helping individuals navigate challenging financial situations.</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B8A2776" w14:textId="316D430A" w:rsidR="00CF12B2" w:rsidRPr="00457B0F"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34DD9542" w14:textId="634D7550" w:rsidR="00283356" w:rsidRPr="00283356" w:rsidRDefault="00283356" w:rsidP="00283356">
      <w:pPr>
        <w:pStyle w:val="AODocTxt"/>
        <w:rPr>
          <w:rFonts w:ascii="Avenir Next" w:hAnsi="Avenir Next"/>
          <w:color w:val="808080" w:themeColor="background1" w:themeShade="80"/>
        </w:rPr>
      </w:pPr>
      <w:r w:rsidRPr="00283356">
        <w:rPr>
          <w:rFonts w:ascii="Avenir Next" w:hAnsi="Avenir Next"/>
          <w:color w:val="808080" w:themeColor="background1" w:themeShade="80"/>
        </w:rPr>
        <w:t xml:space="preserve">In the realm of Delaware </w:t>
      </w:r>
      <w:r w:rsidRPr="00283356">
        <w:rPr>
          <w:rFonts w:ascii="Avenir Next" w:hAnsi="Avenir Next"/>
          <w:color w:val="808080" w:themeColor="background1" w:themeShade="80"/>
        </w:rPr>
        <w:t>corporations’</w:t>
      </w:r>
      <w:r w:rsidRPr="00283356">
        <w:rPr>
          <w:rFonts w:ascii="Avenir Next" w:hAnsi="Avenir Next"/>
          <w:color w:val="808080" w:themeColor="background1" w:themeShade="80"/>
        </w:rPr>
        <w:t xml:space="preserve"> directors have responsibilities of care and loyalty, towards the corporation and its shareholders in business operations. The duty of care entails that directors make decisions akin to a careful individual in similar situations. On the hand the duty of loyalty necessitates that directors prioritize the corporations interests free from any conflicts of interest. The safeguard provided by the business judgment rule assumes that directors act in faith based on information and believing their choices serve the corporations interests best. This protection shields them from liability unless proven otherwise.</w:t>
      </w:r>
    </w:p>
    <w:p w14:paraId="1324EFE2" w14:textId="2F9709CE" w:rsidR="00283356" w:rsidRPr="00283356" w:rsidRDefault="00283356" w:rsidP="00283356">
      <w:pPr>
        <w:pStyle w:val="AODocTxt"/>
        <w:rPr>
          <w:rFonts w:ascii="Avenir Next" w:hAnsi="Avenir Next"/>
          <w:color w:val="808080" w:themeColor="background1" w:themeShade="80"/>
        </w:rPr>
      </w:pPr>
      <w:r w:rsidRPr="00283356">
        <w:rPr>
          <w:rFonts w:ascii="Avenir Next" w:hAnsi="Avenir Next"/>
          <w:color w:val="808080" w:themeColor="background1" w:themeShade="80"/>
        </w:rPr>
        <w:t xml:space="preserve">When a corporation is financially stable these fiduciary duties are owed to both the corporation and its shareholders aligning </w:t>
      </w:r>
      <w:r w:rsidRPr="00283356">
        <w:rPr>
          <w:rFonts w:ascii="Avenir Next" w:hAnsi="Avenir Next"/>
          <w:color w:val="808080" w:themeColor="background1" w:themeShade="80"/>
        </w:rPr>
        <w:t>directors’</w:t>
      </w:r>
      <w:r w:rsidRPr="00283356">
        <w:rPr>
          <w:rFonts w:ascii="Avenir Next" w:hAnsi="Avenir Next"/>
          <w:color w:val="808080" w:themeColor="background1" w:themeShade="80"/>
        </w:rPr>
        <w:t xml:space="preserve"> decision making with those who stand to gain from the </w:t>
      </w:r>
      <w:r w:rsidRPr="00283356">
        <w:rPr>
          <w:rFonts w:ascii="Avenir Next" w:hAnsi="Avenir Next"/>
          <w:color w:val="808080" w:themeColor="background1" w:themeShade="80"/>
        </w:rPr>
        <w:t>corporation’s</w:t>
      </w:r>
      <w:r w:rsidRPr="00283356">
        <w:rPr>
          <w:rFonts w:ascii="Avenir Next" w:hAnsi="Avenir Next"/>
          <w:color w:val="808080" w:themeColor="background1" w:themeShade="80"/>
        </w:rPr>
        <w:t xml:space="preserve"> prosperity. Notably as highlighted by the Delaware Supreme Court these duties do not extend to creditors in cases of insolvency or near insolvency. The underlying principle is that directors should strive to enhance the corporations value indirectly benefiting creditors since any value preserved or recovered during insolvency proceedings would initially address </w:t>
      </w:r>
      <w:r w:rsidRPr="00283356">
        <w:rPr>
          <w:rFonts w:ascii="Avenir Next" w:hAnsi="Avenir Next"/>
          <w:color w:val="808080" w:themeColor="background1" w:themeShade="80"/>
        </w:rPr>
        <w:t>creditors’</w:t>
      </w:r>
      <w:r w:rsidRPr="00283356">
        <w:rPr>
          <w:rFonts w:ascii="Avenir Next" w:hAnsi="Avenir Next"/>
          <w:color w:val="808080" w:themeColor="background1" w:themeShade="80"/>
        </w:rPr>
        <w:t xml:space="preserve"> claims before benefiting shareholders.</w:t>
      </w:r>
    </w:p>
    <w:p w14:paraId="657A491A" w14:textId="139C06A2" w:rsidR="00283356" w:rsidRPr="00283356" w:rsidRDefault="00283356" w:rsidP="00283356">
      <w:pPr>
        <w:pStyle w:val="AODocTxt"/>
        <w:rPr>
          <w:rFonts w:ascii="Avenir Next" w:hAnsi="Avenir Next"/>
          <w:color w:val="808080" w:themeColor="background1" w:themeShade="80"/>
        </w:rPr>
      </w:pPr>
      <w:r w:rsidRPr="00283356">
        <w:rPr>
          <w:rFonts w:ascii="Avenir Next" w:hAnsi="Avenir Next"/>
          <w:color w:val="808080" w:themeColor="background1" w:themeShade="80"/>
        </w:rPr>
        <w:t>However,</w:t>
      </w:r>
      <w:r w:rsidRPr="00283356">
        <w:rPr>
          <w:rFonts w:ascii="Avenir Next" w:hAnsi="Avenir Next"/>
          <w:color w:val="808080" w:themeColor="background1" w:themeShade="80"/>
        </w:rPr>
        <w:t xml:space="preserve"> there is a shift, in dynamics when a corporation becomes </w:t>
      </w:r>
      <w:proofErr w:type="spellStart"/>
      <w:proofErr w:type="gramStart"/>
      <w:r w:rsidRPr="00283356">
        <w:rPr>
          <w:rFonts w:ascii="Avenir Next" w:hAnsi="Avenir Next"/>
          <w:color w:val="808080" w:themeColor="background1" w:themeShade="80"/>
        </w:rPr>
        <w:t>insolvent.Despite</w:t>
      </w:r>
      <w:proofErr w:type="spellEnd"/>
      <w:proofErr w:type="gramEnd"/>
      <w:r w:rsidRPr="00283356">
        <w:rPr>
          <w:rFonts w:ascii="Avenir Next" w:hAnsi="Avenir Next"/>
          <w:color w:val="808080" w:themeColor="background1" w:themeShade="80"/>
        </w:rPr>
        <w:t xml:space="preserve"> what many people believe Delaware law does not shift responsibilities from shareholders to creditors during insolvency situations. In the case of North American Catholic Educational Programming Foundation, Inc. V. </w:t>
      </w:r>
      <w:proofErr w:type="spellStart"/>
      <w:r w:rsidRPr="00283356">
        <w:rPr>
          <w:rFonts w:ascii="Avenir Next" w:hAnsi="Avenir Next"/>
          <w:color w:val="808080" w:themeColor="background1" w:themeShade="80"/>
        </w:rPr>
        <w:t>Gheewalla</w:t>
      </w:r>
      <w:proofErr w:type="spellEnd"/>
      <w:r w:rsidRPr="00283356">
        <w:rPr>
          <w:rFonts w:ascii="Avenir Next" w:hAnsi="Avenir Next"/>
          <w:color w:val="808080" w:themeColor="background1" w:themeShade="80"/>
        </w:rPr>
        <w:t xml:space="preserve"> it was established that </w:t>
      </w:r>
      <w:r w:rsidRPr="00283356">
        <w:rPr>
          <w:rFonts w:ascii="Avenir Next" w:hAnsi="Avenir Next"/>
          <w:color w:val="808080" w:themeColor="background1" w:themeShade="80"/>
        </w:rPr>
        <w:t>directors’</w:t>
      </w:r>
      <w:r w:rsidRPr="00283356">
        <w:rPr>
          <w:rFonts w:ascii="Avenir Next" w:hAnsi="Avenir Next"/>
          <w:color w:val="808080" w:themeColor="background1" w:themeShade="80"/>
        </w:rPr>
        <w:t xml:space="preserve"> duties are still tied to the corporation itself. Creditors have the right to </w:t>
      </w:r>
      <w:proofErr w:type="gramStart"/>
      <w:r w:rsidRPr="00283356">
        <w:rPr>
          <w:rFonts w:ascii="Avenir Next" w:hAnsi="Avenir Next"/>
          <w:color w:val="808080" w:themeColor="background1" w:themeShade="80"/>
        </w:rPr>
        <w:t>take action</w:t>
      </w:r>
      <w:proofErr w:type="gramEnd"/>
      <w:r w:rsidRPr="00283356">
        <w:rPr>
          <w:rFonts w:ascii="Avenir Next" w:hAnsi="Avenir Next"/>
          <w:color w:val="808080" w:themeColor="background1" w:themeShade="80"/>
        </w:rPr>
        <w:t>, against directors for breaching these duties on behalf of the corporation indirectly safeguarding their interests. This approach ensures that the focus remains on what's best for the corporation in challenging times and keeps directors accountable to their fiduciary obligations without directly owing duties to creditors.</w:t>
      </w:r>
    </w:p>
    <w:p w14:paraId="49F49252" w14:textId="1F535C31" w:rsidR="00457B0F" w:rsidRPr="00457B0F" w:rsidRDefault="00283356" w:rsidP="00283356">
      <w:pPr>
        <w:pStyle w:val="AODocTxt"/>
        <w:rPr>
          <w:rFonts w:ascii="Avenir Next" w:hAnsi="Avenir Next"/>
          <w:color w:val="808080" w:themeColor="background1" w:themeShade="80"/>
        </w:rPr>
      </w:pPr>
      <w:r w:rsidRPr="00283356">
        <w:rPr>
          <w:rFonts w:ascii="Avenir Next" w:hAnsi="Avenir Next"/>
          <w:color w:val="808080" w:themeColor="background1" w:themeShade="80"/>
        </w:rPr>
        <w:t>This detailed framework highlights how crucial directorial decisions are for the health and stability of a corporation irrespective of its condition. It also provides a way for creditors to seek recourse maintaining a balance, between the stakeholders involved in insolvency scenarios.</w:t>
      </w:r>
      <w:r w:rsidR="00A7557F" w:rsidRPr="00A7557F">
        <w:rPr>
          <w:rFonts w:ascii="Avenir Next" w:hAnsi="Avenir Next"/>
          <w:color w:val="808080" w:themeColor="background1" w:themeShade="80"/>
        </w:rPr>
        <w:t xml:space="preserve"> </w:t>
      </w:r>
    </w:p>
    <w:p w14:paraId="6BEFA8D1" w14:textId="77777777" w:rsidR="00457B0F" w:rsidRPr="00E01803" w:rsidRDefault="00457B0F" w:rsidP="00457B0F">
      <w:pPr>
        <w:pStyle w:val="AODocTxt"/>
        <w:spacing w:before="0" w:line="240" w:lineRule="auto"/>
        <w:rPr>
          <w:rFonts w:ascii="Avenir Next" w:hAnsi="Avenir Next"/>
        </w:rPr>
      </w:pPr>
    </w:p>
    <w:p w14:paraId="58180E3A" w14:textId="77777777" w:rsidR="00E01803" w:rsidRPr="005D30B7" w:rsidRDefault="00E01803" w:rsidP="000778B1">
      <w:pPr>
        <w:pStyle w:val="AODocTxt"/>
        <w:spacing w:before="0" w:line="240" w:lineRule="auto"/>
        <w:rPr>
          <w:rFonts w:ascii="Avenir Next Demi Bold" w:hAnsi="Avenir Next Demi Bold"/>
          <w:b/>
          <w:bCs/>
        </w:rPr>
      </w:pPr>
      <w:r w:rsidRPr="005D30B7">
        <w:rPr>
          <w:rFonts w:ascii="Avenir Next Demi Bold" w:hAnsi="Avenir Next Demi Bold"/>
          <w:b/>
          <w:bCs/>
        </w:rPr>
        <w:t>QUESTION 4 (fact-based application-type question) [15 marks in total]</w:t>
      </w:r>
    </w:p>
    <w:p w14:paraId="2DE69BBE" w14:textId="77777777" w:rsidR="00E01803" w:rsidRPr="005D30B7"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5D30B7">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2FBB7C44" w14:textId="6CBD4CAA" w:rsidR="001D3BAA" w:rsidRPr="00F64D81" w:rsidRDefault="00C32CF3" w:rsidP="001D3BAA">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10F8730A" w14:textId="50A1FC60" w:rsidR="00F64D81" w:rsidRPr="00F64D81" w:rsidRDefault="00F64D81" w:rsidP="00F64D81">
      <w:pPr>
        <w:pStyle w:val="AODocTxt"/>
        <w:spacing w:after="240"/>
        <w:rPr>
          <w:rFonts w:ascii="Avenir Next" w:hAnsi="Avenir Next"/>
          <w:color w:val="808080" w:themeColor="background1" w:themeShade="80"/>
        </w:rPr>
      </w:pPr>
      <w:r w:rsidRPr="00F64D81">
        <w:rPr>
          <w:rFonts w:ascii="Avenir Next" w:hAnsi="Avenir Next"/>
          <w:color w:val="808080" w:themeColor="background1" w:themeShade="80"/>
        </w:rPr>
        <w:lastRenderedPageBreak/>
        <w:t>The U.S. Bankruptcy Code provides a structured approach to addressing the financial distress of businesses and offers protections not only to debtors, but also to creditors, including office space lessors. When a company such as iWork Ltd. faces financial challenges, understanding these protections is critical for both the debtor and the lessor to effectively navigate the bankruptcy process.</w:t>
      </w:r>
    </w:p>
    <w:p w14:paraId="1AE6D1C4" w14:textId="1D96E650" w:rsidR="00F64D81" w:rsidRPr="00F64D81" w:rsidRDefault="00F64D81" w:rsidP="00F64D81">
      <w:pPr>
        <w:pStyle w:val="AODocTxt"/>
        <w:spacing w:after="240"/>
        <w:rPr>
          <w:rFonts w:ascii="Avenir Next" w:hAnsi="Avenir Next"/>
          <w:color w:val="808080" w:themeColor="background1" w:themeShade="80"/>
        </w:rPr>
      </w:pPr>
      <w:r w:rsidRPr="00F64D81">
        <w:rPr>
          <w:rFonts w:ascii="Avenir Next" w:hAnsi="Avenir Next"/>
          <w:color w:val="808080" w:themeColor="background1" w:themeShade="80"/>
        </w:rPr>
        <w:t>For lessors, the Bankruptcy Code contains specific provisions designed to protect their interests when a tenant files for bankruptcy. One important protection is the requirement that the debtor make a timely determination whether to assume or reject unexpired leases, as set forth in Section 365. This decision must be made by the debtor in a timely manner, generally within 120 days of the bankruptcy filing. The purpose is to avoid prolonged uncertainty as to the status of the lease.</w:t>
      </w:r>
    </w:p>
    <w:p w14:paraId="2EBC66B8" w14:textId="448E460A" w:rsidR="00F64D81" w:rsidRPr="00F64D81" w:rsidRDefault="00F64D81" w:rsidP="00F64D81">
      <w:pPr>
        <w:pStyle w:val="AODocTxt"/>
        <w:spacing w:after="240"/>
        <w:rPr>
          <w:rFonts w:ascii="Avenir Next" w:hAnsi="Avenir Next"/>
          <w:color w:val="808080" w:themeColor="background1" w:themeShade="80"/>
        </w:rPr>
      </w:pPr>
      <w:r w:rsidRPr="00F64D81">
        <w:rPr>
          <w:rFonts w:ascii="Avenir Next" w:hAnsi="Avenir Next"/>
          <w:color w:val="808080" w:themeColor="background1" w:themeShade="80"/>
        </w:rPr>
        <w:t>Assuming the lease means that the debtor intends to continue to use the leased property under the existing terms, including making up any arrears. This may provide some comfort to lessors that their lease will continue to generate income. On the other hand, if the lease is rejected, the lessor can regain possession of the property, allowing him to seek new tenants. However, the lessor would also have a claim against the bankruptcy estate for damages resulting from the rejection of the lease, subject to certain limits set forth in the Bankruptcy Code.</w:t>
      </w:r>
    </w:p>
    <w:p w14:paraId="5C37FBD2" w14:textId="7F105C46" w:rsidR="00F64D81" w:rsidRPr="00F64D81" w:rsidRDefault="00F64D81" w:rsidP="00F64D81">
      <w:pPr>
        <w:pStyle w:val="AODocTxt"/>
        <w:spacing w:after="240"/>
        <w:rPr>
          <w:rFonts w:ascii="Avenir Next" w:hAnsi="Avenir Next"/>
          <w:color w:val="808080" w:themeColor="background1" w:themeShade="80"/>
        </w:rPr>
      </w:pPr>
      <w:r w:rsidRPr="00F64D81">
        <w:rPr>
          <w:rFonts w:ascii="Avenir Next" w:hAnsi="Avenir Next"/>
          <w:color w:val="808080" w:themeColor="background1" w:themeShade="80"/>
        </w:rPr>
        <w:t>In addition, the automatic stay, a fundamental component of the Bankruptcy Code under Section 362, temporarily halts all collection efforts and legal actions against the debtor upon the filing of a bankruptcy petition. While this stay provides the debtor with breathing room to reorganize its affairs without the immediate threat of eviction, lessors are entitled to seek relief from the stay to regain possession of their property if the tenant-debtor fails to perform its obligations under the lease or if the property is not necessary to the debtor's reorganization.</w:t>
      </w:r>
    </w:p>
    <w:p w14:paraId="143DCB40" w14:textId="2175ED28" w:rsidR="00F64D81" w:rsidRPr="00F64D81" w:rsidRDefault="00F64D81" w:rsidP="00F64D81">
      <w:pPr>
        <w:pStyle w:val="AODocTxt"/>
        <w:spacing w:after="240"/>
        <w:rPr>
          <w:rFonts w:ascii="Avenir Next" w:hAnsi="Avenir Next"/>
          <w:color w:val="808080" w:themeColor="background1" w:themeShade="80"/>
        </w:rPr>
      </w:pPr>
      <w:r w:rsidRPr="00F64D81">
        <w:rPr>
          <w:rFonts w:ascii="Avenir Next" w:hAnsi="Avenir Next"/>
          <w:color w:val="808080" w:themeColor="background1" w:themeShade="80"/>
        </w:rPr>
        <w:t>For landlords of office space to iWork Ltd, the Bankruptcy Code provides specific protections and procedures to balance the interests of debtors and creditors during the bankruptcy process. By requiring timely decisions to assume or reject leases and providing mechanisms for lessors to seek relief from the automatic stay, the Code aims to mitigate the financial impact on lessors while providing debtor companies with an opportunity to restructure. As iWork Ltd. navigates its financial challenges, understanding these provisions will be critical for both the company and its lessors to make informed decisions and protect their respective interests.</w:t>
      </w:r>
    </w:p>
    <w:p w14:paraId="3D38CCDC" w14:textId="67DD7304" w:rsidR="00F64D81" w:rsidRPr="00F64D81" w:rsidRDefault="00F64D81" w:rsidP="00F64D81">
      <w:pPr>
        <w:pStyle w:val="AODocTxt"/>
        <w:spacing w:after="240"/>
        <w:rPr>
          <w:rFonts w:ascii="Avenir Next" w:hAnsi="Avenir Next"/>
          <w:color w:val="808080" w:themeColor="background1" w:themeShade="80"/>
        </w:rPr>
      </w:pPr>
      <w:r w:rsidRPr="00F64D81">
        <w:rPr>
          <w:rFonts w:ascii="Avenir Next" w:hAnsi="Avenir Next"/>
          <w:color w:val="808080" w:themeColor="background1" w:themeShade="80"/>
        </w:rPr>
        <w:t>For lessors, the Bankruptcy Code contains specific provisions designed to protect their interests when a tenant files for bankruptcy. One important protection is the requirement that the debtor make a timely determination whether to assume or reject unexpired leases, as set forth in Section 365. This decision must be made by the debtor in a timely manner, generally within 120 days of the bankruptcy filing. The purpose is to avoid prolonged uncertainty as to the status of the lease.</w:t>
      </w:r>
    </w:p>
    <w:p w14:paraId="79CFFD1D" w14:textId="6A722EAF" w:rsidR="00F64D81" w:rsidRPr="00F64D81" w:rsidRDefault="00F64D81" w:rsidP="00F64D81">
      <w:pPr>
        <w:pStyle w:val="AODocTxt"/>
        <w:spacing w:after="240"/>
        <w:rPr>
          <w:rFonts w:ascii="Avenir Next" w:hAnsi="Avenir Next"/>
          <w:color w:val="808080" w:themeColor="background1" w:themeShade="80"/>
        </w:rPr>
      </w:pPr>
      <w:r w:rsidRPr="00F64D81">
        <w:rPr>
          <w:rFonts w:ascii="Avenir Next" w:hAnsi="Avenir Next"/>
          <w:color w:val="808080" w:themeColor="background1" w:themeShade="80"/>
        </w:rPr>
        <w:t>Assuming the lease means that the debtor intends to continue to use the leased property under the existing terms, including making up any arrears. This may provide some comfort to lessors that their lease will continue to generate income. On the other hand, if the lease is rejected, the lessor can regain possession of the property, allowing him to seek new tenants. However, the lessor would also have a claim against the bankruptcy estate for damages resulting from the rejection of the lease, subject to certain limits set forth in the Bankruptcy Code.</w:t>
      </w:r>
    </w:p>
    <w:p w14:paraId="7A183055" w14:textId="765454FC" w:rsidR="00F64D81" w:rsidRPr="00F64D81" w:rsidRDefault="00F64D81" w:rsidP="00F64D81">
      <w:pPr>
        <w:pStyle w:val="AODocTxt"/>
        <w:spacing w:after="240"/>
        <w:rPr>
          <w:rFonts w:ascii="Avenir Next" w:hAnsi="Avenir Next"/>
          <w:color w:val="808080" w:themeColor="background1" w:themeShade="80"/>
        </w:rPr>
      </w:pPr>
      <w:r w:rsidRPr="00F64D81">
        <w:rPr>
          <w:rFonts w:ascii="Avenir Next" w:hAnsi="Avenir Next"/>
          <w:color w:val="808080" w:themeColor="background1" w:themeShade="80"/>
        </w:rPr>
        <w:t>In addition, the automatic stay, a fundamental component of the Bankruptcy Code under Section 362, temporarily halts all collection efforts and legal actions against the debtor upon the filing of a bankruptcy petition. While this stay provides the debtor with breathing room to reorganize its affairs without the immediate threat of eviction, lessors are entitled to seek relief from the stay to regain possession of their property if the tenant-debtor fails to perform its obligations under the lease or if the property is not necessary to the debtor's reorganization.</w:t>
      </w:r>
    </w:p>
    <w:p w14:paraId="53C2C279" w14:textId="0D032CB6" w:rsidR="001D3BAA" w:rsidRPr="002B5D64" w:rsidRDefault="00F64D81" w:rsidP="00F64D81">
      <w:pPr>
        <w:pStyle w:val="AODocTxt"/>
        <w:spacing w:before="0" w:after="240" w:line="240" w:lineRule="auto"/>
        <w:rPr>
          <w:rFonts w:ascii="Avenir Next" w:hAnsi="Avenir Next"/>
          <w:color w:val="808080" w:themeColor="background1" w:themeShade="80"/>
        </w:rPr>
      </w:pPr>
      <w:r w:rsidRPr="00F64D81">
        <w:rPr>
          <w:rFonts w:ascii="Avenir Next" w:hAnsi="Avenir Next"/>
          <w:color w:val="808080" w:themeColor="background1" w:themeShade="80"/>
        </w:rPr>
        <w:lastRenderedPageBreak/>
        <w:t>For landlords of office space to iWork Ltd, the Bankruptcy Code provides specific protections and procedures to balance the interests of debtors and creditors during the bankruptcy process. By requiring timely decisions to assume or reject leases and providing mechanisms for lessors to seek relief from the automatic stay, the Code aims to mitigate the financial impact on lessors while providing debtor companies with an opportunity to restructure. As iWork Ltd. navigates its financial challenges, understanding these provisions will be critical for both the company and its lessors to make informed decisions and protect their respective interests.</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5E5858F8" w14:textId="2B10D8BE" w:rsidR="008D7934" w:rsidRPr="004E1328" w:rsidRDefault="005D4357" w:rsidP="000778B1">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19593E19" w14:textId="01F7C269" w:rsidR="004E1328" w:rsidRPr="004E1328" w:rsidRDefault="004E1328" w:rsidP="004E1328">
      <w:pPr>
        <w:pStyle w:val="AODocTxt"/>
        <w:spacing w:after="240"/>
        <w:rPr>
          <w:rFonts w:ascii="Avenir Next" w:hAnsi="Avenir Next"/>
          <w:color w:val="808080" w:themeColor="background1" w:themeShade="80"/>
        </w:rPr>
      </w:pPr>
      <w:r w:rsidRPr="004E1328">
        <w:rPr>
          <w:rFonts w:ascii="Avenir Next" w:hAnsi="Avenir Next"/>
          <w:color w:val="808080" w:themeColor="background1" w:themeShade="80"/>
        </w:rPr>
        <w:t>Under Chapter 15 of the U.S. Bankruptcy Code, which follows the guidelines of the UNCITRAL Model Law on Cross-Border Insolvency, an English plan of arrangement could be recognized as a secondary proceeding based on certain criteria relating to the debtor's links with the jurisdiction in which the proceeding is commenced.</w:t>
      </w:r>
    </w:p>
    <w:p w14:paraId="6E32885C" w14:textId="6DCC2760" w:rsidR="004E1328" w:rsidRPr="004E1328" w:rsidRDefault="004E1328" w:rsidP="004E1328">
      <w:pPr>
        <w:pStyle w:val="AODocTxt"/>
        <w:spacing w:after="240"/>
        <w:rPr>
          <w:rFonts w:ascii="Avenir Next" w:hAnsi="Avenir Next"/>
          <w:color w:val="808080" w:themeColor="background1" w:themeShade="80"/>
        </w:rPr>
      </w:pPr>
      <w:r w:rsidRPr="004E1328">
        <w:rPr>
          <w:rFonts w:ascii="Avenir Next" w:hAnsi="Avenir Next"/>
          <w:color w:val="808080" w:themeColor="background1" w:themeShade="80"/>
        </w:rPr>
        <w:t xml:space="preserve">Chapter 15 is designed to promote cooperation between U.S. courts and their international counterparts in handling cross-border insolvency cases. It establishes a structure for the recognition of U.S. insolvency proceedings that allows foreign debtors to seek relief within U.S. borders. This system is designed to provide clarity, streamline cross-border </w:t>
      </w:r>
      <w:r w:rsidRPr="004E1328">
        <w:rPr>
          <w:rFonts w:ascii="Avenir Next" w:hAnsi="Avenir Next"/>
          <w:color w:val="808080" w:themeColor="background1" w:themeShade="80"/>
        </w:rPr>
        <w:t>insolvencies,</w:t>
      </w:r>
      <w:r w:rsidRPr="004E1328">
        <w:rPr>
          <w:rFonts w:ascii="Avenir Next" w:hAnsi="Avenir Next"/>
          <w:color w:val="808080" w:themeColor="background1" w:themeShade="80"/>
        </w:rPr>
        <w:t xml:space="preserve"> and protect the interests of all creditors and parties in interest.</w:t>
      </w:r>
    </w:p>
    <w:p w14:paraId="23A61740" w14:textId="77777777" w:rsidR="004E1328" w:rsidRPr="004E1328" w:rsidRDefault="004E1328" w:rsidP="004E1328">
      <w:pPr>
        <w:pStyle w:val="AODocTxt"/>
        <w:spacing w:after="240"/>
        <w:rPr>
          <w:rFonts w:ascii="Avenir Next" w:hAnsi="Avenir Next"/>
          <w:color w:val="808080" w:themeColor="background1" w:themeShade="80"/>
        </w:rPr>
      </w:pPr>
      <w:r w:rsidRPr="004E1328">
        <w:rPr>
          <w:rFonts w:ascii="Avenir Next" w:hAnsi="Avenir Next"/>
          <w:color w:val="808080" w:themeColor="background1" w:themeShade="80"/>
        </w:rPr>
        <w:t>To be recognized as a proceeding under U.S. Chapter 15, it must be established that the proceeding is being conducted at the debtor's center of interest (COMI). Typically, a debtor's COMI is presumed to be its place of incorporation; however, this presumption can be challenged. Factors considered in determining a debtor's COMI include where the debtor's headquarters are located, where the debtor's principal business activities and assets are located, and which jurisdictions' laws govern disputes involving the debtor.</w:t>
      </w:r>
    </w:p>
    <w:p w14:paraId="0B85E9DC" w14:textId="55F427E1" w:rsidR="004E1328" w:rsidRPr="004E1328" w:rsidRDefault="004E1328" w:rsidP="004E1328">
      <w:pPr>
        <w:pStyle w:val="AODocTxt"/>
        <w:spacing w:after="240"/>
        <w:rPr>
          <w:rFonts w:ascii="Avenir Next" w:hAnsi="Avenir Next"/>
          <w:color w:val="808080" w:themeColor="background1" w:themeShade="80"/>
        </w:rPr>
      </w:pPr>
      <w:r w:rsidRPr="004E1328">
        <w:rPr>
          <w:rFonts w:ascii="Avenir Next" w:hAnsi="Avenir Next"/>
          <w:color w:val="808080" w:themeColor="background1" w:themeShade="80"/>
        </w:rPr>
        <w:t>If the debtor's place of business is not its center of main interests (COMI), but it does have a place of business, it could be recognized as a secondary proceeding in that jurisdiction. Recognition as a primary or secondary foreign proceeding grants the specific rights and powers under the U.S. Bankruptcy Code, such as implementing an automatic stay on legal actions against the debtor's U.S. assets.</w:t>
      </w:r>
    </w:p>
    <w:p w14:paraId="031E60A5" w14:textId="145FEC2A" w:rsidR="004E1328" w:rsidRPr="004E1328" w:rsidRDefault="004E1328" w:rsidP="004E1328">
      <w:pPr>
        <w:pStyle w:val="AODocTxt"/>
        <w:spacing w:after="240"/>
        <w:rPr>
          <w:rFonts w:ascii="Avenir Next" w:hAnsi="Avenir Next"/>
          <w:color w:val="808080" w:themeColor="background1" w:themeShade="80"/>
        </w:rPr>
      </w:pPr>
      <w:r w:rsidRPr="004E1328">
        <w:rPr>
          <w:rFonts w:ascii="Avenir Next" w:hAnsi="Avenir Next"/>
          <w:color w:val="808080" w:themeColor="background1" w:themeShade="80"/>
        </w:rPr>
        <w:t>In Skin Luxe's scenario, if it can be demonstrated that the English plan of arrangement falls under a law governing insolvency or debt restructuring and is considered a collective judicial or administrative proceeding, and Skin Luxe's COMI or branch is in England, then the plan could be confirmed under Chapter 15. This would allow Skin Luxe to reorganize its debts in a manner that is recognized and enforceable in America.</w:t>
      </w:r>
    </w:p>
    <w:p w14:paraId="3F6E3E6F" w14:textId="77777777" w:rsidR="004E1328" w:rsidRPr="004E1328" w:rsidRDefault="004E1328" w:rsidP="004E1328">
      <w:pPr>
        <w:pStyle w:val="AODocTxt"/>
        <w:spacing w:after="240"/>
        <w:rPr>
          <w:rFonts w:ascii="Avenir Next" w:hAnsi="Avenir Next"/>
          <w:color w:val="808080" w:themeColor="background1" w:themeShade="80"/>
        </w:rPr>
      </w:pPr>
      <w:r w:rsidRPr="004E1328">
        <w:rPr>
          <w:rFonts w:ascii="Avenir Next" w:hAnsi="Avenir Next"/>
          <w:color w:val="808080" w:themeColor="background1" w:themeShade="80"/>
        </w:rPr>
        <w:t xml:space="preserve">The possibility of recognizing a scheme of arrangement for Skin Luxe under U.S. Chapter 15 depends on whether the proceeding is classified as a primary or secondary foreign proceeding based on COMI </w:t>
      </w:r>
      <w:r w:rsidRPr="004E1328">
        <w:rPr>
          <w:rFonts w:ascii="Avenir Next" w:hAnsi="Avenir Next"/>
          <w:color w:val="808080" w:themeColor="background1" w:themeShade="80"/>
        </w:rPr>
        <w:lastRenderedPageBreak/>
        <w:t>or having an establishment in England. This recognition would allow Skin Luxe to take advantage of the benefits of the U.S. Bankruptcy Code and efficiently streamline its financial restructuring efforts across jurisdictions.</w:t>
      </w:r>
    </w:p>
    <w:p w14:paraId="485D4FED" w14:textId="035DED6A" w:rsidR="001D3BAA" w:rsidRPr="002B5D64" w:rsidRDefault="004E1328" w:rsidP="004E1328">
      <w:pPr>
        <w:pStyle w:val="AODocTxt"/>
        <w:spacing w:before="0" w:after="240"/>
        <w:rPr>
          <w:rFonts w:ascii="Avenir Next" w:hAnsi="Avenir Next"/>
          <w:color w:val="808080" w:themeColor="background1" w:themeShade="80"/>
        </w:rPr>
      </w:pPr>
      <w:r w:rsidRPr="004E1328">
        <w:rPr>
          <w:rFonts w:ascii="Avenir Next" w:hAnsi="Avenir Next"/>
          <w:color w:val="808080" w:themeColor="background1" w:themeShade="80"/>
        </w:rPr>
        <w:t>The adaptability of Chapter 15 to accommodate insolvency proceedings underscores the United States' commitment to supporting global insolvency resolution regimes that promote fairness and protect the interests of both creditors and debtors in today's highly interconnected global economy.</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1AB9B25A" w14:textId="57A37CAD" w:rsidR="001D3BAA" w:rsidRPr="00F34971" w:rsidRDefault="00FB2838" w:rsidP="001D3BAA">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616FDCD5" w14:textId="46E6F413" w:rsidR="00F27EBD" w:rsidRPr="00F27EBD" w:rsidRDefault="00F27EBD" w:rsidP="00F27EBD">
      <w:pPr>
        <w:pStyle w:val="AODocTxt"/>
        <w:spacing w:after="240"/>
        <w:rPr>
          <w:rFonts w:ascii="Avenir Next" w:hAnsi="Avenir Next"/>
          <w:color w:val="808080" w:themeColor="background1" w:themeShade="80"/>
        </w:rPr>
      </w:pPr>
      <w:r w:rsidRPr="00F27EBD">
        <w:rPr>
          <w:rFonts w:ascii="Avenir Next" w:hAnsi="Avenir Next"/>
          <w:color w:val="808080" w:themeColor="background1" w:themeShade="80"/>
        </w:rPr>
        <w:t>Speculation Inc. Filing for Chapter 11 would have an impact on the challenges it is currently facing</w:t>
      </w:r>
      <w:r w:rsidR="00466049">
        <w:rPr>
          <w:rFonts w:ascii="Avenir Next" w:hAnsi="Avenir Next"/>
          <w:color w:val="808080" w:themeColor="background1" w:themeShade="80"/>
        </w:rPr>
        <w:t>:</w:t>
      </w:r>
    </w:p>
    <w:p w14:paraId="5B940EF8" w14:textId="7EC53D0D" w:rsidR="00F27EBD" w:rsidRPr="00F27EBD" w:rsidRDefault="00F27EBD" w:rsidP="00F27EBD">
      <w:pPr>
        <w:pStyle w:val="AODocTxt"/>
        <w:spacing w:after="240"/>
        <w:rPr>
          <w:rFonts w:ascii="Avenir Next" w:hAnsi="Avenir Next"/>
          <w:color w:val="808080" w:themeColor="background1" w:themeShade="80"/>
        </w:rPr>
      </w:pPr>
      <w:r w:rsidRPr="00F27EBD">
        <w:rPr>
          <w:rFonts w:ascii="Avenir Next" w:hAnsi="Avenir Next"/>
          <w:color w:val="808080" w:themeColor="background1" w:themeShade="80"/>
        </w:rPr>
        <w:t>Regarding the DOJ investigation</w:t>
      </w:r>
      <w:r w:rsidR="00466049">
        <w:rPr>
          <w:rFonts w:ascii="Avenir Next" w:hAnsi="Avenir Next"/>
          <w:color w:val="808080" w:themeColor="background1" w:themeShade="80"/>
        </w:rPr>
        <w:t>:</w:t>
      </w:r>
      <w:r w:rsidRPr="00F27EBD">
        <w:rPr>
          <w:rFonts w:ascii="Avenir Next" w:hAnsi="Avenir Next"/>
          <w:color w:val="808080" w:themeColor="background1" w:themeShade="80"/>
        </w:rPr>
        <w:t xml:space="preserve"> The Chapter 11 filing would not stop any criminal investigation or proceeding. Therefore, the DOJ's investigation of Speculation Inc. for insider trading would not be directly affected by the bankruptcy filing. Criminal activity is specifically exempted from the stay provisions of the Bankruptcy Code, allowing government agencies to continue their investigations and any related criminal actions against the debtor.</w:t>
      </w:r>
    </w:p>
    <w:p w14:paraId="12540120" w14:textId="3EC68775" w:rsidR="00F27EBD" w:rsidRPr="00F27EBD" w:rsidRDefault="00F27EBD" w:rsidP="00F27EBD">
      <w:pPr>
        <w:pStyle w:val="AODocTxt"/>
        <w:spacing w:after="240"/>
        <w:rPr>
          <w:rFonts w:ascii="Avenir Next" w:hAnsi="Avenir Next"/>
          <w:color w:val="808080" w:themeColor="background1" w:themeShade="80"/>
        </w:rPr>
      </w:pPr>
      <w:r w:rsidRPr="00F27EBD">
        <w:rPr>
          <w:rFonts w:ascii="Avenir Next" w:hAnsi="Avenir Next"/>
          <w:color w:val="808080" w:themeColor="background1" w:themeShade="80"/>
        </w:rPr>
        <w:t>Regarding Margin Loan Default</w:t>
      </w:r>
      <w:r w:rsidR="00466049">
        <w:rPr>
          <w:rFonts w:ascii="Avenir Next" w:hAnsi="Avenir Next"/>
          <w:color w:val="808080" w:themeColor="background1" w:themeShade="80"/>
        </w:rPr>
        <w:t>:</w:t>
      </w:r>
      <w:r w:rsidRPr="00F27EBD">
        <w:rPr>
          <w:rFonts w:ascii="Avenir Next" w:hAnsi="Avenir Next"/>
          <w:color w:val="808080" w:themeColor="background1" w:themeShade="80"/>
        </w:rPr>
        <w:t xml:space="preserve"> The automatic stay triggered by a Chapter 11 filing would prevent creditors from pursuing debts or seizing the debtor's assets. This means that actions related to the broker's declaration of default on the margin loan and any subsequent attempts to collect on that loan or seize collateral would be immediately halted. This gives Speculation Inc. an opportunity to negotiate with its creditors and possibly restructure its debt under the supervision of the bankruptcy court.</w:t>
      </w:r>
    </w:p>
    <w:p w14:paraId="3BBBEB9D" w14:textId="0B3AC627" w:rsidR="00F27EBD" w:rsidRPr="00F27EBD" w:rsidRDefault="00F27EBD" w:rsidP="00F27EBD">
      <w:pPr>
        <w:pStyle w:val="AODocTxt"/>
        <w:spacing w:after="240"/>
        <w:rPr>
          <w:rFonts w:ascii="Avenir Next" w:hAnsi="Avenir Next"/>
          <w:color w:val="808080" w:themeColor="background1" w:themeShade="80"/>
        </w:rPr>
      </w:pPr>
      <w:r w:rsidRPr="00F27EBD">
        <w:rPr>
          <w:rFonts w:ascii="Avenir Next" w:hAnsi="Avenir Next"/>
          <w:color w:val="808080" w:themeColor="background1" w:themeShade="80"/>
        </w:rPr>
        <w:t>Regarding the Delinquent Lease</w:t>
      </w:r>
      <w:r w:rsidR="00466049">
        <w:rPr>
          <w:rFonts w:ascii="Avenir Next" w:hAnsi="Avenir Next"/>
          <w:color w:val="808080" w:themeColor="background1" w:themeShade="80"/>
        </w:rPr>
        <w:t>:</w:t>
      </w:r>
      <w:r w:rsidRPr="00F27EBD">
        <w:rPr>
          <w:rFonts w:ascii="Avenir Next" w:hAnsi="Avenir Next"/>
          <w:color w:val="808080" w:themeColor="background1" w:themeShade="80"/>
        </w:rPr>
        <w:t xml:space="preserve"> The automatic stay would also extend to enforcement actions regarding the lease, including any attempts by the landlord to evict Speculation Inc. from its office space.</w:t>
      </w:r>
    </w:p>
    <w:p w14:paraId="52292EA8" w14:textId="11B81BB4" w:rsidR="00F27EBD" w:rsidRPr="00F27EBD" w:rsidRDefault="00F27EBD" w:rsidP="00F27EBD">
      <w:pPr>
        <w:pStyle w:val="AODocTxt"/>
        <w:spacing w:after="240"/>
        <w:rPr>
          <w:rFonts w:ascii="Avenir Next" w:hAnsi="Avenir Next"/>
          <w:color w:val="808080" w:themeColor="background1" w:themeShade="80"/>
        </w:rPr>
      </w:pPr>
      <w:r w:rsidRPr="00F27EBD">
        <w:rPr>
          <w:rFonts w:ascii="Avenir Next" w:hAnsi="Avenir Next"/>
          <w:color w:val="808080" w:themeColor="background1" w:themeShade="80"/>
        </w:rPr>
        <w:t xml:space="preserve">Speculation Inc. now </w:t>
      </w:r>
      <w:proofErr w:type="gramStart"/>
      <w:r w:rsidRPr="00F27EBD">
        <w:rPr>
          <w:rFonts w:ascii="Avenir Next" w:hAnsi="Avenir Next"/>
          <w:color w:val="808080" w:themeColor="background1" w:themeShade="80"/>
        </w:rPr>
        <w:t>has the opportunity to</w:t>
      </w:r>
      <w:proofErr w:type="gramEnd"/>
      <w:r w:rsidRPr="00F27EBD">
        <w:rPr>
          <w:rFonts w:ascii="Avenir Next" w:hAnsi="Avenir Next"/>
          <w:color w:val="808080" w:themeColor="background1" w:themeShade="80"/>
        </w:rPr>
        <w:t xml:space="preserve"> renegotiate the terms of the lease, consider rejecting the lease as a contract, or manage the lease obligations in a manner that effectively supports its reorganization efforts. </w:t>
      </w:r>
    </w:p>
    <w:p w14:paraId="568F9B4E" w14:textId="0B172F79" w:rsidR="00F27EBD" w:rsidRPr="00F27EBD" w:rsidRDefault="00F27EBD" w:rsidP="00F27EBD">
      <w:pPr>
        <w:pStyle w:val="AODocTxt"/>
        <w:spacing w:after="240"/>
        <w:rPr>
          <w:rFonts w:ascii="Avenir Next" w:hAnsi="Avenir Next"/>
          <w:color w:val="808080" w:themeColor="background1" w:themeShade="80"/>
        </w:rPr>
      </w:pPr>
      <w:r w:rsidRPr="00F27EBD">
        <w:rPr>
          <w:rFonts w:ascii="Avenir Next" w:hAnsi="Avenir Next"/>
          <w:color w:val="808080" w:themeColor="background1" w:themeShade="80"/>
        </w:rPr>
        <w:t xml:space="preserve">Regarding Employment Discrimination Claims: The automatic stay would also cover the employment discrimination claim brought by an employee. While this stay stops the lawsuit, against Speculation Inc. it doesn't end the lawsuit altogether. Instead, it temporarily halts the case. Allows Speculation Inc. to address this claim within the bankruptcy process, potentially qualifying it as a claim for resolution under the </w:t>
      </w:r>
      <w:r w:rsidR="00466049" w:rsidRPr="00F27EBD">
        <w:rPr>
          <w:rFonts w:ascii="Avenir Next" w:hAnsi="Avenir Next"/>
          <w:color w:val="808080" w:themeColor="background1" w:themeShade="80"/>
        </w:rPr>
        <w:t>claim’s</w:t>
      </w:r>
      <w:r w:rsidRPr="00F27EBD">
        <w:rPr>
          <w:rFonts w:ascii="Avenir Next" w:hAnsi="Avenir Next"/>
          <w:color w:val="808080" w:themeColor="background1" w:themeShade="80"/>
        </w:rPr>
        <w:t xml:space="preserve"> treatment provisions of the Bankruptcy Code.</w:t>
      </w:r>
    </w:p>
    <w:p w14:paraId="51844BC4" w14:textId="6C48E255" w:rsidR="001D3BAA" w:rsidRPr="002B5D64" w:rsidRDefault="00F27EBD" w:rsidP="00F27EBD">
      <w:pPr>
        <w:pStyle w:val="AODocTxt"/>
        <w:spacing w:after="240"/>
        <w:rPr>
          <w:rFonts w:ascii="Avenir Next" w:hAnsi="Avenir Next"/>
          <w:color w:val="808080" w:themeColor="background1" w:themeShade="80"/>
        </w:rPr>
      </w:pPr>
      <w:r w:rsidRPr="00F27EBD">
        <w:rPr>
          <w:rFonts w:ascii="Avenir Next" w:hAnsi="Avenir Next"/>
          <w:color w:val="808080" w:themeColor="background1" w:themeShade="80"/>
        </w:rPr>
        <w:lastRenderedPageBreak/>
        <w:t xml:space="preserve">By filing for Chapter 11, Speculation Inc. effectively suspends lawsuits and collection activities, giving itself protection while it works to reorganize its affairs. However, it is critical for the Company to carefully navigate this shield in negotiating with creditors and dealing with DOJ investigations </w:t>
      </w:r>
      <w:r w:rsidR="00466049" w:rsidRPr="00F27EBD">
        <w:rPr>
          <w:rFonts w:ascii="Avenir Next" w:hAnsi="Avenir Next"/>
          <w:color w:val="808080" w:themeColor="background1" w:themeShade="80"/>
        </w:rPr>
        <w:t>to</w:t>
      </w:r>
      <w:r w:rsidRPr="00F27EBD">
        <w:rPr>
          <w:rFonts w:ascii="Avenir Next" w:hAnsi="Avenir Next"/>
          <w:color w:val="808080" w:themeColor="background1" w:themeShade="80"/>
        </w:rPr>
        <w:t xml:space="preserve"> take full advantage of Chapter 11 while complying with legal requirements to achieve the best possible outcome in its reorganization efforts.</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Piedepgina"/>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3C883101" w:rsidR="00241FA3" w:rsidRPr="00494B81" w:rsidRDefault="00E94263" w:rsidP="009B4976">
    <w:pPr>
      <w:pStyle w:val="Piedepgina"/>
      <w:ind w:right="360"/>
      <w:rPr>
        <w:rFonts w:ascii="Avenir Next" w:hAnsi="Avenir Next" w:cs="Arial"/>
        <w:sz w:val="22"/>
        <w:szCs w:val="22"/>
        <w:lang w:val="en-GB"/>
      </w:rPr>
    </w:pPr>
    <w:r w:rsidRPr="002557B5">
      <w:rPr>
        <w:sz w:val="24"/>
      </w:rPr>
      <w:t>202324-1408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458"/>
    <w:multiLevelType w:val="hybridMultilevel"/>
    <w:tmpl w:val="F12CE3B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61C09"/>
    <w:multiLevelType w:val="hybridMultilevel"/>
    <w:tmpl w:val="67ACB4B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39007490"/>
    <w:multiLevelType w:val="hybridMultilevel"/>
    <w:tmpl w:val="F4D4079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57256106"/>
    <w:multiLevelType w:val="hybridMultilevel"/>
    <w:tmpl w:val="D97CEF9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1A70C3"/>
    <w:multiLevelType w:val="hybridMultilevel"/>
    <w:tmpl w:val="3E1C4C6A"/>
    <w:lvl w:ilvl="0" w:tplc="31865494">
      <w:start w:val="1"/>
      <w:numFmt w:val="decimal"/>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60F146C5"/>
    <w:multiLevelType w:val="hybridMultilevel"/>
    <w:tmpl w:val="9ED2709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6AA9304A"/>
    <w:multiLevelType w:val="hybridMultilevel"/>
    <w:tmpl w:val="9FE0FD9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B543BBC"/>
    <w:multiLevelType w:val="hybridMultilevel"/>
    <w:tmpl w:val="C15A41A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C01332"/>
    <w:multiLevelType w:val="hybridMultilevel"/>
    <w:tmpl w:val="E8AEE060"/>
    <w:lvl w:ilvl="0" w:tplc="31865494">
      <w:start w:val="1"/>
      <w:numFmt w:val="decimal"/>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64F1444"/>
    <w:multiLevelType w:val="hybridMultilevel"/>
    <w:tmpl w:val="E3DE4B56"/>
    <w:lvl w:ilvl="0" w:tplc="31865494">
      <w:start w:val="1"/>
      <w:numFmt w:val="decimal"/>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78704471"/>
    <w:multiLevelType w:val="hybridMultilevel"/>
    <w:tmpl w:val="2022246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962497721">
    <w:abstractNumId w:val="6"/>
  </w:num>
  <w:num w:numId="2" w16cid:durableId="937979478">
    <w:abstractNumId w:val="11"/>
  </w:num>
  <w:num w:numId="3" w16cid:durableId="293563849">
    <w:abstractNumId w:val="2"/>
  </w:num>
  <w:num w:numId="4" w16cid:durableId="1203253494">
    <w:abstractNumId w:val="1"/>
  </w:num>
  <w:num w:numId="5" w16cid:durableId="2144806674">
    <w:abstractNumId w:val="13"/>
  </w:num>
  <w:num w:numId="6" w16cid:durableId="1673992024">
    <w:abstractNumId w:val="14"/>
  </w:num>
  <w:num w:numId="7" w16cid:durableId="179049515">
    <w:abstractNumId w:val="10"/>
  </w:num>
  <w:num w:numId="8" w16cid:durableId="1024285048">
    <w:abstractNumId w:val="7"/>
  </w:num>
  <w:num w:numId="9" w16cid:durableId="1470244909">
    <w:abstractNumId w:val="15"/>
  </w:num>
  <w:num w:numId="10" w16cid:durableId="1180773381">
    <w:abstractNumId w:val="12"/>
  </w:num>
  <w:num w:numId="11" w16cid:durableId="662466869">
    <w:abstractNumId w:val="5"/>
  </w:num>
  <w:num w:numId="12" w16cid:durableId="1546025179">
    <w:abstractNumId w:val="3"/>
  </w:num>
  <w:num w:numId="13" w16cid:durableId="1738430061">
    <w:abstractNumId w:val="8"/>
  </w:num>
  <w:num w:numId="14" w16cid:durableId="260532660">
    <w:abstractNumId w:val="9"/>
  </w:num>
  <w:num w:numId="15" w16cid:durableId="2054109540">
    <w:abstractNumId w:val="4"/>
  </w:num>
  <w:num w:numId="16" w16cid:durableId="590967852">
    <w:abstractNumId w:val="0"/>
  </w:num>
  <w:num w:numId="17" w16cid:durableId="17878520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19EE"/>
    <w:rsid w:val="000A407B"/>
    <w:rsid w:val="000A636A"/>
    <w:rsid w:val="000A68ED"/>
    <w:rsid w:val="000A7A3D"/>
    <w:rsid w:val="000B2B06"/>
    <w:rsid w:val="000B5FF1"/>
    <w:rsid w:val="000B609F"/>
    <w:rsid w:val="000C4909"/>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75D9F"/>
    <w:rsid w:val="00180548"/>
    <w:rsid w:val="00180AC4"/>
    <w:rsid w:val="00180CCE"/>
    <w:rsid w:val="0018267A"/>
    <w:rsid w:val="00182779"/>
    <w:rsid w:val="001830DF"/>
    <w:rsid w:val="00191287"/>
    <w:rsid w:val="001966D9"/>
    <w:rsid w:val="00197E4B"/>
    <w:rsid w:val="001A7E9A"/>
    <w:rsid w:val="001B0F70"/>
    <w:rsid w:val="001B1763"/>
    <w:rsid w:val="001B188B"/>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37650"/>
    <w:rsid w:val="0024116D"/>
    <w:rsid w:val="00241B44"/>
    <w:rsid w:val="00241FA3"/>
    <w:rsid w:val="00245EFB"/>
    <w:rsid w:val="0025386E"/>
    <w:rsid w:val="00256B74"/>
    <w:rsid w:val="002638B0"/>
    <w:rsid w:val="0026472A"/>
    <w:rsid w:val="0026647A"/>
    <w:rsid w:val="002668D3"/>
    <w:rsid w:val="0027299F"/>
    <w:rsid w:val="00274119"/>
    <w:rsid w:val="00283356"/>
    <w:rsid w:val="00284EBE"/>
    <w:rsid w:val="00285F10"/>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0045"/>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53D2"/>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57B0F"/>
    <w:rsid w:val="00466049"/>
    <w:rsid w:val="00475319"/>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377"/>
    <w:rsid w:val="004D36D5"/>
    <w:rsid w:val="004D3721"/>
    <w:rsid w:val="004D4255"/>
    <w:rsid w:val="004D64F9"/>
    <w:rsid w:val="004E1328"/>
    <w:rsid w:val="004E1F4B"/>
    <w:rsid w:val="004E38D1"/>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2660"/>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30B7"/>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57AE4"/>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0AD4"/>
    <w:rsid w:val="00721383"/>
    <w:rsid w:val="0072569E"/>
    <w:rsid w:val="00730B0A"/>
    <w:rsid w:val="0073158B"/>
    <w:rsid w:val="007333CC"/>
    <w:rsid w:val="0073399A"/>
    <w:rsid w:val="00736829"/>
    <w:rsid w:val="00740655"/>
    <w:rsid w:val="00741CBF"/>
    <w:rsid w:val="007603F5"/>
    <w:rsid w:val="00764DB0"/>
    <w:rsid w:val="007653A2"/>
    <w:rsid w:val="0076764D"/>
    <w:rsid w:val="00767C70"/>
    <w:rsid w:val="007743C9"/>
    <w:rsid w:val="0077498C"/>
    <w:rsid w:val="00776E08"/>
    <w:rsid w:val="00777C53"/>
    <w:rsid w:val="007809BC"/>
    <w:rsid w:val="00784128"/>
    <w:rsid w:val="00787BCC"/>
    <w:rsid w:val="00793173"/>
    <w:rsid w:val="007A2A33"/>
    <w:rsid w:val="007B0809"/>
    <w:rsid w:val="007B3E7A"/>
    <w:rsid w:val="007B5C89"/>
    <w:rsid w:val="007C1FCC"/>
    <w:rsid w:val="007C6201"/>
    <w:rsid w:val="007C690E"/>
    <w:rsid w:val="007D0192"/>
    <w:rsid w:val="007D23F3"/>
    <w:rsid w:val="007D6135"/>
    <w:rsid w:val="007D7C92"/>
    <w:rsid w:val="007E0E84"/>
    <w:rsid w:val="007E1154"/>
    <w:rsid w:val="007E3FAD"/>
    <w:rsid w:val="007E6521"/>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0E13"/>
    <w:rsid w:val="0089145D"/>
    <w:rsid w:val="0089582E"/>
    <w:rsid w:val="00895EF1"/>
    <w:rsid w:val="0089788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166CF"/>
    <w:rsid w:val="00921B8C"/>
    <w:rsid w:val="009245F6"/>
    <w:rsid w:val="0092565E"/>
    <w:rsid w:val="0093467C"/>
    <w:rsid w:val="00935386"/>
    <w:rsid w:val="00942123"/>
    <w:rsid w:val="009427E0"/>
    <w:rsid w:val="0095207B"/>
    <w:rsid w:val="00962045"/>
    <w:rsid w:val="00963D77"/>
    <w:rsid w:val="00980E61"/>
    <w:rsid w:val="00991428"/>
    <w:rsid w:val="00992676"/>
    <w:rsid w:val="009954B2"/>
    <w:rsid w:val="00996691"/>
    <w:rsid w:val="009A0970"/>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14D4F"/>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57F"/>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326C5"/>
    <w:rsid w:val="00B44713"/>
    <w:rsid w:val="00B45630"/>
    <w:rsid w:val="00B56103"/>
    <w:rsid w:val="00B63E83"/>
    <w:rsid w:val="00B64929"/>
    <w:rsid w:val="00B736DF"/>
    <w:rsid w:val="00B743D6"/>
    <w:rsid w:val="00B74FBD"/>
    <w:rsid w:val="00B76EDC"/>
    <w:rsid w:val="00B77B19"/>
    <w:rsid w:val="00B77F46"/>
    <w:rsid w:val="00B82586"/>
    <w:rsid w:val="00B829A3"/>
    <w:rsid w:val="00B849C5"/>
    <w:rsid w:val="00B85F10"/>
    <w:rsid w:val="00B86DB1"/>
    <w:rsid w:val="00B87869"/>
    <w:rsid w:val="00B9639B"/>
    <w:rsid w:val="00BA7497"/>
    <w:rsid w:val="00BA74EF"/>
    <w:rsid w:val="00BB0F2B"/>
    <w:rsid w:val="00BD4A58"/>
    <w:rsid w:val="00BD7337"/>
    <w:rsid w:val="00BE4FF3"/>
    <w:rsid w:val="00BF0003"/>
    <w:rsid w:val="00BF1B3E"/>
    <w:rsid w:val="00BF50F7"/>
    <w:rsid w:val="00BF6B84"/>
    <w:rsid w:val="00BF70F8"/>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1CE5"/>
    <w:rsid w:val="00C72848"/>
    <w:rsid w:val="00C73B97"/>
    <w:rsid w:val="00C7736C"/>
    <w:rsid w:val="00C82D87"/>
    <w:rsid w:val="00C8438D"/>
    <w:rsid w:val="00C8695A"/>
    <w:rsid w:val="00C8712A"/>
    <w:rsid w:val="00C87E0A"/>
    <w:rsid w:val="00C902C8"/>
    <w:rsid w:val="00C919D1"/>
    <w:rsid w:val="00C929C0"/>
    <w:rsid w:val="00C963D3"/>
    <w:rsid w:val="00CB1983"/>
    <w:rsid w:val="00CB2CBB"/>
    <w:rsid w:val="00CB6578"/>
    <w:rsid w:val="00CB7CAC"/>
    <w:rsid w:val="00CC4818"/>
    <w:rsid w:val="00CC5335"/>
    <w:rsid w:val="00CC5BA4"/>
    <w:rsid w:val="00CD4998"/>
    <w:rsid w:val="00CD503B"/>
    <w:rsid w:val="00CE0ECD"/>
    <w:rsid w:val="00CE1035"/>
    <w:rsid w:val="00CE6E50"/>
    <w:rsid w:val="00CF12B2"/>
    <w:rsid w:val="00CF2819"/>
    <w:rsid w:val="00CF4F9D"/>
    <w:rsid w:val="00CF70DC"/>
    <w:rsid w:val="00D041E0"/>
    <w:rsid w:val="00D04AFE"/>
    <w:rsid w:val="00D10E31"/>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065F"/>
    <w:rsid w:val="00D93196"/>
    <w:rsid w:val="00D9565D"/>
    <w:rsid w:val="00DA0DC0"/>
    <w:rsid w:val="00DA1D45"/>
    <w:rsid w:val="00DB243C"/>
    <w:rsid w:val="00DB482A"/>
    <w:rsid w:val="00DB50FB"/>
    <w:rsid w:val="00DB56F2"/>
    <w:rsid w:val="00DB62BA"/>
    <w:rsid w:val="00DB6EF5"/>
    <w:rsid w:val="00DC3089"/>
    <w:rsid w:val="00DC359F"/>
    <w:rsid w:val="00DC4420"/>
    <w:rsid w:val="00DC73DF"/>
    <w:rsid w:val="00DD0802"/>
    <w:rsid w:val="00DD2E11"/>
    <w:rsid w:val="00DD5FC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82B8A"/>
    <w:rsid w:val="00E90991"/>
    <w:rsid w:val="00E909F0"/>
    <w:rsid w:val="00E90D47"/>
    <w:rsid w:val="00E91BE5"/>
    <w:rsid w:val="00E93993"/>
    <w:rsid w:val="00E9426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E5F5A"/>
    <w:rsid w:val="00EF090E"/>
    <w:rsid w:val="00EF37CB"/>
    <w:rsid w:val="00EF5572"/>
    <w:rsid w:val="00EF637C"/>
    <w:rsid w:val="00F033DA"/>
    <w:rsid w:val="00F13691"/>
    <w:rsid w:val="00F13FB1"/>
    <w:rsid w:val="00F27CD8"/>
    <w:rsid w:val="00F27EBD"/>
    <w:rsid w:val="00F30351"/>
    <w:rsid w:val="00F3323E"/>
    <w:rsid w:val="00F341F4"/>
    <w:rsid w:val="00F34971"/>
    <w:rsid w:val="00F34F9D"/>
    <w:rsid w:val="00F35CCE"/>
    <w:rsid w:val="00F418CA"/>
    <w:rsid w:val="00F45BD5"/>
    <w:rsid w:val="00F5524B"/>
    <w:rsid w:val="00F60538"/>
    <w:rsid w:val="00F61DD2"/>
    <w:rsid w:val="00F63187"/>
    <w:rsid w:val="00F64D81"/>
    <w:rsid w:val="00F66AFF"/>
    <w:rsid w:val="00F71246"/>
    <w:rsid w:val="00F71433"/>
    <w:rsid w:val="00F92140"/>
    <w:rsid w:val="00F97C5B"/>
    <w:rsid w:val="00FA3D50"/>
    <w:rsid w:val="00FB2838"/>
    <w:rsid w:val="00FB7FBD"/>
    <w:rsid w:val="00FC374A"/>
    <w:rsid w:val="00FC3A4C"/>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15</Pages>
  <Words>6327</Words>
  <Characters>34802</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Lucia Chavez</cp:lastModifiedBy>
  <cp:revision>59</cp:revision>
  <cp:lastPrinted>2019-08-27T05:42:00Z</cp:lastPrinted>
  <dcterms:created xsi:type="dcterms:W3CDTF">2024-02-28T22:50:00Z</dcterms:created>
  <dcterms:modified xsi:type="dcterms:W3CDTF">2024-03-01T14:53:00Z</dcterms:modified>
</cp:coreProperties>
</file>