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w:t>
      </w:r>
      <w:proofErr w:type="gramStart"/>
      <w:r w:rsidRPr="006C65F4">
        <w:rPr>
          <w:rFonts w:ascii="Avenir Next" w:hAnsi="Avenir Next" w:cs="Arial"/>
          <w:sz w:val="22"/>
          <w:szCs w:val="22"/>
          <w:lang w:val="en-GB"/>
        </w:rPr>
        <w:t>a</w:t>
      </w:r>
      <w:proofErr w:type="gramEnd"/>
      <w:r w:rsidRPr="006C65F4">
        <w:rPr>
          <w:rFonts w:ascii="Avenir Next" w:hAnsi="Avenir Next" w:cs="Arial"/>
          <w:sz w:val="22"/>
          <w:szCs w:val="22"/>
          <w:lang w:val="en-GB"/>
        </w:rPr>
        <w:t xml:space="preserve">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w:t>
      </w:r>
      <w:proofErr w:type="gramStart"/>
      <w:r w:rsidRPr="00CE0ECD">
        <w:rPr>
          <w:rFonts w:ascii="Avenir Next" w:hAnsi="Avenir Next" w:cs="Arial"/>
          <w:sz w:val="22"/>
          <w:szCs w:val="22"/>
          <w:lang w:val="en-GB"/>
        </w:rPr>
        <w:t>are</w:t>
      </w:r>
      <w:proofErr w:type="gramEnd"/>
      <w:r w:rsidRPr="00CE0EC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w:t>
      </w:r>
      <w:proofErr w:type="gramStart"/>
      <w:r w:rsidRPr="00CE0ECD">
        <w:rPr>
          <w:rFonts w:ascii="Avenir Next" w:hAnsi="Avenir Next" w:cs="Arial"/>
          <w:sz w:val="22"/>
          <w:szCs w:val="22"/>
          <w:lang w:val="en-GB"/>
        </w:rPr>
        <w:lastRenderedPageBreak/>
        <w:t>have</w:t>
      </w:r>
      <w:proofErr w:type="gramEnd"/>
      <w:r w:rsidRPr="00CE0ECD">
        <w:rPr>
          <w:rFonts w:ascii="Avenir Next" w:hAnsi="Avenir Next" w:cs="Arial"/>
          <w:sz w:val="22"/>
          <w:szCs w:val="22"/>
          <w:lang w:val="en-GB"/>
        </w:rPr>
        <w:t xml:space="preser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r>
      <w:r w:rsidRPr="00F23336">
        <w:rPr>
          <w:rFonts w:ascii="Avenir Next" w:hAnsi="Avenir Next"/>
          <w:highlight w:val="yellow"/>
        </w:rPr>
        <w:t>Yes</w:t>
      </w:r>
      <w:r w:rsidR="004D36D5" w:rsidRPr="00F23336">
        <w:rPr>
          <w:rFonts w:ascii="Avenir Next" w:hAnsi="Avenir Next"/>
          <w:highlight w:val="yellow"/>
        </w:rPr>
        <w:t>,</w:t>
      </w:r>
      <w:r w:rsidR="002A16B3" w:rsidRPr="00F23336">
        <w:rPr>
          <w:rFonts w:ascii="Avenir Next" w:hAnsi="Avenir Next"/>
          <w:highlight w:val="yellow"/>
        </w:rPr>
        <w:t xml:space="preserve"> </w:t>
      </w:r>
      <w:r w:rsidR="000968D6" w:rsidRPr="00F23336">
        <w:rPr>
          <w:rFonts w:ascii="Avenir Next" w:hAnsi="Avenir Next"/>
          <w:highlight w:val="yellow"/>
        </w:rPr>
        <w:t>regardless</w:t>
      </w:r>
      <w:r w:rsidR="0083721E" w:rsidRPr="00F23336">
        <w:rPr>
          <w:rFonts w:ascii="Avenir Next" w:hAnsi="Avenir Next"/>
          <w:highlight w:val="yellow"/>
        </w:rPr>
        <w:t xml:space="preserve"> of</w:t>
      </w:r>
      <w:r w:rsidR="000968D6" w:rsidRPr="00F23336">
        <w:rPr>
          <w:rFonts w:ascii="Avenir Next" w:hAnsi="Avenir Next"/>
          <w:highlight w:val="yellow"/>
        </w:rPr>
        <w:t xml:space="preserve"> </w:t>
      </w:r>
      <w:r w:rsidR="0083721E" w:rsidRPr="00F23336">
        <w:rPr>
          <w:rFonts w:ascii="Avenir Next" w:hAnsi="Avenir Next"/>
          <w:highlight w:val="yellow"/>
        </w:rPr>
        <w:t xml:space="preserve">the </w:t>
      </w:r>
      <w:r w:rsidR="004D36D5" w:rsidRPr="00F23336">
        <w:rPr>
          <w:rFonts w:ascii="Avenir Next" w:hAnsi="Avenir Next"/>
          <w:highlight w:val="yellow"/>
        </w:rPr>
        <w:t>circumstances</w:t>
      </w:r>
      <w:r w:rsidRPr="00F23336">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r>
      <w:r w:rsidRPr="009D4591">
        <w:rPr>
          <w:rFonts w:ascii="Avenir Next" w:hAnsi="Avenir Next"/>
          <w:highlight w:val="yellow"/>
        </w:rPr>
        <w:t>A shareholder in Parts Inc, to which Car Corp is indebted</w:t>
      </w:r>
      <w:r w:rsidR="00631394" w:rsidRPr="009D4591">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r>
      <w:r w:rsidRPr="009D4591">
        <w:rPr>
          <w:rFonts w:ascii="Avenir Next" w:hAnsi="Avenir Next"/>
        </w:rPr>
        <w:t>A shareholder in Investment Corp, Car Corp’s parent company</w:t>
      </w:r>
      <w:r w:rsidR="00631394" w:rsidRPr="009D4591">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424B7">
        <w:rPr>
          <w:rFonts w:ascii="Avenir Next" w:hAnsi="Avenir Next"/>
          <w:highlight w:val="yellow"/>
        </w:rPr>
        <w:t xml:space="preserve">Options (a) to (c) </w:t>
      </w:r>
      <w:r w:rsidRPr="003424B7">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C47BEB">
        <w:rPr>
          <w:rFonts w:ascii="Avenir Next" w:hAnsi="Avenir Next"/>
          <w:highlight w:val="yellow"/>
        </w:rPr>
        <w:t>All of the above</w:t>
      </w:r>
      <w:r w:rsidR="006A42F8" w:rsidRPr="00C47BEB">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D44885">
        <w:rPr>
          <w:rFonts w:ascii="Avenir Next" w:hAnsi="Avenir Next"/>
          <w:highlight w:val="yellow"/>
        </w:rPr>
        <w:t xml:space="preserve">Executory contracts are clearly defined by the </w:t>
      </w:r>
      <w:r w:rsidR="00ED7BF3" w:rsidRPr="00D44885">
        <w:rPr>
          <w:rFonts w:ascii="Avenir Next" w:hAnsi="Avenir Next"/>
          <w:highlight w:val="yellow"/>
        </w:rPr>
        <w:t>B</w:t>
      </w:r>
      <w:r w:rsidRPr="00D44885">
        <w:rPr>
          <w:rFonts w:ascii="Avenir Next" w:hAnsi="Avenir Next"/>
          <w:highlight w:val="yellow"/>
        </w:rPr>
        <w:t xml:space="preserve">ankruptcy </w:t>
      </w:r>
      <w:r w:rsidR="00ED7BF3" w:rsidRPr="00D44885">
        <w:rPr>
          <w:rFonts w:ascii="Avenir Next" w:hAnsi="Avenir Next"/>
          <w:highlight w:val="yellow"/>
        </w:rPr>
        <w:t>C</w:t>
      </w:r>
      <w:r w:rsidRPr="00D44885">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w:t>
      </w:r>
      <w:proofErr w:type="spellStart"/>
      <w:r w:rsidRPr="00B63E83">
        <w:rPr>
          <w:rFonts w:ascii="Avenir Next" w:hAnsi="Avenir Next"/>
        </w:rPr>
        <w:t>cramdown</w:t>
      </w:r>
      <w:proofErr w:type="spellEnd"/>
      <w:r w:rsidRPr="00B63E83">
        <w:rPr>
          <w:rFonts w:ascii="Avenir Next" w:hAnsi="Avenir Next"/>
        </w:rPr>
        <w:t>”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D44885" w:rsidRDefault="000643AB" w:rsidP="00875912">
      <w:pPr>
        <w:pStyle w:val="AODocTxt"/>
        <w:numPr>
          <w:ilvl w:val="0"/>
          <w:numId w:val="24"/>
        </w:numPr>
        <w:spacing w:before="0" w:line="240" w:lineRule="auto"/>
        <w:ind w:left="426" w:hanging="426"/>
        <w:rPr>
          <w:rFonts w:ascii="Avenir Next" w:hAnsi="Avenir Next"/>
          <w:highlight w:val="yellow"/>
        </w:rPr>
      </w:pPr>
      <w:r w:rsidRPr="00D44885">
        <w:rPr>
          <w:rFonts w:ascii="Avenir Next" w:hAnsi="Avenir Next"/>
          <w:highlight w:val="yellow"/>
        </w:rPr>
        <w:t>Acceptance of the plan by all classes of secured creditors</w:t>
      </w:r>
      <w:r w:rsidR="006844A8" w:rsidRPr="00D44885">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7A5191" w:rsidRDefault="00C24FAB" w:rsidP="009017A1">
      <w:pPr>
        <w:pStyle w:val="AODocTxt"/>
        <w:numPr>
          <w:ilvl w:val="0"/>
          <w:numId w:val="33"/>
        </w:numPr>
        <w:spacing w:before="0" w:line="240" w:lineRule="auto"/>
        <w:ind w:left="426" w:hanging="426"/>
        <w:rPr>
          <w:rFonts w:ascii="Avenir Next" w:hAnsi="Avenir Next"/>
          <w:highlight w:val="yellow"/>
        </w:rPr>
      </w:pPr>
      <w:r w:rsidRPr="007A5191">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A40BA8" w:rsidRDefault="00853272" w:rsidP="00BA74EF">
      <w:pPr>
        <w:pStyle w:val="AODocTxt"/>
        <w:numPr>
          <w:ilvl w:val="0"/>
          <w:numId w:val="28"/>
        </w:numPr>
        <w:spacing w:before="0" w:line="240" w:lineRule="auto"/>
        <w:ind w:left="426" w:hanging="426"/>
        <w:rPr>
          <w:rFonts w:ascii="Avenir Next" w:hAnsi="Avenir Next"/>
          <w:highlight w:val="yellow"/>
        </w:rPr>
      </w:pPr>
      <w:r w:rsidRPr="00A40BA8">
        <w:rPr>
          <w:rFonts w:ascii="Avenir Next" w:hAnsi="Avenir Next"/>
          <w:highlight w:val="yellow"/>
        </w:rPr>
        <w:t>Both</w:t>
      </w:r>
      <w:r w:rsidR="0072569E" w:rsidRPr="00A40BA8">
        <w:rPr>
          <w:rFonts w:ascii="Avenir Next" w:hAnsi="Avenir Next"/>
          <w:highlight w:val="yellow"/>
        </w:rPr>
        <w:t xml:space="preserve"> options</w:t>
      </w:r>
      <w:r w:rsidRPr="00A40BA8">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E0F06" w:rsidRDefault="00334B98" w:rsidP="00676F12">
      <w:pPr>
        <w:pStyle w:val="AODocTxt"/>
        <w:keepNext/>
        <w:numPr>
          <w:ilvl w:val="0"/>
          <w:numId w:val="30"/>
        </w:numPr>
        <w:spacing w:before="0" w:line="240" w:lineRule="auto"/>
        <w:ind w:left="426" w:hanging="426"/>
        <w:rPr>
          <w:rFonts w:ascii="Avenir Next" w:hAnsi="Avenir Next"/>
          <w:highlight w:val="yellow"/>
        </w:rPr>
      </w:pPr>
      <w:r w:rsidRPr="003E0F06">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3E0F06" w:rsidRDefault="00740655" w:rsidP="00DF5F7C">
      <w:pPr>
        <w:pStyle w:val="AODocTxt"/>
        <w:keepNext/>
        <w:numPr>
          <w:ilvl w:val="0"/>
          <w:numId w:val="35"/>
        </w:numPr>
        <w:spacing w:before="0" w:line="240" w:lineRule="auto"/>
        <w:ind w:left="426" w:hanging="426"/>
        <w:rPr>
          <w:rFonts w:ascii="Avenir Next" w:hAnsi="Avenir Next"/>
          <w:highlight w:val="yellow"/>
        </w:rPr>
      </w:pPr>
      <w:r w:rsidRPr="003E0F06">
        <w:rPr>
          <w:rFonts w:ascii="Avenir Next" w:hAnsi="Avenir Next"/>
          <w:highlight w:val="yellow"/>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1D3BAA">
        <w:rPr>
          <w:rFonts w:ascii="Avenir Next" w:hAnsi="Avenir Next"/>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0D0A5B78" w:rsidR="00323167" w:rsidRPr="002B5D64" w:rsidRDefault="00966A91"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 is when a creditor is holding a claim against a debtor but also owes money to the debtor and a calculation is made in respect of the figure being claimed by the creditor vs the sum that the creditor is owed. It is not permitted in many circumstances because it can improve the position of the creditor as compared to other unsecured creditor</w:t>
      </w:r>
      <w:r w:rsidR="00C22EB2">
        <w:rPr>
          <w:rFonts w:ascii="Avenir Next" w:hAnsi="Avenir Next"/>
          <w:color w:val="808080" w:themeColor="background1" w:themeShade="80"/>
        </w:rPr>
        <w:t>s</w:t>
      </w:r>
      <w:r>
        <w:rPr>
          <w:rFonts w:ascii="Avenir Next" w:hAnsi="Avenir Next"/>
          <w:color w:val="808080" w:themeColor="background1" w:themeShade="80"/>
        </w:rPr>
        <w:t xml:space="preserve"> who are not owed money by the debtor. The reason it is often not permitted is that it decreases the debtor’s obligation to the estate thus diminishing the</w:t>
      </w:r>
      <w:r w:rsidR="00DA5242">
        <w:rPr>
          <w:rFonts w:ascii="Avenir Next" w:hAnsi="Avenir Next"/>
          <w:color w:val="808080" w:themeColor="background1" w:themeShade="80"/>
        </w:rPr>
        <w:t xml:space="preserve"> pot and the</w:t>
      </w:r>
      <w:r>
        <w:rPr>
          <w:rFonts w:ascii="Avenir Next" w:hAnsi="Avenir Next"/>
          <w:color w:val="808080" w:themeColor="background1" w:themeShade="80"/>
        </w:rPr>
        <w:t xml:space="preserve"> potential returns to other creditor</w:t>
      </w:r>
      <w:r w:rsidR="00C22EB2">
        <w:rPr>
          <w:rFonts w:ascii="Avenir Next" w:hAnsi="Avenir Next"/>
          <w:color w:val="808080" w:themeColor="background1" w:themeShade="80"/>
        </w:rPr>
        <w:t>s</w:t>
      </w:r>
      <w:r>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2A67EDD3" w:rsidR="001D3BAA" w:rsidRPr="002B5D64" w:rsidRDefault="00436E7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priming lien</w:t>
      </w:r>
      <w:r w:rsidR="0007596B">
        <w:rPr>
          <w:rFonts w:ascii="Avenir Next" w:hAnsi="Avenir Next"/>
          <w:color w:val="808080" w:themeColor="background1" w:themeShade="80"/>
        </w:rPr>
        <w:t xml:space="preserve"> or</w:t>
      </w:r>
      <w:r>
        <w:rPr>
          <w:rFonts w:ascii="Avenir Next" w:hAnsi="Avenir Next"/>
          <w:color w:val="808080" w:themeColor="background1" w:themeShade="80"/>
        </w:rPr>
        <w:t xml:space="preserve"> is a charge on property of the estate </w:t>
      </w:r>
      <w:r w:rsidR="0007596B">
        <w:rPr>
          <w:rFonts w:ascii="Avenir Next" w:hAnsi="Avenir Next"/>
          <w:color w:val="808080" w:themeColor="background1" w:themeShade="80"/>
        </w:rPr>
        <w:t xml:space="preserve">which is higher or equal to a pre-petition lien or charge on estate property in order to secure post-petition financing. In order to secure such financing the debtor must have no other means by which to secure lending and demonstrate that the creditor being primed is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0E757080" w:rsidR="001D3BAA" w:rsidRPr="002B5D64" w:rsidRDefault="00BD43C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party in violation of the automatic stay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xml:space="preserve">) may be found in contempt of court and ordered to pay the debtors’ attorneys’ fees and (ii) </w:t>
      </w:r>
      <w:r w:rsidR="00AC1413">
        <w:rPr>
          <w:rFonts w:ascii="Avenir Next" w:hAnsi="Avenir Next"/>
          <w:color w:val="808080" w:themeColor="background1" w:themeShade="80"/>
        </w:rPr>
        <w:t xml:space="preserve">be </w:t>
      </w:r>
      <w:r>
        <w:rPr>
          <w:rFonts w:ascii="Avenir Next" w:hAnsi="Avenir Next"/>
          <w:color w:val="808080" w:themeColor="background1" w:themeShade="80"/>
        </w:rPr>
        <w:t>require</w:t>
      </w:r>
      <w:r w:rsidR="00AC1413">
        <w:rPr>
          <w:rFonts w:ascii="Avenir Next" w:hAnsi="Avenir Next"/>
          <w:color w:val="808080" w:themeColor="background1" w:themeShade="80"/>
        </w:rPr>
        <w:t>d</w:t>
      </w:r>
      <w:r w:rsidR="00DB2974">
        <w:rPr>
          <w:rFonts w:ascii="Avenir Next" w:hAnsi="Avenir Next"/>
          <w:color w:val="808080" w:themeColor="background1" w:themeShade="80"/>
        </w:rPr>
        <w:t xml:space="preserve"> to</w:t>
      </w:r>
      <w:r>
        <w:rPr>
          <w:rFonts w:ascii="Avenir Next" w:hAnsi="Avenir Next"/>
          <w:color w:val="808080" w:themeColor="background1" w:themeShade="80"/>
        </w:rPr>
        <w:t xml:space="preserve"> take actions reversing the violation</w:t>
      </w:r>
      <w:r w:rsidR="00AC1413">
        <w:rPr>
          <w:rFonts w:ascii="Avenir Next" w:hAnsi="Avenir Next"/>
          <w:color w:val="808080" w:themeColor="background1" w:themeShade="80"/>
        </w:rPr>
        <w:t xml:space="preserve"> while being fined a daily rate until rectified.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 xml:space="preserve">In voting on a plan of reorganization, which </w:t>
      </w:r>
      <w:proofErr w:type="gramStart"/>
      <w:r w:rsidRPr="001B33F5">
        <w:rPr>
          <w:rFonts w:ascii="Avenir Next" w:hAnsi="Avenir Next"/>
        </w:rPr>
        <w:t>class(</w:t>
      </w:r>
      <w:proofErr w:type="spellStart"/>
      <w:proofErr w:type="gramEnd"/>
      <w:r w:rsidRPr="001B33F5">
        <w:rPr>
          <w:rFonts w:ascii="Avenir Next" w:hAnsi="Avenir Next"/>
        </w:rPr>
        <w:t>es</w:t>
      </w:r>
      <w:proofErr w:type="spellEnd"/>
      <w:r w:rsidRPr="001B33F5">
        <w:rPr>
          <w:rFonts w:ascii="Avenir Next" w:hAnsi="Avenir Next"/>
        </w:rPr>
        <w:t>)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012E8108" w:rsidR="001D3BAA" w:rsidRPr="002B5D64" w:rsidRDefault="002C1A2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unimpaired class is deemed to accept the plan, a class that will receive nothing is deemed to reject the plan. In order to accept a plan, a simple majority of the class of creditors holding at least two-thirds of the value of claims in the class,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 xml:space="preserve"> or, for equity interests, if two-thirds in amount of interests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1"/>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5AC591E2" w:rsidR="00E239B8" w:rsidRDefault="0098560B" w:rsidP="00B634B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Preference Claim. </w:t>
      </w:r>
    </w:p>
    <w:p w14:paraId="6F8DD7A5" w14:textId="6A6192BD" w:rsidR="0008559D" w:rsidRDefault="0008559D" w:rsidP="00B634B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Constructive fraudulent </w:t>
      </w:r>
      <w:r w:rsidR="00D01049">
        <w:rPr>
          <w:rFonts w:ascii="Avenir Next" w:hAnsi="Avenir Next"/>
          <w:color w:val="808080" w:themeColor="background1" w:themeShade="80"/>
        </w:rPr>
        <w:t>conveyance</w:t>
      </w:r>
    </w:p>
    <w:p w14:paraId="6B8E2641" w14:textId="77255DD6" w:rsidR="00B634B6" w:rsidRDefault="00B634B6" w:rsidP="00B634B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A Fraudulent Conveyance claim.</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bookmarkStart w:id="1" w:name="_GoBack"/>
      <w:bookmarkEnd w:id="1"/>
    </w:p>
    <w:p w14:paraId="41284EC0" w14:textId="317FAD36" w:rsidR="001D3BAA" w:rsidRPr="001776B3" w:rsidRDefault="001776B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court may only enter a final order consistent with the US Constitution on core bankruptcy issues. Generally, appeals from the bankruptcy court are heard by the district in which they sit. If the order was not final then the district court reviews all findings of fact and conclusions of law to which a party has objected, </w:t>
      </w:r>
      <w:r w:rsidRPr="001776B3">
        <w:rPr>
          <w:rFonts w:ascii="Avenir Next" w:hAnsi="Avenir Next"/>
          <w:i/>
          <w:color w:val="808080" w:themeColor="background1" w:themeShade="80"/>
        </w:rPr>
        <w:t>de novo</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2"/>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2971FA8B" w:rsidR="001D3BAA" w:rsidRPr="002B5D64" w:rsidRDefault="007840A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foreign representative</w:t>
      </w:r>
      <w:r w:rsidR="00201895">
        <w:rPr>
          <w:rFonts w:ascii="Avenir Next" w:hAnsi="Avenir Next"/>
          <w:color w:val="808080" w:themeColor="background1" w:themeShade="80"/>
        </w:rPr>
        <w:t xml:space="preserve"> (</w:t>
      </w:r>
      <w:r w:rsidR="00201895" w:rsidRPr="00201895">
        <w:rPr>
          <w:rFonts w:ascii="Avenir Next" w:hAnsi="Avenir Next"/>
          <w:b/>
          <w:color w:val="808080" w:themeColor="background1" w:themeShade="80"/>
        </w:rPr>
        <w:t>“FR”</w:t>
      </w:r>
      <w:r w:rsidR="00201895">
        <w:rPr>
          <w:rFonts w:ascii="Avenir Next" w:hAnsi="Avenir Next"/>
          <w:color w:val="808080" w:themeColor="background1" w:themeShade="80"/>
        </w:rPr>
        <w:t>)</w:t>
      </w:r>
      <w:r>
        <w:rPr>
          <w:rFonts w:ascii="Avenir Next" w:hAnsi="Avenir Next"/>
          <w:color w:val="808080" w:themeColor="background1" w:themeShade="80"/>
        </w:rPr>
        <w:t xml:space="preserve"> will not have the right of avoidance powers</w:t>
      </w:r>
      <w:r w:rsidR="005C0C27">
        <w:rPr>
          <w:rFonts w:ascii="Avenir Next" w:hAnsi="Avenir Next"/>
          <w:color w:val="808080" w:themeColor="background1" w:themeShade="80"/>
        </w:rPr>
        <w:t xml:space="preserve"> normally available</w:t>
      </w:r>
      <w:r>
        <w:rPr>
          <w:rFonts w:ascii="Avenir Next" w:hAnsi="Avenir Next"/>
          <w:color w:val="808080" w:themeColor="background1" w:themeShade="80"/>
        </w:rPr>
        <w:t xml:space="preserve"> under the Bankruptcy Code</w:t>
      </w:r>
      <w:r w:rsidR="00201895">
        <w:rPr>
          <w:rFonts w:ascii="Avenir Next" w:hAnsi="Avenir Next"/>
          <w:color w:val="808080" w:themeColor="background1" w:themeShade="80"/>
        </w:rPr>
        <w:t xml:space="preserve"> pursuant to a chapter 15 proceeding</w:t>
      </w:r>
      <w:r>
        <w:rPr>
          <w:rFonts w:ascii="Avenir Next" w:hAnsi="Avenir Next"/>
          <w:color w:val="808080" w:themeColor="background1" w:themeShade="80"/>
        </w:rPr>
        <w:t>.</w:t>
      </w:r>
      <w:r w:rsidR="005C0C27">
        <w:rPr>
          <w:rFonts w:ascii="Avenir Next" w:hAnsi="Avenir Next"/>
          <w:color w:val="808080" w:themeColor="background1" w:themeShade="80"/>
        </w:rPr>
        <w:t xml:space="preserve"> </w:t>
      </w:r>
      <w:r w:rsidR="00201895">
        <w:rPr>
          <w:rFonts w:ascii="Avenir Next" w:hAnsi="Avenir Next"/>
          <w:color w:val="808080" w:themeColor="background1" w:themeShade="80"/>
        </w:rPr>
        <w:t>The FR can only avail himself of these powers in a plenary proceeding under the Bankruptcy code after recognition of the chapter 15 foreign proceeding.</w:t>
      </w:r>
      <w:r w:rsidR="00201895">
        <w:rPr>
          <w:rStyle w:val="FootnoteReference"/>
          <w:rFonts w:ascii="Avenir Next" w:hAnsi="Avenir Next"/>
          <w:color w:val="808080" w:themeColor="background1" w:themeShade="80"/>
        </w:rPr>
        <w:footnoteReference w:id="3"/>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EF59AD8" w14:textId="04809B40" w:rsidR="00106CA8"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54D0A843" w14:textId="77777777" w:rsidR="00D61F4E" w:rsidRDefault="00D61F4E" w:rsidP="000778B1">
      <w:pPr>
        <w:pStyle w:val="AODocTxt"/>
        <w:spacing w:before="0" w:line="240" w:lineRule="auto"/>
        <w:rPr>
          <w:rFonts w:ascii="Avenir Next" w:hAnsi="Avenir Next"/>
        </w:rPr>
      </w:pPr>
    </w:p>
    <w:p w14:paraId="4A07A2C3" w14:textId="59817846" w:rsidR="00E01803" w:rsidRDefault="00D61F4E"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A review of the Bankruptcy Rules, the Federal Rules of Civil Procedure, the local rules of the bankruptcy court and the judge’s personal practices should be undertaken in preparation for a </w:t>
      </w:r>
      <w:r w:rsidR="00261452">
        <w:rPr>
          <w:rFonts w:ascii="Avenir Next" w:hAnsi="Avenir Next"/>
          <w:color w:val="808080" w:themeColor="background1" w:themeShade="80"/>
        </w:rPr>
        <w:t>filing in the bankruptcy court.</w:t>
      </w:r>
      <w:r w:rsidR="00261452">
        <w:rPr>
          <w:rStyle w:val="FootnoteReference"/>
          <w:rFonts w:ascii="Avenir Next" w:hAnsi="Avenir Next"/>
          <w:color w:val="808080" w:themeColor="background1" w:themeShade="80"/>
        </w:rPr>
        <w:footnoteReference w:id="4"/>
      </w:r>
    </w:p>
    <w:p w14:paraId="79C5BF0D" w14:textId="77777777" w:rsidR="00D61F4E" w:rsidRPr="00E01803" w:rsidRDefault="00D61F4E"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28C565EC" w:rsidR="001D3BAA" w:rsidRPr="002B5D64" w:rsidRDefault="004D574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 owe the duty of loyalty to act in the best interests of</w:t>
      </w:r>
      <w:r w:rsidR="00DB2974">
        <w:rPr>
          <w:rFonts w:ascii="Avenir Next" w:hAnsi="Avenir Next"/>
          <w:color w:val="808080" w:themeColor="background1" w:themeShade="80"/>
        </w:rPr>
        <w:t xml:space="preserve"> the corporation and of the </w:t>
      </w:r>
      <w:r>
        <w:rPr>
          <w:rFonts w:ascii="Avenir Next" w:hAnsi="Avenir Next"/>
          <w:color w:val="808080" w:themeColor="background1" w:themeShade="80"/>
        </w:rPr>
        <w:t xml:space="preserve">exercise of educated decision-making. In circumstances where the corporation is potentially or actually insolvent, directors owe a duty to the corporation and its shareholders, not to creditors. </w:t>
      </w:r>
      <w:r w:rsidR="00261452">
        <w:rPr>
          <w:rStyle w:val="FootnoteReference"/>
          <w:rFonts w:ascii="Avenir Next" w:hAnsi="Avenir Next"/>
          <w:color w:val="808080" w:themeColor="background1" w:themeShade="80"/>
        </w:rPr>
        <w:footnoteReference w:id="5"/>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2FBB7C44" w14:textId="13ED746B" w:rsidR="001D3BAA" w:rsidRDefault="00C32CF3" w:rsidP="001D3BAA">
      <w:pPr>
        <w:pStyle w:val="AODocTxt"/>
        <w:spacing w:before="0" w:line="240" w:lineRule="auto"/>
        <w:rPr>
          <w:rFonts w:ascii="Avenir Next" w:hAnsi="Avenir Next"/>
          <w:color w:val="808080" w:themeColor="background1" w:themeShade="80"/>
        </w:rPr>
      </w:pPr>
      <w:proofErr w:type="gramStart"/>
      <w:r w:rsidRPr="00C32CF3">
        <w:rPr>
          <w:rFonts w:ascii="Avenir Next" w:hAnsi="Avenir Next"/>
        </w:rPr>
        <w:t>iWork</w:t>
      </w:r>
      <w:proofErr w:type="gramEnd"/>
      <w:r w:rsidRPr="00C32CF3">
        <w:rPr>
          <w:rFonts w:ascii="Avenir Next" w:hAnsi="Avenir Next"/>
        </w:rPr>
        <w:t xml:space="preserve">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53C2C279" w14:textId="47736D41" w:rsidR="001D3BAA" w:rsidRPr="002B5D64" w:rsidRDefault="00B62C9E" w:rsidP="00701DC0">
      <w:pPr>
        <w:pStyle w:val="AODocTxt"/>
        <w:rPr>
          <w:rFonts w:ascii="Avenir Next" w:hAnsi="Avenir Next"/>
          <w:color w:val="808080" w:themeColor="background1" w:themeShade="80"/>
        </w:rPr>
      </w:pPr>
      <w:r>
        <w:rPr>
          <w:rFonts w:ascii="Avenir Next" w:hAnsi="Avenir Next"/>
          <w:color w:val="808080" w:themeColor="background1" w:themeShade="80"/>
        </w:rPr>
        <w:t xml:space="preserve">Once a party has commenced </w:t>
      </w:r>
      <w:r w:rsidR="00701DC0">
        <w:rPr>
          <w:rFonts w:ascii="Avenir Next" w:hAnsi="Avenir Next"/>
          <w:color w:val="808080" w:themeColor="background1" w:themeShade="80"/>
        </w:rPr>
        <w:t xml:space="preserve">chapter 11 </w:t>
      </w:r>
      <w:r>
        <w:rPr>
          <w:rFonts w:ascii="Avenir Next" w:hAnsi="Avenir Next"/>
          <w:color w:val="808080" w:themeColor="background1" w:themeShade="80"/>
        </w:rPr>
        <w:t>insolvency proceedings</w:t>
      </w:r>
      <w:r w:rsidR="00701DC0">
        <w:rPr>
          <w:rFonts w:ascii="Avenir Next" w:hAnsi="Avenir Next"/>
          <w:color w:val="808080" w:themeColor="background1" w:themeShade="80"/>
        </w:rPr>
        <w:t xml:space="preserve"> under the Bankruptcy Code</w:t>
      </w:r>
      <w:r>
        <w:rPr>
          <w:rFonts w:ascii="Avenir Next" w:hAnsi="Avenir Next"/>
          <w:color w:val="808080" w:themeColor="background1" w:themeShade="80"/>
        </w:rPr>
        <w:t xml:space="preserve">, an automatic stay is imposed, which </w:t>
      </w:r>
      <w:r w:rsidRPr="00B62C9E">
        <w:rPr>
          <w:rFonts w:ascii="Avenir Next" w:hAnsi="Avenir Next"/>
          <w:color w:val="808080" w:themeColor="background1" w:themeShade="80"/>
        </w:rPr>
        <w:t>provide</w:t>
      </w:r>
      <w:r w:rsidR="00701DC0">
        <w:rPr>
          <w:rFonts w:ascii="Avenir Next" w:hAnsi="Avenir Next"/>
          <w:color w:val="808080" w:themeColor="background1" w:themeShade="80"/>
        </w:rPr>
        <w:t>s</w:t>
      </w:r>
      <w:r w:rsidRPr="00B62C9E">
        <w:rPr>
          <w:rFonts w:ascii="Avenir Next" w:hAnsi="Avenir Next"/>
          <w:color w:val="808080" w:themeColor="background1" w:themeShade="80"/>
        </w:rPr>
        <w:t xml:space="preserve"> protection from creditors</w:t>
      </w:r>
      <w:r w:rsidR="00701DC0">
        <w:rPr>
          <w:rFonts w:ascii="Avenir Next" w:hAnsi="Avenir Next"/>
          <w:color w:val="808080" w:themeColor="background1" w:themeShade="80"/>
        </w:rPr>
        <w:t>. It also provides</w:t>
      </w:r>
      <w:r w:rsidRPr="00B62C9E">
        <w:rPr>
          <w:rFonts w:ascii="Avenir Next" w:hAnsi="Avenir Next"/>
          <w:color w:val="808080" w:themeColor="background1" w:themeShade="80"/>
        </w:rPr>
        <w:t xml:space="preserve"> time to restructure financial affairs, including</w:t>
      </w:r>
      <w:r w:rsidR="00701DC0">
        <w:rPr>
          <w:rFonts w:ascii="Avenir Next" w:hAnsi="Avenir Next"/>
          <w:color w:val="808080" w:themeColor="background1" w:themeShade="80"/>
        </w:rPr>
        <w:t xml:space="preserve"> the power to reject b</w:t>
      </w:r>
      <w:r w:rsidR="007A3703">
        <w:rPr>
          <w:rFonts w:ascii="Avenir Next" w:hAnsi="Avenir Next"/>
          <w:color w:val="808080" w:themeColor="background1" w:themeShade="80"/>
        </w:rPr>
        <w:t>urdensome contracts and leases which will clearly be of benefit in circumstances where there is insufficient money to meet the payments</w:t>
      </w:r>
      <w:r w:rsidR="00BC51D9">
        <w:rPr>
          <w:rFonts w:ascii="Avenir Next" w:hAnsi="Avenir Next"/>
          <w:color w:val="808080" w:themeColor="background1" w:themeShade="80"/>
        </w:rPr>
        <w:t xml:space="preserve"> caused by the</w:t>
      </w:r>
      <w:r w:rsidR="007A3703">
        <w:rPr>
          <w:rFonts w:ascii="Avenir Next" w:hAnsi="Avenir Next"/>
          <w:color w:val="808080" w:themeColor="background1" w:themeShade="80"/>
        </w:rPr>
        <w:t xml:space="preserve"> increase in remote working.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01F48D18" w:rsidR="001D3BAA" w:rsidRDefault="00F6012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Under a Chapter 15 filing the foreign representative (</w:t>
      </w:r>
      <w:r w:rsidRPr="00F60126">
        <w:rPr>
          <w:rFonts w:ascii="Avenir Next" w:hAnsi="Avenir Next"/>
          <w:b/>
          <w:color w:val="808080" w:themeColor="background1" w:themeShade="80"/>
        </w:rPr>
        <w:t>“FR”</w:t>
      </w:r>
      <w:r>
        <w:rPr>
          <w:rFonts w:ascii="Avenir Next" w:hAnsi="Avenir Next"/>
          <w:color w:val="808080" w:themeColor="background1" w:themeShade="80"/>
        </w:rPr>
        <w:t>) must demonstrate that a foreign court or administrative proceeding with respect to the debtor is pending and that the FR</w:t>
      </w:r>
      <w:r w:rsidR="00FD2E3F">
        <w:rPr>
          <w:rFonts w:ascii="Avenir Next" w:hAnsi="Avenir Next"/>
          <w:color w:val="808080" w:themeColor="background1" w:themeShade="80"/>
        </w:rPr>
        <w:t xml:space="preserve"> is empowered to act by the proceeding. We are not told that proceedings have commenced yet in England in respect of the bonds, but we are told that Skin Luxe (</w:t>
      </w:r>
      <w:r w:rsidR="00FD2E3F" w:rsidRPr="00FD2E3F">
        <w:rPr>
          <w:rFonts w:ascii="Avenir Next" w:hAnsi="Avenir Next"/>
          <w:b/>
          <w:color w:val="808080" w:themeColor="background1" w:themeShade="80"/>
        </w:rPr>
        <w:t>“SK”</w:t>
      </w:r>
      <w:r w:rsidR="00FD2E3F">
        <w:rPr>
          <w:rFonts w:ascii="Avenir Next" w:hAnsi="Avenir Next"/>
          <w:color w:val="808080" w:themeColor="background1" w:themeShade="80"/>
        </w:rPr>
        <w:t>) anticipates being unable to repay or refinance the bonds.</w:t>
      </w:r>
    </w:p>
    <w:p w14:paraId="6EBE440A" w14:textId="436741AE" w:rsidR="00FD2E3F" w:rsidRDefault="00FD2E3F" w:rsidP="001D3BAA">
      <w:pPr>
        <w:pStyle w:val="AODocTxt"/>
        <w:spacing w:before="0" w:line="240" w:lineRule="auto"/>
        <w:rPr>
          <w:rFonts w:ascii="Avenir Next" w:hAnsi="Avenir Next"/>
          <w:color w:val="808080" w:themeColor="background1" w:themeShade="80"/>
        </w:rPr>
      </w:pPr>
    </w:p>
    <w:p w14:paraId="6B4F8986" w14:textId="31923C94" w:rsidR="00FD2E3F" w:rsidRPr="002B5D64" w:rsidRDefault="00FD2E3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Foreign main proceedings are those commenced in the debtor’s center of main interest (</w:t>
      </w:r>
      <w:r w:rsidRPr="00FD2E3F">
        <w:rPr>
          <w:rFonts w:ascii="Avenir Next" w:hAnsi="Avenir Next"/>
          <w:b/>
          <w:color w:val="808080" w:themeColor="background1" w:themeShade="80"/>
        </w:rPr>
        <w:t>“COMI”</w:t>
      </w:r>
      <w:r>
        <w:rPr>
          <w:rFonts w:ascii="Avenir Next" w:hAnsi="Avenir Next"/>
          <w:color w:val="808080" w:themeColor="background1" w:themeShade="80"/>
        </w:rPr>
        <w:t xml:space="preserve">). We are told that SK has its principal place of business in France where it also </w:t>
      </w:r>
      <w:r>
        <w:rPr>
          <w:rFonts w:ascii="Avenir Next" w:hAnsi="Avenir Next"/>
          <w:color w:val="808080" w:themeColor="background1" w:themeShade="80"/>
        </w:rPr>
        <w:lastRenderedPageBreak/>
        <w:t xml:space="preserve">develops and manufactures high end skincare products which are then sold in Paris, Las Vegas, London and Hong Kong. This indicates that SK’s COMI is in France, so the scheme of arrangement would be recognized under US bankruptcy law as a foreign non-main proceeding as opposed to a foreign main proceeding.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xml:space="preserve">) the DOJ investigation, (ii) margin loan default; (iii) the delinquent lease and </w:t>
      </w:r>
      <w:proofErr w:type="gramStart"/>
      <w:r w:rsidRPr="00FB2838">
        <w:rPr>
          <w:rFonts w:ascii="Avenir Next" w:hAnsi="Avenir Next"/>
        </w:rPr>
        <w:t>(iv) the</w:t>
      </w:r>
      <w:proofErr w:type="gramEnd"/>
      <w:r w:rsidRPr="00FB2838">
        <w:rPr>
          <w:rFonts w:ascii="Avenir Next" w:hAnsi="Avenir Next"/>
        </w:rPr>
        <w:t xml:space="preserv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0677FF7C" w14:textId="5F5387A9" w:rsidR="00D6469A" w:rsidRDefault="00D6469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effect of a chapter 11 petition being filed by Speculation Inc on</w:t>
      </w:r>
      <w:r w:rsidR="00E37A6B">
        <w:rPr>
          <w:rFonts w:ascii="Avenir Next" w:hAnsi="Avenir Next"/>
          <w:color w:val="808080" w:themeColor="background1" w:themeShade="80"/>
        </w:rPr>
        <w:t>:</w:t>
      </w:r>
    </w:p>
    <w:p w14:paraId="37251A19" w14:textId="77777777" w:rsidR="00D6469A" w:rsidRDefault="00D6469A" w:rsidP="001D3BAA">
      <w:pPr>
        <w:pStyle w:val="AODocTxt"/>
        <w:spacing w:before="0" w:line="240" w:lineRule="auto"/>
        <w:rPr>
          <w:rFonts w:ascii="Avenir Next" w:hAnsi="Avenir Next"/>
          <w:color w:val="808080" w:themeColor="background1" w:themeShade="80"/>
        </w:rPr>
      </w:pPr>
    </w:p>
    <w:p w14:paraId="54D2D9DC" w14:textId="51E07E8C" w:rsidR="00D6469A" w:rsidRDefault="00D6469A" w:rsidP="0021156E">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DOJ investigation:</w:t>
      </w:r>
      <w:r w:rsidR="0021156E">
        <w:rPr>
          <w:rFonts w:ascii="Avenir Next" w:hAnsi="Avenir Next"/>
          <w:color w:val="808080" w:themeColor="background1" w:themeShade="80"/>
        </w:rPr>
        <w:t xml:space="preserve"> </w:t>
      </w:r>
      <w:r w:rsidR="00A43454">
        <w:rPr>
          <w:rFonts w:ascii="Avenir Next" w:hAnsi="Avenir Next"/>
          <w:color w:val="808080" w:themeColor="background1" w:themeShade="80"/>
        </w:rPr>
        <w:t xml:space="preserve">In cases of fraud, a court appointed trustee will step in to run the company throughout the bankruptcy proceeding. </w:t>
      </w:r>
    </w:p>
    <w:p w14:paraId="51844BC4" w14:textId="412DF6F2" w:rsidR="001D3BAA" w:rsidRDefault="00D6469A" w:rsidP="0021156E">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margin loan default</w:t>
      </w:r>
      <w:r w:rsidR="00720AD9">
        <w:rPr>
          <w:rFonts w:ascii="Avenir Next" w:hAnsi="Avenir Next"/>
          <w:color w:val="808080" w:themeColor="background1" w:themeShade="80"/>
        </w:rPr>
        <w:t xml:space="preserve">: the debtor would be entitled to an adjustment of debt through reorganization. </w:t>
      </w:r>
      <w:r w:rsidR="002402F9">
        <w:rPr>
          <w:rFonts w:ascii="Avenir Next" w:hAnsi="Avenir Next"/>
          <w:color w:val="808080" w:themeColor="background1" w:themeShade="80"/>
        </w:rPr>
        <w:t xml:space="preserve">This may enable him to restructure with a view to meeting his obligations under the loan. </w:t>
      </w:r>
    </w:p>
    <w:p w14:paraId="5B456C50" w14:textId="191CEE6E" w:rsidR="00D6469A" w:rsidRDefault="00D6469A" w:rsidP="0021156E">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delinquent lease: a debtor in possession has the ability to reject burdensome contracts</w:t>
      </w:r>
      <w:r w:rsidR="004F51F6">
        <w:rPr>
          <w:rFonts w:ascii="Avenir Next" w:hAnsi="Avenir Next"/>
          <w:color w:val="808080" w:themeColor="background1" w:themeShade="80"/>
        </w:rPr>
        <w:t xml:space="preserve"> and executory contracts such as a lease. It may also assign the lease even if there is a restriction prohibiting assignment contained in the lease itself. </w:t>
      </w:r>
    </w:p>
    <w:p w14:paraId="510A7DC7" w14:textId="5776F46E" w:rsidR="00D6469A" w:rsidRPr="002B5D64" w:rsidRDefault="0021156E" w:rsidP="0021156E">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employment discrimination lawsuit: </w:t>
      </w:r>
      <w:r w:rsidR="00E37A6B">
        <w:rPr>
          <w:rFonts w:ascii="Avenir Next" w:hAnsi="Avenir Next"/>
          <w:color w:val="808080" w:themeColor="background1" w:themeShade="80"/>
        </w:rPr>
        <w:t xml:space="preserve">as long as the lawsuit can be timely adjudicated, then the federal court will abstain from hearing such a proceeding.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75E231A"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D01049">
          <w:rPr>
            <w:rStyle w:val="PageNumber"/>
            <w:rFonts w:ascii="Avenir Next" w:hAnsi="Avenir Next" w:cs="Arial"/>
            <w:noProof/>
            <w:sz w:val="22"/>
            <w:szCs w:val="22"/>
          </w:rPr>
          <w:t>9</w:t>
        </w:r>
        <w:r w:rsidRPr="00494B81">
          <w:rPr>
            <w:rStyle w:val="PageNumber"/>
            <w:rFonts w:ascii="Avenir Next" w:hAnsi="Avenir Next" w:cs="Arial"/>
            <w:sz w:val="22"/>
            <w:szCs w:val="22"/>
          </w:rPr>
          <w:fldChar w:fldCharType="end"/>
        </w:r>
      </w:p>
    </w:sdtContent>
  </w:sdt>
  <w:p w14:paraId="30F05E79" w14:textId="002624C1" w:rsidR="00241FA3" w:rsidRPr="00494B81" w:rsidRDefault="0061795C" w:rsidP="009B4976">
    <w:pPr>
      <w:pStyle w:val="Footer"/>
      <w:ind w:right="360"/>
      <w:rPr>
        <w:rFonts w:ascii="Avenir Next" w:hAnsi="Avenir Next" w:cs="Arial"/>
        <w:sz w:val="22"/>
        <w:szCs w:val="22"/>
        <w:lang w:val="en-GB"/>
      </w:rPr>
    </w:pPr>
    <w:r w:rsidRPr="0061795C">
      <w:rPr>
        <w:rFonts w:ascii="Avenir Next" w:hAnsi="Avenir Next" w:cs="Arial"/>
        <w:sz w:val="22"/>
        <w:szCs w:val="22"/>
        <w:lang w:val="en-GB"/>
      </w:rPr>
      <w:t>202324-1380</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 w:id="1">
    <w:p w14:paraId="7018B06C" w14:textId="37DF6FD9" w:rsidR="002C1A21" w:rsidRDefault="002C1A21">
      <w:pPr>
        <w:pStyle w:val="FootnoteText"/>
      </w:pPr>
      <w:r>
        <w:rPr>
          <w:rStyle w:val="FootnoteReference"/>
        </w:rPr>
        <w:footnoteRef/>
      </w:r>
      <w:r>
        <w:t xml:space="preserve"> Page 40 </w:t>
      </w:r>
      <w:r w:rsidRPr="002C1A21">
        <w:t>WG 16 FCIIL Guidance Text Mod 3A Insolvency System of the US 202324 (FINAL)</w:t>
      </w:r>
    </w:p>
  </w:footnote>
  <w:footnote w:id="2">
    <w:p w14:paraId="0A24BEFF" w14:textId="23999DF7" w:rsidR="001776B3" w:rsidRDefault="001776B3">
      <w:pPr>
        <w:pStyle w:val="FootnoteText"/>
      </w:pPr>
      <w:r>
        <w:rPr>
          <w:rStyle w:val="FootnoteReference"/>
        </w:rPr>
        <w:footnoteRef/>
      </w:r>
      <w:r>
        <w:t xml:space="preserve"> Page 20 </w:t>
      </w:r>
      <w:r w:rsidRPr="002C1A21">
        <w:t>WG 16 FCIIL Guidance Text Mod 3A Insolvency System of the US 202324 (FINAL)</w:t>
      </w:r>
    </w:p>
  </w:footnote>
  <w:footnote w:id="3">
    <w:p w14:paraId="14A56AC2" w14:textId="7C00C86B" w:rsidR="00201895" w:rsidRDefault="00201895">
      <w:pPr>
        <w:pStyle w:val="FootnoteText"/>
      </w:pPr>
      <w:r>
        <w:rPr>
          <w:rStyle w:val="FootnoteReference"/>
        </w:rPr>
        <w:footnoteRef/>
      </w:r>
      <w:r>
        <w:t xml:space="preserve"> Page 66 </w:t>
      </w:r>
      <w:r w:rsidRPr="002C1A21">
        <w:t>WG 16 FCIIL Guidance Text Mod 3A Insolvency System of the US 202324 (FINAL)</w:t>
      </w:r>
    </w:p>
  </w:footnote>
  <w:footnote w:id="4">
    <w:p w14:paraId="56EFFB68" w14:textId="01FE7A2F" w:rsidR="00261452" w:rsidRDefault="00261452">
      <w:pPr>
        <w:pStyle w:val="FootnoteText"/>
      </w:pPr>
      <w:r>
        <w:rPr>
          <w:rStyle w:val="FootnoteReference"/>
        </w:rPr>
        <w:footnoteRef/>
      </w:r>
      <w:r>
        <w:t xml:space="preserve"> Page 73</w:t>
      </w:r>
      <w:r>
        <w:t xml:space="preserve"> </w:t>
      </w:r>
      <w:r w:rsidRPr="002C1A21">
        <w:t>WG 16 FCIIL Guidance Text Mod 3A Insolvency System of the US 202324 (FINAL</w:t>
      </w:r>
      <w:r>
        <w:t>)</w:t>
      </w:r>
    </w:p>
  </w:footnote>
  <w:footnote w:id="5">
    <w:p w14:paraId="37E3E49A" w14:textId="785DF4CE" w:rsidR="00261452" w:rsidRDefault="00261452">
      <w:pPr>
        <w:pStyle w:val="FootnoteText"/>
      </w:pPr>
      <w:r>
        <w:rPr>
          <w:rStyle w:val="FootnoteReference"/>
        </w:rPr>
        <w:footnoteRef/>
      </w:r>
      <w:r>
        <w:t xml:space="preserve"> Page 60 </w:t>
      </w:r>
      <w:r>
        <w:t xml:space="preserve">Page 66 </w:t>
      </w:r>
      <w:r w:rsidRPr="002C1A21">
        <w:t>WG 16 FCIIL Guidance Text Mod 3A Insolvency System of the US 202324 (FINAL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B515A"/>
    <w:multiLevelType w:val="hybridMultilevel"/>
    <w:tmpl w:val="3B66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22F05"/>
    <w:multiLevelType w:val="hybridMultilevel"/>
    <w:tmpl w:val="11043DA6"/>
    <w:lvl w:ilvl="0" w:tplc="6E74D1DA">
      <w:start w:val="1"/>
      <w:numFmt w:val="lowerRoman"/>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07EAF"/>
    <w:multiLevelType w:val="hybridMultilevel"/>
    <w:tmpl w:val="567080EA"/>
    <w:lvl w:ilvl="0" w:tplc="C820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C4F24"/>
    <w:multiLevelType w:val="hybridMultilevel"/>
    <w:tmpl w:val="17E40294"/>
    <w:lvl w:ilvl="0" w:tplc="D02E1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7"/>
  </w:num>
  <w:num w:numId="2">
    <w:abstractNumId w:val="31"/>
  </w:num>
  <w:num w:numId="3">
    <w:abstractNumId w:val="7"/>
  </w:num>
  <w:num w:numId="4">
    <w:abstractNumId w:val="11"/>
  </w:num>
  <w:num w:numId="5">
    <w:abstractNumId w:val="14"/>
  </w:num>
  <w:num w:numId="6">
    <w:abstractNumId w:val="34"/>
  </w:num>
  <w:num w:numId="7">
    <w:abstractNumId w:val="8"/>
  </w:num>
  <w:num w:numId="8">
    <w:abstractNumId w:val="37"/>
  </w:num>
  <w:num w:numId="9">
    <w:abstractNumId w:val="15"/>
  </w:num>
  <w:num w:numId="10">
    <w:abstractNumId w:val="30"/>
  </w:num>
  <w:num w:numId="11">
    <w:abstractNumId w:val="17"/>
  </w:num>
  <w:num w:numId="12">
    <w:abstractNumId w:val="26"/>
  </w:num>
  <w:num w:numId="13">
    <w:abstractNumId w:val="0"/>
  </w:num>
  <w:num w:numId="14">
    <w:abstractNumId w:val="13"/>
  </w:num>
  <w:num w:numId="15">
    <w:abstractNumId w:val="21"/>
  </w:num>
  <w:num w:numId="16">
    <w:abstractNumId w:val="10"/>
  </w:num>
  <w:num w:numId="17">
    <w:abstractNumId w:val="6"/>
  </w:num>
  <w:num w:numId="18">
    <w:abstractNumId w:val="5"/>
  </w:num>
  <w:num w:numId="19">
    <w:abstractNumId w:val="32"/>
  </w:num>
  <w:num w:numId="20">
    <w:abstractNumId w:val="9"/>
  </w:num>
  <w:num w:numId="21">
    <w:abstractNumId w:val="29"/>
  </w:num>
  <w:num w:numId="22">
    <w:abstractNumId w:val="39"/>
  </w:num>
  <w:num w:numId="23">
    <w:abstractNumId w:val="16"/>
  </w:num>
  <w:num w:numId="24">
    <w:abstractNumId w:val="33"/>
  </w:num>
  <w:num w:numId="25">
    <w:abstractNumId w:val="22"/>
  </w:num>
  <w:num w:numId="26">
    <w:abstractNumId w:val="24"/>
  </w:num>
  <w:num w:numId="27">
    <w:abstractNumId w:val="19"/>
  </w:num>
  <w:num w:numId="28">
    <w:abstractNumId w:val="35"/>
  </w:num>
  <w:num w:numId="29">
    <w:abstractNumId w:val="2"/>
  </w:num>
  <w:num w:numId="30">
    <w:abstractNumId w:val="20"/>
  </w:num>
  <w:num w:numId="31">
    <w:abstractNumId w:val="25"/>
  </w:num>
  <w:num w:numId="32">
    <w:abstractNumId w:val="40"/>
  </w:num>
  <w:num w:numId="33">
    <w:abstractNumId w:val="18"/>
  </w:num>
  <w:num w:numId="34">
    <w:abstractNumId w:val="3"/>
  </w:num>
  <w:num w:numId="35">
    <w:abstractNumId w:val="36"/>
  </w:num>
  <w:num w:numId="36">
    <w:abstractNumId w:val="38"/>
  </w:num>
  <w:num w:numId="37">
    <w:abstractNumId w:val="12"/>
  </w:num>
  <w:num w:numId="38">
    <w:abstractNumId w:val="23"/>
  </w:num>
  <w:num w:numId="39">
    <w:abstractNumId w:val="28"/>
  </w:num>
  <w:num w:numId="40">
    <w:abstractNumId w:val="4"/>
  </w:num>
  <w:num w:numId="4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596B"/>
    <w:rsid w:val="000778B1"/>
    <w:rsid w:val="000810B2"/>
    <w:rsid w:val="00082609"/>
    <w:rsid w:val="000851CC"/>
    <w:rsid w:val="0008559D"/>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776B3"/>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1895"/>
    <w:rsid w:val="00202DFE"/>
    <w:rsid w:val="0020725B"/>
    <w:rsid w:val="002110F1"/>
    <w:rsid w:val="0021156E"/>
    <w:rsid w:val="002204B8"/>
    <w:rsid w:val="00223917"/>
    <w:rsid w:val="00224888"/>
    <w:rsid w:val="002402F9"/>
    <w:rsid w:val="0024116D"/>
    <w:rsid w:val="00241B44"/>
    <w:rsid w:val="00241FA3"/>
    <w:rsid w:val="00245EFB"/>
    <w:rsid w:val="0025386E"/>
    <w:rsid w:val="00256B74"/>
    <w:rsid w:val="00261452"/>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1A21"/>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424B7"/>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0F06"/>
    <w:rsid w:val="003E67D1"/>
    <w:rsid w:val="00404329"/>
    <w:rsid w:val="00405DC1"/>
    <w:rsid w:val="00415F1F"/>
    <w:rsid w:val="004172DA"/>
    <w:rsid w:val="0042108F"/>
    <w:rsid w:val="004248F6"/>
    <w:rsid w:val="004273B0"/>
    <w:rsid w:val="00430FED"/>
    <w:rsid w:val="00434A8C"/>
    <w:rsid w:val="00435733"/>
    <w:rsid w:val="00436E7F"/>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5746"/>
    <w:rsid w:val="004D64F9"/>
    <w:rsid w:val="004E1F4B"/>
    <w:rsid w:val="004E3A6B"/>
    <w:rsid w:val="004E5AF5"/>
    <w:rsid w:val="004E622C"/>
    <w:rsid w:val="004F49B5"/>
    <w:rsid w:val="004F51F6"/>
    <w:rsid w:val="004F5FDF"/>
    <w:rsid w:val="004F7B99"/>
    <w:rsid w:val="005056CF"/>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0C27"/>
    <w:rsid w:val="005C1C1C"/>
    <w:rsid w:val="005D1293"/>
    <w:rsid w:val="005D27A5"/>
    <w:rsid w:val="005D4357"/>
    <w:rsid w:val="005D43E0"/>
    <w:rsid w:val="005D58A3"/>
    <w:rsid w:val="005D6642"/>
    <w:rsid w:val="005E1B79"/>
    <w:rsid w:val="005E6076"/>
    <w:rsid w:val="005E7008"/>
    <w:rsid w:val="005F026D"/>
    <w:rsid w:val="005F1978"/>
    <w:rsid w:val="005F1B2A"/>
    <w:rsid w:val="005F2AEA"/>
    <w:rsid w:val="005F2D0B"/>
    <w:rsid w:val="005F4B31"/>
    <w:rsid w:val="00610388"/>
    <w:rsid w:val="00610AC7"/>
    <w:rsid w:val="00612CA5"/>
    <w:rsid w:val="006153EC"/>
    <w:rsid w:val="0061795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1DC0"/>
    <w:rsid w:val="00704852"/>
    <w:rsid w:val="007074E9"/>
    <w:rsid w:val="00713DA4"/>
    <w:rsid w:val="00714BF1"/>
    <w:rsid w:val="00717C2C"/>
    <w:rsid w:val="00720AD9"/>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0A3"/>
    <w:rsid w:val="00784128"/>
    <w:rsid w:val="00787BCC"/>
    <w:rsid w:val="00793173"/>
    <w:rsid w:val="007A2A33"/>
    <w:rsid w:val="007A3703"/>
    <w:rsid w:val="007A5191"/>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8F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66A91"/>
    <w:rsid w:val="00980E61"/>
    <w:rsid w:val="0098560B"/>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4591"/>
    <w:rsid w:val="009D5B73"/>
    <w:rsid w:val="009E1897"/>
    <w:rsid w:val="009E2AEB"/>
    <w:rsid w:val="009E2E27"/>
    <w:rsid w:val="009E45DF"/>
    <w:rsid w:val="009E4DE3"/>
    <w:rsid w:val="009F275E"/>
    <w:rsid w:val="00A000BD"/>
    <w:rsid w:val="00A024E7"/>
    <w:rsid w:val="00A047EE"/>
    <w:rsid w:val="00A04D79"/>
    <w:rsid w:val="00A2274A"/>
    <w:rsid w:val="00A235B7"/>
    <w:rsid w:val="00A27A7A"/>
    <w:rsid w:val="00A3165E"/>
    <w:rsid w:val="00A34ABE"/>
    <w:rsid w:val="00A407EF"/>
    <w:rsid w:val="00A40BA8"/>
    <w:rsid w:val="00A43454"/>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1413"/>
    <w:rsid w:val="00AC3839"/>
    <w:rsid w:val="00AC7082"/>
    <w:rsid w:val="00AD4BE8"/>
    <w:rsid w:val="00AF228E"/>
    <w:rsid w:val="00B016A8"/>
    <w:rsid w:val="00B01E81"/>
    <w:rsid w:val="00B10961"/>
    <w:rsid w:val="00B14819"/>
    <w:rsid w:val="00B15E2F"/>
    <w:rsid w:val="00B17AA9"/>
    <w:rsid w:val="00B27E6E"/>
    <w:rsid w:val="00B44713"/>
    <w:rsid w:val="00B56103"/>
    <w:rsid w:val="00B62C9E"/>
    <w:rsid w:val="00B634B6"/>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C51D9"/>
    <w:rsid w:val="00BD43C7"/>
    <w:rsid w:val="00BD4A58"/>
    <w:rsid w:val="00BD7337"/>
    <w:rsid w:val="00BE4FF3"/>
    <w:rsid w:val="00BF0003"/>
    <w:rsid w:val="00BF1B3E"/>
    <w:rsid w:val="00BF50F7"/>
    <w:rsid w:val="00BF6B84"/>
    <w:rsid w:val="00C02F29"/>
    <w:rsid w:val="00C05A9F"/>
    <w:rsid w:val="00C20AFE"/>
    <w:rsid w:val="00C22A25"/>
    <w:rsid w:val="00C22EB2"/>
    <w:rsid w:val="00C24FAB"/>
    <w:rsid w:val="00C32CF3"/>
    <w:rsid w:val="00C35671"/>
    <w:rsid w:val="00C35B77"/>
    <w:rsid w:val="00C362AA"/>
    <w:rsid w:val="00C376EB"/>
    <w:rsid w:val="00C452BC"/>
    <w:rsid w:val="00C46A92"/>
    <w:rsid w:val="00C46EC1"/>
    <w:rsid w:val="00C47BEB"/>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1049"/>
    <w:rsid w:val="00D041E0"/>
    <w:rsid w:val="00D04AFE"/>
    <w:rsid w:val="00D11729"/>
    <w:rsid w:val="00D14336"/>
    <w:rsid w:val="00D148DC"/>
    <w:rsid w:val="00D17FDC"/>
    <w:rsid w:val="00D21021"/>
    <w:rsid w:val="00D21D8C"/>
    <w:rsid w:val="00D221F8"/>
    <w:rsid w:val="00D2621C"/>
    <w:rsid w:val="00D316F2"/>
    <w:rsid w:val="00D34584"/>
    <w:rsid w:val="00D44885"/>
    <w:rsid w:val="00D53719"/>
    <w:rsid w:val="00D61CC1"/>
    <w:rsid w:val="00D61F4E"/>
    <w:rsid w:val="00D6273C"/>
    <w:rsid w:val="00D63EFD"/>
    <w:rsid w:val="00D6469A"/>
    <w:rsid w:val="00D7456A"/>
    <w:rsid w:val="00D84752"/>
    <w:rsid w:val="00D85559"/>
    <w:rsid w:val="00D85AF6"/>
    <w:rsid w:val="00D86B3B"/>
    <w:rsid w:val="00D8748A"/>
    <w:rsid w:val="00D93196"/>
    <w:rsid w:val="00D9565D"/>
    <w:rsid w:val="00DA0DC0"/>
    <w:rsid w:val="00DA1D45"/>
    <w:rsid w:val="00DA5242"/>
    <w:rsid w:val="00DB243C"/>
    <w:rsid w:val="00DB2974"/>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37A6B"/>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3336"/>
    <w:rsid w:val="00F27CD8"/>
    <w:rsid w:val="00F30351"/>
    <w:rsid w:val="00F3323E"/>
    <w:rsid w:val="00F341F4"/>
    <w:rsid w:val="00F34F9D"/>
    <w:rsid w:val="00F35CCE"/>
    <w:rsid w:val="00F418CA"/>
    <w:rsid w:val="00F5524B"/>
    <w:rsid w:val="00F60126"/>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3F"/>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0028670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E836-00C2-4B58-9F0C-27BD599E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9</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Norton | Campbells</cp:lastModifiedBy>
  <cp:revision>26</cp:revision>
  <cp:lastPrinted>2019-08-27T05:42:00Z</cp:lastPrinted>
  <dcterms:created xsi:type="dcterms:W3CDTF">2023-11-15T13:51:00Z</dcterms:created>
  <dcterms:modified xsi:type="dcterms:W3CDTF">2024-03-01T13:34:00Z</dcterms:modified>
</cp:coreProperties>
</file>