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A323B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112345">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CF2DFC" w:rsidRDefault="00B263D0" w:rsidP="00112345">
      <w:pPr>
        <w:pStyle w:val="ListParagraph"/>
        <w:numPr>
          <w:ilvl w:val="0"/>
          <w:numId w:val="1"/>
        </w:numPr>
        <w:ind w:left="426" w:hanging="426"/>
        <w:jc w:val="both"/>
        <w:rPr>
          <w:rFonts w:ascii="Avenir Next" w:hAnsi="Avenir Next" w:cs="Arial"/>
          <w:sz w:val="22"/>
          <w:szCs w:val="22"/>
          <w:highlight w:val="yellow"/>
          <w:lang w:val="en-GB"/>
        </w:rPr>
      </w:pPr>
      <w:r w:rsidRPr="00CF2DFC">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112345">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C532D0" w:rsidRDefault="00AD0E59" w:rsidP="00112345">
      <w:pPr>
        <w:pStyle w:val="ListParagraph"/>
        <w:numPr>
          <w:ilvl w:val="0"/>
          <w:numId w:val="11"/>
        </w:numPr>
        <w:ind w:left="426" w:hanging="426"/>
        <w:rPr>
          <w:rFonts w:ascii="Avenir Next" w:hAnsi="Avenir Next"/>
          <w:sz w:val="22"/>
          <w:szCs w:val="28"/>
        </w:rPr>
      </w:pPr>
      <w:r w:rsidRPr="00C532D0">
        <w:rPr>
          <w:rFonts w:ascii="Avenir Next" w:hAnsi="Avenir Next"/>
          <w:sz w:val="22"/>
          <w:szCs w:val="28"/>
        </w:rPr>
        <w:t>Rise of corporations.</w:t>
      </w:r>
    </w:p>
    <w:p w14:paraId="3E790C4C" w14:textId="77777777" w:rsidR="00AD0E59" w:rsidRPr="00C532D0" w:rsidRDefault="00AD0E59" w:rsidP="00AD0E59">
      <w:pPr>
        <w:pStyle w:val="ListParagraph"/>
        <w:ind w:left="426" w:hanging="426"/>
        <w:rPr>
          <w:rFonts w:ascii="Avenir Next" w:hAnsi="Avenir Next"/>
          <w:sz w:val="22"/>
          <w:szCs w:val="28"/>
        </w:rPr>
      </w:pPr>
    </w:p>
    <w:p w14:paraId="44D98AEA" w14:textId="77777777" w:rsidR="00AD0E59" w:rsidRPr="00C532D0" w:rsidRDefault="00AD0E59" w:rsidP="00112345">
      <w:pPr>
        <w:pStyle w:val="ListParagraph"/>
        <w:numPr>
          <w:ilvl w:val="0"/>
          <w:numId w:val="11"/>
        </w:numPr>
        <w:ind w:left="426" w:hanging="426"/>
        <w:rPr>
          <w:rFonts w:ascii="Avenir Next" w:hAnsi="Avenir Next"/>
          <w:sz w:val="22"/>
          <w:szCs w:val="28"/>
        </w:rPr>
      </w:pPr>
      <w:r w:rsidRPr="00C532D0">
        <w:rPr>
          <w:rFonts w:ascii="Avenir Next" w:hAnsi="Avenir Next"/>
          <w:sz w:val="22"/>
          <w:szCs w:val="28"/>
        </w:rPr>
        <w:t>Internationalisation.</w:t>
      </w:r>
    </w:p>
    <w:p w14:paraId="68B2FB89" w14:textId="77777777" w:rsidR="00AD0E59" w:rsidRPr="00C532D0" w:rsidRDefault="00AD0E59" w:rsidP="00AD0E59">
      <w:pPr>
        <w:ind w:left="426" w:hanging="426"/>
        <w:rPr>
          <w:rFonts w:ascii="Avenir Next" w:hAnsi="Avenir Next"/>
          <w:sz w:val="22"/>
          <w:szCs w:val="28"/>
        </w:rPr>
      </w:pPr>
    </w:p>
    <w:p w14:paraId="3568B061" w14:textId="0AA438B4" w:rsidR="00AD0E59" w:rsidRPr="00C532D0" w:rsidRDefault="00AD0E59" w:rsidP="00112345">
      <w:pPr>
        <w:pStyle w:val="ListParagraph"/>
        <w:numPr>
          <w:ilvl w:val="0"/>
          <w:numId w:val="11"/>
        </w:numPr>
        <w:ind w:left="426" w:hanging="426"/>
        <w:rPr>
          <w:rFonts w:ascii="Avenir Next" w:hAnsi="Avenir Next"/>
          <w:sz w:val="22"/>
          <w:szCs w:val="28"/>
        </w:rPr>
      </w:pPr>
      <w:r w:rsidRPr="00C532D0">
        <w:rPr>
          <w:rFonts w:ascii="Avenir Next" w:hAnsi="Avenir Next"/>
          <w:sz w:val="22"/>
          <w:szCs w:val="28"/>
        </w:rPr>
        <w:t>Globali</w:t>
      </w:r>
      <w:r w:rsidR="00B66441" w:rsidRPr="00C532D0">
        <w:rPr>
          <w:rFonts w:ascii="Avenir Next" w:hAnsi="Avenir Next"/>
          <w:sz w:val="22"/>
          <w:szCs w:val="28"/>
        </w:rPr>
        <w:t>z</w:t>
      </w:r>
      <w:r w:rsidRPr="00C532D0">
        <w:rPr>
          <w:rFonts w:ascii="Avenir Next" w:hAnsi="Avenir Next"/>
          <w:sz w:val="22"/>
          <w:szCs w:val="28"/>
        </w:rPr>
        <w:t>ation.</w:t>
      </w:r>
    </w:p>
    <w:p w14:paraId="0C434B83" w14:textId="77777777" w:rsidR="00AD0E59" w:rsidRPr="00C532D0" w:rsidRDefault="00AD0E59" w:rsidP="00AD0E59">
      <w:pPr>
        <w:ind w:left="426" w:hanging="426"/>
        <w:rPr>
          <w:rFonts w:ascii="Avenir Next" w:hAnsi="Avenir Next"/>
          <w:sz w:val="22"/>
          <w:szCs w:val="28"/>
        </w:rPr>
      </w:pPr>
    </w:p>
    <w:p w14:paraId="0CB4A501" w14:textId="77777777" w:rsidR="00AD0E59" w:rsidRPr="00C532D0" w:rsidRDefault="00AD0E59" w:rsidP="00112345">
      <w:pPr>
        <w:pStyle w:val="ListParagraph"/>
        <w:numPr>
          <w:ilvl w:val="0"/>
          <w:numId w:val="11"/>
        </w:numPr>
        <w:ind w:left="426" w:hanging="426"/>
        <w:rPr>
          <w:rFonts w:ascii="Avenir Next" w:hAnsi="Avenir Next"/>
          <w:sz w:val="22"/>
          <w:szCs w:val="28"/>
        </w:rPr>
      </w:pPr>
      <w:r w:rsidRPr="00C532D0">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Pr="001A21F6" w:rsidRDefault="00AD0E59" w:rsidP="00112345">
      <w:pPr>
        <w:pStyle w:val="ListParagraph"/>
        <w:numPr>
          <w:ilvl w:val="0"/>
          <w:numId w:val="11"/>
        </w:numPr>
        <w:ind w:left="426" w:hanging="426"/>
        <w:rPr>
          <w:rFonts w:ascii="Avenir Next" w:hAnsi="Avenir Next"/>
          <w:sz w:val="22"/>
          <w:szCs w:val="28"/>
        </w:rPr>
      </w:pPr>
      <w:r w:rsidRPr="001A21F6">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Pr="008933B6" w:rsidRDefault="00AD0E59" w:rsidP="00112345">
      <w:pPr>
        <w:pStyle w:val="ListParagraph"/>
        <w:numPr>
          <w:ilvl w:val="0"/>
          <w:numId w:val="11"/>
        </w:numPr>
        <w:ind w:left="426" w:hanging="426"/>
        <w:rPr>
          <w:rFonts w:ascii="Avenir Next" w:hAnsi="Avenir Next"/>
          <w:sz w:val="22"/>
          <w:szCs w:val="28"/>
        </w:rPr>
      </w:pPr>
      <w:r w:rsidRPr="008933B6">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6F4B72" w:rsidRDefault="00AD0E59" w:rsidP="00112345">
      <w:pPr>
        <w:pStyle w:val="ListParagraph"/>
        <w:numPr>
          <w:ilvl w:val="0"/>
          <w:numId w:val="10"/>
        </w:numPr>
        <w:ind w:left="426" w:hanging="426"/>
        <w:jc w:val="both"/>
        <w:rPr>
          <w:rFonts w:ascii="Avenir Next" w:hAnsi="Avenir Next" w:cs="Arial"/>
          <w:sz w:val="22"/>
          <w:szCs w:val="22"/>
          <w:highlight w:val="yellow"/>
          <w:lang w:val="en-GB"/>
        </w:rPr>
      </w:pPr>
      <w:r w:rsidRPr="006F4B72">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6F4B72" w:rsidRDefault="00AD0E59" w:rsidP="00112345">
      <w:pPr>
        <w:pStyle w:val="ListParagraph"/>
        <w:numPr>
          <w:ilvl w:val="0"/>
          <w:numId w:val="10"/>
        </w:numPr>
        <w:ind w:left="426" w:hanging="426"/>
        <w:jc w:val="both"/>
        <w:rPr>
          <w:rFonts w:ascii="Avenir Next" w:hAnsi="Avenir Next" w:cs="Arial"/>
          <w:sz w:val="22"/>
          <w:szCs w:val="22"/>
          <w:lang w:val="en-GB"/>
        </w:rPr>
      </w:pPr>
      <w:r w:rsidRPr="006F4B72">
        <w:rPr>
          <w:rFonts w:ascii="Avenir Next" w:hAnsi="Avenir Next" w:cs="Arial"/>
          <w:sz w:val="22"/>
          <w:szCs w:val="22"/>
          <w:lang w:val="en-GB"/>
        </w:rPr>
        <w:t>Options (i),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11234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11234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6F4B72" w:rsidRDefault="00893A03" w:rsidP="00112345">
      <w:pPr>
        <w:pStyle w:val="ListParagraph"/>
        <w:numPr>
          <w:ilvl w:val="0"/>
          <w:numId w:val="12"/>
        </w:numPr>
        <w:ind w:left="426" w:hanging="426"/>
        <w:jc w:val="both"/>
        <w:rPr>
          <w:rFonts w:ascii="Avenir Next" w:hAnsi="Avenir Next"/>
          <w:sz w:val="22"/>
          <w:szCs w:val="28"/>
        </w:rPr>
      </w:pPr>
      <w:r w:rsidRPr="006F4B72">
        <w:rPr>
          <w:rFonts w:ascii="Avenir Next" w:hAnsi="Avenir Next"/>
          <w:sz w:val="22"/>
          <w:szCs w:val="28"/>
        </w:rPr>
        <w:t>It is legislation that imposes a mandatory reciprocity on the participating members.</w:t>
      </w:r>
    </w:p>
    <w:p w14:paraId="0FE2C4BF" w14:textId="77777777" w:rsidR="00893A03" w:rsidRPr="006F4B72" w:rsidRDefault="00893A03" w:rsidP="00893A03">
      <w:pPr>
        <w:pStyle w:val="ListParagraph"/>
        <w:ind w:left="426" w:hanging="426"/>
        <w:jc w:val="both"/>
        <w:rPr>
          <w:rFonts w:ascii="Avenir Next" w:hAnsi="Avenir Next"/>
          <w:sz w:val="22"/>
          <w:szCs w:val="28"/>
        </w:rPr>
      </w:pPr>
    </w:p>
    <w:p w14:paraId="09A2897D" w14:textId="77777777" w:rsidR="00893A03" w:rsidRPr="006F4B72" w:rsidRDefault="00893A03" w:rsidP="00112345">
      <w:pPr>
        <w:pStyle w:val="ListParagraph"/>
        <w:numPr>
          <w:ilvl w:val="0"/>
          <w:numId w:val="12"/>
        </w:numPr>
        <w:ind w:left="426" w:hanging="426"/>
        <w:jc w:val="both"/>
        <w:rPr>
          <w:rFonts w:ascii="Avenir Next" w:hAnsi="Avenir Next"/>
          <w:sz w:val="22"/>
          <w:szCs w:val="28"/>
        </w:rPr>
      </w:pPr>
      <w:r w:rsidRPr="006F4B72">
        <w:rPr>
          <w:rFonts w:ascii="Avenir Next" w:hAnsi="Avenir Next"/>
          <w:sz w:val="22"/>
          <w:szCs w:val="28"/>
        </w:rPr>
        <w:t>It is a legislative text that serves as a recommendation for incorporation in national laws.</w:t>
      </w:r>
    </w:p>
    <w:p w14:paraId="3B81396E" w14:textId="77777777" w:rsidR="00893A03" w:rsidRPr="006F4B72" w:rsidRDefault="00893A03" w:rsidP="00893A03">
      <w:pPr>
        <w:ind w:left="426" w:hanging="426"/>
        <w:jc w:val="both"/>
        <w:rPr>
          <w:rFonts w:ascii="Avenir Next" w:hAnsi="Avenir Next"/>
          <w:sz w:val="22"/>
          <w:szCs w:val="28"/>
        </w:rPr>
      </w:pPr>
    </w:p>
    <w:p w14:paraId="67851391" w14:textId="77777777" w:rsidR="00893A03" w:rsidRPr="006F4B72" w:rsidRDefault="00893A03" w:rsidP="00112345">
      <w:pPr>
        <w:pStyle w:val="ListParagraph"/>
        <w:numPr>
          <w:ilvl w:val="0"/>
          <w:numId w:val="12"/>
        </w:numPr>
        <w:ind w:left="426" w:hanging="426"/>
        <w:jc w:val="both"/>
        <w:rPr>
          <w:rFonts w:ascii="Avenir Next" w:hAnsi="Avenir Next"/>
          <w:sz w:val="22"/>
          <w:szCs w:val="28"/>
        </w:rPr>
      </w:pPr>
      <w:r w:rsidRPr="006F4B72">
        <w:rPr>
          <w:rFonts w:ascii="Avenir Next" w:hAnsi="Avenir Next"/>
          <w:sz w:val="22"/>
          <w:szCs w:val="28"/>
        </w:rPr>
        <w:t>It is intended to substantively unify the insolvency laws of the foreign nations.</w:t>
      </w:r>
    </w:p>
    <w:p w14:paraId="774C7D03" w14:textId="77777777" w:rsidR="00893A03" w:rsidRPr="006F4B72" w:rsidRDefault="00893A03" w:rsidP="00893A03">
      <w:pPr>
        <w:ind w:left="426" w:hanging="426"/>
        <w:jc w:val="both"/>
        <w:rPr>
          <w:rFonts w:ascii="Avenir Next" w:hAnsi="Avenir Next"/>
          <w:sz w:val="22"/>
          <w:szCs w:val="28"/>
        </w:rPr>
      </w:pPr>
    </w:p>
    <w:p w14:paraId="4C64C60A" w14:textId="77777777" w:rsidR="00893A03" w:rsidRPr="006F4B72" w:rsidRDefault="00893A03" w:rsidP="00112345">
      <w:pPr>
        <w:pStyle w:val="ListParagraph"/>
        <w:numPr>
          <w:ilvl w:val="0"/>
          <w:numId w:val="12"/>
        </w:numPr>
        <w:ind w:left="426" w:hanging="426"/>
        <w:jc w:val="both"/>
        <w:rPr>
          <w:rFonts w:ascii="Avenir Next" w:hAnsi="Avenir Next"/>
          <w:sz w:val="22"/>
          <w:szCs w:val="28"/>
        </w:rPr>
      </w:pPr>
      <w:r w:rsidRPr="006F4B72">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11234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11234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4B4E17" w:rsidRDefault="00893A03" w:rsidP="00112345">
      <w:pPr>
        <w:pStyle w:val="ListParagraph"/>
        <w:numPr>
          <w:ilvl w:val="0"/>
          <w:numId w:val="2"/>
        </w:numPr>
        <w:ind w:left="426" w:hanging="426"/>
        <w:jc w:val="both"/>
        <w:rPr>
          <w:rFonts w:ascii="Avenir Next" w:hAnsi="Avenir Next" w:cs="Arial"/>
          <w:sz w:val="22"/>
          <w:szCs w:val="22"/>
          <w:highlight w:val="yellow"/>
          <w:lang w:val="en-GB"/>
        </w:rPr>
      </w:pPr>
      <w:r w:rsidRPr="004B4E17">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11234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6F4B72" w:rsidRDefault="00812AFE" w:rsidP="00112345">
      <w:pPr>
        <w:pStyle w:val="ListParagraph"/>
        <w:numPr>
          <w:ilvl w:val="0"/>
          <w:numId w:val="13"/>
        </w:numPr>
        <w:ind w:left="426" w:hanging="426"/>
        <w:jc w:val="both"/>
        <w:rPr>
          <w:rFonts w:ascii="Avenir Next" w:hAnsi="Avenir Next"/>
          <w:sz w:val="22"/>
          <w:szCs w:val="32"/>
        </w:rPr>
      </w:pPr>
      <w:r w:rsidRPr="006F4B72">
        <w:rPr>
          <w:rFonts w:ascii="Avenir Next" w:hAnsi="Avenir Next"/>
          <w:sz w:val="22"/>
          <w:szCs w:val="32"/>
        </w:rPr>
        <w:t>To provide greater legal certainty for trade and investment.</w:t>
      </w:r>
    </w:p>
    <w:p w14:paraId="6108D362" w14:textId="77777777" w:rsidR="00812AFE" w:rsidRPr="006F4B72" w:rsidRDefault="00812AFE" w:rsidP="00C00111">
      <w:pPr>
        <w:pStyle w:val="ListParagraph"/>
        <w:ind w:left="426" w:hanging="426"/>
        <w:jc w:val="both"/>
        <w:rPr>
          <w:rFonts w:ascii="Avenir Next" w:hAnsi="Avenir Next"/>
          <w:sz w:val="22"/>
          <w:szCs w:val="32"/>
        </w:rPr>
      </w:pPr>
    </w:p>
    <w:p w14:paraId="2AA2541C" w14:textId="3C7E8949" w:rsidR="00812AFE" w:rsidRPr="006F4B72" w:rsidRDefault="00812AFE" w:rsidP="00112345">
      <w:pPr>
        <w:pStyle w:val="ListParagraph"/>
        <w:numPr>
          <w:ilvl w:val="0"/>
          <w:numId w:val="13"/>
        </w:numPr>
        <w:ind w:left="426" w:hanging="426"/>
        <w:jc w:val="both"/>
        <w:rPr>
          <w:rFonts w:ascii="Avenir Next" w:hAnsi="Avenir Next"/>
          <w:sz w:val="22"/>
          <w:szCs w:val="32"/>
        </w:rPr>
      </w:pPr>
      <w:r w:rsidRPr="006F4B72">
        <w:rPr>
          <w:rFonts w:ascii="Avenir Next" w:hAnsi="Avenir Next"/>
          <w:sz w:val="22"/>
          <w:szCs w:val="32"/>
        </w:rPr>
        <w:t>To provide protection and maximi</w:t>
      </w:r>
      <w:r w:rsidR="00B66441" w:rsidRPr="006F4B72">
        <w:rPr>
          <w:rFonts w:ascii="Avenir Next" w:hAnsi="Avenir Next"/>
          <w:sz w:val="22"/>
          <w:szCs w:val="32"/>
        </w:rPr>
        <w:t>z</w:t>
      </w:r>
      <w:r w:rsidRPr="006F4B72">
        <w:rPr>
          <w:rFonts w:ascii="Avenir Next" w:hAnsi="Avenir Next"/>
          <w:sz w:val="22"/>
          <w:szCs w:val="32"/>
        </w:rPr>
        <w:t>ation of value of the debtor’s assets.</w:t>
      </w:r>
    </w:p>
    <w:p w14:paraId="3081732A" w14:textId="77777777" w:rsidR="00812AFE" w:rsidRPr="006F4B72" w:rsidRDefault="00812AFE" w:rsidP="00C00111">
      <w:pPr>
        <w:ind w:left="426" w:hanging="426"/>
        <w:jc w:val="both"/>
        <w:rPr>
          <w:rFonts w:ascii="Avenir Next" w:hAnsi="Avenir Next"/>
          <w:sz w:val="22"/>
          <w:szCs w:val="32"/>
        </w:rPr>
      </w:pPr>
    </w:p>
    <w:p w14:paraId="712BE68D" w14:textId="77777777" w:rsidR="00812AFE" w:rsidRPr="006F4B72" w:rsidRDefault="00812AFE" w:rsidP="00112345">
      <w:pPr>
        <w:pStyle w:val="ListParagraph"/>
        <w:numPr>
          <w:ilvl w:val="0"/>
          <w:numId w:val="13"/>
        </w:numPr>
        <w:ind w:left="426" w:hanging="426"/>
        <w:jc w:val="both"/>
        <w:rPr>
          <w:rFonts w:ascii="Avenir Next" w:hAnsi="Avenir Next"/>
          <w:sz w:val="22"/>
          <w:szCs w:val="32"/>
        </w:rPr>
      </w:pPr>
      <w:r w:rsidRPr="006F4B72">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6F4B72" w:rsidRDefault="00812AFE" w:rsidP="00C00111">
      <w:pPr>
        <w:ind w:left="426" w:hanging="426"/>
        <w:jc w:val="both"/>
        <w:rPr>
          <w:rFonts w:ascii="Avenir Next" w:hAnsi="Avenir Next"/>
          <w:sz w:val="22"/>
          <w:szCs w:val="32"/>
        </w:rPr>
      </w:pPr>
    </w:p>
    <w:p w14:paraId="61EBC598" w14:textId="77777777" w:rsidR="00812AFE" w:rsidRPr="006F4B72" w:rsidRDefault="00812AFE" w:rsidP="00112345">
      <w:pPr>
        <w:pStyle w:val="ListParagraph"/>
        <w:numPr>
          <w:ilvl w:val="0"/>
          <w:numId w:val="13"/>
        </w:numPr>
        <w:ind w:left="426" w:hanging="426"/>
        <w:jc w:val="both"/>
        <w:rPr>
          <w:rFonts w:ascii="Avenir Next" w:hAnsi="Avenir Next"/>
          <w:sz w:val="22"/>
          <w:szCs w:val="32"/>
        </w:rPr>
      </w:pPr>
      <w:r w:rsidRPr="006F4B72">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11234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284D31" w:rsidRDefault="00812AFE" w:rsidP="00112345">
      <w:pPr>
        <w:pStyle w:val="ListParagraph"/>
        <w:numPr>
          <w:ilvl w:val="0"/>
          <w:numId w:val="3"/>
        </w:numPr>
        <w:ind w:left="426" w:hanging="426"/>
        <w:jc w:val="both"/>
        <w:rPr>
          <w:rFonts w:ascii="Avenir Next" w:hAnsi="Avenir Next" w:cs="Arial"/>
          <w:sz w:val="22"/>
          <w:szCs w:val="22"/>
          <w:highlight w:val="yellow"/>
          <w:lang w:val="en-GB"/>
        </w:rPr>
      </w:pPr>
      <w:r w:rsidRPr="00284D31">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11234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11234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11234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6F4B72" w:rsidRDefault="003220BA" w:rsidP="00112345">
      <w:pPr>
        <w:pStyle w:val="ListParagraph"/>
        <w:numPr>
          <w:ilvl w:val="0"/>
          <w:numId w:val="14"/>
        </w:numPr>
        <w:ind w:left="426" w:hanging="426"/>
        <w:jc w:val="both"/>
        <w:rPr>
          <w:rFonts w:ascii="Avenir Next" w:hAnsi="Avenir Next"/>
          <w:sz w:val="22"/>
          <w:szCs w:val="28"/>
        </w:rPr>
      </w:pPr>
      <w:r w:rsidRPr="006F4B72">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6F4B72" w:rsidRDefault="003220BA" w:rsidP="00C00111">
      <w:pPr>
        <w:pStyle w:val="ListParagraph"/>
        <w:ind w:left="426" w:hanging="426"/>
        <w:jc w:val="both"/>
        <w:rPr>
          <w:rFonts w:ascii="Avenir Next" w:hAnsi="Avenir Next"/>
          <w:sz w:val="22"/>
          <w:szCs w:val="28"/>
        </w:rPr>
      </w:pPr>
    </w:p>
    <w:p w14:paraId="4C73762D" w14:textId="77777777" w:rsidR="003220BA" w:rsidRPr="006F4B72" w:rsidRDefault="003220BA" w:rsidP="00112345">
      <w:pPr>
        <w:pStyle w:val="ListParagraph"/>
        <w:numPr>
          <w:ilvl w:val="0"/>
          <w:numId w:val="14"/>
        </w:numPr>
        <w:ind w:left="426" w:hanging="426"/>
        <w:jc w:val="both"/>
        <w:rPr>
          <w:rFonts w:ascii="Avenir Next" w:hAnsi="Avenir Next"/>
          <w:sz w:val="22"/>
          <w:szCs w:val="28"/>
        </w:rPr>
      </w:pPr>
      <w:r w:rsidRPr="006F4B72">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F4B72" w:rsidRDefault="003220BA" w:rsidP="00C00111">
      <w:pPr>
        <w:ind w:hanging="426"/>
        <w:jc w:val="both"/>
        <w:rPr>
          <w:rFonts w:ascii="Avenir Next" w:hAnsi="Avenir Next"/>
          <w:sz w:val="22"/>
          <w:szCs w:val="28"/>
        </w:rPr>
      </w:pPr>
    </w:p>
    <w:p w14:paraId="283484DD" w14:textId="77777777" w:rsidR="003220BA" w:rsidRPr="006F4B72" w:rsidRDefault="003220BA" w:rsidP="00112345">
      <w:pPr>
        <w:pStyle w:val="ListParagraph"/>
        <w:numPr>
          <w:ilvl w:val="0"/>
          <w:numId w:val="14"/>
        </w:numPr>
        <w:ind w:left="426" w:hanging="426"/>
        <w:jc w:val="both"/>
        <w:rPr>
          <w:rFonts w:ascii="Avenir Next" w:hAnsi="Avenir Next"/>
          <w:sz w:val="22"/>
          <w:szCs w:val="28"/>
        </w:rPr>
      </w:pPr>
      <w:r w:rsidRPr="006F4B72">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F4B72" w:rsidRDefault="003220BA" w:rsidP="00C00111">
      <w:pPr>
        <w:ind w:hanging="426"/>
        <w:jc w:val="both"/>
        <w:rPr>
          <w:rFonts w:ascii="Avenir Next" w:hAnsi="Avenir Next"/>
          <w:sz w:val="22"/>
          <w:szCs w:val="28"/>
        </w:rPr>
      </w:pPr>
    </w:p>
    <w:p w14:paraId="1B1CF4A9" w14:textId="77777777" w:rsidR="003220BA" w:rsidRPr="006F4B72" w:rsidRDefault="003220BA" w:rsidP="00112345">
      <w:pPr>
        <w:pStyle w:val="ListParagraph"/>
        <w:numPr>
          <w:ilvl w:val="0"/>
          <w:numId w:val="14"/>
        </w:numPr>
        <w:ind w:left="426" w:hanging="426"/>
        <w:jc w:val="both"/>
        <w:rPr>
          <w:rFonts w:ascii="Avenir Next" w:hAnsi="Avenir Next"/>
          <w:sz w:val="22"/>
          <w:szCs w:val="28"/>
        </w:rPr>
      </w:pPr>
      <w:r w:rsidRPr="006F4B72">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F4B72" w:rsidRDefault="003220BA" w:rsidP="00C00111">
      <w:pPr>
        <w:ind w:hanging="426"/>
        <w:jc w:val="both"/>
        <w:rPr>
          <w:rFonts w:ascii="Avenir Next" w:hAnsi="Avenir Next"/>
          <w:sz w:val="22"/>
          <w:szCs w:val="28"/>
        </w:rPr>
      </w:pPr>
    </w:p>
    <w:p w14:paraId="54742228" w14:textId="77777777" w:rsidR="003220BA" w:rsidRPr="006F4B72" w:rsidRDefault="003220BA" w:rsidP="00112345">
      <w:pPr>
        <w:pStyle w:val="ListParagraph"/>
        <w:numPr>
          <w:ilvl w:val="0"/>
          <w:numId w:val="14"/>
        </w:numPr>
        <w:ind w:left="426" w:hanging="426"/>
        <w:jc w:val="both"/>
        <w:rPr>
          <w:rFonts w:ascii="Avenir Next" w:hAnsi="Avenir Next"/>
          <w:sz w:val="22"/>
          <w:szCs w:val="28"/>
        </w:rPr>
      </w:pPr>
      <w:r w:rsidRPr="006F4B72">
        <w:rPr>
          <w:rFonts w:ascii="Avenir Next" w:hAnsi="Avenir Next"/>
          <w:sz w:val="22"/>
          <w:szCs w:val="28"/>
        </w:rPr>
        <w:t xml:space="preserve">An insolvency proceeding is commenced in jurisdiction A, but all </w:t>
      </w:r>
      <w:r w:rsidRPr="006F4B72">
        <w:rPr>
          <w:rFonts w:ascii="Avenir Next" w:hAnsi="Avenir Next"/>
          <w:i/>
          <w:iCs/>
          <w:sz w:val="22"/>
          <w:szCs w:val="28"/>
        </w:rPr>
        <w:t>de minimis</w:t>
      </w:r>
      <w:r w:rsidRPr="006F4B72">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11234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11234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11234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800C36" w:rsidRDefault="003220BA" w:rsidP="00112345">
      <w:pPr>
        <w:pStyle w:val="ListParagraph"/>
        <w:numPr>
          <w:ilvl w:val="0"/>
          <w:numId w:val="4"/>
        </w:numPr>
        <w:ind w:left="426" w:hanging="426"/>
        <w:jc w:val="both"/>
        <w:rPr>
          <w:rFonts w:ascii="Avenir Next" w:hAnsi="Avenir Next" w:cs="Arial"/>
          <w:sz w:val="22"/>
          <w:szCs w:val="22"/>
          <w:highlight w:val="yellow"/>
          <w:lang w:val="en-GB"/>
        </w:rPr>
      </w:pPr>
      <w:r w:rsidRPr="00800C36">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11234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11234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FD7ADD" w:rsidRDefault="009344C1" w:rsidP="00112345">
      <w:pPr>
        <w:pStyle w:val="ListParagraph"/>
        <w:numPr>
          <w:ilvl w:val="0"/>
          <w:numId w:val="5"/>
        </w:numPr>
        <w:ind w:left="426" w:hanging="426"/>
        <w:jc w:val="both"/>
        <w:rPr>
          <w:rFonts w:ascii="Avenir Next" w:hAnsi="Avenir Next" w:cs="Arial"/>
          <w:sz w:val="22"/>
          <w:szCs w:val="22"/>
          <w:highlight w:val="yellow"/>
          <w:lang w:val="en-GB"/>
        </w:rPr>
      </w:pPr>
      <w:r w:rsidRPr="00FD7ADD">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11234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11234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493977" w:rsidRDefault="00F51EE5" w:rsidP="00112345">
      <w:pPr>
        <w:pStyle w:val="ListParagraph"/>
        <w:numPr>
          <w:ilvl w:val="0"/>
          <w:numId w:val="15"/>
        </w:numPr>
        <w:ind w:left="426" w:hanging="426"/>
        <w:jc w:val="both"/>
        <w:rPr>
          <w:rFonts w:ascii="Avenir Next" w:hAnsi="Avenir Next"/>
          <w:sz w:val="22"/>
          <w:szCs w:val="28"/>
        </w:rPr>
      </w:pPr>
      <w:r w:rsidRPr="00493977">
        <w:rPr>
          <w:rFonts w:ascii="Avenir Next" w:hAnsi="Avenir Next"/>
          <w:sz w:val="22"/>
          <w:szCs w:val="28"/>
          <w:lang w:val="en-GB"/>
        </w:rPr>
        <w:t>The increased risk of fraud by concealing assets in foreign jurisdictions.</w:t>
      </w:r>
    </w:p>
    <w:p w14:paraId="5A4AD7B6" w14:textId="77777777" w:rsidR="00F51EE5" w:rsidRPr="00493977" w:rsidRDefault="00F51EE5" w:rsidP="00F51EE5">
      <w:pPr>
        <w:pStyle w:val="ListParagraph"/>
        <w:ind w:left="426"/>
        <w:jc w:val="both"/>
        <w:rPr>
          <w:rFonts w:ascii="Avenir Next" w:hAnsi="Avenir Next"/>
          <w:sz w:val="22"/>
          <w:szCs w:val="28"/>
        </w:rPr>
      </w:pPr>
    </w:p>
    <w:p w14:paraId="044236C4" w14:textId="77777777" w:rsidR="00F51EE5" w:rsidRPr="00493977" w:rsidRDefault="00F51EE5" w:rsidP="00112345">
      <w:pPr>
        <w:pStyle w:val="ListParagraph"/>
        <w:numPr>
          <w:ilvl w:val="0"/>
          <w:numId w:val="15"/>
        </w:numPr>
        <w:ind w:left="426" w:hanging="426"/>
        <w:jc w:val="both"/>
        <w:rPr>
          <w:rFonts w:ascii="Avenir Next" w:hAnsi="Avenir Next"/>
          <w:sz w:val="22"/>
          <w:szCs w:val="28"/>
        </w:rPr>
      </w:pPr>
      <w:r w:rsidRPr="00493977">
        <w:rPr>
          <w:rFonts w:ascii="Avenir Next" w:hAnsi="Avenir Next"/>
          <w:sz w:val="22"/>
          <w:szCs w:val="28"/>
          <w:lang w:val="en-GB"/>
        </w:rPr>
        <w:t>The difficulty of agreeing multilateral treaties dealing with insolvency law.</w:t>
      </w:r>
    </w:p>
    <w:p w14:paraId="7B3BA1EA" w14:textId="77777777" w:rsidR="00F51EE5" w:rsidRPr="00493977" w:rsidRDefault="00F51EE5" w:rsidP="00F51EE5">
      <w:pPr>
        <w:jc w:val="both"/>
        <w:rPr>
          <w:rFonts w:ascii="Avenir Next" w:hAnsi="Avenir Next"/>
          <w:sz w:val="22"/>
          <w:szCs w:val="28"/>
        </w:rPr>
      </w:pPr>
    </w:p>
    <w:p w14:paraId="39BF8E5C" w14:textId="77777777" w:rsidR="00F51EE5" w:rsidRPr="00493977" w:rsidRDefault="00F51EE5" w:rsidP="00112345">
      <w:pPr>
        <w:pStyle w:val="ListParagraph"/>
        <w:numPr>
          <w:ilvl w:val="0"/>
          <w:numId w:val="15"/>
        </w:numPr>
        <w:ind w:left="426" w:hanging="426"/>
        <w:jc w:val="both"/>
        <w:rPr>
          <w:rFonts w:ascii="Avenir Next" w:hAnsi="Avenir Next"/>
          <w:sz w:val="22"/>
          <w:szCs w:val="28"/>
        </w:rPr>
      </w:pPr>
      <w:r w:rsidRPr="00493977">
        <w:rPr>
          <w:rFonts w:ascii="Avenir Next" w:hAnsi="Avenir Next"/>
          <w:sz w:val="22"/>
          <w:szCs w:val="28"/>
          <w:lang w:val="en-GB"/>
        </w:rPr>
        <w:t>To eradicate the use of comity.</w:t>
      </w:r>
    </w:p>
    <w:p w14:paraId="04C53F1C" w14:textId="77777777" w:rsidR="00F51EE5" w:rsidRPr="00493977" w:rsidRDefault="00F51EE5" w:rsidP="00F51EE5">
      <w:pPr>
        <w:jc w:val="both"/>
        <w:rPr>
          <w:rFonts w:ascii="Avenir Next" w:hAnsi="Avenir Next"/>
          <w:sz w:val="22"/>
          <w:szCs w:val="28"/>
        </w:rPr>
      </w:pPr>
    </w:p>
    <w:p w14:paraId="1E12C6ED" w14:textId="77777777" w:rsidR="00F51EE5" w:rsidRPr="00493977" w:rsidRDefault="00F51EE5" w:rsidP="00112345">
      <w:pPr>
        <w:pStyle w:val="ListParagraph"/>
        <w:numPr>
          <w:ilvl w:val="0"/>
          <w:numId w:val="15"/>
        </w:numPr>
        <w:ind w:left="426" w:hanging="426"/>
        <w:jc w:val="both"/>
        <w:rPr>
          <w:rFonts w:ascii="Avenir Next" w:hAnsi="Avenir Next"/>
          <w:sz w:val="22"/>
          <w:szCs w:val="28"/>
        </w:rPr>
      </w:pPr>
      <w:r w:rsidRPr="00493977">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11234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8B2C90" w:rsidRDefault="00F51EE5" w:rsidP="00112345">
      <w:pPr>
        <w:pStyle w:val="ListParagraph"/>
        <w:numPr>
          <w:ilvl w:val="0"/>
          <w:numId w:val="6"/>
        </w:numPr>
        <w:ind w:left="426" w:hanging="426"/>
        <w:jc w:val="both"/>
        <w:rPr>
          <w:rFonts w:ascii="Avenir Next" w:hAnsi="Avenir Next" w:cs="Arial"/>
          <w:sz w:val="22"/>
          <w:szCs w:val="22"/>
          <w:highlight w:val="yellow"/>
          <w:lang w:val="en-GB"/>
        </w:rPr>
      </w:pPr>
      <w:r w:rsidRPr="008B2C90">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11234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112345">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493977" w:rsidRDefault="0097337E" w:rsidP="00112345">
      <w:pPr>
        <w:pStyle w:val="ListParagraph"/>
        <w:numPr>
          <w:ilvl w:val="0"/>
          <w:numId w:val="16"/>
        </w:numPr>
        <w:ind w:left="426" w:hanging="426"/>
        <w:rPr>
          <w:rFonts w:ascii="Avenir Next" w:hAnsi="Avenir Next"/>
          <w:sz w:val="22"/>
          <w:szCs w:val="28"/>
        </w:rPr>
      </w:pPr>
      <w:r w:rsidRPr="00493977">
        <w:rPr>
          <w:rFonts w:ascii="Avenir Next" w:hAnsi="Avenir Next"/>
          <w:sz w:val="22"/>
          <w:szCs w:val="28"/>
        </w:rPr>
        <w:t>COMI is a well-defined term in the MLCBI.</w:t>
      </w:r>
    </w:p>
    <w:p w14:paraId="6B23A10A" w14:textId="77777777" w:rsidR="0097337E" w:rsidRPr="00493977" w:rsidRDefault="0097337E" w:rsidP="0097337E">
      <w:pPr>
        <w:ind w:left="426" w:hanging="426"/>
        <w:rPr>
          <w:rFonts w:ascii="Avenir Next" w:hAnsi="Avenir Next"/>
          <w:sz w:val="22"/>
          <w:szCs w:val="28"/>
        </w:rPr>
      </w:pPr>
    </w:p>
    <w:p w14:paraId="50E5E1C9" w14:textId="77777777" w:rsidR="0097337E" w:rsidRPr="00493977" w:rsidRDefault="0097337E" w:rsidP="00112345">
      <w:pPr>
        <w:pStyle w:val="ListParagraph"/>
        <w:numPr>
          <w:ilvl w:val="0"/>
          <w:numId w:val="16"/>
        </w:numPr>
        <w:ind w:left="426" w:hanging="426"/>
        <w:rPr>
          <w:rFonts w:ascii="Avenir Next" w:hAnsi="Avenir Next"/>
          <w:sz w:val="22"/>
          <w:szCs w:val="28"/>
        </w:rPr>
      </w:pPr>
      <w:r w:rsidRPr="00493977">
        <w:rPr>
          <w:rFonts w:ascii="Avenir Next" w:hAnsi="Avenir Next"/>
          <w:sz w:val="22"/>
          <w:szCs w:val="28"/>
        </w:rPr>
        <w:t>COMI stands for comity.</w:t>
      </w:r>
    </w:p>
    <w:p w14:paraId="1E13BE41" w14:textId="77777777" w:rsidR="0097337E" w:rsidRPr="00493977" w:rsidRDefault="0097337E" w:rsidP="0097337E">
      <w:pPr>
        <w:ind w:left="426" w:hanging="426"/>
        <w:rPr>
          <w:rFonts w:ascii="Avenir Next" w:hAnsi="Avenir Next"/>
          <w:sz w:val="22"/>
          <w:szCs w:val="28"/>
        </w:rPr>
      </w:pPr>
    </w:p>
    <w:p w14:paraId="76767C1B" w14:textId="77777777" w:rsidR="0097337E" w:rsidRPr="00493977" w:rsidRDefault="0097337E" w:rsidP="00112345">
      <w:pPr>
        <w:pStyle w:val="ListParagraph"/>
        <w:numPr>
          <w:ilvl w:val="0"/>
          <w:numId w:val="16"/>
        </w:numPr>
        <w:ind w:left="426" w:hanging="426"/>
        <w:rPr>
          <w:rFonts w:ascii="Avenir Next" w:hAnsi="Avenir Next"/>
          <w:sz w:val="22"/>
          <w:szCs w:val="28"/>
        </w:rPr>
      </w:pPr>
      <w:r w:rsidRPr="00493977">
        <w:rPr>
          <w:rFonts w:ascii="Avenir Next" w:hAnsi="Avenir Next"/>
          <w:sz w:val="22"/>
          <w:szCs w:val="28"/>
        </w:rPr>
        <w:t>The debtor’s registered office is irrelevant for purposes of determining COMI.</w:t>
      </w:r>
    </w:p>
    <w:p w14:paraId="3A84165D" w14:textId="77777777" w:rsidR="0097337E" w:rsidRPr="00493977" w:rsidRDefault="0097337E" w:rsidP="0097337E">
      <w:pPr>
        <w:pStyle w:val="ListParagraph"/>
        <w:rPr>
          <w:rFonts w:ascii="Avenir Next" w:hAnsi="Avenir Next"/>
          <w:sz w:val="22"/>
          <w:szCs w:val="28"/>
        </w:rPr>
      </w:pPr>
    </w:p>
    <w:p w14:paraId="785ABFAE" w14:textId="77777777" w:rsidR="0097337E" w:rsidRPr="00493977" w:rsidRDefault="0097337E" w:rsidP="00112345">
      <w:pPr>
        <w:pStyle w:val="ListParagraph"/>
        <w:numPr>
          <w:ilvl w:val="0"/>
          <w:numId w:val="16"/>
        </w:numPr>
        <w:ind w:left="426" w:hanging="426"/>
        <w:rPr>
          <w:rFonts w:ascii="Avenir Next" w:hAnsi="Avenir Next"/>
          <w:sz w:val="22"/>
          <w:szCs w:val="28"/>
        </w:rPr>
      </w:pPr>
      <w:r w:rsidRPr="00493977">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112345">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112345">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AE3084" w:rsidRDefault="0097337E" w:rsidP="00112345">
      <w:pPr>
        <w:pStyle w:val="ListParagraph"/>
        <w:numPr>
          <w:ilvl w:val="0"/>
          <w:numId w:val="7"/>
        </w:numPr>
        <w:ind w:left="426" w:hanging="426"/>
        <w:jc w:val="both"/>
        <w:rPr>
          <w:rFonts w:ascii="Avenir Next" w:hAnsi="Avenir Next" w:cs="Arial"/>
          <w:sz w:val="22"/>
          <w:szCs w:val="22"/>
          <w:highlight w:val="yellow"/>
          <w:lang w:val="en-GB"/>
        </w:rPr>
      </w:pPr>
      <w:r w:rsidRPr="00AE3084">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112345">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11234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11234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11234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11234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11234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7F74F1" w:rsidRDefault="009A58D1" w:rsidP="00112345">
      <w:pPr>
        <w:pStyle w:val="ListParagraph"/>
        <w:numPr>
          <w:ilvl w:val="0"/>
          <w:numId w:val="8"/>
        </w:numPr>
        <w:ind w:left="426" w:hanging="426"/>
        <w:jc w:val="both"/>
        <w:rPr>
          <w:rFonts w:ascii="Avenir Next" w:hAnsi="Avenir Next" w:cs="Arial"/>
          <w:sz w:val="22"/>
          <w:szCs w:val="22"/>
          <w:highlight w:val="yellow"/>
          <w:lang w:val="en-GB"/>
        </w:rPr>
      </w:pPr>
      <w:r w:rsidRPr="007F74F1">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11234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Pr="00A623E6" w:rsidRDefault="00C4510C" w:rsidP="00112345">
      <w:pPr>
        <w:pStyle w:val="ListParagraph"/>
        <w:numPr>
          <w:ilvl w:val="0"/>
          <w:numId w:val="9"/>
        </w:numPr>
        <w:ind w:left="426" w:hanging="426"/>
        <w:jc w:val="both"/>
        <w:rPr>
          <w:rFonts w:ascii="Avenir Next" w:hAnsi="Avenir Next" w:cs="Arial"/>
          <w:sz w:val="22"/>
          <w:szCs w:val="22"/>
          <w:lang w:val="en-GB"/>
        </w:rPr>
      </w:pPr>
      <w:r w:rsidRPr="00A623E6">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11234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11234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623E6" w:rsidRDefault="00C4510C" w:rsidP="00112345">
      <w:pPr>
        <w:pStyle w:val="ListParagraph"/>
        <w:numPr>
          <w:ilvl w:val="0"/>
          <w:numId w:val="9"/>
        </w:numPr>
        <w:ind w:left="426" w:hanging="426"/>
        <w:jc w:val="both"/>
        <w:rPr>
          <w:rFonts w:ascii="Avenir Next" w:hAnsi="Avenir Next" w:cs="Arial"/>
          <w:sz w:val="22"/>
          <w:szCs w:val="22"/>
          <w:highlight w:val="yellow"/>
          <w:lang w:val="en-GB"/>
        </w:rPr>
      </w:pPr>
      <w:r w:rsidRPr="00A623E6">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734FB0A6" w14:textId="77777777" w:rsidR="00342135" w:rsidRDefault="00B77352" w:rsidP="008671E3">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B65B0">
        <w:rPr>
          <w:rFonts w:ascii="Avenir Next" w:hAnsi="Avenir Next" w:cs="Arial"/>
          <w:color w:val="808080" w:themeColor="background1" w:themeShade="80"/>
          <w:sz w:val="22"/>
          <w:szCs w:val="22"/>
          <w:lang w:val="en-GB"/>
        </w:rPr>
        <w:t xml:space="preserve">One key distinction between the MLCBI and the European Union Regulation </w:t>
      </w:r>
      <w:r w:rsidR="008671E3">
        <w:rPr>
          <w:rFonts w:ascii="Avenir Next" w:hAnsi="Avenir Next" w:cs="Arial"/>
          <w:color w:val="808080" w:themeColor="background1" w:themeShade="80"/>
          <w:sz w:val="22"/>
          <w:szCs w:val="22"/>
          <w:lang w:val="en-GB"/>
        </w:rPr>
        <w:t xml:space="preserve">on insolvency proceedings </w:t>
      </w:r>
      <w:r w:rsidR="00FB65B0">
        <w:rPr>
          <w:rFonts w:ascii="Avenir Next" w:hAnsi="Avenir Next" w:cs="Arial"/>
          <w:color w:val="808080" w:themeColor="background1" w:themeShade="80"/>
          <w:sz w:val="22"/>
          <w:szCs w:val="22"/>
          <w:lang w:val="en-GB"/>
        </w:rPr>
        <w:t>(the “</w:t>
      </w:r>
      <w:r w:rsidR="00FB65B0">
        <w:rPr>
          <w:rFonts w:ascii="Avenir Next" w:hAnsi="Avenir Next" w:cs="Arial"/>
          <w:b/>
          <w:bCs/>
          <w:color w:val="808080" w:themeColor="background1" w:themeShade="80"/>
          <w:sz w:val="22"/>
          <w:szCs w:val="22"/>
          <w:lang w:val="en-GB"/>
        </w:rPr>
        <w:t>EIR</w:t>
      </w:r>
      <w:r w:rsidR="00FB65B0">
        <w:rPr>
          <w:rFonts w:ascii="Avenir Next" w:hAnsi="Avenir Next" w:cs="Arial"/>
          <w:color w:val="808080" w:themeColor="background1" w:themeShade="80"/>
          <w:sz w:val="22"/>
          <w:szCs w:val="22"/>
          <w:lang w:val="en-GB"/>
        </w:rPr>
        <w:t>”)</w:t>
      </w:r>
      <w:r w:rsidR="008671E3">
        <w:rPr>
          <w:rFonts w:ascii="Avenir Next" w:hAnsi="Avenir Next" w:cs="Arial"/>
          <w:color w:val="808080" w:themeColor="background1" w:themeShade="80"/>
          <w:sz w:val="22"/>
          <w:szCs w:val="22"/>
          <w:lang w:val="en-GB"/>
        </w:rPr>
        <w:t xml:space="preserve"> is </w:t>
      </w:r>
      <w:r w:rsidR="00AD52CE">
        <w:rPr>
          <w:rFonts w:ascii="Avenir Next" w:hAnsi="Avenir Next" w:cs="Arial"/>
          <w:color w:val="808080" w:themeColor="background1" w:themeShade="80"/>
          <w:sz w:val="22"/>
          <w:szCs w:val="22"/>
          <w:lang w:val="en-GB"/>
        </w:rPr>
        <w:t xml:space="preserve">the </w:t>
      </w:r>
      <w:r w:rsidR="003821AB">
        <w:rPr>
          <w:rFonts w:ascii="Avenir Next" w:hAnsi="Avenir Next" w:cs="Arial"/>
          <w:color w:val="808080" w:themeColor="background1" w:themeShade="80"/>
          <w:sz w:val="22"/>
          <w:szCs w:val="22"/>
          <w:lang w:val="en-GB"/>
        </w:rPr>
        <w:t>format</w:t>
      </w:r>
      <w:r w:rsidR="00AD52CE">
        <w:rPr>
          <w:rFonts w:ascii="Avenir Next" w:hAnsi="Avenir Next" w:cs="Arial"/>
          <w:color w:val="808080" w:themeColor="background1" w:themeShade="80"/>
          <w:sz w:val="22"/>
          <w:szCs w:val="22"/>
          <w:lang w:val="en-GB"/>
        </w:rPr>
        <w:t xml:space="preserve"> of </w:t>
      </w:r>
      <w:r w:rsidR="00373E4F">
        <w:rPr>
          <w:rFonts w:ascii="Avenir Next" w:hAnsi="Avenir Next" w:cs="Arial"/>
          <w:color w:val="808080" w:themeColor="background1" w:themeShade="80"/>
          <w:sz w:val="22"/>
          <w:szCs w:val="22"/>
          <w:lang w:val="en-GB"/>
        </w:rPr>
        <w:t xml:space="preserve">each </w:t>
      </w:r>
      <w:r w:rsidR="00AD52CE">
        <w:rPr>
          <w:rFonts w:ascii="Avenir Next" w:hAnsi="Avenir Next" w:cs="Arial"/>
          <w:color w:val="808080" w:themeColor="background1" w:themeShade="80"/>
          <w:sz w:val="22"/>
          <w:szCs w:val="22"/>
          <w:lang w:val="en-GB"/>
        </w:rPr>
        <w:t>legal instrument. T</w:t>
      </w:r>
      <w:r w:rsidR="008671E3">
        <w:rPr>
          <w:rFonts w:ascii="Avenir Next" w:hAnsi="Avenir Next" w:cs="Arial"/>
          <w:color w:val="808080" w:themeColor="background1" w:themeShade="80"/>
          <w:sz w:val="22"/>
          <w:szCs w:val="22"/>
          <w:lang w:val="en-GB"/>
        </w:rPr>
        <w:t xml:space="preserve">he EIR is a </w:t>
      </w:r>
      <w:r w:rsidR="006756F6">
        <w:rPr>
          <w:rFonts w:ascii="Avenir Next" w:hAnsi="Avenir Next" w:cs="Arial"/>
          <w:color w:val="808080" w:themeColor="background1" w:themeShade="80"/>
          <w:sz w:val="22"/>
          <w:szCs w:val="22"/>
          <w:lang w:val="en-GB"/>
        </w:rPr>
        <w:t xml:space="preserve">treaty, </w:t>
      </w:r>
      <w:r w:rsidR="00C3582F">
        <w:rPr>
          <w:rFonts w:ascii="Avenir Next" w:hAnsi="Avenir Next" w:cs="Arial"/>
          <w:color w:val="808080" w:themeColor="background1" w:themeShade="80"/>
          <w:sz w:val="22"/>
          <w:szCs w:val="22"/>
          <w:lang w:val="en-GB"/>
        </w:rPr>
        <w:t xml:space="preserve">which upon adoption </w:t>
      </w:r>
      <w:r w:rsidR="009321C6">
        <w:rPr>
          <w:rFonts w:ascii="Avenir Next" w:hAnsi="Avenir Next" w:cs="Arial"/>
          <w:color w:val="808080" w:themeColor="background1" w:themeShade="80"/>
          <w:sz w:val="22"/>
          <w:szCs w:val="22"/>
          <w:lang w:val="en-GB"/>
        </w:rPr>
        <w:t xml:space="preserve">directly becomes part of the domestic law of each EU Member State. On the other hand, the </w:t>
      </w:r>
      <w:r w:rsidR="006756F6">
        <w:rPr>
          <w:rFonts w:ascii="Avenir Next" w:hAnsi="Avenir Next" w:cs="Arial"/>
          <w:color w:val="808080" w:themeColor="background1" w:themeShade="80"/>
          <w:sz w:val="22"/>
          <w:szCs w:val="22"/>
          <w:lang w:val="en-GB"/>
        </w:rPr>
        <w:t xml:space="preserve">MLCBI is </w:t>
      </w:r>
      <w:r w:rsidR="009321C6">
        <w:rPr>
          <w:rFonts w:ascii="Avenir Next" w:hAnsi="Avenir Next" w:cs="Arial"/>
          <w:color w:val="808080" w:themeColor="background1" w:themeShade="80"/>
          <w:sz w:val="22"/>
          <w:szCs w:val="22"/>
          <w:lang w:val="en-GB"/>
        </w:rPr>
        <w:t xml:space="preserve">not a treaty but </w:t>
      </w:r>
      <w:r w:rsidR="006756F6">
        <w:rPr>
          <w:rFonts w:ascii="Avenir Next" w:hAnsi="Avenir Next" w:cs="Arial"/>
          <w:color w:val="808080" w:themeColor="background1" w:themeShade="80"/>
          <w:sz w:val="22"/>
          <w:szCs w:val="22"/>
          <w:lang w:val="en-GB"/>
        </w:rPr>
        <w:t>a model law</w:t>
      </w:r>
      <w:r w:rsidR="00AD52CE">
        <w:rPr>
          <w:rFonts w:ascii="Avenir Next" w:hAnsi="Avenir Next" w:cs="Arial"/>
          <w:color w:val="808080" w:themeColor="background1" w:themeShade="80"/>
          <w:sz w:val="22"/>
          <w:szCs w:val="22"/>
          <w:lang w:val="en-GB"/>
        </w:rPr>
        <w:t>,</w:t>
      </w:r>
      <w:r w:rsidR="003821AB">
        <w:rPr>
          <w:rFonts w:ascii="Avenir Next" w:hAnsi="Avenir Next" w:cs="Arial"/>
          <w:color w:val="808080" w:themeColor="background1" w:themeShade="80"/>
          <w:sz w:val="22"/>
          <w:szCs w:val="22"/>
          <w:lang w:val="en-GB"/>
        </w:rPr>
        <w:t xml:space="preserve"> such that it is simply a recommendation </w:t>
      </w:r>
      <w:r w:rsidR="00EA69CA">
        <w:rPr>
          <w:rFonts w:ascii="Avenir Next" w:hAnsi="Avenir Next" w:cs="Arial"/>
          <w:color w:val="808080" w:themeColor="background1" w:themeShade="80"/>
          <w:sz w:val="22"/>
          <w:szCs w:val="22"/>
          <w:lang w:val="en-GB"/>
        </w:rPr>
        <w:t xml:space="preserve">and a form of “soft law” that each State can </w:t>
      </w:r>
      <w:r w:rsidR="00342135">
        <w:rPr>
          <w:rFonts w:ascii="Avenir Next" w:hAnsi="Avenir Next" w:cs="Arial"/>
          <w:color w:val="808080" w:themeColor="background1" w:themeShade="80"/>
          <w:sz w:val="22"/>
          <w:szCs w:val="22"/>
          <w:lang w:val="en-GB"/>
        </w:rPr>
        <w:t xml:space="preserve">decide whether or not to adopt in whole or in part into its domestic legislation. </w:t>
      </w:r>
    </w:p>
    <w:p w14:paraId="4242A3FA" w14:textId="77777777" w:rsidR="00342135" w:rsidRDefault="00342135" w:rsidP="008671E3">
      <w:pPr>
        <w:jc w:val="both"/>
        <w:rPr>
          <w:rFonts w:ascii="Avenir Next" w:hAnsi="Avenir Next" w:cs="Arial"/>
          <w:color w:val="808080" w:themeColor="background1" w:themeShade="80"/>
          <w:sz w:val="22"/>
          <w:szCs w:val="22"/>
          <w:lang w:val="en-GB"/>
        </w:rPr>
      </w:pPr>
    </w:p>
    <w:p w14:paraId="43BE356A" w14:textId="0FA8C0EE" w:rsidR="001D547B" w:rsidRDefault="00342135" w:rsidP="008671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benefit of</w:t>
      </w:r>
      <w:r w:rsidR="00B2526A">
        <w:rPr>
          <w:rFonts w:ascii="Avenir Next" w:hAnsi="Avenir Next" w:cs="Arial"/>
          <w:color w:val="808080" w:themeColor="background1" w:themeShade="80"/>
          <w:sz w:val="22"/>
          <w:szCs w:val="22"/>
          <w:lang w:val="en-GB"/>
        </w:rPr>
        <w:t xml:space="preserve"> </w:t>
      </w:r>
      <w:r w:rsidR="00675BA4">
        <w:rPr>
          <w:rFonts w:ascii="Avenir Next" w:hAnsi="Avenir Next" w:cs="Arial"/>
          <w:color w:val="808080" w:themeColor="background1" w:themeShade="80"/>
          <w:sz w:val="22"/>
          <w:szCs w:val="22"/>
          <w:lang w:val="en-GB"/>
        </w:rPr>
        <w:t>the format</w:t>
      </w:r>
      <w:r w:rsidR="00B2526A">
        <w:rPr>
          <w:rFonts w:ascii="Avenir Next" w:hAnsi="Avenir Next" w:cs="Arial"/>
          <w:color w:val="808080" w:themeColor="background1" w:themeShade="80"/>
          <w:sz w:val="22"/>
          <w:szCs w:val="22"/>
          <w:lang w:val="en-GB"/>
        </w:rPr>
        <w:t xml:space="preserve"> of a “model law” </w:t>
      </w:r>
      <w:r w:rsidR="00B02FFA">
        <w:rPr>
          <w:rFonts w:ascii="Avenir Next" w:hAnsi="Avenir Next" w:cs="Arial"/>
          <w:color w:val="808080" w:themeColor="background1" w:themeShade="80"/>
          <w:sz w:val="22"/>
          <w:szCs w:val="22"/>
          <w:lang w:val="en-GB"/>
        </w:rPr>
        <w:t>is its flexibility</w:t>
      </w:r>
      <w:r w:rsidR="00016D35">
        <w:rPr>
          <w:rFonts w:ascii="Avenir Next" w:hAnsi="Avenir Next" w:cs="Arial"/>
          <w:color w:val="808080" w:themeColor="background1" w:themeShade="80"/>
          <w:sz w:val="22"/>
          <w:szCs w:val="22"/>
          <w:lang w:val="en-GB"/>
        </w:rPr>
        <w:t>. B</w:t>
      </w:r>
      <w:r w:rsidR="00D83A89">
        <w:rPr>
          <w:rFonts w:ascii="Avenir Next" w:hAnsi="Avenir Next" w:cs="Arial"/>
          <w:color w:val="808080" w:themeColor="background1" w:themeShade="80"/>
          <w:sz w:val="22"/>
          <w:szCs w:val="22"/>
          <w:lang w:val="en-GB"/>
        </w:rPr>
        <w:t xml:space="preserve">y allowing States to each decide the extent to which they </w:t>
      </w:r>
      <w:r w:rsidR="00016D35">
        <w:rPr>
          <w:rFonts w:ascii="Avenir Next" w:hAnsi="Avenir Next" w:cs="Arial"/>
          <w:color w:val="808080" w:themeColor="background1" w:themeShade="80"/>
          <w:sz w:val="22"/>
          <w:szCs w:val="22"/>
          <w:lang w:val="en-GB"/>
        </w:rPr>
        <w:t>wish to adopt the model law into their domestic legislation</w:t>
      </w:r>
      <w:r w:rsidR="00392E80">
        <w:rPr>
          <w:rFonts w:ascii="Avenir Next" w:hAnsi="Avenir Next" w:cs="Arial"/>
          <w:color w:val="808080" w:themeColor="background1" w:themeShade="80"/>
          <w:sz w:val="22"/>
          <w:szCs w:val="22"/>
          <w:lang w:val="en-GB"/>
        </w:rPr>
        <w:t xml:space="preserve"> based on the policy considerations unique to each State</w:t>
      </w:r>
      <w:r w:rsidR="00016D35">
        <w:rPr>
          <w:rFonts w:ascii="Avenir Next" w:hAnsi="Avenir Next" w:cs="Arial"/>
          <w:color w:val="808080" w:themeColor="background1" w:themeShade="80"/>
          <w:sz w:val="22"/>
          <w:szCs w:val="22"/>
          <w:lang w:val="en-GB"/>
        </w:rPr>
        <w:t xml:space="preserve">, it encourages States to </w:t>
      </w:r>
      <w:r w:rsidR="00162D55">
        <w:rPr>
          <w:rFonts w:ascii="Avenir Next" w:hAnsi="Avenir Next" w:cs="Arial"/>
          <w:color w:val="808080" w:themeColor="background1" w:themeShade="80"/>
          <w:sz w:val="22"/>
          <w:szCs w:val="22"/>
          <w:lang w:val="en-GB"/>
        </w:rPr>
        <w:t xml:space="preserve">be more willing to incorporate the broad procedural framework into their domestic legislation </w:t>
      </w:r>
      <w:r w:rsidR="00392E80">
        <w:rPr>
          <w:rFonts w:ascii="Avenir Next" w:hAnsi="Avenir Next" w:cs="Arial"/>
          <w:color w:val="808080" w:themeColor="background1" w:themeShade="80"/>
          <w:sz w:val="22"/>
          <w:szCs w:val="22"/>
          <w:lang w:val="en-GB"/>
        </w:rPr>
        <w:t>by being</w:t>
      </w:r>
      <w:r w:rsidR="000F4355">
        <w:rPr>
          <w:rFonts w:ascii="Avenir Next" w:hAnsi="Avenir Next" w:cs="Arial"/>
          <w:color w:val="808080" w:themeColor="background1" w:themeShade="80"/>
          <w:sz w:val="22"/>
          <w:szCs w:val="22"/>
          <w:lang w:val="en-GB"/>
        </w:rPr>
        <w:t xml:space="preserve"> less intrusive on each State’s sovereignty </w:t>
      </w:r>
      <w:r w:rsidR="00392E80">
        <w:rPr>
          <w:rFonts w:ascii="Avenir Next" w:hAnsi="Avenir Next" w:cs="Arial"/>
          <w:color w:val="808080" w:themeColor="background1" w:themeShade="80"/>
          <w:sz w:val="22"/>
          <w:szCs w:val="22"/>
          <w:lang w:val="en-GB"/>
        </w:rPr>
        <w:t>and not</w:t>
      </w:r>
      <w:r w:rsidR="000F4355">
        <w:rPr>
          <w:rFonts w:ascii="Avenir Next" w:hAnsi="Avenir Next" w:cs="Arial"/>
          <w:color w:val="808080" w:themeColor="background1" w:themeShade="80"/>
          <w:sz w:val="22"/>
          <w:szCs w:val="22"/>
          <w:lang w:val="en-GB"/>
        </w:rPr>
        <w:t xml:space="preserve"> forcing</w:t>
      </w:r>
      <w:r w:rsidR="001D547B">
        <w:rPr>
          <w:rFonts w:ascii="Avenir Next" w:hAnsi="Avenir Next" w:cs="Arial"/>
          <w:color w:val="808080" w:themeColor="background1" w:themeShade="80"/>
          <w:sz w:val="22"/>
          <w:szCs w:val="22"/>
          <w:lang w:val="en-GB"/>
        </w:rPr>
        <w:t xml:space="preserve"> new foreign substantive insolvency laws on States. </w:t>
      </w:r>
      <w:r w:rsidR="00675BA4">
        <w:rPr>
          <w:rFonts w:ascii="Avenir Next" w:hAnsi="Avenir Next" w:cs="Arial"/>
          <w:color w:val="808080" w:themeColor="background1" w:themeShade="80"/>
          <w:sz w:val="22"/>
          <w:szCs w:val="22"/>
          <w:lang w:val="en-GB"/>
        </w:rPr>
        <w:t xml:space="preserve">One key disadvantage of the format of a “model law” is that </w:t>
      </w:r>
      <w:r w:rsidR="000935A3">
        <w:rPr>
          <w:rFonts w:ascii="Avenir Next" w:hAnsi="Avenir Next" w:cs="Arial"/>
          <w:color w:val="808080" w:themeColor="background1" w:themeShade="80"/>
          <w:sz w:val="22"/>
          <w:szCs w:val="22"/>
          <w:lang w:val="en-GB"/>
        </w:rPr>
        <w:t xml:space="preserve">it achieves a lesser degree of harmonisation </w:t>
      </w:r>
      <w:r w:rsidR="00E965F8">
        <w:rPr>
          <w:rFonts w:ascii="Avenir Next" w:hAnsi="Avenir Next" w:cs="Arial"/>
          <w:color w:val="808080" w:themeColor="background1" w:themeShade="80"/>
          <w:sz w:val="22"/>
          <w:szCs w:val="22"/>
          <w:lang w:val="en-GB"/>
        </w:rPr>
        <w:t xml:space="preserve">in respect of rules </w:t>
      </w:r>
      <w:r w:rsidR="003C735B">
        <w:rPr>
          <w:rFonts w:ascii="Avenir Next" w:hAnsi="Avenir Next" w:cs="Arial"/>
          <w:color w:val="808080" w:themeColor="background1" w:themeShade="80"/>
          <w:sz w:val="22"/>
          <w:szCs w:val="22"/>
          <w:lang w:val="en-GB"/>
        </w:rPr>
        <w:t xml:space="preserve">on international aspects of insolvency, given that it is only a recommendation and States can modify the procedural framework </w:t>
      </w:r>
      <w:r w:rsidR="005830FC">
        <w:rPr>
          <w:rFonts w:ascii="Avenir Next" w:hAnsi="Avenir Next" w:cs="Arial"/>
          <w:color w:val="808080" w:themeColor="background1" w:themeShade="80"/>
          <w:sz w:val="22"/>
          <w:szCs w:val="22"/>
          <w:lang w:val="en-GB"/>
        </w:rPr>
        <w:t xml:space="preserve">based on their respective considerations. </w:t>
      </w:r>
    </w:p>
    <w:p w14:paraId="3D96FE2F" w14:textId="77777777" w:rsidR="001D547B" w:rsidRDefault="001D547B" w:rsidP="008671E3">
      <w:pPr>
        <w:jc w:val="both"/>
        <w:rPr>
          <w:rFonts w:ascii="Avenir Next" w:hAnsi="Avenir Next" w:cs="Arial"/>
          <w:color w:val="808080" w:themeColor="background1" w:themeShade="80"/>
          <w:sz w:val="22"/>
          <w:szCs w:val="22"/>
          <w:lang w:val="en-GB"/>
        </w:rPr>
      </w:pPr>
    </w:p>
    <w:p w14:paraId="704E0B7D" w14:textId="57FE2128" w:rsidR="00260129" w:rsidRDefault="00260129" w:rsidP="008671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key benefit of the </w:t>
      </w:r>
      <w:r w:rsidR="00255145">
        <w:rPr>
          <w:rFonts w:ascii="Avenir Next" w:hAnsi="Avenir Next" w:cs="Arial"/>
          <w:color w:val="808080" w:themeColor="background1" w:themeShade="80"/>
          <w:sz w:val="22"/>
          <w:szCs w:val="22"/>
          <w:lang w:val="en-GB"/>
        </w:rPr>
        <w:t xml:space="preserve">using the </w:t>
      </w:r>
      <w:r>
        <w:rPr>
          <w:rFonts w:ascii="Avenir Next" w:hAnsi="Avenir Next" w:cs="Arial"/>
          <w:color w:val="808080" w:themeColor="background1" w:themeShade="80"/>
          <w:sz w:val="22"/>
          <w:szCs w:val="22"/>
          <w:lang w:val="en-GB"/>
        </w:rPr>
        <w:t xml:space="preserve">format of a treaty is that </w:t>
      </w:r>
      <w:r w:rsidR="00255145">
        <w:rPr>
          <w:rFonts w:ascii="Avenir Next" w:hAnsi="Avenir Next" w:cs="Arial"/>
          <w:color w:val="808080" w:themeColor="background1" w:themeShade="80"/>
          <w:sz w:val="22"/>
          <w:szCs w:val="22"/>
          <w:lang w:val="en-GB"/>
        </w:rPr>
        <w:t xml:space="preserve">it </w:t>
      </w:r>
      <w:r w:rsidR="0065253B">
        <w:rPr>
          <w:rFonts w:ascii="Avenir Next" w:hAnsi="Avenir Next" w:cs="Arial"/>
          <w:color w:val="808080" w:themeColor="background1" w:themeShade="80"/>
          <w:sz w:val="22"/>
          <w:szCs w:val="22"/>
          <w:lang w:val="en-GB"/>
        </w:rPr>
        <w:t xml:space="preserve">would achieve a greater </w:t>
      </w:r>
      <w:r w:rsidR="001C379E">
        <w:rPr>
          <w:rFonts w:ascii="Avenir Next" w:hAnsi="Avenir Next" w:cs="Arial"/>
          <w:color w:val="808080" w:themeColor="background1" w:themeShade="80"/>
          <w:sz w:val="22"/>
          <w:szCs w:val="22"/>
          <w:lang w:val="en-GB"/>
        </w:rPr>
        <w:t>degree</w:t>
      </w:r>
      <w:r w:rsidR="0065253B">
        <w:rPr>
          <w:rFonts w:ascii="Avenir Next" w:hAnsi="Avenir Next" w:cs="Arial"/>
          <w:color w:val="808080" w:themeColor="background1" w:themeShade="80"/>
          <w:sz w:val="22"/>
          <w:szCs w:val="22"/>
          <w:lang w:val="en-GB"/>
        </w:rPr>
        <w:t xml:space="preserve"> of harmonisation and consistency between contracting states </w:t>
      </w:r>
      <w:r w:rsidR="001C379E">
        <w:rPr>
          <w:rFonts w:ascii="Avenir Next" w:hAnsi="Avenir Next" w:cs="Arial"/>
          <w:color w:val="808080" w:themeColor="background1" w:themeShade="80"/>
          <w:sz w:val="22"/>
          <w:szCs w:val="22"/>
          <w:lang w:val="en-GB"/>
        </w:rPr>
        <w:t xml:space="preserve">given that upon adoption it directly becomes part of the domestic law of each State. </w:t>
      </w:r>
      <w:r w:rsidR="001D547B">
        <w:rPr>
          <w:rFonts w:ascii="Avenir Next" w:hAnsi="Avenir Next" w:cs="Arial"/>
          <w:color w:val="808080" w:themeColor="background1" w:themeShade="80"/>
          <w:sz w:val="22"/>
          <w:szCs w:val="22"/>
          <w:lang w:val="en-GB"/>
        </w:rPr>
        <w:t xml:space="preserve">One </w:t>
      </w:r>
      <w:r>
        <w:rPr>
          <w:rFonts w:ascii="Avenir Next" w:hAnsi="Avenir Next" w:cs="Arial"/>
          <w:color w:val="808080" w:themeColor="background1" w:themeShade="80"/>
          <w:sz w:val="22"/>
          <w:szCs w:val="22"/>
          <w:lang w:val="en-GB"/>
        </w:rPr>
        <w:t xml:space="preserve">key </w:t>
      </w:r>
      <w:r w:rsidR="001D547B">
        <w:rPr>
          <w:rFonts w:ascii="Avenir Next" w:hAnsi="Avenir Next" w:cs="Arial"/>
          <w:color w:val="808080" w:themeColor="background1" w:themeShade="80"/>
          <w:sz w:val="22"/>
          <w:szCs w:val="22"/>
          <w:lang w:val="en-GB"/>
        </w:rPr>
        <w:t xml:space="preserve">disadvantage </w:t>
      </w:r>
      <w:r w:rsidR="00475E94">
        <w:rPr>
          <w:rFonts w:ascii="Avenir Next" w:hAnsi="Avenir Next" w:cs="Arial"/>
          <w:color w:val="808080" w:themeColor="background1" w:themeShade="80"/>
          <w:sz w:val="22"/>
          <w:szCs w:val="22"/>
          <w:lang w:val="en-GB"/>
        </w:rPr>
        <w:t>with</w:t>
      </w:r>
      <w:r w:rsidR="001D547B">
        <w:rPr>
          <w:rFonts w:ascii="Avenir Next" w:hAnsi="Avenir Next" w:cs="Arial"/>
          <w:color w:val="808080" w:themeColor="background1" w:themeShade="80"/>
          <w:sz w:val="22"/>
          <w:szCs w:val="22"/>
          <w:lang w:val="en-GB"/>
        </w:rPr>
        <w:t xml:space="preserve"> the </w:t>
      </w:r>
      <w:r w:rsidR="001B6386">
        <w:rPr>
          <w:rFonts w:ascii="Avenir Next" w:hAnsi="Avenir Next" w:cs="Arial"/>
          <w:color w:val="808080" w:themeColor="background1" w:themeShade="80"/>
          <w:sz w:val="22"/>
          <w:szCs w:val="22"/>
          <w:lang w:val="en-GB"/>
        </w:rPr>
        <w:t xml:space="preserve">format </w:t>
      </w:r>
      <w:r w:rsidR="001D547B">
        <w:rPr>
          <w:rFonts w:ascii="Avenir Next" w:hAnsi="Avenir Next" w:cs="Arial"/>
          <w:color w:val="808080" w:themeColor="background1" w:themeShade="80"/>
          <w:sz w:val="22"/>
          <w:szCs w:val="22"/>
          <w:lang w:val="en-GB"/>
        </w:rPr>
        <w:t>of a</w:t>
      </w:r>
      <w:r w:rsidR="00F678B2">
        <w:rPr>
          <w:rFonts w:ascii="Avenir Next" w:hAnsi="Avenir Next" w:cs="Arial"/>
          <w:color w:val="808080" w:themeColor="background1" w:themeShade="80"/>
          <w:sz w:val="22"/>
          <w:szCs w:val="22"/>
          <w:lang w:val="en-GB"/>
        </w:rPr>
        <w:t xml:space="preserve"> treaty </w:t>
      </w:r>
      <w:r w:rsidR="001B6386">
        <w:rPr>
          <w:rFonts w:ascii="Avenir Next" w:hAnsi="Avenir Next" w:cs="Arial"/>
          <w:color w:val="808080" w:themeColor="background1" w:themeShade="80"/>
          <w:sz w:val="22"/>
          <w:szCs w:val="22"/>
          <w:lang w:val="en-GB"/>
        </w:rPr>
        <w:t>is</w:t>
      </w:r>
      <w:r w:rsidR="0087776E">
        <w:rPr>
          <w:rFonts w:ascii="Avenir Next" w:hAnsi="Avenir Next" w:cs="Arial"/>
          <w:color w:val="808080" w:themeColor="background1" w:themeShade="80"/>
          <w:sz w:val="22"/>
          <w:szCs w:val="22"/>
          <w:lang w:val="en-GB"/>
        </w:rPr>
        <w:t xml:space="preserve"> that it is quite difficult for states to agree on</w:t>
      </w:r>
      <w:r w:rsidR="002749BA">
        <w:rPr>
          <w:rFonts w:ascii="Avenir Next" w:hAnsi="Avenir Next" w:cs="Arial"/>
          <w:color w:val="808080" w:themeColor="background1" w:themeShade="80"/>
          <w:sz w:val="22"/>
          <w:szCs w:val="22"/>
          <w:lang w:val="en-GB"/>
        </w:rPr>
        <w:t xml:space="preserve"> given its substantive legal implications on domestic law.</w:t>
      </w:r>
      <w:r w:rsidR="005830FC">
        <w:rPr>
          <w:rFonts w:ascii="Avenir Next" w:hAnsi="Avenir Next" w:cs="Arial"/>
          <w:color w:val="808080" w:themeColor="background1" w:themeShade="80"/>
          <w:sz w:val="22"/>
          <w:szCs w:val="22"/>
          <w:lang w:val="en-GB"/>
        </w:rPr>
        <w:t>]</w:t>
      </w:r>
    </w:p>
    <w:p w14:paraId="624F80F7" w14:textId="77777777" w:rsidR="001D547B" w:rsidRDefault="001D547B" w:rsidP="008671E3">
      <w:pPr>
        <w:jc w:val="both"/>
        <w:rPr>
          <w:rFonts w:ascii="Avenir Next" w:hAnsi="Avenir Next" w:cs="Arial"/>
          <w:color w:val="808080" w:themeColor="background1" w:themeShade="80"/>
          <w:sz w:val="22"/>
          <w:szCs w:val="22"/>
          <w:lang w:val="en-GB"/>
        </w:rPr>
      </w:pPr>
    </w:p>
    <w:p w14:paraId="654B0E66" w14:textId="731406A3" w:rsidR="00CB56CE" w:rsidRPr="00B77352" w:rsidRDefault="00B77352" w:rsidP="008671E3">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7297CCCA" w14:textId="673E24B4" w:rsidR="00EE7223" w:rsidRDefault="00867A8F" w:rsidP="005F442B">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21E48">
        <w:rPr>
          <w:rFonts w:ascii="Avenir Next" w:hAnsi="Avenir Next" w:cs="Arial"/>
          <w:color w:val="808080" w:themeColor="background1" w:themeShade="80"/>
          <w:sz w:val="22"/>
          <w:szCs w:val="22"/>
          <w:lang w:val="en-GB"/>
        </w:rPr>
        <w:t xml:space="preserve">In exercising its discretionary power to grant post-recognition relief under Article 21 of the MLCBI, </w:t>
      </w:r>
      <w:r w:rsidR="005F442B">
        <w:rPr>
          <w:rFonts w:ascii="Avenir Next" w:hAnsi="Avenir Next" w:cs="Arial"/>
          <w:color w:val="808080" w:themeColor="background1" w:themeShade="80"/>
          <w:sz w:val="22"/>
          <w:szCs w:val="22"/>
          <w:lang w:val="en-GB"/>
        </w:rPr>
        <w:t>the Court in the enacting state</w:t>
      </w:r>
      <w:r w:rsidR="00EF52CC">
        <w:rPr>
          <w:rFonts w:ascii="Avenir Next" w:hAnsi="Avenir Next" w:cs="Arial"/>
          <w:color w:val="808080" w:themeColor="background1" w:themeShade="80"/>
          <w:sz w:val="22"/>
          <w:szCs w:val="22"/>
          <w:lang w:val="en-GB"/>
        </w:rPr>
        <w:t xml:space="preserve"> should primarily consider</w:t>
      </w:r>
      <w:r w:rsidR="00BA6679">
        <w:rPr>
          <w:rFonts w:ascii="Avenir Next" w:hAnsi="Avenir Next" w:cs="Arial"/>
          <w:color w:val="808080" w:themeColor="background1" w:themeShade="80"/>
          <w:sz w:val="22"/>
          <w:szCs w:val="22"/>
          <w:lang w:val="en-GB"/>
        </w:rPr>
        <w:t xml:space="preserve"> </w:t>
      </w:r>
      <w:r w:rsidR="00EE7223">
        <w:rPr>
          <w:rFonts w:ascii="Avenir Next" w:hAnsi="Avenir Next" w:cs="Arial"/>
          <w:color w:val="808080" w:themeColor="background1" w:themeShade="80"/>
          <w:sz w:val="22"/>
          <w:szCs w:val="22"/>
          <w:lang w:val="en-GB"/>
        </w:rPr>
        <w:t>whether the interest</w:t>
      </w:r>
      <w:r w:rsidR="00A553E1">
        <w:rPr>
          <w:rFonts w:ascii="Avenir Next" w:hAnsi="Avenir Next" w:cs="Arial"/>
          <w:color w:val="808080" w:themeColor="background1" w:themeShade="80"/>
          <w:sz w:val="22"/>
          <w:szCs w:val="22"/>
          <w:lang w:val="en-GB"/>
        </w:rPr>
        <w:t xml:space="preserve">s of </w:t>
      </w:r>
      <w:r w:rsidR="00A97ECB">
        <w:rPr>
          <w:rFonts w:ascii="Avenir Next" w:hAnsi="Avenir Next" w:cs="Arial"/>
          <w:color w:val="808080" w:themeColor="background1" w:themeShade="80"/>
          <w:sz w:val="22"/>
          <w:szCs w:val="22"/>
          <w:lang w:val="en-GB"/>
        </w:rPr>
        <w:t>the creditors and other interested persons, including the debtor, are adequately protected pursuant to Article 22 of the MLCBI</w:t>
      </w:r>
      <w:r w:rsidR="00FC1881">
        <w:rPr>
          <w:rFonts w:ascii="Avenir Next" w:hAnsi="Avenir Next" w:cs="Arial"/>
          <w:color w:val="808080" w:themeColor="background1" w:themeShade="80"/>
          <w:sz w:val="22"/>
          <w:szCs w:val="22"/>
          <w:lang w:val="en-GB"/>
        </w:rPr>
        <w:t xml:space="preserve">. </w:t>
      </w:r>
      <w:r w:rsidR="00EC6C94">
        <w:rPr>
          <w:rFonts w:ascii="Avenir Next" w:hAnsi="Avenir Next" w:cs="Arial"/>
          <w:color w:val="808080" w:themeColor="background1" w:themeShade="80"/>
          <w:sz w:val="22"/>
          <w:szCs w:val="22"/>
          <w:lang w:val="en-GB"/>
        </w:rPr>
        <w:t xml:space="preserve"> </w:t>
      </w:r>
    </w:p>
    <w:p w14:paraId="21A2EEBF" w14:textId="77777777" w:rsidR="00EE7223" w:rsidRDefault="00EE7223" w:rsidP="005F442B">
      <w:pPr>
        <w:jc w:val="both"/>
        <w:rPr>
          <w:rFonts w:ascii="Avenir Next" w:hAnsi="Avenir Next" w:cs="Arial"/>
          <w:color w:val="808080" w:themeColor="background1" w:themeShade="80"/>
          <w:sz w:val="22"/>
          <w:szCs w:val="22"/>
          <w:lang w:val="en-GB"/>
        </w:rPr>
      </w:pPr>
    </w:p>
    <w:p w14:paraId="428DC0DA" w14:textId="08031A1F" w:rsidR="00867A8F" w:rsidRPr="00B77352" w:rsidRDefault="00BA6679" w:rsidP="005F442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w:t>
      </w:r>
      <w:r w:rsidR="00D21881">
        <w:rPr>
          <w:rFonts w:ascii="Avenir Next" w:hAnsi="Avenir Next" w:cs="Arial"/>
          <w:color w:val="808080" w:themeColor="background1" w:themeShade="80"/>
          <w:sz w:val="22"/>
          <w:szCs w:val="22"/>
          <w:lang w:val="en-GB"/>
        </w:rPr>
        <w:t xml:space="preserve"> determining whether to grant relief to a foreign representative of a foreign non-main proceeding, </w:t>
      </w:r>
      <w:r>
        <w:rPr>
          <w:rFonts w:ascii="Avenir Next" w:hAnsi="Avenir Next" w:cs="Arial"/>
          <w:color w:val="808080" w:themeColor="background1" w:themeShade="80"/>
          <w:sz w:val="22"/>
          <w:szCs w:val="22"/>
          <w:lang w:val="en-GB"/>
        </w:rPr>
        <w:t xml:space="preserve">pursuant Article 21(3) of the MLCBI, </w:t>
      </w:r>
      <w:r w:rsidR="00D21881">
        <w:rPr>
          <w:rFonts w:ascii="Avenir Next" w:hAnsi="Avenir Next" w:cs="Arial"/>
          <w:color w:val="808080" w:themeColor="background1" w:themeShade="80"/>
          <w:sz w:val="22"/>
          <w:szCs w:val="22"/>
          <w:lang w:val="en-GB"/>
        </w:rPr>
        <w:t xml:space="preserve">the Court </w:t>
      </w:r>
      <w:r w:rsidR="005864BD">
        <w:rPr>
          <w:rFonts w:ascii="Avenir Next" w:hAnsi="Avenir Next" w:cs="Arial"/>
          <w:color w:val="808080" w:themeColor="background1" w:themeShade="80"/>
          <w:sz w:val="22"/>
          <w:szCs w:val="22"/>
          <w:lang w:val="en-GB"/>
        </w:rPr>
        <w:t>should also consider whether</w:t>
      </w:r>
      <w:r w:rsidR="00D21881">
        <w:rPr>
          <w:rFonts w:ascii="Avenir Next" w:hAnsi="Avenir Next" w:cs="Arial"/>
          <w:color w:val="808080" w:themeColor="background1" w:themeShade="80"/>
          <w:sz w:val="22"/>
          <w:szCs w:val="22"/>
          <w:lang w:val="en-GB"/>
        </w:rPr>
        <w:t xml:space="preserve"> the relief relates to assets that, under the law of the enacting State, should be administered </w:t>
      </w:r>
      <w:r w:rsidR="0006058E">
        <w:rPr>
          <w:rFonts w:ascii="Avenir Next" w:hAnsi="Avenir Next" w:cs="Arial"/>
          <w:color w:val="808080" w:themeColor="background1" w:themeShade="80"/>
          <w:sz w:val="22"/>
          <w:szCs w:val="22"/>
          <w:lang w:val="en-GB"/>
        </w:rPr>
        <w:t xml:space="preserve">in the foreign non-main proceeding, or concerns information required in that proceeding, such that any relief granted </w:t>
      </w:r>
      <w:r w:rsidR="00AA4D73">
        <w:rPr>
          <w:rFonts w:ascii="Avenir Next" w:hAnsi="Avenir Next" w:cs="Arial"/>
          <w:color w:val="808080" w:themeColor="background1" w:themeShade="80"/>
          <w:sz w:val="22"/>
          <w:szCs w:val="22"/>
          <w:lang w:val="en-GB"/>
        </w:rPr>
        <w:t>does not interfere with the administration of another insolvency proceeding, such as the main proceeding.</w:t>
      </w:r>
      <w:r w:rsidR="00867A8F"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2927948F" w:rsidR="00867A8F" w:rsidRPr="00DD4983" w:rsidRDefault="00867A8F" w:rsidP="00DD4983">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155B3">
        <w:rPr>
          <w:rFonts w:ascii="Avenir Next" w:hAnsi="Avenir Next" w:cs="Arial"/>
          <w:color w:val="808080" w:themeColor="background1" w:themeShade="80"/>
          <w:sz w:val="22"/>
          <w:szCs w:val="22"/>
          <w:lang w:val="en-GB"/>
        </w:rPr>
        <w:t xml:space="preserve">The protections granted to creditors in a foreign proceeding under Article 13 of the MCBI </w:t>
      </w:r>
      <w:r w:rsidR="00DD4983">
        <w:rPr>
          <w:rFonts w:ascii="Avenir Next" w:hAnsi="Avenir Next" w:cs="Arial"/>
          <w:color w:val="808080" w:themeColor="background1" w:themeShade="80"/>
          <w:sz w:val="22"/>
          <w:szCs w:val="22"/>
          <w:lang w:val="en-GB"/>
        </w:rPr>
        <w:t xml:space="preserve">is in respect of the anti-discrimination principle. Foreign creditors </w:t>
      </w:r>
      <w:r w:rsidR="00845F8E">
        <w:rPr>
          <w:rFonts w:ascii="Avenir Next" w:hAnsi="Avenir Next" w:cs="Arial"/>
          <w:color w:val="808080" w:themeColor="background1" w:themeShade="80"/>
          <w:sz w:val="22"/>
          <w:szCs w:val="22"/>
          <w:lang w:val="en-GB"/>
        </w:rPr>
        <w:t>have the same rights as creditors domiciled in the enacting State regarding the commencement of and participation in local proceedings regarding the debtor under the insolvency law of the enacting state</w:t>
      </w:r>
      <w:r w:rsidR="001D57B4">
        <w:rPr>
          <w:rFonts w:ascii="Avenir Next" w:hAnsi="Avenir Next" w:cs="Arial"/>
          <w:color w:val="808080" w:themeColor="background1" w:themeShade="80"/>
          <w:sz w:val="22"/>
          <w:szCs w:val="22"/>
          <w:lang w:val="en-GB"/>
        </w:rPr>
        <w:t xml:space="preserve">. Article 13 </w:t>
      </w:r>
      <w:r w:rsidR="003650F8">
        <w:rPr>
          <w:rFonts w:ascii="Avenir Next" w:hAnsi="Avenir Next" w:cs="Arial"/>
          <w:color w:val="808080" w:themeColor="background1" w:themeShade="80"/>
          <w:sz w:val="22"/>
          <w:szCs w:val="22"/>
          <w:lang w:val="en-GB"/>
        </w:rPr>
        <w:t>further provides that such access does not affect the ranking of claims in the enacting State, save that the claim of a foreign cre</w:t>
      </w:r>
      <w:r w:rsidR="00D11E05">
        <w:rPr>
          <w:rFonts w:ascii="Avenir Next" w:hAnsi="Avenir Next" w:cs="Arial"/>
          <w:color w:val="808080" w:themeColor="background1" w:themeShade="80"/>
          <w:sz w:val="22"/>
          <w:szCs w:val="22"/>
          <w:lang w:val="en-GB"/>
        </w:rPr>
        <w:t xml:space="preserve">ditor shall not be ranked lower in priority than that of general unsecured claims by virtue of the fact that the holder of such a claim is a foreign creditor. </w:t>
      </w:r>
      <w:r w:rsidR="00C01BA4">
        <w:rPr>
          <w:rFonts w:ascii="Avenir Next" w:hAnsi="Avenir Next" w:cs="Arial"/>
          <w:color w:val="808080" w:themeColor="background1" w:themeShade="80"/>
          <w:sz w:val="22"/>
          <w:szCs w:val="22"/>
          <w:lang w:val="en-GB"/>
        </w:rPr>
        <w:t>However, even under Article 13, States may refuse to recognise foreign tax and social security claims</w:t>
      </w:r>
      <w:r w:rsidR="00585DC3">
        <w:rPr>
          <w:rFonts w:ascii="Avenir Next" w:hAnsi="Avenir Next" w:cs="Arial"/>
          <w:color w:val="808080" w:themeColor="background1" w:themeShade="80"/>
          <w:sz w:val="22"/>
          <w:szCs w:val="22"/>
          <w:lang w:val="en-GB"/>
        </w:rPr>
        <w:t>, thereby allowing the enacting States to continue to discriminate against such claims</w:t>
      </w:r>
      <w:r w:rsidR="00B127A4">
        <w:rPr>
          <w:rFonts w:ascii="Avenir Next" w:hAnsi="Avenir Next" w:cs="Arial"/>
          <w:color w:val="808080" w:themeColor="background1" w:themeShade="80"/>
          <w:sz w:val="22"/>
          <w:szCs w:val="22"/>
          <w:lang w:val="en-GB"/>
        </w:rPr>
        <w:t>.</w:t>
      </w:r>
      <w:r w:rsidRPr="00DD4983">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6CA6527C" w14:textId="4ECF680B" w:rsidR="00DA5809" w:rsidRDefault="00867A8F" w:rsidP="000C380B">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E4DC1">
        <w:rPr>
          <w:rFonts w:ascii="Avenir Next" w:hAnsi="Avenir Next" w:cs="Arial"/>
          <w:color w:val="808080" w:themeColor="background1" w:themeShade="80"/>
          <w:sz w:val="22"/>
          <w:szCs w:val="22"/>
          <w:lang w:val="en-GB"/>
        </w:rPr>
        <w:t xml:space="preserve">A key distinction </w:t>
      </w:r>
      <w:r w:rsidR="000C380B">
        <w:rPr>
          <w:rFonts w:ascii="Avenir Next" w:hAnsi="Avenir Next" w:cs="Arial"/>
          <w:color w:val="808080" w:themeColor="background1" w:themeShade="80"/>
          <w:sz w:val="22"/>
          <w:szCs w:val="22"/>
          <w:lang w:val="en-GB"/>
        </w:rPr>
        <w:t>between the relief that is available in a foreign main as opposed to foreign non-main proceeding is</w:t>
      </w:r>
      <w:r w:rsidR="00406E2C">
        <w:rPr>
          <w:rFonts w:ascii="Avenir Next" w:hAnsi="Avenir Next" w:cs="Arial"/>
          <w:color w:val="808080" w:themeColor="background1" w:themeShade="80"/>
          <w:sz w:val="22"/>
          <w:szCs w:val="22"/>
          <w:lang w:val="en-GB"/>
        </w:rPr>
        <w:t xml:space="preserve"> upon recognition of a foreign main proceeding pursuant to Article 20 of the MLCBI</w:t>
      </w:r>
      <w:r w:rsidR="00A27AE0">
        <w:rPr>
          <w:rFonts w:ascii="Avenir Next" w:hAnsi="Avenir Next" w:cs="Arial"/>
          <w:color w:val="808080" w:themeColor="background1" w:themeShade="80"/>
          <w:sz w:val="22"/>
          <w:szCs w:val="22"/>
          <w:lang w:val="en-GB"/>
        </w:rPr>
        <w:t xml:space="preserve">, </w:t>
      </w:r>
      <w:r w:rsidR="00AC3C95">
        <w:rPr>
          <w:rFonts w:ascii="Avenir Next" w:hAnsi="Avenir Next" w:cs="Arial"/>
          <w:color w:val="808080" w:themeColor="background1" w:themeShade="80"/>
          <w:sz w:val="22"/>
          <w:szCs w:val="22"/>
          <w:lang w:val="en-GB"/>
        </w:rPr>
        <w:t>3 types of relief are automatically granted</w:t>
      </w:r>
      <w:r w:rsidR="00DA5809">
        <w:rPr>
          <w:rFonts w:ascii="Avenir Next" w:hAnsi="Avenir Next" w:cs="Arial"/>
          <w:color w:val="808080" w:themeColor="background1" w:themeShade="80"/>
          <w:sz w:val="22"/>
          <w:szCs w:val="22"/>
          <w:lang w:val="en-GB"/>
        </w:rPr>
        <w:t xml:space="preserve">, namely: </w:t>
      </w:r>
    </w:p>
    <w:p w14:paraId="126A024C" w14:textId="77777777" w:rsidR="00AC3C95" w:rsidRDefault="00AC3C95" w:rsidP="00AC3C95">
      <w:pPr>
        <w:pStyle w:val="ListParagraph"/>
        <w:jc w:val="both"/>
        <w:rPr>
          <w:rFonts w:ascii="Avenir Next" w:hAnsi="Avenir Next" w:cs="Arial"/>
          <w:color w:val="808080" w:themeColor="background1" w:themeShade="80"/>
          <w:sz w:val="22"/>
          <w:szCs w:val="22"/>
          <w:lang w:val="en-GB"/>
        </w:rPr>
      </w:pPr>
    </w:p>
    <w:p w14:paraId="463F0ADD" w14:textId="65A552E5" w:rsidR="00DA5809" w:rsidRDefault="00DA5809" w:rsidP="00DA580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of the commencement or continuation of individual actions or individual proceedings concerning the debtor’s assets, rights, obligations or liabilities; </w:t>
      </w:r>
    </w:p>
    <w:p w14:paraId="7AF66DED" w14:textId="77777777" w:rsidR="00DA5809" w:rsidRDefault="00DA5809" w:rsidP="00DA580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 and</w:t>
      </w:r>
    </w:p>
    <w:p w14:paraId="1B59C58F" w14:textId="77777777" w:rsidR="00DA5809" w:rsidRDefault="00DA5809" w:rsidP="00DA580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suspension of the right to transfer, encumber or otherwise dispose of any assets of the debtor.</w:t>
      </w:r>
    </w:p>
    <w:p w14:paraId="74EF474D" w14:textId="77777777" w:rsidR="00DA5809" w:rsidRDefault="00DA5809" w:rsidP="00DA5809">
      <w:pPr>
        <w:jc w:val="both"/>
        <w:rPr>
          <w:rFonts w:ascii="Avenir Next" w:hAnsi="Avenir Next" w:cs="Arial"/>
          <w:color w:val="808080" w:themeColor="background1" w:themeShade="80"/>
          <w:sz w:val="22"/>
          <w:szCs w:val="22"/>
          <w:lang w:val="en-GB"/>
        </w:rPr>
      </w:pPr>
    </w:p>
    <w:p w14:paraId="18F91E21" w14:textId="20909F44" w:rsidR="00867A8F" w:rsidRPr="00DA5809" w:rsidRDefault="00DA5809" w:rsidP="00DA58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w:t>
      </w:r>
      <w:r w:rsidR="00AC3C95">
        <w:rPr>
          <w:rFonts w:ascii="Avenir Next" w:hAnsi="Avenir Next" w:cs="Arial"/>
          <w:color w:val="808080" w:themeColor="background1" w:themeShade="80"/>
          <w:sz w:val="22"/>
          <w:szCs w:val="22"/>
          <w:lang w:val="en-GB"/>
        </w:rPr>
        <w:t xml:space="preserve">hand, if the recognition concerns a foreign non-main proceeding, no automatic relief is granted, and </w:t>
      </w:r>
      <w:r w:rsidR="00587E2D">
        <w:rPr>
          <w:rFonts w:ascii="Avenir Next" w:hAnsi="Avenir Next" w:cs="Arial"/>
          <w:color w:val="808080" w:themeColor="background1" w:themeShade="80"/>
          <w:sz w:val="22"/>
          <w:szCs w:val="22"/>
          <w:lang w:val="en-GB"/>
        </w:rPr>
        <w:t>the Court retains a discretion (at the request of the foreign representative) as to the type of relief that may be granted pursuant to Article 21 of the MLCBI</w:t>
      </w:r>
      <w:r w:rsidR="00EE55A9">
        <w:rPr>
          <w:rFonts w:ascii="Avenir Next" w:hAnsi="Avenir Next" w:cs="Arial"/>
          <w:color w:val="808080" w:themeColor="background1" w:themeShade="80"/>
          <w:sz w:val="22"/>
          <w:szCs w:val="22"/>
          <w:lang w:val="en-GB"/>
        </w:rPr>
        <w:t xml:space="preserve">. </w:t>
      </w:r>
      <w:r w:rsidR="002A793B">
        <w:rPr>
          <w:rFonts w:ascii="Avenir Next" w:hAnsi="Avenir Next" w:cs="Arial"/>
          <w:color w:val="808080" w:themeColor="background1" w:themeShade="80"/>
          <w:sz w:val="22"/>
          <w:szCs w:val="22"/>
          <w:lang w:val="en-GB"/>
        </w:rPr>
        <w:t xml:space="preserve">In this regard, Article 21(3) of the </w:t>
      </w:r>
      <w:r w:rsidR="002A793B">
        <w:rPr>
          <w:rFonts w:ascii="Avenir Next" w:hAnsi="Avenir Next" w:cs="Arial"/>
          <w:color w:val="808080" w:themeColor="background1" w:themeShade="80"/>
          <w:sz w:val="22"/>
          <w:szCs w:val="22"/>
          <w:lang w:val="en-GB"/>
        </w:rPr>
        <w:lastRenderedPageBreak/>
        <w:t>MLCBI also provides that in granting relief to a representative of a foreign non-main proceeding, the court must be satisfied that the relief relates to assets that under the law of the enacting State, should be administered in the foreign non-main proceeding.</w:t>
      </w:r>
      <w:r w:rsidR="00867A8F" w:rsidRPr="00DA5809">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338F8618" w14:textId="77777777" w:rsidR="00812041" w:rsidRDefault="00867A8F" w:rsidP="001F51D0">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43762">
        <w:rPr>
          <w:rFonts w:ascii="Avenir Next" w:hAnsi="Avenir Next" w:cs="Arial"/>
          <w:color w:val="808080" w:themeColor="background1" w:themeShade="80"/>
          <w:sz w:val="22"/>
          <w:szCs w:val="22"/>
          <w:lang w:val="en-GB"/>
        </w:rPr>
        <w:t xml:space="preserve">In this scenario, foreign </w:t>
      </w:r>
      <w:r w:rsidR="001F51D0">
        <w:rPr>
          <w:rFonts w:ascii="Avenir Next" w:hAnsi="Avenir Next" w:cs="Arial"/>
          <w:color w:val="808080" w:themeColor="background1" w:themeShade="80"/>
          <w:sz w:val="22"/>
          <w:szCs w:val="22"/>
          <w:lang w:val="en-GB"/>
        </w:rPr>
        <w:t xml:space="preserve">main </w:t>
      </w:r>
      <w:r w:rsidR="00943762">
        <w:rPr>
          <w:rFonts w:ascii="Avenir Next" w:hAnsi="Avenir Next" w:cs="Arial"/>
          <w:color w:val="808080" w:themeColor="background1" w:themeShade="80"/>
          <w:sz w:val="22"/>
          <w:szCs w:val="22"/>
          <w:lang w:val="en-GB"/>
        </w:rPr>
        <w:t xml:space="preserve">proceedings must have been filed in Germany </w:t>
      </w:r>
      <w:r w:rsidR="001F51D0">
        <w:rPr>
          <w:rFonts w:ascii="Avenir Next" w:hAnsi="Avenir Next" w:cs="Arial"/>
          <w:color w:val="808080" w:themeColor="background1" w:themeShade="80"/>
          <w:sz w:val="22"/>
          <w:szCs w:val="22"/>
          <w:lang w:val="en-GB"/>
        </w:rPr>
        <w:t>given that this is where the debtor’s COMI is.</w:t>
      </w:r>
    </w:p>
    <w:p w14:paraId="4972A47B" w14:textId="77777777" w:rsidR="00812041" w:rsidRDefault="00812041" w:rsidP="001F51D0">
      <w:pPr>
        <w:jc w:val="both"/>
        <w:rPr>
          <w:rFonts w:ascii="Avenir Next" w:hAnsi="Avenir Next" w:cs="Arial"/>
          <w:color w:val="808080" w:themeColor="background1" w:themeShade="80"/>
          <w:sz w:val="22"/>
          <w:szCs w:val="22"/>
          <w:lang w:val="en-GB"/>
        </w:rPr>
      </w:pPr>
    </w:p>
    <w:p w14:paraId="6C8D7948" w14:textId="77777777" w:rsidR="00BA7365" w:rsidRDefault="00812041" w:rsidP="001F51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non-</w:t>
      </w:r>
      <w:r w:rsidR="004551B5">
        <w:rPr>
          <w:rFonts w:ascii="Avenir Next" w:hAnsi="Avenir Next" w:cs="Arial"/>
          <w:color w:val="808080" w:themeColor="background1" w:themeShade="80"/>
          <w:sz w:val="22"/>
          <w:szCs w:val="22"/>
          <w:lang w:val="en-GB"/>
        </w:rPr>
        <w:t>main proceedings must have been filed in Bermuda given that this is where the debtor has an establishment.</w:t>
      </w:r>
    </w:p>
    <w:p w14:paraId="6E40E84F" w14:textId="77777777" w:rsidR="00BA7365" w:rsidRDefault="00BA7365" w:rsidP="001F51D0">
      <w:pPr>
        <w:jc w:val="both"/>
        <w:rPr>
          <w:rFonts w:ascii="Avenir Next" w:hAnsi="Avenir Next" w:cs="Arial"/>
          <w:color w:val="808080" w:themeColor="background1" w:themeShade="80"/>
          <w:sz w:val="22"/>
          <w:szCs w:val="22"/>
          <w:lang w:val="en-GB"/>
        </w:rPr>
      </w:pPr>
    </w:p>
    <w:p w14:paraId="62DFFB95" w14:textId="1409521D" w:rsidR="00DC0F54" w:rsidRDefault="00BA7365" w:rsidP="00DC0F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w:t>
      </w:r>
      <w:r w:rsidR="00FE3E68">
        <w:rPr>
          <w:rFonts w:ascii="Avenir Next" w:hAnsi="Avenir Next" w:cs="Arial"/>
          <w:color w:val="808080" w:themeColor="background1" w:themeShade="80"/>
          <w:sz w:val="22"/>
          <w:szCs w:val="22"/>
          <w:lang w:val="en-GB"/>
        </w:rPr>
        <w:t>s of the debtor in the German proceedings and the Bermuda proceedings would then</w:t>
      </w:r>
      <w:r w:rsidR="001C4FFA">
        <w:rPr>
          <w:rFonts w:ascii="Avenir Next" w:hAnsi="Avenir Next" w:cs="Arial"/>
          <w:color w:val="808080" w:themeColor="background1" w:themeShade="80"/>
          <w:sz w:val="22"/>
          <w:szCs w:val="22"/>
          <w:lang w:val="en-GB"/>
        </w:rPr>
        <w:t xml:space="preserve"> have</w:t>
      </w:r>
      <w:r w:rsidR="00FE3E68">
        <w:rPr>
          <w:rFonts w:ascii="Avenir Next" w:hAnsi="Avenir Next" w:cs="Arial"/>
          <w:color w:val="808080" w:themeColor="background1" w:themeShade="80"/>
          <w:sz w:val="22"/>
          <w:szCs w:val="22"/>
          <w:lang w:val="en-GB"/>
        </w:rPr>
        <w:t xml:space="preserve"> brought </w:t>
      </w:r>
      <w:r w:rsidR="00635CB6">
        <w:rPr>
          <w:rFonts w:ascii="Avenir Next" w:hAnsi="Avenir Next" w:cs="Arial"/>
          <w:color w:val="808080" w:themeColor="background1" w:themeShade="80"/>
          <w:sz w:val="22"/>
          <w:szCs w:val="22"/>
          <w:lang w:val="en-GB"/>
        </w:rPr>
        <w:t>r</w:t>
      </w:r>
      <w:r w:rsidR="00FE3E68">
        <w:rPr>
          <w:rFonts w:ascii="Avenir Next" w:hAnsi="Avenir Next" w:cs="Arial"/>
          <w:color w:val="808080" w:themeColor="background1" w:themeShade="80"/>
          <w:sz w:val="22"/>
          <w:szCs w:val="22"/>
          <w:lang w:val="en-GB"/>
        </w:rPr>
        <w:t xml:space="preserve">ecognition proceedings in the US. </w:t>
      </w:r>
      <w:r w:rsidR="001C4FFA">
        <w:rPr>
          <w:rFonts w:ascii="Avenir Next" w:hAnsi="Avenir Next" w:cs="Arial"/>
          <w:color w:val="808080" w:themeColor="background1" w:themeShade="80"/>
          <w:sz w:val="22"/>
          <w:szCs w:val="22"/>
          <w:lang w:val="en-GB"/>
        </w:rPr>
        <w:t>In this</w:t>
      </w:r>
      <w:r w:rsidR="00F63598">
        <w:rPr>
          <w:rFonts w:ascii="Avenir Next" w:hAnsi="Avenir Next" w:cs="Arial"/>
          <w:color w:val="808080" w:themeColor="background1" w:themeShade="80"/>
          <w:sz w:val="22"/>
          <w:szCs w:val="22"/>
          <w:lang w:val="en-GB"/>
        </w:rPr>
        <w:t xml:space="preserve"> </w:t>
      </w:r>
      <w:r w:rsidR="00635CB6">
        <w:rPr>
          <w:rFonts w:ascii="Avenir Next" w:hAnsi="Avenir Next" w:cs="Arial"/>
          <w:color w:val="808080" w:themeColor="background1" w:themeShade="80"/>
          <w:sz w:val="22"/>
          <w:szCs w:val="22"/>
          <w:lang w:val="en-GB"/>
        </w:rPr>
        <w:t xml:space="preserve">case, there would be concurrent foreign proceedings </w:t>
      </w:r>
      <w:r w:rsidR="00157C1C">
        <w:rPr>
          <w:rFonts w:ascii="Avenir Next" w:hAnsi="Avenir Next" w:cs="Arial"/>
          <w:color w:val="808080" w:themeColor="background1" w:themeShade="80"/>
          <w:sz w:val="22"/>
          <w:szCs w:val="22"/>
          <w:lang w:val="en-GB"/>
        </w:rPr>
        <w:t xml:space="preserve">in existence in respect of the </w:t>
      </w:r>
      <w:r w:rsidR="005E5B38">
        <w:rPr>
          <w:rFonts w:ascii="Avenir Next" w:hAnsi="Avenir Next" w:cs="Arial"/>
          <w:color w:val="808080" w:themeColor="background1" w:themeShade="80"/>
          <w:sz w:val="22"/>
          <w:szCs w:val="22"/>
          <w:lang w:val="en-GB"/>
        </w:rPr>
        <w:t xml:space="preserve">same </w:t>
      </w:r>
      <w:r w:rsidR="00157C1C">
        <w:rPr>
          <w:rFonts w:ascii="Avenir Next" w:hAnsi="Avenir Next" w:cs="Arial"/>
          <w:color w:val="808080" w:themeColor="background1" w:themeShade="80"/>
          <w:sz w:val="22"/>
          <w:szCs w:val="22"/>
          <w:lang w:val="en-GB"/>
        </w:rPr>
        <w:t>debtor.</w:t>
      </w:r>
    </w:p>
    <w:p w14:paraId="20D342E8" w14:textId="77777777" w:rsidR="00157C1C" w:rsidRDefault="00157C1C" w:rsidP="001F51D0">
      <w:pPr>
        <w:jc w:val="both"/>
        <w:rPr>
          <w:rFonts w:ascii="Avenir Next" w:hAnsi="Avenir Next" w:cs="Arial"/>
          <w:color w:val="808080" w:themeColor="background1" w:themeShade="80"/>
          <w:sz w:val="22"/>
          <w:szCs w:val="22"/>
          <w:lang w:val="en-GB"/>
        </w:rPr>
      </w:pPr>
    </w:p>
    <w:p w14:paraId="3D844454" w14:textId="5E5DAFE4" w:rsidR="005964F5" w:rsidRDefault="00E83152" w:rsidP="001F51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30(a) of the MLCBI, i</w:t>
      </w:r>
      <w:r w:rsidR="00157C1C">
        <w:rPr>
          <w:rFonts w:ascii="Avenir Next" w:hAnsi="Avenir Next" w:cs="Arial"/>
          <w:color w:val="808080" w:themeColor="background1" w:themeShade="80"/>
          <w:sz w:val="22"/>
          <w:szCs w:val="22"/>
          <w:lang w:val="en-GB"/>
        </w:rPr>
        <w:t xml:space="preserve">f </w:t>
      </w:r>
      <w:r w:rsidR="00544069">
        <w:rPr>
          <w:rFonts w:ascii="Avenir Next" w:hAnsi="Avenir Next" w:cs="Arial"/>
          <w:color w:val="808080" w:themeColor="background1" w:themeShade="80"/>
          <w:sz w:val="22"/>
          <w:szCs w:val="22"/>
          <w:lang w:val="en-GB"/>
        </w:rPr>
        <w:t xml:space="preserve">the German insolvency proceedings was recognised first in the US Court, then any </w:t>
      </w:r>
      <w:r w:rsidR="005964F5">
        <w:rPr>
          <w:rFonts w:ascii="Avenir Next" w:hAnsi="Avenir Next" w:cs="Arial"/>
          <w:color w:val="808080" w:themeColor="background1" w:themeShade="80"/>
          <w:sz w:val="22"/>
          <w:szCs w:val="22"/>
          <w:lang w:val="en-GB"/>
        </w:rPr>
        <w:t xml:space="preserve">relief granted to the German foreign representative under Article 19 or Article 21 must be consistent with the foreign main proceeding. </w:t>
      </w:r>
    </w:p>
    <w:p w14:paraId="6B2A9007" w14:textId="77777777" w:rsidR="005964F5" w:rsidRDefault="005964F5" w:rsidP="001F51D0">
      <w:pPr>
        <w:jc w:val="both"/>
        <w:rPr>
          <w:rFonts w:ascii="Avenir Next" w:hAnsi="Avenir Next" w:cs="Arial"/>
          <w:color w:val="808080" w:themeColor="background1" w:themeShade="80"/>
          <w:sz w:val="22"/>
          <w:szCs w:val="22"/>
          <w:lang w:val="en-GB"/>
        </w:rPr>
      </w:pPr>
    </w:p>
    <w:p w14:paraId="08475351" w14:textId="59610664" w:rsidR="00867A8F" w:rsidRPr="00B77352" w:rsidRDefault="00E83152" w:rsidP="001F51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30(b) of the MLCBI, if the recognition of the </w:t>
      </w:r>
      <w:r w:rsidR="00E761D2">
        <w:rPr>
          <w:rFonts w:ascii="Avenir Next" w:hAnsi="Avenir Next" w:cs="Arial"/>
          <w:color w:val="808080" w:themeColor="background1" w:themeShade="80"/>
          <w:sz w:val="22"/>
          <w:szCs w:val="22"/>
          <w:lang w:val="en-GB"/>
        </w:rPr>
        <w:t xml:space="preserve">Bermuda insolvency proceedings came first, after the German proceedings are recognised in the US, the US Courts would need to review any relief that had previously been granted under Article 19 or 21 </w:t>
      </w:r>
      <w:r w:rsidR="00CA70A6">
        <w:rPr>
          <w:rFonts w:ascii="Avenir Next" w:hAnsi="Avenir Next" w:cs="Arial"/>
          <w:color w:val="808080" w:themeColor="background1" w:themeShade="80"/>
          <w:sz w:val="22"/>
          <w:szCs w:val="22"/>
          <w:lang w:val="en-GB"/>
        </w:rPr>
        <w:t>in the recognition of the Bermuda insolvency proceedings and modify or terminate any such relief if inconsistent with the German insolvency proceedings.</w:t>
      </w:r>
      <w:r w:rsidR="00867A8F" w:rsidRPr="00B77352">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D735947" w14:textId="62F5F666" w:rsidR="007926F7" w:rsidRDefault="00867A8F" w:rsidP="00DA218D">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15645A">
        <w:rPr>
          <w:rFonts w:ascii="Avenir Next" w:hAnsi="Avenir Next" w:cs="Arial"/>
          <w:color w:val="808080" w:themeColor="background1" w:themeShade="80"/>
          <w:sz w:val="22"/>
          <w:szCs w:val="22"/>
          <w:lang w:val="en-GB"/>
        </w:rPr>
        <w:t xml:space="preserve">The </w:t>
      </w:r>
      <w:r w:rsidR="00BD3991">
        <w:rPr>
          <w:rFonts w:ascii="Avenir Next" w:hAnsi="Avenir Next" w:cs="Arial"/>
          <w:color w:val="808080" w:themeColor="background1" w:themeShade="80"/>
          <w:sz w:val="22"/>
          <w:szCs w:val="22"/>
          <w:lang w:val="en-GB"/>
        </w:rPr>
        <w:t>US-based vendors of the foreign debtor likely sued the joint provisional liquidations (the “</w:t>
      </w:r>
      <w:r w:rsidR="00BD3991">
        <w:rPr>
          <w:rFonts w:ascii="Avenir Next" w:hAnsi="Avenir Next" w:cs="Arial"/>
          <w:b/>
          <w:bCs/>
          <w:color w:val="808080" w:themeColor="background1" w:themeShade="80"/>
          <w:sz w:val="22"/>
          <w:szCs w:val="22"/>
          <w:lang w:val="en-GB"/>
        </w:rPr>
        <w:t>PLs</w:t>
      </w:r>
      <w:r w:rsidR="00BD3991">
        <w:rPr>
          <w:rFonts w:ascii="Avenir Next" w:hAnsi="Avenir Next" w:cs="Arial"/>
          <w:color w:val="808080" w:themeColor="background1" w:themeShade="80"/>
          <w:sz w:val="22"/>
          <w:szCs w:val="22"/>
          <w:lang w:val="en-GB"/>
        </w:rPr>
        <w:t xml:space="preserve">”) </w:t>
      </w:r>
      <w:r w:rsidR="00CE6206">
        <w:rPr>
          <w:rFonts w:ascii="Avenir Next" w:hAnsi="Avenir Next" w:cs="Arial"/>
          <w:color w:val="808080" w:themeColor="background1" w:themeShade="80"/>
          <w:sz w:val="22"/>
          <w:szCs w:val="22"/>
          <w:lang w:val="en-GB"/>
        </w:rPr>
        <w:t xml:space="preserve">for tortious interference </w:t>
      </w:r>
      <w:r w:rsidR="00DA218D">
        <w:rPr>
          <w:rFonts w:ascii="Avenir Next" w:hAnsi="Avenir Next" w:cs="Arial"/>
          <w:color w:val="808080" w:themeColor="background1" w:themeShade="80"/>
          <w:sz w:val="22"/>
          <w:szCs w:val="22"/>
          <w:lang w:val="en-GB"/>
        </w:rPr>
        <w:t xml:space="preserve">as the relief </w:t>
      </w:r>
      <w:r w:rsidR="00FB5906">
        <w:rPr>
          <w:rFonts w:ascii="Avenir Next" w:hAnsi="Avenir Next" w:cs="Arial"/>
          <w:color w:val="808080" w:themeColor="background1" w:themeShade="80"/>
          <w:sz w:val="22"/>
          <w:szCs w:val="22"/>
          <w:lang w:val="en-GB"/>
        </w:rPr>
        <w:t>requested</w:t>
      </w:r>
      <w:r w:rsidR="00DA218D">
        <w:rPr>
          <w:rFonts w:ascii="Avenir Next" w:hAnsi="Avenir Next" w:cs="Arial"/>
          <w:color w:val="808080" w:themeColor="background1" w:themeShade="80"/>
          <w:sz w:val="22"/>
          <w:szCs w:val="22"/>
          <w:lang w:val="en-GB"/>
        </w:rPr>
        <w:t xml:space="preserve"> by the PLs </w:t>
      </w:r>
      <w:r w:rsidR="00FB5906">
        <w:rPr>
          <w:rFonts w:ascii="Avenir Next" w:hAnsi="Avenir Next" w:cs="Arial"/>
          <w:color w:val="808080" w:themeColor="background1" w:themeShade="80"/>
          <w:sz w:val="22"/>
          <w:szCs w:val="22"/>
          <w:lang w:val="en-GB"/>
        </w:rPr>
        <w:t>from the US Court</w:t>
      </w:r>
      <w:r w:rsidR="00B358C1">
        <w:rPr>
          <w:rFonts w:ascii="Avenir Next" w:hAnsi="Avenir Next" w:cs="Arial"/>
          <w:color w:val="808080" w:themeColor="background1" w:themeShade="80"/>
          <w:sz w:val="22"/>
          <w:szCs w:val="22"/>
          <w:lang w:val="en-GB"/>
        </w:rPr>
        <w:t xml:space="preserve"> in seeking recognition</w:t>
      </w:r>
      <w:r w:rsidR="00FB5906">
        <w:rPr>
          <w:rFonts w:ascii="Avenir Next" w:hAnsi="Avenir Next" w:cs="Arial"/>
          <w:color w:val="808080" w:themeColor="background1" w:themeShade="80"/>
          <w:sz w:val="22"/>
          <w:szCs w:val="22"/>
          <w:lang w:val="en-GB"/>
        </w:rPr>
        <w:t xml:space="preserve"> </w:t>
      </w:r>
      <w:r w:rsidR="00DA218D">
        <w:rPr>
          <w:rFonts w:ascii="Avenir Next" w:hAnsi="Avenir Next" w:cs="Arial"/>
          <w:color w:val="808080" w:themeColor="background1" w:themeShade="80"/>
          <w:sz w:val="22"/>
          <w:szCs w:val="22"/>
          <w:lang w:val="en-GB"/>
        </w:rPr>
        <w:t>was likely to</w:t>
      </w:r>
      <w:r w:rsidR="00FB5906">
        <w:rPr>
          <w:rFonts w:ascii="Avenir Next" w:hAnsi="Avenir Next" w:cs="Arial"/>
          <w:color w:val="808080" w:themeColor="background1" w:themeShade="80"/>
          <w:sz w:val="22"/>
          <w:szCs w:val="22"/>
          <w:lang w:val="en-GB"/>
        </w:rPr>
        <w:t xml:space="preserve"> the effect of preventing the </w:t>
      </w:r>
      <w:r w:rsidR="003071DA">
        <w:rPr>
          <w:rFonts w:ascii="Avenir Next" w:hAnsi="Avenir Next" w:cs="Arial"/>
          <w:color w:val="808080" w:themeColor="background1" w:themeShade="80"/>
          <w:sz w:val="22"/>
          <w:szCs w:val="22"/>
          <w:lang w:val="en-GB"/>
        </w:rPr>
        <w:t xml:space="preserve">US-based vendors from </w:t>
      </w:r>
      <w:r w:rsidR="00ED7055">
        <w:rPr>
          <w:rFonts w:ascii="Avenir Next" w:hAnsi="Avenir Next" w:cs="Arial"/>
          <w:color w:val="808080" w:themeColor="background1" w:themeShade="80"/>
          <w:sz w:val="22"/>
          <w:szCs w:val="22"/>
          <w:lang w:val="en-GB"/>
        </w:rPr>
        <w:t>enforcing</w:t>
      </w:r>
      <w:r w:rsidR="003071DA">
        <w:rPr>
          <w:rFonts w:ascii="Avenir Next" w:hAnsi="Avenir Next" w:cs="Arial"/>
          <w:color w:val="808080" w:themeColor="background1" w:themeShade="80"/>
          <w:sz w:val="22"/>
          <w:szCs w:val="22"/>
          <w:lang w:val="en-GB"/>
        </w:rPr>
        <w:t xml:space="preserve"> </w:t>
      </w:r>
      <w:r w:rsidR="00624890">
        <w:rPr>
          <w:rFonts w:ascii="Avenir Next" w:hAnsi="Avenir Next" w:cs="Arial"/>
          <w:color w:val="808080" w:themeColor="background1" w:themeShade="80"/>
          <w:sz w:val="22"/>
          <w:szCs w:val="22"/>
          <w:lang w:val="en-GB"/>
        </w:rPr>
        <w:t>the</w:t>
      </w:r>
      <w:r w:rsidR="00254DE6">
        <w:rPr>
          <w:rFonts w:ascii="Avenir Next" w:hAnsi="Avenir Next" w:cs="Arial"/>
          <w:color w:val="808080" w:themeColor="background1" w:themeShade="80"/>
          <w:sz w:val="22"/>
          <w:szCs w:val="22"/>
          <w:lang w:val="en-GB"/>
        </w:rPr>
        <w:t xml:space="preserve"> contractual</w:t>
      </w:r>
      <w:r w:rsidR="009A10B4">
        <w:rPr>
          <w:rFonts w:ascii="Avenir Next" w:hAnsi="Avenir Next" w:cs="Arial"/>
          <w:color w:val="808080" w:themeColor="background1" w:themeShade="80"/>
          <w:sz w:val="22"/>
          <w:szCs w:val="22"/>
          <w:lang w:val="en-GB"/>
        </w:rPr>
        <w:t xml:space="preserve"> </w:t>
      </w:r>
      <w:r w:rsidR="00624890">
        <w:rPr>
          <w:rFonts w:ascii="Avenir Next" w:hAnsi="Avenir Next" w:cs="Arial"/>
          <w:color w:val="808080" w:themeColor="background1" w:themeShade="80"/>
          <w:sz w:val="22"/>
          <w:szCs w:val="22"/>
          <w:lang w:val="en-GB"/>
        </w:rPr>
        <w:t xml:space="preserve">debts </w:t>
      </w:r>
      <w:r w:rsidR="009A10B4">
        <w:rPr>
          <w:rFonts w:ascii="Avenir Next" w:hAnsi="Avenir Next" w:cs="Arial"/>
          <w:color w:val="808080" w:themeColor="background1" w:themeShade="80"/>
          <w:sz w:val="22"/>
          <w:szCs w:val="22"/>
          <w:lang w:val="en-GB"/>
        </w:rPr>
        <w:t>against the foreign debtor</w:t>
      </w:r>
      <w:r w:rsidR="005C1399">
        <w:rPr>
          <w:rFonts w:ascii="Avenir Next" w:hAnsi="Avenir Next" w:cs="Arial"/>
          <w:color w:val="808080" w:themeColor="background1" w:themeShade="80"/>
          <w:sz w:val="22"/>
          <w:szCs w:val="22"/>
          <w:lang w:val="en-GB"/>
        </w:rPr>
        <w:t xml:space="preserve"> </w:t>
      </w:r>
      <w:r w:rsidR="00E6031E">
        <w:rPr>
          <w:rFonts w:ascii="Avenir Next" w:hAnsi="Avenir Next" w:cs="Arial"/>
          <w:color w:val="808080" w:themeColor="background1" w:themeShade="80"/>
          <w:sz w:val="22"/>
          <w:szCs w:val="22"/>
          <w:lang w:val="en-GB"/>
        </w:rPr>
        <w:t xml:space="preserve">on the purported basis that these contractual </w:t>
      </w:r>
      <w:r w:rsidR="00527673">
        <w:rPr>
          <w:rFonts w:ascii="Avenir Next" w:hAnsi="Avenir Next" w:cs="Arial"/>
          <w:color w:val="808080" w:themeColor="background1" w:themeShade="80"/>
          <w:sz w:val="22"/>
          <w:szCs w:val="22"/>
          <w:lang w:val="en-GB"/>
        </w:rPr>
        <w:t>debts</w:t>
      </w:r>
      <w:r w:rsidR="00E6031E">
        <w:rPr>
          <w:rFonts w:ascii="Avenir Next" w:hAnsi="Avenir Next" w:cs="Arial"/>
          <w:color w:val="808080" w:themeColor="background1" w:themeShade="80"/>
          <w:sz w:val="22"/>
          <w:szCs w:val="22"/>
          <w:lang w:val="en-GB"/>
        </w:rPr>
        <w:t xml:space="preserve"> are deemed to be </w:t>
      </w:r>
      <w:r w:rsidR="00527673">
        <w:rPr>
          <w:rFonts w:ascii="Avenir Next" w:hAnsi="Avenir Next" w:cs="Arial"/>
          <w:color w:val="808080" w:themeColor="background1" w:themeShade="80"/>
          <w:sz w:val="22"/>
          <w:szCs w:val="22"/>
          <w:lang w:val="en-GB"/>
        </w:rPr>
        <w:t xml:space="preserve">discharged </w:t>
      </w:r>
      <w:r w:rsidR="00E6031E">
        <w:rPr>
          <w:rFonts w:ascii="Avenir Next" w:hAnsi="Avenir Next" w:cs="Arial"/>
          <w:color w:val="808080" w:themeColor="background1" w:themeShade="80"/>
          <w:sz w:val="22"/>
          <w:szCs w:val="22"/>
          <w:lang w:val="en-GB"/>
        </w:rPr>
        <w:t>under the foreign insolvency law</w:t>
      </w:r>
      <w:r w:rsidR="00991973">
        <w:rPr>
          <w:rFonts w:ascii="Avenir Next" w:hAnsi="Avenir Next" w:cs="Arial"/>
          <w:color w:val="808080" w:themeColor="background1" w:themeShade="80"/>
          <w:sz w:val="22"/>
          <w:szCs w:val="22"/>
          <w:lang w:val="en-GB"/>
        </w:rPr>
        <w:t>.</w:t>
      </w:r>
      <w:r w:rsidR="003355AF">
        <w:rPr>
          <w:rFonts w:ascii="Avenir Next" w:hAnsi="Avenir Next" w:cs="Arial"/>
          <w:color w:val="808080" w:themeColor="background1" w:themeShade="80"/>
          <w:sz w:val="22"/>
          <w:szCs w:val="22"/>
          <w:lang w:val="en-GB"/>
        </w:rPr>
        <w:t xml:space="preserve"> </w:t>
      </w:r>
    </w:p>
    <w:p w14:paraId="768E8D7F" w14:textId="77777777" w:rsidR="004337C3" w:rsidRDefault="004337C3" w:rsidP="00DA218D">
      <w:pPr>
        <w:jc w:val="both"/>
        <w:rPr>
          <w:rFonts w:ascii="Avenir Next" w:hAnsi="Avenir Next" w:cs="Arial"/>
          <w:color w:val="808080" w:themeColor="background1" w:themeShade="80"/>
          <w:sz w:val="22"/>
          <w:szCs w:val="22"/>
          <w:lang w:val="en-GB"/>
        </w:rPr>
      </w:pPr>
    </w:p>
    <w:p w14:paraId="4CB1B29E" w14:textId="2F0BF697" w:rsidR="00692C8D" w:rsidRDefault="00527673" w:rsidP="00DA21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rule in Anthony Gibbs</w:t>
      </w:r>
      <w:r w:rsidR="00692C8D">
        <w:rPr>
          <w:rFonts w:ascii="Avenir Next" w:hAnsi="Avenir Next" w:cs="Arial"/>
          <w:color w:val="808080" w:themeColor="background1" w:themeShade="80"/>
          <w:sz w:val="22"/>
          <w:szCs w:val="22"/>
          <w:lang w:val="en-GB"/>
        </w:rPr>
        <w:t xml:space="preserve"> (the “</w:t>
      </w:r>
      <w:r w:rsidR="00692C8D">
        <w:rPr>
          <w:rFonts w:ascii="Avenir Next" w:hAnsi="Avenir Next" w:cs="Arial"/>
          <w:b/>
          <w:bCs/>
          <w:color w:val="808080" w:themeColor="background1" w:themeShade="80"/>
          <w:sz w:val="22"/>
          <w:szCs w:val="22"/>
          <w:lang w:val="en-GB"/>
        </w:rPr>
        <w:t>Gibbs Rule</w:t>
      </w:r>
      <w:r w:rsidR="00692C8D">
        <w:rPr>
          <w:rFonts w:ascii="Avenir Next" w:hAnsi="Avenir Next" w:cs="Arial"/>
          <w:color w:val="808080" w:themeColor="background1" w:themeShade="80"/>
          <w:sz w:val="22"/>
          <w:szCs w:val="22"/>
          <w:lang w:val="en-GB"/>
        </w:rPr>
        <w:t xml:space="preserve">”), a debt governed by the law of a particular state cannot be discharged or compromised by foreign insolvency proceedings. </w:t>
      </w:r>
      <w:r w:rsidR="00E35551">
        <w:rPr>
          <w:rFonts w:ascii="Avenir Next" w:hAnsi="Avenir Next" w:cs="Arial"/>
          <w:color w:val="808080" w:themeColor="background1" w:themeShade="80"/>
          <w:sz w:val="22"/>
          <w:szCs w:val="22"/>
          <w:lang w:val="en-GB"/>
        </w:rPr>
        <w:t xml:space="preserve">The discharge of a </w:t>
      </w:r>
      <w:r w:rsidR="00BA2AAE">
        <w:rPr>
          <w:rFonts w:ascii="Avenir Next" w:hAnsi="Avenir Next" w:cs="Arial"/>
          <w:color w:val="808080" w:themeColor="background1" w:themeShade="80"/>
          <w:sz w:val="22"/>
          <w:szCs w:val="22"/>
          <w:lang w:val="en-GB"/>
        </w:rPr>
        <w:t>debt</w:t>
      </w:r>
      <w:r w:rsidR="00E35551">
        <w:rPr>
          <w:rFonts w:ascii="Avenir Next" w:hAnsi="Avenir Next" w:cs="Arial"/>
          <w:color w:val="808080" w:themeColor="background1" w:themeShade="80"/>
          <w:sz w:val="22"/>
          <w:szCs w:val="22"/>
          <w:lang w:val="en-GB"/>
        </w:rPr>
        <w:t xml:space="preserve"> under the insolvency law of a foreign country is only treated as a discharge in the law of the particular state if i</w:t>
      </w:r>
      <w:r w:rsidR="00EF1D15">
        <w:rPr>
          <w:rFonts w:ascii="Avenir Next" w:hAnsi="Avenir Next" w:cs="Arial"/>
          <w:color w:val="808080" w:themeColor="background1" w:themeShade="80"/>
          <w:sz w:val="22"/>
          <w:szCs w:val="22"/>
          <w:lang w:val="en-GB"/>
        </w:rPr>
        <w:t xml:space="preserve">t is a discharge under the law applicable to the contract. </w:t>
      </w:r>
    </w:p>
    <w:p w14:paraId="7044C86F" w14:textId="77777777" w:rsidR="00692C8D" w:rsidRDefault="00692C8D" w:rsidP="00DA218D">
      <w:pPr>
        <w:jc w:val="both"/>
        <w:rPr>
          <w:rFonts w:ascii="Avenir Next" w:hAnsi="Avenir Next" w:cs="Arial"/>
          <w:color w:val="808080" w:themeColor="background1" w:themeShade="80"/>
          <w:sz w:val="22"/>
          <w:szCs w:val="22"/>
          <w:lang w:val="en-GB"/>
        </w:rPr>
      </w:pPr>
    </w:p>
    <w:p w14:paraId="613E2061" w14:textId="77777777" w:rsidR="00E70371" w:rsidRDefault="00B358C1" w:rsidP="00DA21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present case</w:t>
      </w:r>
      <w:r w:rsidR="00D12817">
        <w:rPr>
          <w:rFonts w:ascii="Avenir Next" w:hAnsi="Avenir Next" w:cs="Arial"/>
          <w:color w:val="808080" w:themeColor="background1" w:themeShade="80"/>
          <w:sz w:val="22"/>
          <w:szCs w:val="22"/>
          <w:lang w:val="en-GB"/>
        </w:rPr>
        <w:t xml:space="preserve">, </w:t>
      </w:r>
      <w:r w:rsidR="00BA2AAE">
        <w:rPr>
          <w:rFonts w:ascii="Avenir Next" w:hAnsi="Avenir Next" w:cs="Arial"/>
          <w:color w:val="808080" w:themeColor="background1" w:themeShade="80"/>
          <w:sz w:val="22"/>
          <w:szCs w:val="22"/>
          <w:lang w:val="en-GB"/>
        </w:rPr>
        <w:t xml:space="preserve">the US Court would likely only grant the relief sought by the PLs if the discharge of the debt under the foreign insolvency law is </w:t>
      </w:r>
      <w:r w:rsidR="000D1065">
        <w:rPr>
          <w:rFonts w:ascii="Avenir Next" w:hAnsi="Avenir Next" w:cs="Arial"/>
          <w:color w:val="808080" w:themeColor="background1" w:themeShade="80"/>
          <w:sz w:val="22"/>
          <w:szCs w:val="22"/>
          <w:lang w:val="en-GB"/>
        </w:rPr>
        <w:t>also discharge under the law applicable to the contract.</w:t>
      </w:r>
      <w:r w:rsidR="00D7312B">
        <w:rPr>
          <w:rFonts w:ascii="Avenir Next" w:hAnsi="Avenir Next" w:cs="Arial"/>
          <w:color w:val="808080" w:themeColor="background1" w:themeShade="80"/>
          <w:sz w:val="22"/>
          <w:szCs w:val="22"/>
          <w:lang w:val="en-GB"/>
        </w:rPr>
        <w:t xml:space="preserve"> </w:t>
      </w:r>
      <w:r w:rsidR="00D7312B">
        <w:rPr>
          <w:rFonts w:ascii="Avenir Next" w:hAnsi="Avenir Next" w:cs="Arial"/>
          <w:color w:val="808080" w:themeColor="background1" w:themeShade="80"/>
          <w:sz w:val="22"/>
          <w:szCs w:val="22"/>
          <w:lang w:val="en-GB"/>
        </w:rPr>
        <w:lastRenderedPageBreak/>
        <w:t>If this is not the case, the US Court would unlikely grant the relief sought</w:t>
      </w:r>
      <w:r w:rsidR="00337C56">
        <w:rPr>
          <w:rFonts w:ascii="Avenir Next" w:hAnsi="Avenir Next" w:cs="Arial"/>
          <w:color w:val="808080" w:themeColor="background1" w:themeShade="80"/>
          <w:sz w:val="22"/>
          <w:szCs w:val="22"/>
          <w:lang w:val="en-GB"/>
        </w:rPr>
        <w:t xml:space="preserve">, unless the US-based vendors have submitted to the foreign insolvency proceeding such that they would be taken to have accepted that the law governing the foreign insolvency proceeding should determine the </w:t>
      </w:r>
      <w:r w:rsidR="002B1861">
        <w:rPr>
          <w:rFonts w:ascii="Avenir Next" w:hAnsi="Avenir Next" w:cs="Arial"/>
          <w:color w:val="808080" w:themeColor="background1" w:themeShade="80"/>
          <w:sz w:val="22"/>
          <w:szCs w:val="22"/>
          <w:lang w:val="en-GB"/>
        </w:rPr>
        <w:t xml:space="preserve">contractual rights that the US-based vendors have elected to vindicate in that proceeding. </w:t>
      </w:r>
    </w:p>
    <w:p w14:paraId="1D9756DE" w14:textId="77777777" w:rsidR="00E70371" w:rsidRDefault="00E70371" w:rsidP="00DA218D">
      <w:pPr>
        <w:jc w:val="both"/>
        <w:rPr>
          <w:rFonts w:ascii="Avenir Next" w:hAnsi="Avenir Next" w:cs="Arial"/>
          <w:color w:val="808080" w:themeColor="background1" w:themeShade="80"/>
          <w:sz w:val="22"/>
          <w:szCs w:val="22"/>
          <w:lang w:val="en-GB"/>
        </w:rPr>
      </w:pPr>
    </w:p>
    <w:p w14:paraId="59404B1B" w14:textId="5615F03F" w:rsidR="00D7312B" w:rsidRDefault="00E70371" w:rsidP="00DA21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neither of the above scenarios are satisfied, the US Court is unlikely to grant the relief sought, and the contractual debt </w:t>
      </w:r>
      <w:r w:rsidR="00076DA8">
        <w:rPr>
          <w:rFonts w:ascii="Avenir Next" w:hAnsi="Avenir Next" w:cs="Arial"/>
          <w:color w:val="808080" w:themeColor="background1" w:themeShade="80"/>
          <w:sz w:val="22"/>
          <w:szCs w:val="22"/>
          <w:lang w:val="en-GB"/>
        </w:rPr>
        <w:t xml:space="preserve">owed to the US-based vendors </w:t>
      </w:r>
      <w:r>
        <w:rPr>
          <w:rFonts w:ascii="Avenir Next" w:hAnsi="Avenir Next" w:cs="Arial"/>
          <w:color w:val="808080" w:themeColor="background1" w:themeShade="80"/>
          <w:sz w:val="22"/>
          <w:szCs w:val="22"/>
          <w:lang w:val="en-GB"/>
        </w:rPr>
        <w:t xml:space="preserve">would not be treated as discharged </w:t>
      </w:r>
      <w:r w:rsidR="00076DA8">
        <w:rPr>
          <w:rFonts w:ascii="Avenir Next" w:hAnsi="Avenir Next" w:cs="Arial"/>
          <w:color w:val="808080" w:themeColor="background1" w:themeShade="80"/>
          <w:sz w:val="22"/>
          <w:szCs w:val="22"/>
          <w:lang w:val="en-GB"/>
        </w:rPr>
        <w:t xml:space="preserve">in US. </w:t>
      </w:r>
    </w:p>
    <w:p w14:paraId="0D34910D" w14:textId="54BB78CF" w:rsidR="002B1861" w:rsidRDefault="00D7312B" w:rsidP="00DA21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F77AA0F" w14:textId="0DDE6D83" w:rsidR="00867A8F" w:rsidRPr="000130E7" w:rsidRDefault="005C347D"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w:t>
      </w:r>
      <w:r w:rsidR="007D6ED5">
        <w:rPr>
          <w:rFonts w:ascii="Avenir Next" w:hAnsi="Avenir Next" w:cs="Arial"/>
          <w:color w:val="808080" w:themeColor="background1" w:themeShade="80"/>
          <w:sz w:val="22"/>
          <w:szCs w:val="22"/>
          <w:lang w:val="en-GB"/>
        </w:rPr>
        <w:t xml:space="preserve"> analysis assumes </w:t>
      </w:r>
      <w:r w:rsidR="00270A9E">
        <w:rPr>
          <w:rFonts w:ascii="Avenir Next" w:hAnsi="Avenir Next" w:cs="Arial"/>
          <w:color w:val="808080" w:themeColor="background1" w:themeShade="80"/>
          <w:sz w:val="22"/>
          <w:szCs w:val="22"/>
          <w:lang w:val="en-GB"/>
        </w:rPr>
        <w:t xml:space="preserve">that the US-based vendors were not taking steps to enforce their contract rights by way of the commencement of </w:t>
      </w:r>
      <w:r w:rsidR="004F2741">
        <w:rPr>
          <w:rFonts w:ascii="Avenir Next" w:hAnsi="Avenir Next" w:cs="Arial"/>
          <w:color w:val="808080" w:themeColor="background1" w:themeShade="80"/>
          <w:sz w:val="22"/>
          <w:szCs w:val="22"/>
          <w:lang w:val="en-GB"/>
        </w:rPr>
        <w:t>legal proceedings</w:t>
      </w:r>
      <w:r w:rsidR="00665EAA">
        <w:rPr>
          <w:rFonts w:ascii="Avenir Next" w:hAnsi="Avenir Next" w:cs="Arial"/>
          <w:color w:val="808080" w:themeColor="background1" w:themeShade="80"/>
          <w:sz w:val="22"/>
          <w:szCs w:val="22"/>
          <w:lang w:val="en-GB"/>
        </w:rPr>
        <w:t xml:space="preserve"> / litigation</w:t>
      </w:r>
      <w:r w:rsidR="004F2741">
        <w:rPr>
          <w:rFonts w:ascii="Avenir Next" w:hAnsi="Avenir Next" w:cs="Arial"/>
          <w:color w:val="808080" w:themeColor="background1" w:themeShade="80"/>
          <w:sz w:val="22"/>
          <w:szCs w:val="22"/>
          <w:lang w:val="en-GB"/>
        </w:rPr>
        <w:t xml:space="preserve"> against the foreign debtor in the US Courts. If such domestic legal proceedings were commenced by the US-based vendors against the foreign debtor, </w:t>
      </w:r>
      <w:r w:rsidR="00901767">
        <w:rPr>
          <w:rFonts w:ascii="Avenir Next" w:hAnsi="Avenir Next" w:cs="Arial"/>
          <w:color w:val="808080" w:themeColor="background1" w:themeShade="80"/>
          <w:sz w:val="22"/>
          <w:szCs w:val="22"/>
          <w:lang w:val="en-GB"/>
        </w:rPr>
        <w:t xml:space="preserve">the US Court would grant </w:t>
      </w:r>
      <w:r w:rsidR="00C70AEA">
        <w:rPr>
          <w:rFonts w:ascii="Avenir Next" w:hAnsi="Avenir Next" w:cs="Arial"/>
          <w:color w:val="808080" w:themeColor="background1" w:themeShade="80"/>
          <w:sz w:val="22"/>
          <w:szCs w:val="22"/>
          <w:lang w:val="en-GB"/>
        </w:rPr>
        <w:t xml:space="preserve">relief to the extent that provides for the staying of the commencement or continuation of individual actions or proceedings concerning the debtor’s assets, rights, obligations or liabilities. Depending on whether the </w:t>
      </w:r>
      <w:r w:rsidR="000130E7">
        <w:rPr>
          <w:rFonts w:ascii="Avenir Next" w:hAnsi="Avenir Next" w:cs="Arial"/>
          <w:color w:val="808080" w:themeColor="background1" w:themeShade="80"/>
          <w:sz w:val="22"/>
          <w:szCs w:val="22"/>
          <w:lang w:val="en-GB"/>
        </w:rPr>
        <w:t>PLs were appointed under a foreign main or non-main proceeding, the US Court could grant such relief under Article 20(1)(a) or Article 21(1)(a).]</w:t>
      </w:r>
    </w:p>
    <w:p w14:paraId="71091FFD" w14:textId="77777777" w:rsidR="000130E7" w:rsidRDefault="000130E7" w:rsidP="00C91324">
      <w:pPr>
        <w:ind w:left="720" w:hanging="720"/>
        <w:jc w:val="both"/>
        <w:rPr>
          <w:rFonts w:ascii="Avenir Next Demi Bold" w:hAnsi="Avenir Next Demi Bold" w:cs="Arial"/>
          <w:b/>
          <w:bCs/>
          <w:sz w:val="22"/>
          <w:szCs w:val="22"/>
          <w:shd w:val="clear" w:color="auto" w:fill="FFFFFF"/>
          <w:lang w:val="en-GB"/>
        </w:rPr>
      </w:pPr>
    </w:p>
    <w:p w14:paraId="0C9A5B96" w14:textId="26825524"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5EE2F2D4" w14:textId="1AD0B021" w:rsidR="0029068D" w:rsidRDefault="00867A8F" w:rsidP="00322793">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76DA8">
        <w:rPr>
          <w:rFonts w:ascii="Avenir Next" w:hAnsi="Avenir Next" w:cs="Arial"/>
          <w:color w:val="808080" w:themeColor="background1" w:themeShade="80"/>
          <w:sz w:val="22"/>
          <w:szCs w:val="22"/>
          <w:lang w:val="en-GB"/>
        </w:rPr>
        <w:t>Given that there is a relatively significant</w:t>
      </w:r>
      <w:r w:rsidR="00322793">
        <w:rPr>
          <w:rFonts w:ascii="Avenir Next" w:hAnsi="Avenir Next" w:cs="Arial"/>
          <w:color w:val="808080" w:themeColor="background1" w:themeShade="80"/>
          <w:sz w:val="22"/>
          <w:szCs w:val="22"/>
          <w:lang w:val="en-GB"/>
        </w:rPr>
        <w:t xml:space="preserve"> period of time between the application for recognition and the hearing date, the foreign representative should consider taking out an </w:t>
      </w:r>
      <w:r w:rsidR="009A1CFC">
        <w:rPr>
          <w:rFonts w:ascii="Avenir Next" w:hAnsi="Avenir Next" w:cs="Arial"/>
          <w:color w:val="808080" w:themeColor="background1" w:themeShade="80"/>
          <w:sz w:val="22"/>
          <w:szCs w:val="22"/>
          <w:lang w:val="en-GB"/>
        </w:rPr>
        <w:t xml:space="preserve">urgent </w:t>
      </w:r>
      <w:r w:rsidR="00322793">
        <w:rPr>
          <w:rFonts w:ascii="Avenir Next" w:hAnsi="Avenir Next" w:cs="Arial"/>
          <w:color w:val="808080" w:themeColor="background1" w:themeShade="80"/>
          <w:sz w:val="22"/>
          <w:szCs w:val="22"/>
          <w:lang w:val="en-GB"/>
        </w:rPr>
        <w:t xml:space="preserve">application for interim </w:t>
      </w:r>
      <w:r w:rsidR="009A1CFC">
        <w:rPr>
          <w:rFonts w:ascii="Avenir Next" w:hAnsi="Avenir Next" w:cs="Arial"/>
          <w:color w:val="808080" w:themeColor="background1" w:themeShade="80"/>
          <w:sz w:val="22"/>
          <w:szCs w:val="22"/>
          <w:lang w:val="en-GB"/>
        </w:rPr>
        <w:t xml:space="preserve">pre-recognition </w:t>
      </w:r>
      <w:r w:rsidR="00322793">
        <w:rPr>
          <w:rFonts w:ascii="Avenir Next" w:hAnsi="Avenir Next" w:cs="Arial"/>
          <w:color w:val="808080" w:themeColor="background1" w:themeShade="80"/>
          <w:sz w:val="22"/>
          <w:szCs w:val="22"/>
          <w:lang w:val="en-GB"/>
        </w:rPr>
        <w:t>relief</w:t>
      </w:r>
      <w:r w:rsidR="0029068D">
        <w:rPr>
          <w:rFonts w:ascii="Avenir Next" w:hAnsi="Avenir Next" w:cs="Arial"/>
          <w:color w:val="808080" w:themeColor="background1" w:themeShade="80"/>
          <w:sz w:val="22"/>
          <w:szCs w:val="22"/>
          <w:lang w:val="en-GB"/>
        </w:rPr>
        <w:t xml:space="preserve"> to protect the foreign debtor’s assets in US</w:t>
      </w:r>
      <w:r w:rsidR="00C05FA9">
        <w:rPr>
          <w:rFonts w:ascii="Avenir Next" w:hAnsi="Avenir Next" w:cs="Arial"/>
          <w:color w:val="808080" w:themeColor="background1" w:themeShade="80"/>
          <w:sz w:val="22"/>
          <w:szCs w:val="22"/>
          <w:lang w:val="en-GB"/>
        </w:rPr>
        <w:t xml:space="preserve"> to grant appropriate relief to</w:t>
      </w:r>
      <w:r w:rsidR="00A53F75">
        <w:rPr>
          <w:rFonts w:ascii="Avenir Next" w:hAnsi="Avenir Next" w:cs="Arial"/>
          <w:color w:val="808080" w:themeColor="background1" w:themeShade="80"/>
          <w:sz w:val="22"/>
          <w:szCs w:val="22"/>
          <w:lang w:val="en-GB"/>
        </w:rPr>
        <w:t xml:space="preserve"> restrain the counterparties to the contracts with the foreign debtor from exercising the </w:t>
      </w:r>
      <w:r w:rsidR="00A53F75">
        <w:rPr>
          <w:rFonts w:ascii="Avenir Next" w:hAnsi="Avenir Next" w:cs="Arial"/>
          <w:i/>
          <w:iCs/>
          <w:color w:val="808080" w:themeColor="background1" w:themeShade="80"/>
          <w:sz w:val="22"/>
          <w:szCs w:val="22"/>
          <w:lang w:val="en-GB"/>
        </w:rPr>
        <w:t>ipso facto</w:t>
      </w:r>
      <w:r w:rsidR="00A53F75">
        <w:rPr>
          <w:rFonts w:ascii="Avenir Next" w:hAnsi="Avenir Next" w:cs="Arial"/>
          <w:color w:val="808080" w:themeColor="background1" w:themeShade="80"/>
          <w:sz w:val="22"/>
          <w:szCs w:val="22"/>
          <w:lang w:val="en-GB"/>
        </w:rPr>
        <w:t xml:space="preserve"> clauses which</w:t>
      </w:r>
      <w:r w:rsidR="00DA0186">
        <w:rPr>
          <w:rFonts w:ascii="Avenir Next" w:hAnsi="Avenir Next" w:cs="Arial"/>
          <w:color w:val="808080" w:themeColor="background1" w:themeShade="80"/>
          <w:sz w:val="22"/>
          <w:szCs w:val="22"/>
          <w:lang w:val="en-GB"/>
        </w:rPr>
        <w:t xml:space="preserve"> are unenforceable under the US Bankruptcy Code pursuant to</w:t>
      </w:r>
      <w:r w:rsidR="0029068D">
        <w:rPr>
          <w:rFonts w:ascii="Avenir Next" w:hAnsi="Avenir Next" w:cs="Arial"/>
          <w:color w:val="808080" w:themeColor="background1" w:themeShade="80"/>
          <w:sz w:val="22"/>
          <w:szCs w:val="22"/>
          <w:lang w:val="en-GB"/>
        </w:rPr>
        <w:t xml:space="preserve"> Article </w:t>
      </w:r>
      <w:r w:rsidR="00E66956">
        <w:rPr>
          <w:rFonts w:ascii="Avenir Next" w:hAnsi="Avenir Next" w:cs="Arial"/>
          <w:color w:val="808080" w:themeColor="background1" w:themeShade="80"/>
          <w:sz w:val="22"/>
          <w:szCs w:val="22"/>
          <w:lang w:val="en-GB"/>
        </w:rPr>
        <w:t>19</w:t>
      </w:r>
      <w:r w:rsidR="00101CDF">
        <w:rPr>
          <w:rFonts w:ascii="Avenir Next" w:hAnsi="Avenir Next" w:cs="Arial"/>
          <w:color w:val="808080" w:themeColor="background1" w:themeShade="80"/>
          <w:sz w:val="22"/>
          <w:szCs w:val="22"/>
          <w:lang w:val="en-GB"/>
        </w:rPr>
        <w:t>(1)</w:t>
      </w:r>
      <w:r w:rsidR="00B22065">
        <w:rPr>
          <w:rFonts w:ascii="Avenir Next" w:hAnsi="Avenir Next" w:cs="Arial"/>
          <w:color w:val="808080" w:themeColor="background1" w:themeShade="80"/>
          <w:sz w:val="22"/>
          <w:szCs w:val="22"/>
          <w:lang w:val="en-GB"/>
        </w:rPr>
        <w:t>(c) read with Article 21(1)</w:t>
      </w:r>
      <w:r w:rsidR="00DB7855">
        <w:rPr>
          <w:rFonts w:ascii="Avenir Next" w:hAnsi="Avenir Next" w:cs="Arial"/>
          <w:color w:val="808080" w:themeColor="background1" w:themeShade="80"/>
          <w:sz w:val="22"/>
          <w:szCs w:val="22"/>
          <w:lang w:val="en-GB"/>
        </w:rPr>
        <w:t>(g)</w:t>
      </w:r>
      <w:r w:rsidR="0029068D">
        <w:rPr>
          <w:rFonts w:ascii="Avenir Next" w:hAnsi="Avenir Next" w:cs="Arial"/>
          <w:color w:val="808080" w:themeColor="background1" w:themeShade="80"/>
          <w:sz w:val="22"/>
          <w:szCs w:val="22"/>
          <w:lang w:val="en-GB"/>
        </w:rPr>
        <w:t xml:space="preserve"> of the MLCBI. </w:t>
      </w:r>
    </w:p>
    <w:p w14:paraId="391AB868" w14:textId="77777777" w:rsidR="0029068D" w:rsidRDefault="0029068D" w:rsidP="00322793">
      <w:pPr>
        <w:jc w:val="both"/>
        <w:rPr>
          <w:rFonts w:ascii="Avenir Next" w:hAnsi="Avenir Next" w:cs="Arial"/>
          <w:color w:val="808080" w:themeColor="background1" w:themeShade="80"/>
          <w:sz w:val="22"/>
          <w:szCs w:val="22"/>
          <w:lang w:val="en-GB"/>
        </w:rPr>
      </w:pPr>
    </w:p>
    <w:p w14:paraId="4A0E319B" w14:textId="4EE0E61B" w:rsidR="00867A8F" w:rsidRPr="00F31EE9" w:rsidRDefault="00C43D38" w:rsidP="003227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would be a similar approach taken by the Korean Liquidator in </w:t>
      </w:r>
      <w:r w:rsidR="00DA0186">
        <w:rPr>
          <w:rFonts w:ascii="Avenir Next" w:hAnsi="Avenir Next" w:cs="Arial"/>
          <w:i/>
          <w:iCs/>
          <w:color w:val="808080" w:themeColor="background1" w:themeShade="80"/>
          <w:sz w:val="22"/>
          <w:szCs w:val="22"/>
          <w:lang w:val="en-GB"/>
        </w:rPr>
        <w:t>Fibria cellulose S/A v Pan Ocean Co Ltd</w:t>
      </w:r>
      <w:r>
        <w:rPr>
          <w:rFonts w:ascii="Avenir Next" w:hAnsi="Avenir Next" w:cs="Arial"/>
          <w:color w:val="808080" w:themeColor="background1" w:themeShade="80"/>
          <w:sz w:val="22"/>
          <w:szCs w:val="22"/>
          <w:lang w:val="en-GB"/>
        </w:rPr>
        <w:t xml:space="preserve"> </w:t>
      </w:r>
      <w:r w:rsidR="00F03CE6">
        <w:rPr>
          <w:rFonts w:ascii="Avenir Next" w:hAnsi="Avenir Next" w:cs="Arial"/>
          <w:color w:val="808080" w:themeColor="background1" w:themeShade="80"/>
          <w:sz w:val="22"/>
          <w:szCs w:val="22"/>
          <w:lang w:val="en-GB"/>
        </w:rPr>
        <w:t>(“</w:t>
      </w:r>
      <w:r w:rsidR="00F03CE6" w:rsidRPr="00F03CE6">
        <w:rPr>
          <w:rFonts w:ascii="Avenir Next" w:hAnsi="Avenir Next" w:cs="Arial"/>
          <w:b/>
          <w:bCs/>
          <w:i/>
          <w:iCs/>
          <w:color w:val="808080" w:themeColor="background1" w:themeShade="80"/>
          <w:sz w:val="22"/>
          <w:szCs w:val="22"/>
          <w:lang w:val="en-GB"/>
        </w:rPr>
        <w:t>Fibria</w:t>
      </w:r>
      <w:r w:rsidR="00F03CE6">
        <w:rPr>
          <w:rFonts w:ascii="Avenir Next" w:hAnsi="Avenir Next" w:cs="Arial"/>
          <w:color w:val="808080" w:themeColor="background1" w:themeShade="80"/>
          <w:sz w:val="22"/>
          <w:szCs w:val="22"/>
          <w:lang w:val="en-GB"/>
        </w:rPr>
        <w:t xml:space="preserve">”) </w:t>
      </w:r>
      <w:r w:rsidRPr="00F03CE6">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prevent the Brazilian party from exercising the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clause</w:t>
      </w:r>
      <w:r w:rsidR="00F03CE6">
        <w:rPr>
          <w:rFonts w:ascii="Avenir Next" w:hAnsi="Avenir Next" w:cs="Arial"/>
          <w:color w:val="808080" w:themeColor="background1" w:themeShade="80"/>
          <w:sz w:val="22"/>
          <w:szCs w:val="22"/>
          <w:lang w:val="en-GB"/>
        </w:rPr>
        <w:t xml:space="preserve">, although the facts of the present case can be distinguished from </w:t>
      </w:r>
      <w:r w:rsidR="00F03CE6">
        <w:rPr>
          <w:rFonts w:ascii="Avenir Next" w:hAnsi="Avenir Next" w:cs="Arial"/>
          <w:i/>
          <w:iCs/>
          <w:color w:val="808080" w:themeColor="background1" w:themeShade="80"/>
          <w:sz w:val="22"/>
          <w:szCs w:val="22"/>
          <w:lang w:val="en-GB"/>
        </w:rPr>
        <w:t>Fibria</w:t>
      </w:r>
      <w:r w:rsidR="00F03CE6">
        <w:rPr>
          <w:rFonts w:ascii="Avenir Next" w:hAnsi="Avenir Next" w:cs="Arial"/>
          <w:color w:val="808080" w:themeColor="background1" w:themeShade="80"/>
          <w:sz w:val="22"/>
          <w:szCs w:val="22"/>
          <w:lang w:val="en-GB"/>
        </w:rPr>
        <w:t xml:space="preserve">. The US Court will likely find that it has the power under Article 21(1)(g) </w:t>
      </w:r>
      <w:r w:rsidR="00414B32">
        <w:rPr>
          <w:rFonts w:ascii="Avenir Next" w:hAnsi="Avenir Next" w:cs="Arial"/>
          <w:color w:val="808080" w:themeColor="background1" w:themeShade="80"/>
          <w:sz w:val="22"/>
          <w:szCs w:val="22"/>
          <w:lang w:val="en-GB"/>
        </w:rPr>
        <w:t xml:space="preserve">to grant relief to restrain the enforcement of the </w:t>
      </w:r>
      <w:r w:rsidR="00414B32">
        <w:rPr>
          <w:rFonts w:ascii="Avenir Next" w:hAnsi="Avenir Next" w:cs="Arial"/>
          <w:i/>
          <w:iCs/>
          <w:color w:val="808080" w:themeColor="background1" w:themeShade="80"/>
          <w:sz w:val="22"/>
          <w:szCs w:val="22"/>
          <w:lang w:val="en-GB"/>
        </w:rPr>
        <w:t>ipso facto</w:t>
      </w:r>
      <w:r w:rsidR="00414B32">
        <w:rPr>
          <w:rFonts w:ascii="Avenir Next" w:hAnsi="Avenir Next" w:cs="Arial"/>
          <w:color w:val="808080" w:themeColor="background1" w:themeShade="80"/>
          <w:sz w:val="22"/>
          <w:szCs w:val="22"/>
          <w:lang w:val="en-GB"/>
        </w:rPr>
        <w:t xml:space="preserve"> clauses, given that such relief would likely be available to a bankruptcy trustee in the US who is likely to have the power under the US Bankruptcy Code to restrain the enforcement of </w:t>
      </w:r>
      <w:r w:rsidR="00414B32">
        <w:rPr>
          <w:rFonts w:ascii="Avenir Next" w:hAnsi="Avenir Next" w:cs="Arial"/>
          <w:i/>
          <w:iCs/>
          <w:color w:val="808080" w:themeColor="background1" w:themeShade="80"/>
          <w:sz w:val="22"/>
          <w:szCs w:val="22"/>
          <w:lang w:val="en-GB"/>
        </w:rPr>
        <w:t xml:space="preserve">ipso facto </w:t>
      </w:r>
      <w:r w:rsidR="00414B32">
        <w:rPr>
          <w:rFonts w:ascii="Avenir Next" w:hAnsi="Avenir Next" w:cs="Arial"/>
          <w:color w:val="808080" w:themeColor="background1" w:themeShade="80"/>
          <w:sz w:val="22"/>
          <w:szCs w:val="22"/>
          <w:lang w:val="en-GB"/>
        </w:rPr>
        <w:t>clauses</w:t>
      </w:r>
      <w:r w:rsidR="00E52459">
        <w:rPr>
          <w:rFonts w:ascii="Avenir Next" w:hAnsi="Avenir Next" w:cs="Arial"/>
          <w:color w:val="808080" w:themeColor="background1" w:themeShade="80"/>
          <w:sz w:val="22"/>
          <w:szCs w:val="22"/>
          <w:lang w:val="en-GB"/>
        </w:rPr>
        <w:t xml:space="preserve"> by virtue of their unenforceability.</w:t>
      </w:r>
      <w:r>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12E1B565" w14:textId="09C7C515" w:rsidR="00C65814" w:rsidRDefault="00867A8F" w:rsidP="0093101C">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r w:rsidR="00A50A96">
        <w:rPr>
          <w:rFonts w:ascii="Avenir Next" w:hAnsi="Avenir Next" w:cs="Arial"/>
          <w:color w:val="808080" w:themeColor="background1" w:themeShade="80"/>
          <w:sz w:val="22"/>
          <w:szCs w:val="22"/>
          <w:lang w:val="en-GB"/>
        </w:rPr>
        <w:t xml:space="preserve">The foreign </w:t>
      </w:r>
      <w:r w:rsidR="0076563B">
        <w:rPr>
          <w:rFonts w:ascii="Avenir Next" w:hAnsi="Avenir Next" w:cs="Arial"/>
          <w:color w:val="808080" w:themeColor="background1" w:themeShade="80"/>
          <w:sz w:val="22"/>
          <w:szCs w:val="22"/>
          <w:lang w:val="en-GB"/>
        </w:rPr>
        <w:t>representative</w:t>
      </w:r>
      <w:r w:rsidR="00A50A96">
        <w:rPr>
          <w:rFonts w:ascii="Avenir Next" w:hAnsi="Avenir Next" w:cs="Arial"/>
          <w:color w:val="808080" w:themeColor="background1" w:themeShade="80"/>
          <w:sz w:val="22"/>
          <w:szCs w:val="22"/>
          <w:lang w:val="en-GB"/>
        </w:rPr>
        <w:t xml:space="preserve"> may consider</w:t>
      </w:r>
      <w:r w:rsidR="0076563B">
        <w:rPr>
          <w:rFonts w:ascii="Avenir Next" w:hAnsi="Avenir Next" w:cs="Arial"/>
          <w:color w:val="808080" w:themeColor="background1" w:themeShade="80"/>
          <w:sz w:val="22"/>
          <w:szCs w:val="22"/>
          <w:lang w:val="en-GB"/>
        </w:rPr>
        <w:t xml:space="preserve"> applying for the foreign </w:t>
      </w:r>
      <w:r w:rsidR="0093101C">
        <w:rPr>
          <w:rFonts w:ascii="Avenir Next" w:hAnsi="Avenir Next" w:cs="Arial"/>
          <w:color w:val="808080" w:themeColor="background1" w:themeShade="80"/>
          <w:sz w:val="22"/>
          <w:szCs w:val="22"/>
          <w:lang w:val="en-GB"/>
        </w:rPr>
        <w:t>proceeding in Country A to be recognised as a foreign non-main proceeding instea</w:t>
      </w:r>
      <w:r w:rsidR="00860E0C">
        <w:rPr>
          <w:rFonts w:ascii="Avenir Next" w:hAnsi="Avenir Next" w:cs="Arial"/>
          <w:color w:val="808080" w:themeColor="background1" w:themeShade="80"/>
          <w:sz w:val="22"/>
          <w:szCs w:val="22"/>
          <w:lang w:val="en-GB"/>
        </w:rPr>
        <w:t>d</w:t>
      </w:r>
      <w:r w:rsidR="001A2D4C">
        <w:rPr>
          <w:rFonts w:ascii="Avenir Next" w:hAnsi="Avenir Next" w:cs="Arial"/>
          <w:color w:val="808080" w:themeColor="background1" w:themeShade="80"/>
          <w:sz w:val="22"/>
          <w:szCs w:val="22"/>
          <w:lang w:val="en-GB"/>
        </w:rPr>
        <w:t xml:space="preserve"> and seek relief under Article 21(</w:t>
      </w:r>
      <w:r w:rsidR="00FD4AB4">
        <w:rPr>
          <w:rFonts w:ascii="Avenir Next" w:hAnsi="Avenir Next" w:cs="Arial"/>
          <w:color w:val="808080" w:themeColor="background1" w:themeShade="80"/>
          <w:sz w:val="22"/>
          <w:szCs w:val="22"/>
          <w:lang w:val="en-GB"/>
        </w:rPr>
        <w:t xml:space="preserve">1)(e) of the MLCBI </w:t>
      </w:r>
      <w:r w:rsidR="00B306A4">
        <w:rPr>
          <w:rFonts w:ascii="Avenir Next" w:hAnsi="Avenir Next" w:cs="Arial"/>
          <w:color w:val="808080" w:themeColor="background1" w:themeShade="80"/>
          <w:sz w:val="22"/>
          <w:szCs w:val="22"/>
          <w:lang w:val="en-GB"/>
        </w:rPr>
        <w:t>to allow the administration or realisation of all the foreign debtor’s assets located in Country B to be entrusted to the foreign debtor</w:t>
      </w:r>
      <w:r w:rsidR="002D1CFD">
        <w:rPr>
          <w:rFonts w:ascii="Avenir Next" w:hAnsi="Avenir Next" w:cs="Arial"/>
          <w:color w:val="808080" w:themeColor="background1" w:themeShade="80"/>
          <w:sz w:val="22"/>
          <w:szCs w:val="22"/>
          <w:lang w:val="en-GB"/>
        </w:rPr>
        <w:t>, such that the foreign representative would still be able to sell the debtor’s assets within the territorial jurisdiction of Country B.</w:t>
      </w:r>
    </w:p>
    <w:p w14:paraId="4084ABE8" w14:textId="77777777" w:rsidR="00281365" w:rsidRDefault="00281365" w:rsidP="0093101C">
      <w:pPr>
        <w:jc w:val="both"/>
        <w:rPr>
          <w:rFonts w:ascii="Avenir Next" w:hAnsi="Avenir Next" w:cs="Arial"/>
          <w:color w:val="808080" w:themeColor="background1" w:themeShade="80"/>
          <w:sz w:val="22"/>
          <w:szCs w:val="22"/>
          <w:lang w:val="en-GB"/>
        </w:rPr>
      </w:pPr>
    </w:p>
    <w:p w14:paraId="3AF92E6B" w14:textId="32E29D7B" w:rsidR="00281365" w:rsidRPr="002D1CFD" w:rsidRDefault="00281365" w:rsidP="009310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regard, foreign representative would instead have to show that Country A is a place where the debtor has an establishment, which is defined</w:t>
      </w:r>
      <w:r w:rsidR="00001B39">
        <w:rPr>
          <w:rFonts w:ascii="Avenir Next" w:hAnsi="Avenir Next" w:cs="Arial"/>
          <w:color w:val="808080" w:themeColor="background1" w:themeShade="80"/>
          <w:sz w:val="22"/>
          <w:szCs w:val="22"/>
          <w:lang w:val="en-GB"/>
        </w:rPr>
        <w:t xml:space="preserve"> under Article 2(f)</w:t>
      </w:r>
      <w:r>
        <w:rPr>
          <w:rFonts w:ascii="Avenir Next" w:hAnsi="Avenir Next" w:cs="Arial"/>
          <w:color w:val="808080" w:themeColor="background1" w:themeShade="80"/>
          <w:sz w:val="22"/>
          <w:szCs w:val="22"/>
          <w:lang w:val="en-GB"/>
        </w:rPr>
        <w:t xml:space="preserve"> as “any place of operation where the debtor carries out non-transitory economic activity with human means and goods or services”.</w:t>
      </w:r>
      <w:r w:rsidR="00001B39">
        <w:rPr>
          <w:rFonts w:ascii="Avenir Next" w:hAnsi="Avenir Next" w:cs="Arial"/>
          <w:color w:val="808080" w:themeColor="background1" w:themeShade="80"/>
          <w:sz w:val="22"/>
          <w:szCs w:val="22"/>
          <w:lang w:val="en-GB"/>
        </w:rPr>
        <w:t xml:space="preserve"> In this regard, the </w:t>
      </w:r>
      <w:r w:rsidR="001C5E7E">
        <w:rPr>
          <w:rFonts w:ascii="Avenir Next" w:hAnsi="Avenir Next" w:cs="Arial"/>
          <w:color w:val="808080" w:themeColor="background1" w:themeShade="80"/>
          <w:sz w:val="22"/>
          <w:szCs w:val="22"/>
          <w:lang w:val="en-GB"/>
        </w:rPr>
        <w:t>foreign representative should still take note that some evidence should still be adduced to show that the debtor did carry out some degree of business activities in Country A prior to applying for recognition again.</w:t>
      </w:r>
    </w:p>
    <w:p w14:paraId="1A33171C" w14:textId="77777777" w:rsidR="00C65814" w:rsidRDefault="00C65814" w:rsidP="0093101C">
      <w:pPr>
        <w:jc w:val="both"/>
        <w:rPr>
          <w:rFonts w:ascii="Avenir Next" w:hAnsi="Avenir Next" w:cs="Arial"/>
          <w:color w:val="808080" w:themeColor="background1" w:themeShade="80"/>
          <w:sz w:val="22"/>
          <w:szCs w:val="22"/>
          <w:lang w:val="en-GB"/>
        </w:rPr>
      </w:pPr>
    </w:p>
    <w:p w14:paraId="55D111B1" w14:textId="020028DA" w:rsidR="00867A8F" w:rsidRPr="00B77352" w:rsidRDefault="00C65814" w:rsidP="009310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00860E0C">
        <w:rPr>
          <w:rFonts w:ascii="Avenir Next" w:hAnsi="Avenir Next" w:cs="Arial"/>
          <w:color w:val="808080" w:themeColor="background1" w:themeShade="80"/>
          <w:sz w:val="22"/>
          <w:szCs w:val="22"/>
          <w:lang w:val="en-GB"/>
        </w:rPr>
        <w:t xml:space="preserve">ecognition </w:t>
      </w:r>
      <w:r w:rsidR="00BC6DC6">
        <w:rPr>
          <w:rFonts w:ascii="Avenir Next" w:hAnsi="Avenir Next" w:cs="Arial"/>
          <w:color w:val="808080" w:themeColor="background1" w:themeShade="80"/>
          <w:sz w:val="22"/>
          <w:szCs w:val="22"/>
          <w:lang w:val="en-GB"/>
        </w:rPr>
        <w:t xml:space="preserve">as a foreign main proceeding </w:t>
      </w:r>
      <w:r w:rsidR="00860E0C">
        <w:rPr>
          <w:rFonts w:ascii="Avenir Next" w:hAnsi="Avenir Next" w:cs="Arial"/>
          <w:color w:val="808080" w:themeColor="background1" w:themeShade="80"/>
          <w:sz w:val="22"/>
          <w:szCs w:val="22"/>
          <w:lang w:val="en-GB"/>
        </w:rPr>
        <w:t xml:space="preserve">was </w:t>
      </w:r>
      <w:r w:rsidR="001202A4">
        <w:rPr>
          <w:rFonts w:ascii="Avenir Next" w:hAnsi="Avenir Next" w:cs="Arial"/>
          <w:color w:val="808080" w:themeColor="background1" w:themeShade="80"/>
          <w:sz w:val="22"/>
          <w:szCs w:val="22"/>
          <w:lang w:val="en-GB"/>
        </w:rPr>
        <w:t>likely</w:t>
      </w:r>
      <w:r w:rsidR="00860E0C">
        <w:rPr>
          <w:rFonts w:ascii="Avenir Next" w:hAnsi="Avenir Next" w:cs="Arial"/>
          <w:color w:val="808080" w:themeColor="background1" w:themeShade="80"/>
          <w:sz w:val="22"/>
          <w:szCs w:val="22"/>
          <w:lang w:val="en-GB"/>
        </w:rPr>
        <w:t xml:space="preserve"> denied on the basis that Country A was not the </w:t>
      </w:r>
      <w:r w:rsidR="00BC6DC6">
        <w:rPr>
          <w:rFonts w:ascii="Avenir Next" w:hAnsi="Avenir Next" w:cs="Arial"/>
          <w:color w:val="808080" w:themeColor="background1" w:themeShade="80"/>
          <w:sz w:val="22"/>
          <w:szCs w:val="22"/>
          <w:lang w:val="en-GB"/>
        </w:rPr>
        <w:t>foreign debtor’s COMI</w:t>
      </w:r>
      <w:r>
        <w:rPr>
          <w:rFonts w:ascii="Avenir Next" w:hAnsi="Avenir Next" w:cs="Arial"/>
          <w:color w:val="808080" w:themeColor="background1" w:themeShade="80"/>
          <w:sz w:val="22"/>
          <w:szCs w:val="22"/>
          <w:lang w:val="en-GB"/>
        </w:rPr>
        <w:t xml:space="preserve">. </w:t>
      </w:r>
      <w:r w:rsidR="009E1256">
        <w:rPr>
          <w:rFonts w:ascii="Avenir Next" w:hAnsi="Avenir Next" w:cs="Arial"/>
          <w:color w:val="808080" w:themeColor="background1" w:themeShade="80"/>
          <w:sz w:val="22"/>
          <w:szCs w:val="22"/>
          <w:lang w:val="en-GB"/>
        </w:rPr>
        <w:t xml:space="preserve">This is likely because the foreign representative had only sought to rely on the fact that the foreign debtor has its registered office in Country A, without </w:t>
      </w:r>
      <w:r w:rsidR="00247E5B">
        <w:rPr>
          <w:rFonts w:ascii="Avenir Next" w:hAnsi="Avenir Next" w:cs="Arial"/>
          <w:color w:val="808080" w:themeColor="background1" w:themeShade="80"/>
          <w:sz w:val="22"/>
          <w:szCs w:val="22"/>
          <w:lang w:val="en-GB"/>
        </w:rPr>
        <w:t>much more, which would only suffice to invoke a presumption that Country A was the debtor’s COMI under Article 16(3) of the MLCBI</w:t>
      </w:r>
      <w:r>
        <w:rPr>
          <w:rFonts w:ascii="Avenir Next" w:hAnsi="Avenir Next" w:cs="Arial"/>
          <w:color w:val="808080" w:themeColor="background1" w:themeShade="80"/>
          <w:sz w:val="22"/>
          <w:szCs w:val="22"/>
          <w:lang w:val="en-GB"/>
        </w:rPr>
        <w:t xml:space="preserve">. </w:t>
      </w:r>
      <w:r w:rsidR="0071631A">
        <w:rPr>
          <w:rFonts w:ascii="Avenir Next" w:hAnsi="Avenir Next" w:cs="Arial"/>
          <w:color w:val="808080" w:themeColor="background1" w:themeShade="80"/>
          <w:sz w:val="22"/>
          <w:szCs w:val="22"/>
          <w:lang w:val="en-GB"/>
        </w:rPr>
        <w:t>T</w:t>
      </w:r>
      <w:r w:rsidR="00E74BBC">
        <w:rPr>
          <w:rFonts w:ascii="Avenir Next" w:hAnsi="Avenir Next" w:cs="Arial"/>
          <w:color w:val="808080" w:themeColor="background1" w:themeShade="80"/>
          <w:sz w:val="22"/>
          <w:szCs w:val="22"/>
          <w:lang w:val="en-GB"/>
        </w:rPr>
        <w:t xml:space="preserve">here was likely insufficient evidence </w:t>
      </w:r>
      <w:r>
        <w:rPr>
          <w:rFonts w:ascii="Avenir Next" w:hAnsi="Avenir Next" w:cs="Arial"/>
          <w:color w:val="808080" w:themeColor="background1" w:themeShade="80"/>
          <w:sz w:val="22"/>
          <w:szCs w:val="22"/>
          <w:lang w:val="en-GB"/>
        </w:rPr>
        <w:t xml:space="preserve">to show that Country A was the principal location as at the date of the application for recognition </w:t>
      </w:r>
      <w:r w:rsidR="00E441C4">
        <w:rPr>
          <w:rFonts w:ascii="Avenir Next" w:hAnsi="Avenir Next" w:cs="Arial"/>
          <w:color w:val="808080" w:themeColor="background1" w:themeShade="80"/>
          <w:sz w:val="22"/>
          <w:szCs w:val="22"/>
          <w:lang w:val="en-GB"/>
        </w:rPr>
        <w:t>where</w:t>
      </w:r>
      <w:r w:rsidR="0071631A">
        <w:rPr>
          <w:rFonts w:ascii="Avenir Next" w:hAnsi="Avenir Next" w:cs="Arial"/>
          <w:color w:val="808080" w:themeColor="background1" w:themeShade="80"/>
          <w:sz w:val="22"/>
          <w:szCs w:val="22"/>
          <w:lang w:val="en-GB"/>
        </w:rPr>
        <w:t xml:space="preserve"> the central administration of the debtor was taking place. </w:t>
      </w:r>
      <w:r w:rsidR="00792D47">
        <w:rPr>
          <w:rFonts w:ascii="Avenir Next" w:hAnsi="Avenir Next" w:cs="Arial"/>
          <w:color w:val="808080" w:themeColor="background1" w:themeShade="80"/>
          <w:sz w:val="22"/>
          <w:szCs w:val="22"/>
          <w:lang w:val="en-GB"/>
        </w:rPr>
        <w:t xml:space="preserve">At the outset, the foreign representative should have sought to gather more evidence in support of the relevant factors that would lend further weight to the </w:t>
      </w:r>
      <w:r w:rsidR="00594289">
        <w:rPr>
          <w:rFonts w:ascii="Avenir Next" w:hAnsi="Avenir Next" w:cs="Arial"/>
          <w:color w:val="808080" w:themeColor="background1" w:themeShade="80"/>
          <w:sz w:val="22"/>
          <w:szCs w:val="22"/>
          <w:lang w:val="en-GB"/>
        </w:rPr>
        <w:t xml:space="preserve">proposition that the debtor’s COMI was Country A, for instance, </w:t>
      </w:r>
      <w:r w:rsidR="00E371F3">
        <w:rPr>
          <w:rFonts w:ascii="Avenir Next" w:hAnsi="Avenir Next" w:cs="Arial"/>
          <w:color w:val="808080" w:themeColor="background1" w:themeShade="80"/>
          <w:sz w:val="22"/>
          <w:szCs w:val="22"/>
          <w:lang w:val="en-GB"/>
        </w:rPr>
        <w:t xml:space="preserve">the location in which the debtor’s principal assets or operations are found, the locations </w:t>
      </w:r>
      <w:r w:rsidR="00587BE9">
        <w:rPr>
          <w:rFonts w:ascii="Avenir Next" w:hAnsi="Avenir Next" w:cs="Arial"/>
          <w:color w:val="808080" w:themeColor="background1" w:themeShade="80"/>
          <w:sz w:val="22"/>
          <w:szCs w:val="22"/>
          <w:lang w:val="en-GB"/>
        </w:rPr>
        <w:t>of the employees and the jurisdiction whose law would apply to most disputes.</w:t>
      </w:r>
      <w:r w:rsidR="00867A8F"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Pr="007C4EA2"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7C4EA2">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7C4EA2">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7C4EA2">
        <w:rPr>
          <w:rFonts w:ascii="Avenir Next" w:hAnsi="Avenir Next"/>
          <w:sz w:val="22"/>
          <w:szCs w:val="28"/>
        </w:rPr>
        <w:t>z</w:t>
      </w:r>
      <w:r w:rsidRPr="007C4EA2">
        <w:rPr>
          <w:rFonts w:ascii="Avenir Next" w:hAnsi="Avenir Next"/>
          <w:sz w:val="22"/>
          <w:szCs w:val="28"/>
        </w:rPr>
        <w:t xml:space="preserve">ed by its local Cayman counsel virtually.  The client also maintains its books and records in the Cayman Islands.  Its public filings with the SEC as well as the prospectus provided in connection with the issuance of the Notes disclosed that Globe Holdings is a Cayman Islands </w:t>
      </w:r>
      <w:r w:rsidRPr="007C4EA2">
        <w:rPr>
          <w:rFonts w:ascii="Avenir Next" w:hAnsi="Avenir Next"/>
          <w:sz w:val="22"/>
          <w:szCs w:val="28"/>
        </w:rPr>
        <w:lastRenderedPageBreak/>
        <w:t>company and explained the related indemnification and tax consequences resulting from Globe Holdings’ place of reformation.</w:t>
      </w:r>
      <w:bookmarkEnd w:id="3"/>
    </w:p>
    <w:p w14:paraId="7E0B320A" w14:textId="77777777" w:rsidR="009E3CA7" w:rsidRPr="007C4EA2" w:rsidRDefault="009E3CA7" w:rsidP="009E3CA7">
      <w:pPr>
        <w:jc w:val="both"/>
        <w:rPr>
          <w:rFonts w:ascii="Avenir Next" w:hAnsi="Avenir Next"/>
          <w:sz w:val="22"/>
          <w:szCs w:val="28"/>
        </w:rPr>
      </w:pPr>
    </w:p>
    <w:p w14:paraId="0E8BAD6F" w14:textId="77777777" w:rsidR="009E3CA7" w:rsidRPr="007C4EA2" w:rsidRDefault="009E3CA7" w:rsidP="009E3CA7">
      <w:pPr>
        <w:jc w:val="both"/>
        <w:rPr>
          <w:rFonts w:ascii="Avenir Next" w:hAnsi="Avenir Next"/>
          <w:sz w:val="22"/>
          <w:szCs w:val="28"/>
        </w:rPr>
      </w:pPr>
      <w:r w:rsidRPr="007C4EA2">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7C4EA2" w:rsidRDefault="009E3CA7" w:rsidP="009E3CA7">
      <w:pPr>
        <w:jc w:val="both"/>
        <w:rPr>
          <w:rFonts w:ascii="Avenir Next" w:hAnsi="Avenir Next"/>
          <w:sz w:val="22"/>
          <w:szCs w:val="28"/>
        </w:rPr>
      </w:pPr>
    </w:p>
    <w:p w14:paraId="6FC09E84" w14:textId="77777777" w:rsidR="009E3CA7" w:rsidRPr="007C4EA2" w:rsidRDefault="009E3CA7" w:rsidP="009E3CA7">
      <w:pPr>
        <w:jc w:val="both"/>
        <w:rPr>
          <w:rFonts w:ascii="Avenir Next" w:hAnsi="Avenir Next"/>
          <w:sz w:val="22"/>
          <w:szCs w:val="28"/>
        </w:rPr>
      </w:pPr>
      <w:r w:rsidRPr="007C4EA2">
        <w:rPr>
          <w:rFonts w:ascii="Avenir Next" w:hAnsi="Avenir Next"/>
          <w:sz w:val="22"/>
          <w:szCs w:val="28"/>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7C4EA2" w:rsidRDefault="009E3CA7" w:rsidP="009E3CA7">
      <w:pPr>
        <w:jc w:val="both"/>
        <w:rPr>
          <w:rFonts w:ascii="Avenir Next" w:hAnsi="Avenir Next"/>
          <w:sz w:val="22"/>
          <w:szCs w:val="28"/>
        </w:rPr>
      </w:pPr>
      <w:bookmarkStart w:id="4" w:name="_Hlk96030072"/>
    </w:p>
    <w:p w14:paraId="28E3C266" w14:textId="77777777" w:rsidR="009E3CA7" w:rsidRPr="007C4EA2" w:rsidRDefault="009E3CA7" w:rsidP="009E3CA7">
      <w:pPr>
        <w:jc w:val="both"/>
        <w:rPr>
          <w:rFonts w:ascii="Avenir Next" w:hAnsi="Avenir Next"/>
          <w:sz w:val="22"/>
          <w:szCs w:val="28"/>
        </w:rPr>
      </w:pPr>
      <w:r w:rsidRPr="007C4EA2">
        <w:rPr>
          <w:rFonts w:ascii="Avenir Next" w:hAnsi="Avenir Next"/>
          <w:sz w:val="22"/>
          <w:szCs w:val="28"/>
          <w:lang w:val="en-GB"/>
        </w:rPr>
        <w:t>In 2019, Globe Holdings recorded on its consolidated balance sheet a significant increase in liabilities.</w:t>
      </w:r>
      <w:r w:rsidRPr="007C4EA2">
        <w:rPr>
          <w:rFonts w:ascii="Avenir Next" w:hAnsi="Avenir Next"/>
          <w:sz w:val="22"/>
          <w:szCs w:val="28"/>
        </w:rPr>
        <w:t xml:space="preserve"> </w:t>
      </w:r>
      <w:r w:rsidRPr="007C4EA2">
        <w:rPr>
          <w:rFonts w:ascii="Avenir Next" w:hAnsi="Avenir Next"/>
          <w:sz w:val="22"/>
          <w:szCs w:val="28"/>
          <w:lang w:val="en-GB"/>
        </w:rPr>
        <w:t xml:space="preserve">As a result, Globe Holdings worked with external professional advisors to undertake a formal strategic evaluation of its subsidiaries’ businesses.  </w:t>
      </w:r>
      <w:r w:rsidRPr="007C4EA2">
        <w:rPr>
          <w:rFonts w:ascii="Avenir Next" w:hAnsi="Avenir Next"/>
          <w:sz w:val="22"/>
          <w:szCs w:val="28"/>
        </w:rPr>
        <w:t xml:space="preserve">In September 2020, </w:t>
      </w:r>
      <w:r w:rsidRPr="007C4EA2">
        <w:rPr>
          <w:rFonts w:ascii="Avenir Next" w:hAnsi="Avenir Next"/>
          <w:sz w:val="22"/>
          <w:szCs w:val="28"/>
          <w:lang w:val="en-GB"/>
        </w:rPr>
        <w:t xml:space="preserve">Globe Holdings </w:t>
      </w:r>
      <w:r w:rsidRPr="007C4EA2">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7C4EA2" w:rsidRDefault="009E3CA7" w:rsidP="009E3CA7">
      <w:pPr>
        <w:jc w:val="both"/>
        <w:rPr>
          <w:rFonts w:ascii="Avenir Next" w:hAnsi="Avenir Next"/>
          <w:sz w:val="22"/>
          <w:szCs w:val="28"/>
        </w:rPr>
      </w:pPr>
    </w:p>
    <w:p w14:paraId="2033325B" w14:textId="77777777" w:rsidR="009E3CA7" w:rsidRPr="007C4EA2" w:rsidRDefault="009E3CA7" w:rsidP="009E3CA7">
      <w:pPr>
        <w:jc w:val="both"/>
        <w:rPr>
          <w:rFonts w:ascii="Avenir Next" w:hAnsi="Avenir Next"/>
          <w:sz w:val="22"/>
          <w:szCs w:val="28"/>
        </w:rPr>
      </w:pPr>
      <w:r w:rsidRPr="007C4EA2">
        <w:rPr>
          <w:rFonts w:ascii="Avenir Next" w:hAnsi="Avenir Next"/>
          <w:sz w:val="22"/>
          <w:szCs w:val="28"/>
        </w:rPr>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7C4EA2" w:rsidRDefault="009E3CA7" w:rsidP="009E3CA7">
      <w:pPr>
        <w:jc w:val="both"/>
        <w:rPr>
          <w:rFonts w:ascii="Avenir Next" w:hAnsi="Avenir Next"/>
          <w:sz w:val="22"/>
          <w:szCs w:val="28"/>
        </w:rPr>
      </w:pPr>
    </w:p>
    <w:p w14:paraId="43AEBE99" w14:textId="77777777" w:rsidR="009E3CA7" w:rsidRPr="007C4EA2" w:rsidRDefault="009E3CA7" w:rsidP="009E3CA7">
      <w:pPr>
        <w:jc w:val="both"/>
        <w:rPr>
          <w:rFonts w:ascii="Avenir Next" w:hAnsi="Avenir Next"/>
          <w:sz w:val="22"/>
          <w:szCs w:val="28"/>
        </w:rPr>
      </w:pPr>
      <w:r w:rsidRPr="007C4EA2">
        <w:rPr>
          <w:rFonts w:ascii="Avenir Next" w:hAnsi="Avenir Next"/>
          <w:sz w:val="22"/>
          <w:szCs w:val="28"/>
        </w:rPr>
        <w:t xml:space="preserve">Despite these efforts to ease the financial stress, the culmination of incremental challenges consequently resulted in </w:t>
      </w:r>
      <w:r w:rsidRPr="007C4EA2">
        <w:rPr>
          <w:rFonts w:ascii="Avenir Next" w:hAnsi="Avenir Next"/>
          <w:sz w:val="22"/>
          <w:szCs w:val="28"/>
          <w:lang w:val="en-GB"/>
        </w:rPr>
        <w:t xml:space="preserve">Globe Holdings </w:t>
      </w:r>
      <w:r w:rsidRPr="007C4EA2">
        <w:rPr>
          <w:rFonts w:ascii="Avenir Next" w:hAnsi="Avenir Next"/>
          <w:sz w:val="22"/>
          <w:szCs w:val="28"/>
        </w:rPr>
        <w:t xml:space="preserve">being both cash flow and balance sheet insolvent.  </w:t>
      </w:r>
      <w:bookmarkEnd w:id="4"/>
    </w:p>
    <w:p w14:paraId="21D2D1B2" w14:textId="77777777" w:rsidR="009E3CA7" w:rsidRPr="007C4EA2" w:rsidRDefault="009E3CA7" w:rsidP="009E3CA7">
      <w:pPr>
        <w:jc w:val="both"/>
        <w:rPr>
          <w:rFonts w:ascii="Avenir Next" w:hAnsi="Avenir Next"/>
          <w:sz w:val="22"/>
          <w:szCs w:val="28"/>
        </w:rPr>
      </w:pPr>
    </w:p>
    <w:p w14:paraId="2FC35289" w14:textId="77777777" w:rsidR="009E3CA7" w:rsidRPr="007C4EA2" w:rsidRDefault="009E3CA7" w:rsidP="009E3CA7">
      <w:pPr>
        <w:jc w:val="both"/>
        <w:rPr>
          <w:rFonts w:ascii="Avenir Next" w:hAnsi="Avenir Next"/>
          <w:sz w:val="22"/>
          <w:szCs w:val="28"/>
        </w:rPr>
      </w:pPr>
      <w:r w:rsidRPr="007C4EA2">
        <w:rPr>
          <w:rFonts w:ascii="Avenir Next" w:hAnsi="Avenir Next"/>
          <w:sz w:val="22"/>
          <w:szCs w:val="28"/>
          <w:lang w:val="en-GB"/>
        </w:rPr>
        <w:t xml:space="preserve">Globe Holdings </w:t>
      </w:r>
      <w:r w:rsidRPr="007C4EA2">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7C4EA2">
        <w:rPr>
          <w:rFonts w:ascii="Avenir Next" w:hAnsi="Avenir Next"/>
          <w:sz w:val="22"/>
          <w:szCs w:val="28"/>
          <w:lang w:val="en-GB"/>
        </w:rPr>
        <w:t xml:space="preserve">Globe Holdings </w:t>
      </w:r>
      <w:r w:rsidRPr="007C4EA2">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7C4EA2" w:rsidRDefault="009E3CA7" w:rsidP="009E3CA7">
      <w:pPr>
        <w:jc w:val="both"/>
        <w:rPr>
          <w:rFonts w:ascii="Avenir Next" w:hAnsi="Avenir Next"/>
          <w:sz w:val="22"/>
          <w:szCs w:val="28"/>
        </w:rPr>
      </w:pPr>
    </w:p>
    <w:p w14:paraId="4BC97A44" w14:textId="53A995C7" w:rsidR="009E3CA7" w:rsidRPr="007C4EA2" w:rsidRDefault="009E3CA7" w:rsidP="009E3CA7">
      <w:pPr>
        <w:jc w:val="both"/>
        <w:rPr>
          <w:rFonts w:ascii="Avenir Next" w:hAnsi="Avenir Next"/>
          <w:sz w:val="22"/>
          <w:szCs w:val="28"/>
        </w:rPr>
      </w:pPr>
      <w:r w:rsidRPr="007C4EA2">
        <w:rPr>
          <w:rFonts w:ascii="Avenir Next" w:hAnsi="Avenir Next"/>
          <w:sz w:val="22"/>
          <w:szCs w:val="28"/>
          <w:lang w:val="en-GB"/>
        </w:rPr>
        <w:t>Globe Holdings</w:t>
      </w:r>
      <w:r w:rsidRPr="007C4EA2">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7C4EA2">
        <w:rPr>
          <w:rFonts w:ascii="Avenir Next" w:hAnsi="Avenir Next"/>
          <w:sz w:val="22"/>
          <w:szCs w:val="28"/>
        </w:rPr>
        <w:t>z</w:t>
      </w:r>
      <w:r w:rsidRPr="007C4EA2">
        <w:rPr>
          <w:rFonts w:ascii="Avenir Next" w:hAnsi="Avenir Next"/>
          <w:sz w:val="22"/>
          <w:szCs w:val="28"/>
        </w:rPr>
        <w:t xml:space="preserve">ed the agreed-upon terms of the Note Restructuring. When </w:t>
      </w:r>
      <w:r w:rsidRPr="007C4EA2">
        <w:rPr>
          <w:rFonts w:ascii="Avenir Next" w:hAnsi="Avenir Next"/>
          <w:sz w:val="22"/>
          <w:szCs w:val="28"/>
          <w:lang w:val="en-GB"/>
        </w:rPr>
        <w:t xml:space="preserve">Globe Holdings </w:t>
      </w:r>
      <w:r w:rsidRPr="007C4EA2">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7C4EA2"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7C4EA2">
        <w:rPr>
          <w:rFonts w:ascii="Avenir Next" w:hAnsi="Avenir Next"/>
          <w:sz w:val="22"/>
          <w:szCs w:val="28"/>
        </w:rPr>
        <w:t>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w:t>
      </w:r>
      <w:r w:rsidRPr="00E61F6E">
        <w:rPr>
          <w:rFonts w:ascii="Avenir Next" w:hAnsi="Avenir Next"/>
          <w:sz w:val="22"/>
          <w:szCs w:val="28"/>
        </w:rPr>
        <w:t xml:space="preserv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w:t>
      </w:r>
      <w:r w:rsidRPr="00E61F6E">
        <w:rPr>
          <w:rFonts w:ascii="Avenir Next" w:hAnsi="Avenir Next"/>
          <w:sz w:val="22"/>
          <w:szCs w:val="28"/>
        </w:rPr>
        <w:lastRenderedPageBreak/>
        <w:t>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11865F3D" w14:textId="77777777" w:rsidR="004E4BAF" w:rsidRDefault="009E3CA7" w:rsidP="009E3CA7">
      <w:pPr>
        <w:jc w:val="both"/>
        <w:rPr>
          <w:rFonts w:ascii="Avenir Next" w:hAnsi="Avenir Next"/>
          <w:b/>
          <w:bCs/>
          <w:color w:val="808080" w:themeColor="background1" w:themeShade="80"/>
          <w:sz w:val="22"/>
          <w:szCs w:val="28"/>
          <w:u w:val="single"/>
        </w:rPr>
      </w:pPr>
      <w:r w:rsidRPr="009E3CA7">
        <w:rPr>
          <w:rFonts w:ascii="Avenir Next" w:hAnsi="Avenir Next"/>
          <w:color w:val="808080" w:themeColor="background1" w:themeShade="80"/>
          <w:sz w:val="22"/>
          <w:szCs w:val="28"/>
        </w:rPr>
        <w:t>[</w:t>
      </w:r>
      <w:r w:rsidR="00CE659C" w:rsidRPr="006B7659">
        <w:rPr>
          <w:rFonts w:ascii="Avenir Next" w:hAnsi="Avenir Next"/>
          <w:b/>
          <w:bCs/>
          <w:color w:val="808080" w:themeColor="background1" w:themeShade="80"/>
          <w:sz w:val="22"/>
          <w:szCs w:val="28"/>
          <w:u w:val="single"/>
        </w:rPr>
        <w:t xml:space="preserve">Whether to apply for </w:t>
      </w:r>
      <w:r w:rsidR="004E4BAF" w:rsidRPr="006B7659">
        <w:rPr>
          <w:rFonts w:ascii="Avenir Next" w:hAnsi="Avenir Next"/>
          <w:b/>
          <w:bCs/>
          <w:color w:val="808080" w:themeColor="background1" w:themeShade="80"/>
          <w:sz w:val="22"/>
          <w:szCs w:val="28"/>
          <w:u w:val="single"/>
        </w:rPr>
        <w:t>recognition of main or non-main proceeding or both</w:t>
      </w:r>
    </w:p>
    <w:p w14:paraId="6355A2C5" w14:textId="77777777" w:rsidR="00FB408F" w:rsidRPr="006B7659" w:rsidRDefault="00FB408F" w:rsidP="009E3CA7">
      <w:pPr>
        <w:jc w:val="both"/>
        <w:rPr>
          <w:rFonts w:ascii="Avenir Next" w:hAnsi="Avenir Next"/>
          <w:b/>
          <w:bCs/>
          <w:color w:val="808080" w:themeColor="background1" w:themeShade="80"/>
          <w:sz w:val="22"/>
          <w:szCs w:val="28"/>
          <w:u w:val="single"/>
        </w:rPr>
      </w:pPr>
    </w:p>
    <w:p w14:paraId="173F0496" w14:textId="5D3036CB" w:rsidR="00AD2336" w:rsidRPr="00DE601B" w:rsidRDefault="00E157E5" w:rsidP="00DE601B">
      <w:pPr>
        <w:jc w:val="both"/>
        <w:rPr>
          <w:rFonts w:ascii="Avenir Next" w:hAnsi="Avenir Next"/>
          <w:color w:val="808080" w:themeColor="background1" w:themeShade="80"/>
          <w:sz w:val="22"/>
          <w:szCs w:val="28"/>
        </w:rPr>
      </w:pPr>
      <w:r w:rsidRPr="00DE601B">
        <w:rPr>
          <w:rFonts w:ascii="Avenir Next" w:hAnsi="Avenir Next"/>
          <w:color w:val="808080" w:themeColor="background1" w:themeShade="80"/>
          <w:sz w:val="22"/>
          <w:szCs w:val="28"/>
        </w:rPr>
        <w:t xml:space="preserve">The client should apply for recognition </w:t>
      </w:r>
      <w:r w:rsidR="00AD2336" w:rsidRPr="00DE601B">
        <w:rPr>
          <w:rFonts w:ascii="Avenir Next" w:hAnsi="Avenir Next"/>
          <w:color w:val="808080" w:themeColor="background1" w:themeShade="80"/>
          <w:sz w:val="22"/>
          <w:szCs w:val="28"/>
        </w:rPr>
        <w:t xml:space="preserve">of the </w:t>
      </w:r>
      <w:r w:rsidR="0022550E">
        <w:rPr>
          <w:rFonts w:ascii="Avenir Next" w:hAnsi="Avenir Next"/>
          <w:color w:val="808080" w:themeColor="background1" w:themeShade="80"/>
          <w:sz w:val="22"/>
          <w:szCs w:val="28"/>
        </w:rPr>
        <w:t>Sanction Order</w:t>
      </w:r>
      <w:r w:rsidR="00AD2336" w:rsidRPr="00DE601B">
        <w:rPr>
          <w:rFonts w:ascii="Avenir Next" w:hAnsi="Avenir Next"/>
          <w:color w:val="808080" w:themeColor="background1" w:themeShade="80"/>
          <w:sz w:val="22"/>
          <w:szCs w:val="28"/>
        </w:rPr>
        <w:t xml:space="preserve"> as a foreign main proceeding</w:t>
      </w:r>
      <w:r w:rsidR="00BE4A38" w:rsidRPr="00DE601B">
        <w:rPr>
          <w:rFonts w:ascii="Avenir Next" w:hAnsi="Avenir Next"/>
          <w:color w:val="808080" w:themeColor="background1" w:themeShade="80"/>
          <w:sz w:val="22"/>
          <w:szCs w:val="28"/>
        </w:rPr>
        <w:t>, and in the alternative, as a foreign non-main proceeding. This is because, as will be explained further below, while there are certain factors leaning in favour of the COMI being the Cayman Islands, there are also a number of significant factors that suggest that the COMI is the US instead.</w:t>
      </w:r>
    </w:p>
    <w:p w14:paraId="4A7BBC19" w14:textId="77777777" w:rsidR="00DE601B" w:rsidRDefault="00DE601B" w:rsidP="00DE601B">
      <w:pPr>
        <w:jc w:val="both"/>
        <w:rPr>
          <w:rFonts w:ascii="Avenir Next" w:hAnsi="Avenir Next"/>
          <w:color w:val="808080" w:themeColor="background1" w:themeShade="80"/>
          <w:sz w:val="22"/>
          <w:szCs w:val="28"/>
        </w:rPr>
      </w:pPr>
    </w:p>
    <w:p w14:paraId="336F2F25" w14:textId="2669F8D5" w:rsidR="003E4359" w:rsidRPr="00DE601B" w:rsidRDefault="00AD2336" w:rsidP="00DE601B">
      <w:pPr>
        <w:jc w:val="both"/>
        <w:rPr>
          <w:rFonts w:ascii="Avenir Next" w:hAnsi="Avenir Next"/>
          <w:color w:val="808080" w:themeColor="background1" w:themeShade="80"/>
          <w:sz w:val="22"/>
          <w:szCs w:val="28"/>
        </w:rPr>
      </w:pPr>
      <w:r w:rsidRPr="00DE601B">
        <w:rPr>
          <w:rFonts w:ascii="Avenir Next" w:hAnsi="Avenir Next"/>
          <w:color w:val="808080" w:themeColor="background1" w:themeShade="80"/>
          <w:sz w:val="22"/>
          <w:szCs w:val="28"/>
        </w:rPr>
        <w:t>Based on the above facts, the</w:t>
      </w:r>
      <w:r w:rsidR="009819E8" w:rsidRPr="00DE601B">
        <w:rPr>
          <w:rFonts w:ascii="Avenir Next" w:hAnsi="Avenir Next"/>
          <w:color w:val="808080" w:themeColor="background1" w:themeShade="80"/>
          <w:sz w:val="22"/>
          <w:szCs w:val="28"/>
        </w:rPr>
        <w:t>re would be a presumption under Art 16(3) of the MLCBI</w:t>
      </w:r>
      <w:r w:rsidR="00774CE7" w:rsidRPr="00DE601B">
        <w:rPr>
          <w:rFonts w:ascii="Avenir Next" w:hAnsi="Avenir Next"/>
          <w:color w:val="808080" w:themeColor="background1" w:themeShade="80"/>
          <w:sz w:val="22"/>
          <w:szCs w:val="28"/>
        </w:rPr>
        <w:t xml:space="preserve"> </w:t>
      </w:r>
      <w:r w:rsidR="009819E8" w:rsidRPr="00DE601B">
        <w:rPr>
          <w:rFonts w:ascii="Avenir Next" w:hAnsi="Avenir Next"/>
          <w:color w:val="808080" w:themeColor="background1" w:themeShade="80"/>
          <w:sz w:val="22"/>
          <w:szCs w:val="28"/>
        </w:rPr>
        <w:t>that the client’s COM</w:t>
      </w:r>
      <w:r w:rsidR="00774CE7" w:rsidRPr="00DE601B">
        <w:rPr>
          <w:rFonts w:ascii="Avenir Next" w:hAnsi="Avenir Next"/>
          <w:color w:val="808080" w:themeColor="background1" w:themeShade="80"/>
          <w:sz w:val="22"/>
          <w:szCs w:val="28"/>
        </w:rPr>
        <w:t>I</w:t>
      </w:r>
      <w:r w:rsidR="009819E8" w:rsidRPr="00DE601B">
        <w:rPr>
          <w:rFonts w:ascii="Avenir Next" w:hAnsi="Avenir Next"/>
          <w:color w:val="808080" w:themeColor="background1" w:themeShade="80"/>
          <w:sz w:val="22"/>
          <w:szCs w:val="28"/>
        </w:rPr>
        <w:t xml:space="preserve"> is that</w:t>
      </w:r>
      <w:r w:rsidRPr="00DE601B">
        <w:rPr>
          <w:rFonts w:ascii="Avenir Next" w:hAnsi="Avenir Next"/>
          <w:color w:val="808080" w:themeColor="background1" w:themeShade="80"/>
          <w:sz w:val="22"/>
          <w:szCs w:val="28"/>
        </w:rPr>
        <w:t xml:space="preserve"> </w:t>
      </w:r>
      <w:r w:rsidR="00DD50BC" w:rsidRPr="00DE601B">
        <w:rPr>
          <w:rFonts w:ascii="Avenir Next" w:hAnsi="Avenir Next"/>
          <w:color w:val="808080" w:themeColor="background1" w:themeShade="80"/>
          <w:sz w:val="22"/>
          <w:szCs w:val="28"/>
        </w:rPr>
        <w:t>Cayman Islands given th</w:t>
      </w:r>
      <w:r w:rsidR="00C951AE" w:rsidRPr="00DE601B">
        <w:rPr>
          <w:rFonts w:ascii="Avenir Next" w:hAnsi="Avenir Next"/>
          <w:color w:val="808080" w:themeColor="background1" w:themeShade="80"/>
          <w:sz w:val="22"/>
          <w:szCs w:val="28"/>
        </w:rPr>
        <w:t>at at as at the date of the envisaged recognition application to be brought</w:t>
      </w:r>
      <w:r w:rsidR="009819E8" w:rsidRPr="00DE601B">
        <w:rPr>
          <w:rFonts w:ascii="Avenir Next" w:hAnsi="Avenir Next"/>
          <w:color w:val="808080" w:themeColor="background1" w:themeShade="80"/>
          <w:sz w:val="22"/>
          <w:szCs w:val="28"/>
        </w:rPr>
        <w:t>, t</w:t>
      </w:r>
      <w:r w:rsidR="00C951AE" w:rsidRPr="00DE601B">
        <w:rPr>
          <w:rFonts w:ascii="Avenir Next" w:hAnsi="Avenir Next"/>
          <w:color w:val="808080" w:themeColor="background1" w:themeShade="80"/>
          <w:sz w:val="22"/>
          <w:szCs w:val="28"/>
        </w:rPr>
        <w:t>he</w:t>
      </w:r>
      <w:r w:rsidR="00DD50BC" w:rsidRPr="00DE601B">
        <w:rPr>
          <w:rFonts w:ascii="Avenir Next" w:hAnsi="Avenir Next"/>
          <w:color w:val="808080" w:themeColor="background1" w:themeShade="80"/>
          <w:sz w:val="22"/>
          <w:szCs w:val="28"/>
        </w:rPr>
        <w:t xml:space="preserve"> client is a Cayman Islands incorporated and registered entity. </w:t>
      </w:r>
    </w:p>
    <w:p w14:paraId="5D2F9040" w14:textId="77777777" w:rsidR="00DE601B" w:rsidRDefault="00DE601B" w:rsidP="00DE601B">
      <w:pPr>
        <w:jc w:val="both"/>
        <w:rPr>
          <w:rFonts w:ascii="Avenir Next" w:hAnsi="Avenir Next"/>
          <w:color w:val="808080" w:themeColor="background1" w:themeShade="80"/>
          <w:sz w:val="22"/>
          <w:szCs w:val="28"/>
        </w:rPr>
      </w:pPr>
    </w:p>
    <w:p w14:paraId="7912D30E" w14:textId="68BE076B" w:rsidR="00774CE7" w:rsidRPr="00DE601B" w:rsidRDefault="00774CE7" w:rsidP="00DE601B">
      <w:pPr>
        <w:jc w:val="both"/>
        <w:rPr>
          <w:rFonts w:ascii="Avenir Next" w:hAnsi="Avenir Next"/>
          <w:color w:val="808080" w:themeColor="background1" w:themeShade="80"/>
          <w:sz w:val="22"/>
          <w:szCs w:val="28"/>
        </w:rPr>
      </w:pPr>
      <w:r w:rsidRPr="00DE601B">
        <w:rPr>
          <w:rFonts w:ascii="Avenir Next" w:hAnsi="Avenir Next"/>
          <w:color w:val="808080" w:themeColor="background1" w:themeShade="80"/>
          <w:sz w:val="22"/>
          <w:szCs w:val="28"/>
        </w:rPr>
        <w:t xml:space="preserve">The client </w:t>
      </w:r>
      <w:r w:rsidR="00BE4A38" w:rsidRPr="00DE601B">
        <w:rPr>
          <w:rFonts w:ascii="Avenir Next" w:hAnsi="Avenir Next"/>
          <w:color w:val="808080" w:themeColor="background1" w:themeShade="80"/>
          <w:sz w:val="22"/>
          <w:szCs w:val="28"/>
        </w:rPr>
        <w:t>can</w:t>
      </w:r>
      <w:r w:rsidRPr="00DE601B">
        <w:rPr>
          <w:rFonts w:ascii="Avenir Next" w:hAnsi="Avenir Next"/>
          <w:color w:val="808080" w:themeColor="background1" w:themeShade="80"/>
          <w:sz w:val="22"/>
          <w:szCs w:val="28"/>
        </w:rPr>
        <w:t xml:space="preserve"> </w:t>
      </w:r>
      <w:r w:rsidR="0004362B" w:rsidRPr="00DE601B">
        <w:rPr>
          <w:rFonts w:ascii="Avenir Next" w:hAnsi="Avenir Next"/>
          <w:color w:val="808080" w:themeColor="background1" w:themeShade="80"/>
          <w:sz w:val="22"/>
          <w:szCs w:val="28"/>
        </w:rPr>
        <w:t xml:space="preserve">rely on the following fact in support of its assertion that its COMI is Cayman Islands, </w:t>
      </w:r>
    </w:p>
    <w:p w14:paraId="102D7D9F" w14:textId="2E52CAF8" w:rsidR="0004362B" w:rsidRDefault="0004362B" w:rsidP="00DE601B">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w:t>
      </w:r>
      <w:r w:rsidR="00750DE7">
        <w:rPr>
          <w:rFonts w:ascii="Avenir Next" w:hAnsi="Avenir Next"/>
          <w:color w:val="808080" w:themeColor="background1" w:themeShade="80"/>
          <w:sz w:val="22"/>
          <w:szCs w:val="28"/>
        </w:rPr>
        <w:t>h</w:t>
      </w:r>
      <w:r>
        <w:rPr>
          <w:rFonts w:ascii="Avenir Next" w:hAnsi="Avenir Next"/>
          <w:color w:val="808080" w:themeColor="background1" w:themeShade="80"/>
          <w:sz w:val="22"/>
          <w:szCs w:val="28"/>
        </w:rPr>
        <w:t xml:space="preserve">as a bank account </w:t>
      </w:r>
      <w:r w:rsidR="00905EAE">
        <w:rPr>
          <w:rFonts w:ascii="Avenir Next" w:hAnsi="Avenir Next"/>
          <w:color w:val="808080" w:themeColor="background1" w:themeShade="80"/>
          <w:sz w:val="22"/>
          <w:szCs w:val="28"/>
        </w:rPr>
        <w:t xml:space="preserve">in the Cayman Islands from which it pays certain operating expenses – although the fact that this account was only opened just a few days ago would tend to militate against a finding that </w:t>
      </w:r>
      <w:r w:rsidR="0040655B">
        <w:rPr>
          <w:rFonts w:ascii="Avenir Next" w:hAnsi="Avenir Next"/>
          <w:color w:val="808080" w:themeColor="background1" w:themeShade="80"/>
          <w:sz w:val="22"/>
          <w:szCs w:val="28"/>
        </w:rPr>
        <w:t xml:space="preserve">the COMI was Cayman Islands if the client had a long history of making payments from other offshore accounts instead. </w:t>
      </w:r>
    </w:p>
    <w:p w14:paraId="20358405" w14:textId="0318E0D0" w:rsidR="00076FFC" w:rsidRDefault="00D2751C" w:rsidP="00DE601B">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client have also retained its Cayman Islands counsel (Cedar and Woods) for over a decade</w:t>
      </w:r>
      <w:r w:rsidR="00B055C1">
        <w:rPr>
          <w:rFonts w:ascii="Avenir Next" w:hAnsi="Avenir Next"/>
          <w:color w:val="808080" w:themeColor="background1" w:themeShade="80"/>
          <w:sz w:val="22"/>
          <w:szCs w:val="28"/>
        </w:rPr>
        <w:t>,</w:t>
      </w:r>
      <w:r w:rsidR="000543C7">
        <w:rPr>
          <w:rFonts w:ascii="Avenir Next" w:hAnsi="Avenir Next"/>
          <w:color w:val="808080" w:themeColor="background1" w:themeShade="80"/>
          <w:sz w:val="22"/>
          <w:szCs w:val="28"/>
        </w:rPr>
        <w:t xml:space="preserve"> which suggests that </w:t>
      </w:r>
      <w:r w:rsidR="00076FFC">
        <w:rPr>
          <w:rFonts w:ascii="Avenir Next" w:hAnsi="Avenir Next"/>
          <w:color w:val="808080" w:themeColor="background1" w:themeShade="80"/>
          <w:sz w:val="22"/>
          <w:szCs w:val="28"/>
        </w:rPr>
        <w:t>its main contracts would have been subject to Cayman Islands’ counsel</w:t>
      </w:r>
      <w:r w:rsidR="005973EB">
        <w:rPr>
          <w:rFonts w:ascii="Avenir Next" w:hAnsi="Avenir Next"/>
          <w:color w:val="808080" w:themeColor="background1" w:themeShade="80"/>
          <w:sz w:val="22"/>
          <w:szCs w:val="28"/>
        </w:rPr>
        <w:t xml:space="preserve"> and the law that would apply to most disputes was also Cayman Islands</w:t>
      </w:r>
      <w:r w:rsidR="00076FFC">
        <w:rPr>
          <w:rFonts w:ascii="Avenir Next" w:hAnsi="Avenir Next"/>
          <w:color w:val="808080" w:themeColor="background1" w:themeShade="80"/>
          <w:sz w:val="22"/>
          <w:szCs w:val="28"/>
        </w:rPr>
        <w:t xml:space="preserve">, thereby requiring it to have Cayman Island’s counsel on retainer for an extended period. </w:t>
      </w:r>
    </w:p>
    <w:p w14:paraId="6C632E74" w14:textId="6F735BCA" w:rsidR="0028440F" w:rsidRDefault="0028440F" w:rsidP="00DE601B">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client maintains its books and records in the Cayman Islands</w:t>
      </w:r>
      <w:r w:rsidR="00931C1E">
        <w:rPr>
          <w:rFonts w:ascii="Avenir Next" w:hAnsi="Avenir Next"/>
          <w:color w:val="808080" w:themeColor="background1" w:themeShade="80"/>
          <w:sz w:val="22"/>
          <w:szCs w:val="28"/>
        </w:rPr>
        <w:t xml:space="preserve">. </w:t>
      </w:r>
    </w:p>
    <w:p w14:paraId="7581DFC1" w14:textId="0C5F0287" w:rsidR="00931C1E" w:rsidRDefault="00931C1E" w:rsidP="00DE601B">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fact that its public filings with the SEC and </w:t>
      </w:r>
      <w:r w:rsidR="00F03FC5">
        <w:rPr>
          <w:rFonts w:ascii="Avenir Next" w:hAnsi="Avenir Next"/>
          <w:color w:val="808080" w:themeColor="background1" w:themeShade="80"/>
          <w:sz w:val="22"/>
          <w:szCs w:val="28"/>
        </w:rPr>
        <w:t xml:space="preserve">its prospectus provided in connection with the Notes which disclosed that the client is a Cayman Islands company would </w:t>
      </w:r>
      <w:r w:rsidR="00E27BA7">
        <w:rPr>
          <w:rFonts w:ascii="Avenir Next" w:hAnsi="Avenir Next"/>
          <w:color w:val="808080" w:themeColor="background1" w:themeShade="80"/>
          <w:sz w:val="22"/>
          <w:szCs w:val="28"/>
        </w:rPr>
        <w:t xml:space="preserve">also suggests that </w:t>
      </w:r>
      <w:r w:rsidR="008555B1">
        <w:rPr>
          <w:rFonts w:ascii="Avenir Next" w:hAnsi="Avenir Next"/>
          <w:color w:val="808080" w:themeColor="background1" w:themeShade="80"/>
          <w:sz w:val="22"/>
          <w:szCs w:val="28"/>
        </w:rPr>
        <w:t>third parties and creditors</w:t>
      </w:r>
      <w:r w:rsidR="00E27BA7">
        <w:rPr>
          <w:rFonts w:ascii="Avenir Next" w:hAnsi="Avenir Next"/>
          <w:color w:val="808080" w:themeColor="background1" w:themeShade="80"/>
          <w:sz w:val="22"/>
          <w:szCs w:val="28"/>
        </w:rPr>
        <w:t xml:space="preserve"> of</w:t>
      </w:r>
      <w:r w:rsidR="008555B1">
        <w:rPr>
          <w:rFonts w:ascii="Avenir Next" w:hAnsi="Avenir Next"/>
          <w:color w:val="808080" w:themeColor="background1" w:themeShade="80"/>
          <w:sz w:val="22"/>
          <w:szCs w:val="28"/>
        </w:rPr>
        <w:t xml:space="preserve"> the client</w:t>
      </w:r>
      <w:r w:rsidR="00E27BA7">
        <w:rPr>
          <w:rFonts w:ascii="Avenir Next" w:hAnsi="Avenir Next"/>
          <w:color w:val="808080" w:themeColor="background1" w:themeShade="80"/>
          <w:sz w:val="22"/>
          <w:szCs w:val="28"/>
        </w:rPr>
        <w:t xml:space="preserve"> </w:t>
      </w:r>
      <w:r w:rsidR="008555B1">
        <w:rPr>
          <w:rFonts w:ascii="Avenir Next" w:hAnsi="Avenir Next"/>
          <w:color w:val="808080" w:themeColor="background1" w:themeShade="80"/>
          <w:sz w:val="22"/>
          <w:szCs w:val="28"/>
        </w:rPr>
        <w:t xml:space="preserve">would have </w:t>
      </w:r>
      <w:r w:rsidR="00E27BA7">
        <w:rPr>
          <w:rFonts w:ascii="Avenir Next" w:hAnsi="Avenir Next"/>
          <w:color w:val="808080" w:themeColor="background1" w:themeShade="80"/>
          <w:sz w:val="22"/>
          <w:szCs w:val="28"/>
        </w:rPr>
        <w:t xml:space="preserve">perceived the client’s COMI to be Cayman Islands. </w:t>
      </w:r>
    </w:p>
    <w:p w14:paraId="0C6570D5" w14:textId="77777777" w:rsidR="00DE601B" w:rsidRDefault="00DE601B" w:rsidP="00DE601B">
      <w:pPr>
        <w:jc w:val="both"/>
        <w:rPr>
          <w:rFonts w:ascii="Avenir Next" w:hAnsi="Avenir Next"/>
          <w:color w:val="808080" w:themeColor="background1" w:themeShade="80"/>
          <w:sz w:val="22"/>
          <w:szCs w:val="28"/>
        </w:rPr>
      </w:pPr>
    </w:p>
    <w:p w14:paraId="346703AB" w14:textId="6D23AB09" w:rsidR="00A035E3" w:rsidRPr="00DE601B" w:rsidRDefault="00A035E3" w:rsidP="00DE601B">
      <w:pPr>
        <w:jc w:val="both"/>
        <w:rPr>
          <w:rFonts w:ascii="Avenir Next" w:hAnsi="Avenir Next"/>
          <w:color w:val="808080" w:themeColor="background1" w:themeShade="80"/>
          <w:sz w:val="22"/>
          <w:szCs w:val="28"/>
        </w:rPr>
      </w:pPr>
      <w:r w:rsidRPr="00DE601B">
        <w:rPr>
          <w:rFonts w:ascii="Avenir Next" w:hAnsi="Avenir Next"/>
          <w:color w:val="808080" w:themeColor="background1" w:themeShade="80"/>
          <w:sz w:val="22"/>
          <w:szCs w:val="28"/>
        </w:rPr>
        <w:t xml:space="preserve">However, there are certain facts which may militate against a finding that that the client’s COMI is Cayman Islands. For instance: </w:t>
      </w:r>
    </w:p>
    <w:p w14:paraId="77F2817D" w14:textId="091637CA" w:rsidR="00AA7ABF" w:rsidRDefault="00076FFC" w:rsidP="00DE601B">
      <w:pPr>
        <w:pStyle w:val="ListParagraph"/>
        <w:numPr>
          <w:ilvl w:val="0"/>
          <w:numId w:val="21"/>
        </w:numPr>
        <w:jc w:val="both"/>
        <w:rPr>
          <w:rFonts w:ascii="Avenir Next" w:hAnsi="Avenir Next"/>
          <w:color w:val="808080" w:themeColor="background1" w:themeShade="80"/>
          <w:sz w:val="22"/>
          <w:szCs w:val="28"/>
        </w:rPr>
      </w:pPr>
      <w:r w:rsidRPr="00A035E3">
        <w:rPr>
          <w:rFonts w:ascii="Avenir Next" w:hAnsi="Avenir Next"/>
          <w:color w:val="808080" w:themeColor="background1" w:themeShade="80"/>
          <w:sz w:val="22"/>
          <w:szCs w:val="28"/>
        </w:rPr>
        <w:t xml:space="preserve">The fact that </w:t>
      </w:r>
      <w:r w:rsidR="00084C2D" w:rsidRPr="00A035E3">
        <w:rPr>
          <w:rFonts w:ascii="Avenir Next" w:hAnsi="Avenir Next"/>
          <w:color w:val="808080" w:themeColor="background1" w:themeShade="80"/>
          <w:sz w:val="22"/>
          <w:szCs w:val="28"/>
        </w:rPr>
        <w:t>all board meetings were held virtually</w:t>
      </w:r>
      <w:r w:rsidR="00AA7ABF" w:rsidRPr="00A035E3">
        <w:rPr>
          <w:rFonts w:ascii="Avenir Next" w:hAnsi="Avenir Next"/>
          <w:color w:val="808080" w:themeColor="background1" w:themeShade="80"/>
          <w:sz w:val="22"/>
          <w:szCs w:val="28"/>
        </w:rPr>
        <w:t xml:space="preserve"> (and not in the Cayman Islands)</w:t>
      </w:r>
      <w:r w:rsidR="00084C2D" w:rsidRPr="00A035E3">
        <w:rPr>
          <w:rFonts w:ascii="Avenir Next" w:hAnsi="Avenir Next"/>
          <w:color w:val="808080" w:themeColor="background1" w:themeShade="80"/>
          <w:sz w:val="22"/>
          <w:szCs w:val="28"/>
        </w:rPr>
        <w:t xml:space="preserve"> is a neutral factor, since it does not point to a single location where </w:t>
      </w:r>
      <w:r w:rsidR="00AA7ABF" w:rsidRPr="00A035E3">
        <w:rPr>
          <w:rFonts w:ascii="Avenir Next" w:hAnsi="Avenir Next"/>
          <w:color w:val="808080" w:themeColor="background1" w:themeShade="80"/>
          <w:sz w:val="22"/>
          <w:szCs w:val="28"/>
        </w:rPr>
        <w:t xml:space="preserve">the company’s management is located and where commercial policy was determined. </w:t>
      </w:r>
    </w:p>
    <w:p w14:paraId="075E8437" w14:textId="373B92F0" w:rsidR="00790446" w:rsidRDefault="00A035E3" w:rsidP="00DE601B">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fact that the client has no business operations of its own, and that its main business operations are carried out through its </w:t>
      </w:r>
      <w:r w:rsidR="006A0D14">
        <w:rPr>
          <w:rFonts w:ascii="Avenir Next" w:hAnsi="Avenir Next"/>
          <w:color w:val="808080" w:themeColor="background1" w:themeShade="80"/>
          <w:sz w:val="22"/>
          <w:szCs w:val="28"/>
        </w:rPr>
        <w:t xml:space="preserve">subsidiaries that are incorporated under US laws </w:t>
      </w:r>
      <w:r w:rsidR="00790446">
        <w:rPr>
          <w:rFonts w:ascii="Avenir Next" w:hAnsi="Avenir Next"/>
          <w:color w:val="808080" w:themeColor="background1" w:themeShade="80"/>
          <w:sz w:val="22"/>
          <w:szCs w:val="28"/>
        </w:rPr>
        <w:t xml:space="preserve">suggests that the COMI is US instead, given that this is the location where the debtor’s principal assets (being its subsidiaries) and operations are found. </w:t>
      </w:r>
    </w:p>
    <w:p w14:paraId="045D1651" w14:textId="4D2DF31A" w:rsidR="00BE4A38" w:rsidRDefault="00790446" w:rsidP="00DE601B">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6A0D14">
        <w:rPr>
          <w:rFonts w:ascii="Avenir Next" w:hAnsi="Avenir Next"/>
          <w:color w:val="808080" w:themeColor="background1" w:themeShade="80"/>
          <w:sz w:val="22"/>
          <w:szCs w:val="28"/>
        </w:rPr>
        <w:t>he</w:t>
      </w:r>
      <w:r>
        <w:rPr>
          <w:rFonts w:ascii="Avenir Next" w:hAnsi="Avenir Next"/>
          <w:color w:val="808080" w:themeColor="background1" w:themeShade="80"/>
          <w:sz w:val="22"/>
          <w:szCs w:val="28"/>
        </w:rPr>
        <w:t xml:space="preserve"> fact that the client’s</w:t>
      </w:r>
      <w:r w:rsidR="006A0D14">
        <w:rPr>
          <w:rFonts w:ascii="Avenir Next" w:hAnsi="Avenir Next"/>
          <w:color w:val="808080" w:themeColor="background1" w:themeShade="80"/>
          <w:sz w:val="22"/>
          <w:szCs w:val="28"/>
        </w:rPr>
        <w:t xml:space="preserve"> headquarters</w:t>
      </w:r>
      <w:r w:rsidR="00485F36">
        <w:rPr>
          <w:rFonts w:ascii="Avenir Next" w:hAnsi="Avenir Next"/>
          <w:color w:val="808080" w:themeColor="background1" w:themeShade="80"/>
          <w:sz w:val="22"/>
          <w:szCs w:val="28"/>
        </w:rPr>
        <w:t xml:space="preserve"> is</w:t>
      </w:r>
      <w:r w:rsidR="007705A0">
        <w:rPr>
          <w:rFonts w:ascii="Avenir Next" w:hAnsi="Avenir Next"/>
          <w:color w:val="808080" w:themeColor="background1" w:themeShade="80"/>
          <w:sz w:val="22"/>
          <w:szCs w:val="28"/>
        </w:rPr>
        <w:t xml:space="preserve"> in the US</w:t>
      </w:r>
      <w:r w:rsidR="00485F36">
        <w:rPr>
          <w:rFonts w:ascii="Avenir Next" w:hAnsi="Avenir Next"/>
          <w:color w:val="808080" w:themeColor="background1" w:themeShade="80"/>
          <w:sz w:val="22"/>
          <w:szCs w:val="28"/>
        </w:rPr>
        <w:t xml:space="preserve"> also suggests </w:t>
      </w:r>
      <w:r w:rsidR="007705A0">
        <w:rPr>
          <w:rFonts w:ascii="Avenir Next" w:hAnsi="Avenir Next"/>
          <w:color w:val="808080" w:themeColor="background1" w:themeShade="80"/>
          <w:sz w:val="22"/>
          <w:szCs w:val="28"/>
        </w:rPr>
        <w:t xml:space="preserve">that the location in which commercial policy was </w:t>
      </w:r>
      <w:r w:rsidR="00485F36">
        <w:rPr>
          <w:rFonts w:ascii="Avenir Next" w:hAnsi="Avenir Next"/>
          <w:color w:val="808080" w:themeColor="background1" w:themeShade="80"/>
          <w:sz w:val="22"/>
          <w:szCs w:val="28"/>
        </w:rPr>
        <w:t>determined was in the US.</w:t>
      </w:r>
    </w:p>
    <w:p w14:paraId="5973CECB" w14:textId="77777777" w:rsidR="00DE601B" w:rsidRDefault="00DE601B" w:rsidP="00DE601B">
      <w:pPr>
        <w:jc w:val="both"/>
        <w:rPr>
          <w:rFonts w:ascii="Avenir Next" w:hAnsi="Avenir Next"/>
          <w:color w:val="808080" w:themeColor="background1" w:themeShade="80"/>
          <w:sz w:val="22"/>
          <w:szCs w:val="28"/>
        </w:rPr>
      </w:pPr>
    </w:p>
    <w:p w14:paraId="75BD401F" w14:textId="639623AD" w:rsidR="006B7659" w:rsidRPr="00DE601B" w:rsidRDefault="006B7659" w:rsidP="00DE601B">
      <w:pPr>
        <w:jc w:val="both"/>
        <w:rPr>
          <w:rFonts w:ascii="Avenir Next" w:hAnsi="Avenir Next"/>
          <w:color w:val="808080" w:themeColor="background1" w:themeShade="80"/>
          <w:sz w:val="22"/>
          <w:szCs w:val="28"/>
        </w:rPr>
      </w:pPr>
      <w:r w:rsidRPr="00DE601B">
        <w:rPr>
          <w:rFonts w:ascii="Avenir Next" w:hAnsi="Avenir Next"/>
          <w:color w:val="808080" w:themeColor="background1" w:themeShade="80"/>
          <w:sz w:val="22"/>
          <w:szCs w:val="28"/>
        </w:rPr>
        <w:t xml:space="preserve">As such, given that there is some ambiguity in relation to the client’s COMI, the client should consider applying for recognition </w:t>
      </w:r>
      <w:r w:rsidR="002202C1" w:rsidRPr="00DE601B">
        <w:rPr>
          <w:rFonts w:ascii="Avenir Next" w:hAnsi="Avenir Next"/>
          <w:color w:val="808080" w:themeColor="background1" w:themeShade="80"/>
          <w:sz w:val="22"/>
          <w:szCs w:val="28"/>
        </w:rPr>
        <w:t xml:space="preserve">of the </w:t>
      </w:r>
      <w:r w:rsidR="00A127B4">
        <w:rPr>
          <w:rFonts w:ascii="Avenir Next" w:hAnsi="Avenir Next"/>
          <w:color w:val="808080" w:themeColor="background1" w:themeShade="80"/>
          <w:sz w:val="22"/>
          <w:szCs w:val="28"/>
        </w:rPr>
        <w:t>Sanction Order</w:t>
      </w:r>
      <w:r w:rsidR="002202C1" w:rsidRPr="00DE601B">
        <w:rPr>
          <w:rFonts w:ascii="Avenir Next" w:hAnsi="Avenir Next"/>
          <w:color w:val="808080" w:themeColor="background1" w:themeShade="80"/>
          <w:sz w:val="22"/>
          <w:szCs w:val="28"/>
        </w:rPr>
        <w:t xml:space="preserve"> </w:t>
      </w:r>
      <w:r w:rsidRPr="00DE601B">
        <w:rPr>
          <w:rFonts w:ascii="Avenir Next" w:hAnsi="Avenir Next"/>
          <w:color w:val="808080" w:themeColor="background1" w:themeShade="80"/>
          <w:sz w:val="22"/>
          <w:szCs w:val="28"/>
        </w:rPr>
        <w:t>as a foreign non-main proceeding, which requires the client to show</w:t>
      </w:r>
      <w:r w:rsidR="002202C1" w:rsidRPr="00DE601B">
        <w:rPr>
          <w:rFonts w:ascii="Avenir Next" w:hAnsi="Avenir Next"/>
          <w:color w:val="808080" w:themeColor="background1" w:themeShade="80"/>
          <w:sz w:val="22"/>
          <w:szCs w:val="28"/>
        </w:rPr>
        <w:t xml:space="preserve"> that it has an “establishment” in the Cayman Islands</w:t>
      </w:r>
      <w:r w:rsidR="0062324F" w:rsidRPr="00DE601B">
        <w:rPr>
          <w:rFonts w:ascii="Avenir Next" w:hAnsi="Avenir Next"/>
          <w:color w:val="808080" w:themeColor="background1" w:themeShade="80"/>
          <w:sz w:val="22"/>
          <w:szCs w:val="28"/>
        </w:rPr>
        <w:t xml:space="preserve"> by adducing evidence that it carries out non-transitory economic activity with human means and good or services (Article 2(c) and 2(f) of the MLCBI). In this regard, the factors referred to </w:t>
      </w:r>
      <w:r w:rsidR="005A66DC" w:rsidRPr="00DE601B">
        <w:rPr>
          <w:rFonts w:ascii="Avenir Next" w:hAnsi="Avenir Next"/>
          <w:color w:val="808080" w:themeColor="background1" w:themeShade="80"/>
          <w:sz w:val="22"/>
          <w:szCs w:val="28"/>
        </w:rPr>
        <w:t xml:space="preserve">above that were relevant to a finding that the client’s COMI is the Cayman Islands would similarly be relevant to this analysis. For instance, the fact that </w:t>
      </w:r>
      <w:r w:rsidR="00D47190" w:rsidRPr="00DE601B">
        <w:rPr>
          <w:rFonts w:ascii="Avenir Next" w:hAnsi="Avenir Next"/>
          <w:color w:val="808080" w:themeColor="background1" w:themeShade="80"/>
          <w:sz w:val="22"/>
          <w:szCs w:val="28"/>
        </w:rPr>
        <w:t xml:space="preserve">the client was making payments out of a Cayman Islands bank account suggests that it was carrying out </w:t>
      </w:r>
      <w:r w:rsidR="00D47190" w:rsidRPr="00DE601B">
        <w:rPr>
          <w:rFonts w:ascii="Avenir Next" w:hAnsi="Avenir Next"/>
          <w:color w:val="808080" w:themeColor="background1" w:themeShade="80"/>
          <w:sz w:val="22"/>
          <w:szCs w:val="28"/>
        </w:rPr>
        <w:lastRenderedPageBreak/>
        <w:t xml:space="preserve">economic activity in the Cayman Islands, coupled with the fact that </w:t>
      </w:r>
      <w:r w:rsidR="002F5AC9" w:rsidRPr="00DE601B">
        <w:rPr>
          <w:rFonts w:ascii="Avenir Next" w:hAnsi="Avenir Next"/>
          <w:color w:val="808080" w:themeColor="background1" w:themeShade="80"/>
          <w:sz w:val="22"/>
          <w:szCs w:val="28"/>
        </w:rPr>
        <w:t>it had retained Cayman counsel for the last 10 years</w:t>
      </w:r>
      <w:r w:rsidR="00DE601B">
        <w:rPr>
          <w:rFonts w:ascii="Avenir Next" w:hAnsi="Avenir Next"/>
          <w:color w:val="808080" w:themeColor="background1" w:themeShade="80"/>
          <w:sz w:val="22"/>
          <w:szCs w:val="28"/>
        </w:rPr>
        <w:t xml:space="preserve">. </w:t>
      </w:r>
    </w:p>
    <w:p w14:paraId="08C163F5" w14:textId="77777777" w:rsidR="004E4BAF" w:rsidRDefault="004E4BAF" w:rsidP="009E3CA7">
      <w:pPr>
        <w:jc w:val="both"/>
        <w:rPr>
          <w:rFonts w:ascii="Avenir Next" w:hAnsi="Avenir Next"/>
          <w:color w:val="808080" w:themeColor="background1" w:themeShade="80"/>
          <w:sz w:val="22"/>
          <w:szCs w:val="28"/>
        </w:rPr>
      </w:pPr>
    </w:p>
    <w:p w14:paraId="5F247FFB" w14:textId="3C0B22D5" w:rsidR="004E4BAF" w:rsidRPr="00DE601B" w:rsidRDefault="004E4BAF" w:rsidP="009E3CA7">
      <w:pPr>
        <w:jc w:val="both"/>
        <w:rPr>
          <w:rFonts w:ascii="Avenir Next" w:hAnsi="Avenir Next"/>
          <w:color w:val="808080" w:themeColor="background1" w:themeShade="80"/>
          <w:sz w:val="22"/>
          <w:szCs w:val="28"/>
          <w:u w:val="single"/>
        </w:rPr>
      </w:pPr>
      <w:r w:rsidRPr="00DE601B">
        <w:rPr>
          <w:rFonts w:ascii="Avenir Next" w:hAnsi="Avenir Next"/>
          <w:b/>
          <w:bCs/>
          <w:color w:val="808080" w:themeColor="background1" w:themeShade="80"/>
          <w:sz w:val="22"/>
          <w:szCs w:val="28"/>
          <w:u w:val="single"/>
        </w:rPr>
        <w:t>What papers need to be submitted</w:t>
      </w:r>
      <w:r w:rsidR="004770AB" w:rsidRPr="00DE601B">
        <w:rPr>
          <w:rFonts w:ascii="Avenir Next" w:hAnsi="Avenir Next"/>
          <w:color w:val="808080" w:themeColor="background1" w:themeShade="80"/>
          <w:sz w:val="22"/>
          <w:szCs w:val="28"/>
          <w:u w:val="single"/>
        </w:rPr>
        <w:t xml:space="preserve">: </w:t>
      </w:r>
    </w:p>
    <w:p w14:paraId="0852E98A" w14:textId="77777777" w:rsidR="00DE601B" w:rsidRDefault="00DE601B" w:rsidP="00DE601B">
      <w:pPr>
        <w:jc w:val="both"/>
        <w:rPr>
          <w:rFonts w:ascii="Avenir Next" w:hAnsi="Avenir Next"/>
          <w:color w:val="808080" w:themeColor="background1" w:themeShade="80"/>
          <w:sz w:val="22"/>
          <w:szCs w:val="28"/>
        </w:rPr>
      </w:pPr>
    </w:p>
    <w:p w14:paraId="5ADBB41A" w14:textId="5E5E9F26" w:rsidR="004770AB" w:rsidRDefault="00DE601B" w:rsidP="00DE601B">
      <w:pPr>
        <w:jc w:val="both"/>
        <w:rPr>
          <w:rFonts w:ascii="Avenir Next" w:hAnsi="Avenir Next"/>
          <w:color w:val="808080" w:themeColor="background1" w:themeShade="80"/>
          <w:sz w:val="22"/>
          <w:szCs w:val="28"/>
        </w:rPr>
      </w:pPr>
      <w:r w:rsidRPr="00DE601B">
        <w:rPr>
          <w:rFonts w:ascii="Avenir Next" w:hAnsi="Avenir Next"/>
          <w:color w:val="808080" w:themeColor="background1" w:themeShade="80"/>
          <w:sz w:val="22"/>
          <w:szCs w:val="28"/>
        </w:rPr>
        <w:t>In this application</w:t>
      </w:r>
      <w:r w:rsidR="00803CCA">
        <w:rPr>
          <w:rFonts w:ascii="Avenir Next" w:hAnsi="Avenir Next"/>
          <w:color w:val="808080" w:themeColor="background1" w:themeShade="80"/>
          <w:sz w:val="22"/>
          <w:szCs w:val="28"/>
        </w:rPr>
        <w:t>, the foreign representative in the Cayman Islands proceedings would have to submi</w:t>
      </w:r>
      <w:r w:rsidR="00E41B0E">
        <w:rPr>
          <w:rFonts w:ascii="Avenir Next" w:hAnsi="Avenir Next"/>
          <w:color w:val="808080" w:themeColor="background1" w:themeShade="80"/>
          <w:sz w:val="22"/>
          <w:szCs w:val="28"/>
        </w:rPr>
        <w:t>t the following papers as required under Article 15 of the MLCBI:</w:t>
      </w:r>
    </w:p>
    <w:p w14:paraId="115FD47E" w14:textId="078068FB" w:rsidR="00E41B0E" w:rsidRDefault="00E41B0E" w:rsidP="00E41B0E">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ce</w:t>
      </w:r>
      <w:r w:rsidR="00F76571">
        <w:rPr>
          <w:rFonts w:ascii="Avenir Next" w:hAnsi="Avenir Next"/>
          <w:color w:val="808080" w:themeColor="background1" w:themeShade="80"/>
          <w:sz w:val="22"/>
          <w:szCs w:val="28"/>
        </w:rPr>
        <w:t>rtificated copy of the decisions commencing the foreign proceeding and appointing the foreign representative; or</w:t>
      </w:r>
    </w:p>
    <w:p w14:paraId="3F92FE4A" w14:textId="2BF8D0E3" w:rsidR="00F76571" w:rsidRDefault="00F76571" w:rsidP="00E41B0E">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Cayman Islands Court affirming the existence of the proceedings </w:t>
      </w:r>
      <w:r w:rsidR="00FB6B85">
        <w:rPr>
          <w:rFonts w:ascii="Avenir Next" w:hAnsi="Avenir Next"/>
          <w:color w:val="808080" w:themeColor="background1" w:themeShade="80"/>
          <w:sz w:val="22"/>
          <w:szCs w:val="28"/>
        </w:rPr>
        <w:t>and of the appointment of the foreign representative; or</w:t>
      </w:r>
    </w:p>
    <w:p w14:paraId="5DF58454" w14:textId="77777777" w:rsidR="00D868EF" w:rsidRDefault="00FB6B85" w:rsidP="00E41B0E">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any other evidence acceptable to the court of the existence of the</w:t>
      </w:r>
      <w:r w:rsidR="00D868EF">
        <w:rPr>
          <w:rFonts w:ascii="Avenir Next" w:hAnsi="Avenir Next"/>
          <w:color w:val="808080" w:themeColor="background1" w:themeShade="80"/>
          <w:sz w:val="22"/>
          <w:szCs w:val="28"/>
        </w:rPr>
        <w:t xml:space="preserve"> foreign proceeding and of the appointment of the foreign representative;</w:t>
      </w:r>
    </w:p>
    <w:p w14:paraId="07D72F60" w14:textId="77777777" w:rsidR="00A41199" w:rsidRDefault="00D868EF" w:rsidP="00E41B0E">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statement</w:t>
      </w:r>
      <w:r w:rsidR="002F7A36">
        <w:rPr>
          <w:rFonts w:ascii="Avenir Next" w:hAnsi="Avenir Next"/>
          <w:color w:val="808080" w:themeColor="background1" w:themeShade="80"/>
          <w:sz w:val="22"/>
          <w:szCs w:val="28"/>
        </w:rPr>
        <w:t xml:space="preserve"> identifying all proceedings in respect of which the debtor that are known to the foreign representative</w:t>
      </w:r>
      <w:r w:rsidR="00A41199">
        <w:rPr>
          <w:rFonts w:ascii="Avenir Next" w:hAnsi="Avenir Next"/>
          <w:color w:val="808080" w:themeColor="background1" w:themeShade="80"/>
          <w:sz w:val="22"/>
          <w:szCs w:val="28"/>
        </w:rPr>
        <w:t>;</w:t>
      </w:r>
    </w:p>
    <w:p w14:paraId="78A72693" w14:textId="0DCCFF7C" w:rsidR="00FB6B85" w:rsidRDefault="00A41199" w:rsidP="00E41B0E">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translation of documents supplied in support of the application for recognition into English</w:t>
      </w:r>
    </w:p>
    <w:p w14:paraId="0BB84A96" w14:textId="0D2AAA4F" w:rsidR="00751B98" w:rsidRDefault="00751B98" w:rsidP="00644AAC">
      <w:pPr>
        <w:jc w:val="both"/>
        <w:rPr>
          <w:rFonts w:ascii="Avenir Next" w:hAnsi="Avenir Next"/>
          <w:color w:val="808080" w:themeColor="background1" w:themeShade="80"/>
          <w:sz w:val="22"/>
          <w:szCs w:val="28"/>
        </w:rPr>
      </w:pPr>
    </w:p>
    <w:p w14:paraId="307B6683" w14:textId="759BB79A" w:rsidR="00644AAC" w:rsidRPr="00644AAC" w:rsidRDefault="00644AAC" w:rsidP="00644AA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Additionally, the </w:t>
      </w:r>
      <w:r w:rsidR="00A127B4">
        <w:rPr>
          <w:rFonts w:ascii="Avenir Next" w:hAnsi="Avenir Next"/>
          <w:color w:val="808080" w:themeColor="background1" w:themeShade="80"/>
          <w:sz w:val="22"/>
          <w:szCs w:val="28"/>
        </w:rPr>
        <w:t>client</w:t>
      </w:r>
      <w:r>
        <w:rPr>
          <w:rFonts w:ascii="Avenir Next" w:hAnsi="Avenir Next"/>
          <w:color w:val="808080" w:themeColor="background1" w:themeShade="80"/>
          <w:sz w:val="22"/>
          <w:szCs w:val="28"/>
        </w:rPr>
        <w:t xml:space="preserve"> should also adduce the relevant documentary evidence in support of the aforesaid facts that </w:t>
      </w:r>
      <w:r w:rsidR="00BE1C1F">
        <w:rPr>
          <w:rFonts w:ascii="Avenir Next" w:hAnsi="Avenir Next"/>
          <w:color w:val="808080" w:themeColor="background1" w:themeShade="80"/>
          <w:sz w:val="22"/>
          <w:szCs w:val="28"/>
        </w:rPr>
        <w:t xml:space="preserve">demonstrate that Cayman Islands is its COMI, </w:t>
      </w:r>
      <w:r w:rsidR="00A127B4">
        <w:rPr>
          <w:rFonts w:ascii="Avenir Next" w:hAnsi="Avenir Next"/>
          <w:color w:val="808080" w:themeColor="background1" w:themeShade="80"/>
          <w:sz w:val="22"/>
          <w:szCs w:val="28"/>
        </w:rPr>
        <w:t>or in the alternative that the client has an establishment in the US.</w:t>
      </w:r>
    </w:p>
    <w:p w14:paraId="60EAA4AD" w14:textId="77777777" w:rsidR="004E4BAF" w:rsidRDefault="004E4BAF" w:rsidP="009E3CA7">
      <w:pPr>
        <w:jc w:val="both"/>
        <w:rPr>
          <w:rFonts w:ascii="Avenir Next" w:hAnsi="Avenir Next"/>
          <w:color w:val="808080" w:themeColor="background1" w:themeShade="80"/>
          <w:sz w:val="22"/>
          <w:szCs w:val="28"/>
        </w:rPr>
      </w:pPr>
    </w:p>
    <w:p w14:paraId="512593FD" w14:textId="70017316" w:rsidR="004E4BAF" w:rsidRDefault="004E4BAF" w:rsidP="009E3CA7">
      <w:pPr>
        <w:jc w:val="both"/>
        <w:rPr>
          <w:rFonts w:ascii="Avenir Next" w:hAnsi="Avenir Next"/>
          <w:b/>
          <w:bCs/>
          <w:color w:val="808080" w:themeColor="background1" w:themeShade="80"/>
          <w:sz w:val="22"/>
          <w:szCs w:val="28"/>
          <w:u w:val="single"/>
        </w:rPr>
      </w:pPr>
      <w:r w:rsidRPr="00FE7F0A">
        <w:rPr>
          <w:rFonts w:ascii="Avenir Next" w:hAnsi="Avenir Next"/>
          <w:b/>
          <w:bCs/>
          <w:color w:val="808080" w:themeColor="background1" w:themeShade="80"/>
          <w:sz w:val="22"/>
          <w:szCs w:val="28"/>
          <w:u w:val="single"/>
        </w:rPr>
        <w:t>What relief should be requested</w:t>
      </w:r>
      <w:r w:rsidR="00C34803">
        <w:rPr>
          <w:rFonts w:ascii="Avenir Next" w:hAnsi="Avenir Next"/>
          <w:b/>
          <w:bCs/>
          <w:color w:val="808080" w:themeColor="background1" w:themeShade="80"/>
          <w:sz w:val="22"/>
          <w:szCs w:val="28"/>
          <w:u w:val="single"/>
        </w:rPr>
        <w:t xml:space="preserve"> in the filing</w:t>
      </w:r>
    </w:p>
    <w:p w14:paraId="4B7B9208" w14:textId="5CF0A65C" w:rsidR="0004399C" w:rsidRPr="0004399C" w:rsidRDefault="0004399C" w:rsidP="0004399C">
      <w:pPr>
        <w:jc w:val="both"/>
        <w:rPr>
          <w:rFonts w:ascii="Avenir Next" w:hAnsi="Avenir Next"/>
          <w:color w:val="808080" w:themeColor="background1" w:themeShade="80"/>
          <w:sz w:val="22"/>
          <w:szCs w:val="28"/>
        </w:rPr>
      </w:pPr>
    </w:p>
    <w:p w14:paraId="469777AB" w14:textId="55201968" w:rsidR="009912A0" w:rsidRDefault="00A127B4" w:rsidP="00A127B4">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If recognition is being sought on the basis of a foreign main proceeding, to request for all automatic relief that would be granted upon recognition of the Sanction Order under Art 20 of the MLCBI. In particular, for </w:t>
      </w:r>
      <w:r w:rsidRPr="00A127B4">
        <w:rPr>
          <w:rFonts w:ascii="Avenir Next" w:hAnsi="Avenir Next"/>
          <w:color w:val="808080" w:themeColor="background1" w:themeShade="80"/>
          <w:sz w:val="22"/>
          <w:szCs w:val="28"/>
        </w:rPr>
        <w:t>for a s</w:t>
      </w:r>
      <w:r w:rsidR="004E4BAF" w:rsidRPr="00A127B4">
        <w:rPr>
          <w:rFonts w:ascii="Avenir Next" w:hAnsi="Avenir Next"/>
          <w:color w:val="808080" w:themeColor="background1" w:themeShade="80"/>
          <w:sz w:val="22"/>
          <w:szCs w:val="28"/>
        </w:rPr>
        <w:t>tay</w:t>
      </w:r>
      <w:r w:rsidR="00CB26BB" w:rsidRPr="00A127B4">
        <w:rPr>
          <w:rFonts w:ascii="Avenir Next" w:hAnsi="Avenir Next"/>
          <w:color w:val="808080" w:themeColor="background1" w:themeShade="80"/>
          <w:sz w:val="22"/>
          <w:szCs w:val="28"/>
        </w:rPr>
        <w:t xml:space="preserve"> of commencement or continuation of individual actions or </w:t>
      </w:r>
      <w:r w:rsidR="006627C2" w:rsidRPr="00A127B4">
        <w:rPr>
          <w:rFonts w:ascii="Avenir Next" w:hAnsi="Avenir Next"/>
          <w:color w:val="808080" w:themeColor="background1" w:themeShade="80"/>
          <w:sz w:val="22"/>
          <w:szCs w:val="28"/>
        </w:rPr>
        <w:t xml:space="preserve">individual proceedings concerning </w:t>
      </w:r>
      <w:r w:rsidR="00172B8F" w:rsidRPr="00A127B4">
        <w:rPr>
          <w:rFonts w:ascii="Avenir Next" w:hAnsi="Avenir Next"/>
          <w:color w:val="808080" w:themeColor="background1" w:themeShade="80"/>
          <w:sz w:val="22"/>
          <w:szCs w:val="28"/>
        </w:rPr>
        <w:t xml:space="preserve">against </w:t>
      </w:r>
      <w:r w:rsidR="00C34803" w:rsidRPr="00A127B4">
        <w:rPr>
          <w:rFonts w:ascii="Avenir Next" w:hAnsi="Avenir Next"/>
          <w:color w:val="808080" w:themeColor="background1" w:themeShade="80"/>
          <w:sz w:val="22"/>
          <w:szCs w:val="28"/>
        </w:rPr>
        <w:t>the client</w:t>
      </w:r>
      <w:r w:rsidR="00172B8F" w:rsidRPr="00A127B4">
        <w:rPr>
          <w:rFonts w:ascii="Avenir Next" w:hAnsi="Avenir Next"/>
          <w:color w:val="808080" w:themeColor="background1" w:themeShade="80"/>
          <w:sz w:val="22"/>
          <w:szCs w:val="28"/>
        </w:rPr>
        <w:t xml:space="preserve"> in the US, </w:t>
      </w:r>
      <w:r w:rsidR="00C34803" w:rsidRPr="00A127B4">
        <w:rPr>
          <w:rFonts w:ascii="Avenir Next" w:hAnsi="Avenir Next"/>
          <w:color w:val="808080" w:themeColor="background1" w:themeShade="80"/>
          <w:sz w:val="22"/>
          <w:szCs w:val="28"/>
        </w:rPr>
        <w:t>to prevent the commencement of</w:t>
      </w:r>
      <w:r w:rsidR="00172B8F" w:rsidRPr="00A127B4">
        <w:rPr>
          <w:rFonts w:ascii="Avenir Next" w:hAnsi="Avenir Next"/>
          <w:color w:val="808080" w:themeColor="background1" w:themeShade="80"/>
          <w:sz w:val="22"/>
          <w:szCs w:val="28"/>
        </w:rPr>
        <w:t xml:space="preserve"> the</w:t>
      </w:r>
      <w:r w:rsidR="009912A0" w:rsidRPr="00A127B4">
        <w:rPr>
          <w:rFonts w:ascii="Avenir Next" w:hAnsi="Avenir Next"/>
          <w:color w:val="808080" w:themeColor="background1" w:themeShade="80"/>
          <w:sz w:val="22"/>
          <w:szCs w:val="28"/>
        </w:rPr>
        <w:t xml:space="preserve"> class action lawsuit that is brewing</w:t>
      </w:r>
      <w:r w:rsidR="00831244" w:rsidRPr="00A127B4">
        <w:rPr>
          <w:rFonts w:ascii="Avenir Next" w:hAnsi="Avenir Next"/>
          <w:color w:val="808080" w:themeColor="background1" w:themeShade="80"/>
          <w:sz w:val="22"/>
          <w:szCs w:val="28"/>
        </w:rPr>
        <w:t>.</w:t>
      </w:r>
      <w:r w:rsidR="00F035DF" w:rsidRPr="00A127B4">
        <w:rPr>
          <w:rFonts w:ascii="Avenir Next" w:hAnsi="Avenir Next"/>
          <w:color w:val="808080" w:themeColor="background1" w:themeShade="80"/>
          <w:sz w:val="22"/>
          <w:szCs w:val="28"/>
        </w:rPr>
        <w:t xml:space="preserve"> This </w:t>
      </w:r>
    </w:p>
    <w:p w14:paraId="2D213B4A" w14:textId="77777777" w:rsidR="00185988" w:rsidRPr="00A127B4" w:rsidRDefault="00185988" w:rsidP="00185988">
      <w:pPr>
        <w:pStyle w:val="ListParagraph"/>
        <w:jc w:val="both"/>
        <w:rPr>
          <w:rFonts w:ascii="Avenir Next" w:hAnsi="Avenir Next"/>
          <w:color w:val="808080" w:themeColor="background1" w:themeShade="80"/>
          <w:sz w:val="22"/>
          <w:szCs w:val="28"/>
        </w:rPr>
      </w:pPr>
    </w:p>
    <w:p w14:paraId="30D7E6F9" w14:textId="3340C7B2" w:rsidR="009E3CA7" w:rsidRPr="004E4BAF" w:rsidRDefault="00185988" w:rsidP="004E4BAF">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Further</w:t>
      </w:r>
      <w:r w:rsidR="00A24E59">
        <w:rPr>
          <w:rFonts w:ascii="Avenir Next" w:hAnsi="Avenir Next"/>
          <w:color w:val="808080" w:themeColor="background1" w:themeShade="80"/>
          <w:sz w:val="22"/>
          <w:szCs w:val="28"/>
        </w:rPr>
        <w:t xml:space="preserve"> and in the event recognition is being sought on the basis of</w:t>
      </w:r>
      <w:r w:rsidR="007F5982">
        <w:rPr>
          <w:rFonts w:ascii="Avenir Next" w:hAnsi="Avenir Next"/>
          <w:color w:val="808080" w:themeColor="background1" w:themeShade="80"/>
          <w:sz w:val="22"/>
          <w:szCs w:val="28"/>
        </w:rPr>
        <w:t xml:space="preserve"> a foreign non-main proceeding</w:t>
      </w:r>
      <w:r>
        <w:rPr>
          <w:rFonts w:ascii="Avenir Next" w:hAnsi="Avenir Next"/>
          <w:color w:val="808080" w:themeColor="background1" w:themeShade="80"/>
          <w:sz w:val="22"/>
          <w:szCs w:val="28"/>
        </w:rPr>
        <w:t>, pursuant to Article 21(1)(g) of the MLCBI, f</w:t>
      </w:r>
      <w:r w:rsidR="00A127B4">
        <w:rPr>
          <w:rFonts w:ascii="Avenir Next" w:hAnsi="Avenir Next"/>
          <w:color w:val="808080" w:themeColor="background1" w:themeShade="80"/>
          <w:sz w:val="22"/>
          <w:szCs w:val="28"/>
        </w:rPr>
        <w:t xml:space="preserve">or an order that the automatic stay of article 20 of the MLCBI be made permanent, so as to give effect to the terms of the Sanction Order to prevent the Noteholders who may be located in US from seeking enforcement of their outstanding debts under the Notes against the client in the US and thereby bind them to the compromise </w:t>
      </w:r>
      <w:r w:rsidR="009B02CC">
        <w:rPr>
          <w:rFonts w:ascii="Avenir Next" w:hAnsi="Avenir Next"/>
          <w:color w:val="808080" w:themeColor="background1" w:themeShade="80"/>
          <w:sz w:val="22"/>
          <w:szCs w:val="28"/>
        </w:rPr>
        <w:t xml:space="preserve">of the debt in respect of the Notes </w:t>
      </w:r>
      <w:r w:rsidR="00A127B4">
        <w:rPr>
          <w:rFonts w:ascii="Avenir Next" w:hAnsi="Avenir Next"/>
          <w:color w:val="808080" w:themeColor="background1" w:themeShade="80"/>
          <w:sz w:val="22"/>
          <w:szCs w:val="28"/>
        </w:rPr>
        <w:t>pursuant to the Sanction Order.</w:t>
      </w:r>
      <w:r w:rsidR="009E3CA7" w:rsidRPr="004E4BAF">
        <w:rPr>
          <w:rFonts w:ascii="Avenir Next" w:hAnsi="Avenir Next"/>
          <w:color w:val="808080" w:themeColor="background1" w:themeShade="80"/>
          <w:sz w:val="22"/>
          <w:szCs w:val="28"/>
        </w:rPr>
        <w:t>]</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A323B3">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A866" w14:textId="77777777" w:rsidR="00A323B3" w:rsidRDefault="00A323B3" w:rsidP="00241B44">
      <w:r>
        <w:separator/>
      </w:r>
    </w:p>
  </w:endnote>
  <w:endnote w:type="continuationSeparator" w:id="0">
    <w:p w14:paraId="21C165D8" w14:textId="77777777" w:rsidR="00A323B3" w:rsidRDefault="00A323B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A4E3CDA" w:rsidR="000300E0" w:rsidRPr="00B46CE2" w:rsidRDefault="0038010E" w:rsidP="000300E0">
    <w:pPr>
      <w:pStyle w:val="Footer"/>
      <w:ind w:right="360"/>
      <w:rPr>
        <w:rFonts w:ascii="Avenir Next" w:hAnsi="Avenir Next"/>
        <w:sz w:val="22"/>
        <w:szCs w:val="22"/>
      </w:rPr>
    </w:pPr>
    <w:r>
      <w:rPr>
        <w:rFonts w:ascii="Avenir Next" w:hAnsi="Avenir Next" w:cs="Arial"/>
        <w:sz w:val="22"/>
        <w:szCs w:val="22"/>
      </w:rPr>
      <w:t>FC</w:t>
    </w:r>
    <w:r w:rsidRPr="008D0F39">
      <w:rPr>
        <w:rFonts w:ascii="Avenir Next" w:hAnsi="Avenir Next" w:cs="Arial"/>
        <w:sz w:val="22"/>
        <w:szCs w:val="22"/>
      </w:rPr>
      <w:t>202324-1437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DCFA" w14:textId="77777777" w:rsidR="00A323B3" w:rsidRDefault="00A323B3" w:rsidP="00241B44">
      <w:r>
        <w:separator/>
      </w:r>
    </w:p>
  </w:footnote>
  <w:footnote w:type="continuationSeparator" w:id="0">
    <w:p w14:paraId="02FDA35D" w14:textId="77777777" w:rsidR="00A323B3" w:rsidRDefault="00A323B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A659" w14:textId="77777777" w:rsidR="0038010E" w:rsidRDefault="00380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BE9B" w14:textId="77777777" w:rsidR="0038010E" w:rsidRDefault="00380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58DC" w14:textId="77777777" w:rsidR="0038010E" w:rsidRDefault="00380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57189D"/>
    <w:multiLevelType w:val="hybridMultilevel"/>
    <w:tmpl w:val="CABC1976"/>
    <w:lvl w:ilvl="0" w:tplc="1A2A19F6">
      <w:start w:val="1"/>
      <w:numFmt w:val="bullet"/>
      <w:lvlText w:val="-"/>
      <w:lvlJc w:val="left"/>
      <w:pPr>
        <w:ind w:left="720" w:hanging="360"/>
      </w:pPr>
      <w:rPr>
        <w:rFonts w:ascii="Avenir Next" w:eastAsia="Times New Roman" w:hAnsi="Avenir Next"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0F7636"/>
    <w:multiLevelType w:val="hybridMultilevel"/>
    <w:tmpl w:val="6F36D0F0"/>
    <w:lvl w:ilvl="0" w:tplc="1A2A19F6">
      <w:start w:val="1"/>
      <w:numFmt w:val="bullet"/>
      <w:lvlText w:val="-"/>
      <w:lvlJc w:val="left"/>
      <w:pPr>
        <w:ind w:left="720" w:hanging="360"/>
      </w:pPr>
      <w:rPr>
        <w:rFonts w:ascii="Avenir Next" w:eastAsia="Times New Roman" w:hAnsi="Avenir Next"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8E1738"/>
    <w:multiLevelType w:val="hybridMultilevel"/>
    <w:tmpl w:val="DB9807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1304AFC"/>
    <w:multiLevelType w:val="hybridMultilevel"/>
    <w:tmpl w:val="C95C5A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9823EB"/>
    <w:multiLevelType w:val="hybridMultilevel"/>
    <w:tmpl w:val="47922B92"/>
    <w:lvl w:ilvl="0" w:tplc="1A2A19F6">
      <w:start w:val="1"/>
      <w:numFmt w:val="bullet"/>
      <w:lvlText w:val="-"/>
      <w:lvlJc w:val="left"/>
      <w:pPr>
        <w:ind w:left="720" w:hanging="360"/>
      </w:pPr>
      <w:rPr>
        <w:rFonts w:ascii="Avenir Next" w:eastAsia="Times New Roman" w:hAnsi="Avenir Next"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5"/>
  </w:num>
  <w:num w:numId="2" w16cid:durableId="1164055646">
    <w:abstractNumId w:val="6"/>
  </w:num>
  <w:num w:numId="3" w16cid:durableId="970591766">
    <w:abstractNumId w:val="2"/>
  </w:num>
  <w:num w:numId="4" w16cid:durableId="1327175081">
    <w:abstractNumId w:val="21"/>
  </w:num>
  <w:num w:numId="5" w16cid:durableId="998270126">
    <w:abstractNumId w:val="19"/>
  </w:num>
  <w:num w:numId="6" w16cid:durableId="657656171">
    <w:abstractNumId w:val="18"/>
  </w:num>
  <w:num w:numId="7" w16cid:durableId="1116829249">
    <w:abstractNumId w:val="4"/>
  </w:num>
  <w:num w:numId="8" w16cid:durableId="1055274873">
    <w:abstractNumId w:val="5"/>
  </w:num>
  <w:num w:numId="9" w16cid:durableId="790785319">
    <w:abstractNumId w:val="14"/>
  </w:num>
  <w:num w:numId="10" w16cid:durableId="59720369">
    <w:abstractNumId w:val="13"/>
  </w:num>
  <w:num w:numId="11" w16cid:durableId="1379276728">
    <w:abstractNumId w:val="3"/>
  </w:num>
  <w:num w:numId="12" w16cid:durableId="921179279">
    <w:abstractNumId w:val="9"/>
  </w:num>
  <w:num w:numId="13" w16cid:durableId="1060514793">
    <w:abstractNumId w:val="11"/>
  </w:num>
  <w:num w:numId="14" w16cid:durableId="64230155">
    <w:abstractNumId w:val="1"/>
  </w:num>
  <w:num w:numId="15" w16cid:durableId="1681084025">
    <w:abstractNumId w:val="0"/>
  </w:num>
  <w:num w:numId="16" w16cid:durableId="1275090443">
    <w:abstractNumId w:val="8"/>
  </w:num>
  <w:num w:numId="17" w16cid:durableId="269969236">
    <w:abstractNumId w:val="16"/>
  </w:num>
  <w:num w:numId="18" w16cid:durableId="1890222050">
    <w:abstractNumId w:val="17"/>
  </w:num>
  <w:num w:numId="19" w16cid:durableId="2009550215">
    <w:abstractNumId w:val="12"/>
  </w:num>
  <w:num w:numId="20" w16cid:durableId="276328061">
    <w:abstractNumId w:val="20"/>
  </w:num>
  <w:num w:numId="21" w16cid:durableId="503201172">
    <w:abstractNumId w:val="10"/>
  </w:num>
  <w:num w:numId="22" w16cid:durableId="10122247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B39"/>
    <w:rsid w:val="00001E0C"/>
    <w:rsid w:val="000077DD"/>
    <w:rsid w:val="00010BA0"/>
    <w:rsid w:val="00011778"/>
    <w:rsid w:val="000130E7"/>
    <w:rsid w:val="0001365B"/>
    <w:rsid w:val="00013DBD"/>
    <w:rsid w:val="00016D35"/>
    <w:rsid w:val="00020557"/>
    <w:rsid w:val="000232A1"/>
    <w:rsid w:val="00024CFE"/>
    <w:rsid w:val="000250C7"/>
    <w:rsid w:val="00025CCF"/>
    <w:rsid w:val="000300E0"/>
    <w:rsid w:val="0003114A"/>
    <w:rsid w:val="000352C1"/>
    <w:rsid w:val="0003619C"/>
    <w:rsid w:val="0003743B"/>
    <w:rsid w:val="00037621"/>
    <w:rsid w:val="0004362B"/>
    <w:rsid w:val="0004399C"/>
    <w:rsid w:val="00044D46"/>
    <w:rsid w:val="00045088"/>
    <w:rsid w:val="00045904"/>
    <w:rsid w:val="000464F7"/>
    <w:rsid w:val="0005141D"/>
    <w:rsid w:val="000543C7"/>
    <w:rsid w:val="0006058E"/>
    <w:rsid w:val="00060E02"/>
    <w:rsid w:val="00062B01"/>
    <w:rsid w:val="00062F33"/>
    <w:rsid w:val="00064630"/>
    <w:rsid w:val="00065166"/>
    <w:rsid w:val="00066414"/>
    <w:rsid w:val="00067A88"/>
    <w:rsid w:val="00070B92"/>
    <w:rsid w:val="00073474"/>
    <w:rsid w:val="00076DA8"/>
    <w:rsid w:val="00076FFC"/>
    <w:rsid w:val="00077D49"/>
    <w:rsid w:val="000800ED"/>
    <w:rsid w:val="00082609"/>
    <w:rsid w:val="00083B38"/>
    <w:rsid w:val="00084C2D"/>
    <w:rsid w:val="000851CC"/>
    <w:rsid w:val="000935A3"/>
    <w:rsid w:val="00093BE8"/>
    <w:rsid w:val="000A68ED"/>
    <w:rsid w:val="000B4FEB"/>
    <w:rsid w:val="000B5FF1"/>
    <w:rsid w:val="000B609F"/>
    <w:rsid w:val="000C147F"/>
    <w:rsid w:val="000C380B"/>
    <w:rsid w:val="000C6BB9"/>
    <w:rsid w:val="000D1065"/>
    <w:rsid w:val="000D32A9"/>
    <w:rsid w:val="000D55A8"/>
    <w:rsid w:val="000E3783"/>
    <w:rsid w:val="000E4841"/>
    <w:rsid w:val="000E6325"/>
    <w:rsid w:val="000F1677"/>
    <w:rsid w:val="000F3D6C"/>
    <w:rsid w:val="000F4355"/>
    <w:rsid w:val="000F579C"/>
    <w:rsid w:val="000F67DF"/>
    <w:rsid w:val="00100E8F"/>
    <w:rsid w:val="00101707"/>
    <w:rsid w:val="00101A9E"/>
    <w:rsid w:val="00101CDF"/>
    <w:rsid w:val="00112345"/>
    <w:rsid w:val="00114082"/>
    <w:rsid w:val="0011473D"/>
    <w:rsid w:val="00115C85"/>
    <w:rsid w:val="001202A4"/>
    <w:rsid w:val="0012106B"/>
    <w:rsid w:val="00123855"/>
    <w:rsid w:val="00126A4D"/>
    <w:rsid w:val="00126E19"/>
    <w:rsid w:val="00135C31"/>
    <w:rsid w:val="001374D8"/>
    <w:rsid w:val="00140E0A"/>
    <w:rsid w:val="0014171F"/>
    <w:rsid w:val="0014622C"/>
    <w:rsid w:val="00151F58"/>
    <w:rsid w:val="00152348"/>
    <w:rsid w:val="00152845"/>
    <w:rsid w:val="0015379F"/>
    <w:rsid w:val="0015456D"/>
    <w:rsid w:val="0015549B"/>
    <w:rsid w:val="00155FA2"/>
    <w:rsid w:val="0015645A"/>
    <w:rsid w:val="001578CB"/>
    <w:rsid w:val="00157C1C"/>
    <w:rsid w:val="00161F1B"/>
    <w:rsid w:val="00162829"/>
    <w:rsid w:val="00162D55"/>
    <w:rsid w:val="001672E0"/>
    <w:rsid w:val="00167C32"/>
    <w:rsid w:val="0017257C"/>
    <w:rsid w:val="00172B8F"/>
    <w:rsid w:val="00176079"/>
    <w:rsid w:val="0017652E"/>
    <w:rsid w:val="00180548"/>
    <w:rsid w:val="00180AC4"/>
    <w:rsid w:val="00180CCE"/>
    <w:rsid w:val="00182648"/>
    <w:rsid w:val="0018267A"/>
    <w:rsid w:val="00182779"/>
    <w:rsid w:val="001830DF"/>
    <w:rsid w:val="00185988"/>
    <w:rsid w:val="00190FD2"/>
    <w:rsid w:val="00192B47"/>
    <w:rsid w:val="00193DCC"/>
    <w:rsid w:val="001966D9"/>
    <w:rsid w:val="001A21F6"/>
    <w:rsid w:val="001A24E7"/>
    <w:rsid w:val="001A2B78"/>
    <w:rsid w:val="001A2D4C"/>
    <w:rsid w:val="001A7E9A"/>
    <w:rsid w:val="001B0F70"/>
    <w:rsid w:val="001B5016"/>
    <w:rsid w:val="001B6386"/>
    <w:rsid w:val="001C0188"/>
    <w:rsid w:val="001C379E"/>
    <w:rsid w:val="001C45FC"/>
    <w:rsid w:val="001C4FFA"/>
    <w:rsid w:val="001C5E7E"/>
    <w:rsid w:val="001D02C5"/>
    <w:rsid w:val="001D4862"/>
    <w:rsid w:val="001D547B"/>
    <w:rsid w:val="001D57B4"/>
    <w:rsid w:val="001E25B9"/>
    <w:rsid w:val="001E49E0"/>
    <w:rsid w:val="001E60C3"/>
    <w:rsid w:val="001E7B5A"/>
    <w:rsid w:val="001F51D0"/>
    <w:rsid w:val="001F5897"/>
    <w:rsid w:val="001F7412"/>
    <w:rsid w:val="00200FDD"/>
    <w:rsid w:val="00201874"/>
    <w:rsid w:val="00202133"/>
    <w:rsid w:val="0020264E"/>
    <w:rsid w:val="00202DCC"/>
    <w:rsid w:val="002046D2"/>
    <w:rsid w:val="0020725B"/>
    <w:rsid w:val="002175BA"/>
    <w:rsid w:val="00217D50"/>
    <w:rsid w:val="002202C1"/>
    <w:rsid w:val="0022550E"/>
    <w:rsid w:val="0022599E"/>
    <w:rsid w:val="00227C5E"/>
    <w:rsid w:val="002305E8"/>
    <w:rsid w:val="0023198D"/>
    <w:rsid w:val="0023317E"/>
    <w:rsid w:val="00234F2C"/>
    <w:rsid w:val="00240B0E"/>
    <w:rsid w:val="0024116D"/>
    <w:rsid w:val="00241B44"/>
    <w:rsid w:val="00245EFB"/>
    <w:rsid w:val="00247E5B"/>
    <w:rsid w:val="00250E19"/>
    <w:rsid w:val="0025386E"/>
    <w:rsid w:val="002539D7"/>
    <w:rsid w:val="00254DE6"/>
    <w:rsid w:val="00255145"/>
    <w:rsid w:val="00257437"/>
    <w:rsid w:val="00260129"/>
    <w:rsid w:val="002638B0"/>
    <w:rsid w:val="00264FFF"/>
    <w:rsid w:val="002650D7"/>
    <w:rsid w:val="002654E8"/>
    <w:rsid w:val="0026647A"/>
    <w:rsid w:val="002668D3"/>
    <w:rsid w:val="002675BE"/>
    <w:rsid w:val="00270A9E"/>
    <w:rsid w:val="0027299F"/>
    <w:rsid w:val="002749BA"/>
    <w:rsid w:val="00276913"/>
    <w:rsid w:val="0028135B"/>
    <w:rsid w:val="00281365"/>
    <w:rsid w:val="00282480"/>
    <w:rsid w:val="0028440F"/>
    <w:rsid w:val="00284D31"/>
    <w:rsid w:val="00284EBE"/>
    <w:rsid w:val="0029068D"/>
    <w:rsid w:val="0029433F"/>
    <w:rsid w:val="00294829"/>
    <w:rsid w:val="00294F3B"/>
    <w:rsid w:val="0029690F"/>
    <w:rsid w:val="002A1EEC"/>
    <w:rsid w:val="002A29FB"/>
    <w:rsid w:val="002A2A60"/>
    <w:rsid w:val="002A793B"/>
    <w:rsid w:val="002B1861"/>
    <w:rsid w:val="002B1C45"/>
    <w:rsid w:val="002C13C8"/>
    <w:rsid w:val="002C1AC8"/>
    <w:rsid w:val="002C3547"/>
    <w:rsid w:val="002C6FAD"/>
    <w:rsid w:val="002D0021"/>
    <w:rsid w:val="002D18C0"/>
    <w:rsid w:val="002D1CFD"/>
    <w:rsid w:val="002D3473"/>
    <w:rsid w:val="002D5C95"/>
    <w:rsid w:val="002E00F8"/>
    <w:rsid w:val="002E1BB5"/>
    <w:rsid w:val="002E2322"/>
    <w:rsid w:val="002E38E2"/>
    <w:rsid w:val="002F1956"/>
    <w:rsid w:val="002F3440"/>
    <w:rsid w:val="002F4EC0"/>
    <w:rsid w:val="002F5AC9"/>
    <w:rsid w:val="002F71BE"/>
    <w:rsid w:val="002F75A3"/>
    <w:rsid w:val="002F78CA"/>
    <w:rsid w:val="002F7A36"/>
    <w:rsid w:val="00303C2F"/>
    <w:rsid w:val="003071DA"/>
    <w:rsid w:val="00312911"/>
    <w:rsid w:val="003144EF"/>
    <w:rsid w:val="003148CA"/>
    <w:rsid w:val="00315506"/>
    <w:rsid w:val="003220BA"/>
    <w:rsid w:val="00322793"/>
    <w:rsid w:val="00322F3B"/>
    <w:rsid w:val="00323940"/>
    <w:rsid w:val="00326292"/>
    <w:rsid w:val="00326415"/>
    <w:rsid w:val="00330937"/>
    <w:rsid w:val="00330F31"/>
    <w:rsid w:val="0033442A"/>
    <w:rsid w:val="00334648"/>
    <w:rsid w:val="003355AF"/>
    <w:rsid w:val="0033768C"/>
    <w:rsid w:val="00337938"/>
    <w:rsid w:val="00337C56"/>
    <w:rsid w:val="00340769"/>
    <w:rsid w:val="00341AA6"/>
    <w:rsid w:val="00342135"/>
    <w:rsid w:val="00342459"/>
    <w:rsid w:val="003427B9"/>
    <w:rsid w:val="00346B16"/>
    <w:rsid w:val="003502F3"/>
    <w:rsid w:val="00361A0A"/>
    <w:rsid w:val="003650F8"/>
    <w:rsid w:val="0036565C"/>
    <w:rsid w:val="0036625E"/>
    <w:rsid w:val="0036760B"/>
    <w:rsid w:val="00373E4F"/>
    <w:rsid w:val="0037465A"/>
    <w:rsid w:val="0037544E"/>
    <w:rsid w:val="0038010E"/>
    <w:rsid w:val="00380BAB"/>
    <w:rsid w:val="003821AB"/>
    <w:rsid w:val="00382C98"/>
    <w:rsid w:val="0038533C"/>
    <w:rsid w:val="00386568"/>
    <w:rsid w:val="00387106"/>
    <w:rsid w:val="00391F3E"/>
    <w:rsid w:val="00392E80"/>
    <w:rsid w:val="003948D5"/>
    <w:rsid w:val="003963D4"/>
    <w:rsid w:val="00396821"/>
    <w:rsid w:val="00397D3A"/>
    <w:rsid w:val="003A051E"/>
    <w:rsid w:val="003A2FEE"/>
    <w:rsid w:val="003A30D0"/>
    <w:rsid w:val="003B1310"/>
    <w:rsid w:val="003B170F"/>
    <w:rsid w:val="003B3C5F"/>
    <w:rsid w:val="003C01E3"/>
    <w:rsid w:val="003C089D"/>
    <w:rsid w:val="003C4471"/>
    <w:rsid w:val="003C66B1"/>
    <w:rsid w:val="003C735B"/>
    <w:rsid w:val="003D0A6D"/>
    <w:rsid w:val="003E0B16"/>
    <w:rsid w:val="003E4359"/>
    <w:rsid w:val="003E67D1"/>
    <w:rsid w:val="003F5C02"/>
    <w:rsid w:val="00405DC1"/>
    <w:rsid w:val="0040655B"/>
    <w:rsid w:val="00406E2C"/>
    <w:rsid w:val="0040710D"/>
    <w:rsid w:val="0041139B"/>
    <w:rsid w:val="004131AC"/>
    <w:rsid w:val="004137C3"/>
    <w:rsid w:val="00413D3A"/>
    <w:rsid w:val="00414B32"/>
    <w:rsid w:val="00415F1F"/>
    <w:rsid w:val="00417B0F"/>
    <w:rsid w:val="0042108F"/>
    <w:rsid w:val="00422242"/>
    <w:rsid w:val="00424C0C"/>
    <w:rsid w:val="00424D07"/>
    <w:rsid w:val="00430FED"/>
    <w:rsid w:val="004320F9"/>
    <w:rsid w:val="00432179"/>
    <w:rsid w:val="004337C3"/>
    <w:rsid w:val="00434292"/>
    <w:rsid w:val="00434A8C"/>
    <w:rsid w:val="00435583"/>
    <w:rsid w:val="00436884"/>
    <w:rsid w:val="00437297"/>
    <w:rsid w:val="00443403"/>
    <w:rsid w:val="00444284"/>
    <w:rsid w:val="00445CE6"/>
    <w:rsid w:val="00447FE6"/>
    <w:rsid w:val="004534C2"/>
    <w:rsid w:val="0045446F"/>
    <w:rsid w:val="004551B5"/>
    <w:rsid w:val="0045683E"/>
    <w:rsid w:val="00461D78"/>
    <w:rsid w:val="0047025B"/>
    <w:rsid w:val="00475E94"/>
    <w:rsid w:val="004770AB"/>
    <w:rsid w:val="0048371F"/>
    <w:rsid w:val="00485F36"/>
    <w:rsid w:val="00491675"/>
    <w:rsid w:val="00493855"/>
    <w:rsid w:val="00493977"/>
    <w:rsid w:val="0049465D"/>
    <w:rsid w:val="00494A75"/>
    <w:rsid w:val="0049508F"/>
    <w:rsid w:val="004A171E"/>
    <w:rsid w:val="004A57DD"/>
    <w:rsid w:val="004A7B51"/>
    <w:rsid w:val="004A7D71"/>
    <w:rsid w:val="004A7EF3"/>
    <w:rsid w:val="004B11FD"/>
    <w:rsid w:val="004B23A2"/>
    <w:rsid w:val="004B4E17"/>
    <w:rsid w:val="004C4E97"/>
    <w:rsid w:val="004C67F8"/>
    <w:rsid w:val="004D0F66"/>
    <w:rsid w:val="004D1A5A"/>
    <w:rsid w:val="004D2FFF"/>
    <w:rsid w:val="004D3721"/>
    <w:rsid w:val="004D64F9"/>
    <w:rsid w:val="004E0549"/>
    <w:rsid w:val="004E1674"/>
    <w:rsid w:val="004E2E92"/>
    <w:rsid w:val="004E30B0"/>
    <w:rsid w:val="004E4BAF"/>
    <w:rsid w:val="004E622C"/>
    <w:rsid w:val="004F2741"/>
    <w:rsid w:val="004F5FDF"/>
    <w:rsid w:val="0050157D"/>
    <w:rsid w:val="00506803"/>
    <w:rsid w:val="0050682B"/>
    <w:rsid w:val="00507AAC"/>
    <w:rsid w:val="005177FE"/>
    <w:rsid w:val="0052263B"/>
    <w:rsid w:val="00524728"/>
    <w:rsid w:val="00527673"/>
    <w:rsid w:val="00530003"/>
    <w:rsid w:val="00530E88"/>
    <w:rsid w:val="005331CA"/>
    <w:rsid w:val="0053353F"/>
    <w:rsid w:val="00533739"/>
    <w:rsid w:val="00537970"/>
    <w:rsid w:val="00540B44"/>
    <w:rsid w:val="00540E3A"/>
    <w:rsid w:val="00541DD4"/>
    <w:rsid w:val="00544069"/>
    <w:rsid w:val="00544127"/>
    <w:rsid w:val="00544273"/>
    <w:rsid w:val="005463A9"/>
    <w:rsid w:val="00547993"/>
    <w:rsid w:val="00553EB2"/>
    <w:rsid w:val="00556518"/>
    <w:rsid w:val="00556777"/>
    <w:rsid w:val="0055688E"/>
    <w:rsid w:val="00560534"/>
    <w:rsid w:val="0056391B"/>
    <w:rsid w:val="005650E2"/>
    <w:rsid w:val="00565292"/>
    <w:rsid w:val="0056535A"/>
    <w:rsid w:val="00565DEE"/>
    <w:rsid w:val="00566684"/>
    <w:rsid w:val="00567AD7"/>
    <w:rsid w:val="00567F31"/>
    <w:rsid w:val="00573E73"/>
    <w:rsid w:val="00575B2D"/>
    <w:rsid w:val="005830FC"/>
    <w:rsid w:val="005833D0"/>
    <w:rsid w:val="005846F3"/>
    <w:rsid w:val="00585DC3"/>
    <w:rsid w:val="0058622F"/>
    <w:rsid w:val="005864BD"/>
    <w:rsid w:val="00587461"/>
    <w:rsid w:val="00587BE9"/>
    <w:rsid w:val="00587E2D"/>
    <w:rsid w:val="00590023"/>
    <w:rsid w:val="00592F82"/>
    <w:rsid w:val="00594289"/>
    <w:rsid w:val="00594AC8"/>
    <w:rsid w:val="005964F5"/>
    <w:rsid w:val="005973EB"/>
    <w:rsid w:val="005A0CCA"/>
    <w:rsid w:val="005A66DC"/>
    <w:rsid w:val="005A726D"/>
    <w:rsid w:val="005B67AC"/>
    <w:rsid w:val="005C1399"/>
    <w:rsid w:val="005C2C94"/>
    <w:rsid w:val="005C347D"/>
    <w:rsid w:val="005C36BC"/>
    <w:rsid w:val="005C4865"/>
    <w:rsid w:val="005D43E0"/>
    <w:rsid w:val="005D58A3"/>
    <w:rsid w:val="005E1B79"/>
    <w:rsid w:val="005E5B38"/>
    <w:rsid w:val="005E5C28"/>
    <w:rsid w:val="005F026D"/>
    <w:rsid w:val="005F21F4"/>
    <w:rsid w:val="005F2D0B"/>
    <w:rsid w:val="005F442B"/>
    <w:rsid w:val="005F4B31"/>
    <w:rsid w:val="00610388"/>
    <w:rsid w:val="00612CA5"/>
    <w:rsid w:val="006153EC"/>
    <w:rsid w:val="00621A17"/>
    <w:rsid w:val="00621E48"/>
    <w:rsid w:val="00622586"/>
    <w:rsid w:val="00622920"/>
    <w:rsid w:val="00622C2B"/>
    <w:rsid w:val="00622DCB"/>
    <w:rsid w:val="0062324F"/>
    <w:rsid w:val="00624890"/>
    <w:rsid w:val="00627CC9"/>
    <w:rsid w:val="00627E7B"/>
    <w:rsid w:val="00627F07"/>
    <w:rsid w:val="00630542"/>
    <w:rsid w:val="00632E44"/>
    <w:rsid w:val="00634622"/>
    <w:rsid w:val="00635CB6"/>
    <w:rsid w:val="00636808"/>
    <w:rsid w:val="00641002"/>
    <w:rsid w:val="00641515"/>
    <w:rsid w:val="00644AAC"/>
    <w:rsid w:val="006479D0"/>
    <w:rsid w:val="00651AE3"/>
    <w:rsid w:val="0065253B"/>
    <w:rsid w:val="00654C2F"/>
    <w:rsid w:val="00657087"/>
    <w:rsid w:val="0066252C"/>
    <w:rsid w:val="006627C2"/>
    <w:rsid w:val="00665EAA"/>
    <w:rsid w:val="006661EF"/>
    <w:rsid w:val="00670DEB"/>
    <w:rsid w:val="006712F4"/>
    <w:rsid w:val="0067294B"/>
    <w:rsid w:val="006756F6"/>
    <w:rsid w:val="00675BA4"/>
    <w:rsid w:val="00677736"/>
    <w:rsid w:val="0067785F"/>
    <w:rsid w:val="00677AEB"/>
    <w:rsid w:val="00677C88"/>
    <w:rsid w:val="00680EF2"/>
    <w:rsid w:val="006839C2"/>
    <w:rsid w:val="006848AB"/>
    <w:rsid w:val="00687A1D"/>
    <w:rsid w:val="006920CC"/>
    <w:rsid w:val="00692AB2"/>
    <w:rsid w:val="00692C8D"/>
    <w:rsid w:val="0069647C"/>
    <w:rsid w:val="00697EA1"/>
    <w:rsid w:val="006A0D14"/>
    <w:rsid w:val="006A1850"/>
    <w:rsid w:val="006A2646"/>
    <w:rsid w:val="006A3DF0"/>
    <w:rsid w:val="006A6530"/>
    <w:rsid w:val="006B435A"/>
    <w:rsid w:val="006B4C64"/>
    <w:rsid w:val="006B4FFC"/>
    <w:rsid w:val="006B7659"/>
    <w:rsid w:val="006D0E6E"/>
    <w:rsid w:val="006D62DC"/>
    <w:rsid w:val="006D6BD5"/>
    <w:rsid w:val="006E481A"/>
    <w:rsid w:val="006E5298"/>
    <w:rsid w:val="006F2CE3"/>
    <w:rsid w:val="006F4B72"/>
    <w:rsid w:val="006F734A"/>
    <w:rsid w:val="00700D83"/>
    <w:rsid w:val="00703819"/>
    <w:rsid w:val="00704852"/>
    <w:rsid w:val="00706297"/>
    <w:rsid w:val="00706AD5"/>
    <w:rsid w:val="007074E9"/>
    <w:rsid w:val="00707FC8"/>
    <w:rsid w:val="00713DA4"/>
    <w:rsid w:val="00714BF1"/>
    <w:rsid w:val="0071631A"/>
    <w:rsid w:val="00717343"/>
    <w:rsid w:val="00721383"/>
    <w:rsid w:val="0072554C"/>
    <w:rsid w:val="00725911"/>
    <w:rsid w:val="00731DBD"/>
    <w:rsid w:val="007333CC"/>
    <w:rsid w:val="0073399A"/>
    <w:rsid w:val="00750DE7"/>
    <w:rsid w:val="00751B98"/>
    <w:rsid w:val="00751F66"/>
    <w:rsid w:val="007603F5"/>
    <w:rsid w:val="00764DB0"/>
    <w:rsid w:val="0076563B"/>
    <w:rsid w:val="00766F8A"/>
    <w:rsid w:val="0076764D"/>
    <w:rsid w:val="007705A0"/>
    <w:rsid w:val="007727E4"/>
    <w:rsid w:val="0077498C"/>
    <w:rsid w:val="00774CE7"/>
    <w:rsid w:val="00777183"/>
    <w:rsid w:val="00783DD4"/>
    <w:rsid w:val="00784128"/>
    <w:rsid w:val="00784B4B"/>
    <w:rsid w:val="007854ED"/>
    <w:rsid w:val="00790446"/>
    <w:rsid w:val="007926F7"/>
    <w:rsid w:val="00792D47"/>
    <w:rsid w:val="00793173"/>
    <w:rsid w:val="00797403"/>
    <w:rsid w:val="007B399A"/>
    <w:rsid w:val="007B3AC7"/>
    <w:rsid w:val="007B497A"/>
    <w:rsid w:val="007C1FCC"/>
    <w:rsid w:val="007C32A8"/>
    <w:rsid w:val="007C3FE5"/>
    <w:rsid w:val="007C4EA2"/>
    <w:rsid w:val="007C6201"/>
    <w:rsid w:val="007C6988"/>
    <w:rsid w:val="007D2306"/>
    <w:rsid w:val="007D28A1"/>
    <w:rsid w:val="007D6ED5"/>
    <w:rsid w:val="007D7C92"/>
    <w:rsid w:val="007E1154"/>
    <w:rsid w:val="007E6BA4"/>
    <w:rsid w:val="007E7678"/>
    <w:rsid w:val="007F2626"/>
    <w:rsid w:val="007F41F8"/>
    <w:rsid w:val="007F5982"/>
    <w:rsid w:val="007F60D0"/>
    <w:rsid w:val="007F74F1"/>
    <w:rsid w:val="00800C36"/>
    <w:rsid w:val="008011C8"/>
    <w:rsid w:val="00803CCA"/>
    <w:rsid w:val="0080454E"/>
    <w:rsid w:val="00804C32"/>
    <w:rsid w:val="00806302"/>
    <w:rsid w:val="00807119"/>
    <w:rsid w:val="00812041"/>
    <w:rsid w:val="00812AFE"/>
    <w:rsid w:val="00817D57"/>
    <w:rsid w:val="00822764"/>
    <w:rsid w:val="008241C4"/>
    <w:rsid w:val="0082483F"/>
    <w:rsid w:val="008264CB"/>
    <w:rsid w:val="008279C0"/>
    <w:rsid w:val="00831244"/>
    <w:rsid w:val="00835FD1"/>
    <w:rsid w:val="0083659D"/>
    <w:rsid w:val="00845F8E"/>
    <w:rsid w:val="008460D2"/>
    <w:rsid w:val="0084683C"/>
    <w:rsid w:val="008512FA"/>
    <w:rsid w:val="00853A74"/>
    <w:rsid w:val="008555B1"/>
    <w:rsid w:val="00857763"/>
    <w:rsid w:val="00860E0C"/>
    <w:rsid w:val="00860E61"/>
    <w:rsid w:val="008671E3"/>
    <w:rsid w:val="00867A8F"/>
    <w:rsid w:val="008723F3"/>
    <w:rsid w:val="0087776E"/>
    <w:rsid w:val="00881DE6"/>
    <w:rsid w:val="008837A6"/>
    <w:rsid w:val="0089145D"/>
    <w:rsid w:val="008933B6"/>
    <w:rsid w:val="00893A03"/>
    <w:rsid w:val="008A0C6E"/>
    <w:rsid w:val="008A46CF"/>
    <w:rsid w:val="008A4DF2"/>
    <w:rsid w:val="008A6CFE"/>
    <w:rsid w:val="008A7470"/>
    <w:rsid w:val="008B1A08"/>
    <w:rsid w:val="008B2C90"/>
    <w:rsid w:val="008B2DE3"/>
    <w:rsid w:val="008B5333"/>
    <w:rsid w:val="008B6223"/>
    <w:rsid w:val="008C66E0"/>
    <w:rsid w:val="008D25C9"/>
    <w:rsid w:val="008D503F"/>
    <w:rsid w:val="008E2C25"/>
    <w:rsid w:val="008E2DFA"/>
    <w:rsid w:val="008E3339"/>
    <w:rsid w:val="008E549B"/>
    <w:rsid w:val="008F18EF"/>
    <w:rsid w:val="008F20FC"/>
    <w:rsid w:val="008F2B24"/>
    <w:rsid w:val="008F5FFE"/>
    <w:rsid w:val="00901767"/>
    <w:rsid w:val="00902D3E"/>
    <w:rsid w:val="0090421A"/>
    <w:rsid w:val="00905A43"/>
    <w:rsid w:val="00905EAE"/>
    <w:rsid w:val="00907DC2"/>
    <w:rsid w:val="00912C79"/>
    <w:rsid w:val="0091343D"/>
    <w:rsid w:val="00914ED5"/>
    <w:rsid w:val="009155B3"/>
    <w:rsid w:val="00924859"/>
    <w:rsid w:val="009260A2"/>
    <w:rsid w:val="0093101C"/>
    <w:rsid w:val="00931C1E"/>
    <w:rsid w:val="009321C6"/>
    <w:rsid w:val="009344C1"/>
    <w:rsid w:val="00942123"/>
    <w:rsid w:val="00943762"/>
    <w:rsid w:val="00951031"/>
    <w:rsid w:val="0095207B"/>
    <w:rsid w:val="00954461"/>
    <w:rsid w:val="00956085"/>
    <w:rsid w:val="00957951"/>
    <w:rsid w:val="00957F37"/>
    <w:rsid w:val="00962045"/>
    <w:rsid w:val="00967EDA"/>
    <w:rsid w:val="00970897"/>
    <w:rsid w:val="00972506"/>
    <w:rsid w:val="0097337E"/>
    <w:rsid w:val="00980314"/>
    <w:rsid w:val="009816D0"/>
    <w:rsid w:val="009819E8"/>
    <w:rsid w:val="009912A0"/>
    <w:rsid w:val="00991428"/>
    <w:rsid w:val="00991973"/>
    <w:rsid w:val="00992676"/>
    <w:rsid w:val="00996691"/>
    <w:rsid w:val="009A10B4"/>
    <w:rsid w:val="009A1CFC"/>
    <w:rsid w:val="009A4880"/>
    <w:rsid w:val="009A58D1"/>
    <w:rsid w:val="009A6000"/>
    <w:rsid w:val="009A7865"/>
    <w:rsid w:val="009B02CC"/>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74F0"/>
    <w:rsid w:val="009E1256"/>
    <w:rsid w:val="009E2AEB"/>
    <w:rsid w:val="009E2E27"/>
    <w:rsid w:val="009E3CA7"/>
    <w:rsid w:val="009E4DC1"/>
    <w:rsid w:val="009E4DE3"/>
    <w:rsid w:val="009F7915"/>
    <w:rsid w:val="00A035E3"/>
    <w:rsid w:val="00A047EE"/>
    <w:rsid w:val="00A1046D"/>
    <w:rsid w:val="00A114EA"/>
    <w:rsid w:val="00A11B44"/>
    <w:rsid w:val="00A127B4"/>
    <w:rsid w:val="00A153F7"/>
    <w:rsid w:val="00A2274A"/>
    <w:rsid w:val="00A235B7"/>
    <w:rsid w:val="00A24E59"/>
    <w:rsid w:val="00A27A7A"/>
    <w:rsid w:val="00A27AE0"/>
    <w:rsid w:val="00A323B3"/>
    <w:rsid w:val="00A407EF"/>
    <w:rsid w:val="00A41199"/>
    <w:rsid w:val="00A46B4C"/>
    <w:rsid w:val="00A50A96"/>
    <w:rsid w:val="00A5117B"/>
    <w:rsid w:val="00A53F75"/>
    <w:rsid w:val="00A54000"/>
    <w:rsid w:val="00A54689"/>
    <w:rsid w:val="00A553E1"/>
    <w:rsid w:val="00A60074"/>
    <w:rsid w:val="00A60ED5"/>
    <w:rsid w:val="00A623E6"/>
    <w:rsid w:val="00A6627C"/>
    <w:rsid w:val="00A6649C"/>
    <w:rsid w:val="00A70BBC"/>
    <w:rsid w:val="00A71019"/>
    <w:rsid w:val="00A7154E"/>
    <w:rsid w:val="00A81029"/>
    <w:rsid w:val="00A83CB5"/>
    <w:rsid w:val="00A865A7"/>
    <w:rsid w:val="00A86879"/>
    <w:rsid w:val="00A96489"/>
    <w:rsid w:val="00A97ECB"/>
    <w:rsid w:val="00AA3676"/>
    <w:rsid w:val="00AA3A42"/>
    <w:rsid w:val="00AA4D73"/>
    <w:rsid w:val="00AA5311"/>
    <w:rsid w:val="00AA7ABF"/>
    <w:rsid w:val="00AA7BAA"/>
    <w:rsid w:val="00AB54F1"/>
    <w:rsid w:val="00AB685C"/>
    <w:rsid w:val="00AB6C2D"/>
    <w:rsid w:val="00AC08F7"/>
    <w:rsid w:val="00AC3839"/>
    <w:rsid w:val="00AC3C95"/>
    <w:rsid w:val="00AC7082"/>
    <w:rsid w:val="00AD0E59"/>
    <w:rsid w:val="00AD2336"/>
    <w:rsid w:val="00AD3FEA"/>
    <w:rsid w:val="00AD4E6C"/>
    <w:rsid w:val="00AD52CE"/>
    <w:rsid w:val="00AD7BBD"/>
    <w:rsid w:val="00AE3084"/>
    <w:rsid w:val="00AF228E"/>
    <w:rsid w:val="00AF302B"/>
    <w:rsid w:val="00B02FFA"/>
    <w:rsid w:val="00B04137"/>
    <w:rsid w:val="00B055C1"/>
    <w:rsid w:val="00B1112C"/>
    <w:rsid w:val="00B11D19"/>
    <w:rsid w:val="00B127A4"/>
    <w:rsid w:val="00B12936"/>
    <w:rsid w:val="00B12C2D"/>
    <w:rsid w:val="00B14819"/>
    <w:rsid w:val="00B15031"/>
    <w:rsid w:val="00B17AA9"/>
    <w:rsid w:val="00B22065"/>
    <w:rsid w:val="00B2526A"/>
    <w:rsid w:val="00B263D0"/>
    <w:rsid w:val="00B306A4"/>
    <w:rsid w:val="00B32DE4"/>
    <w:rsid w:val="00B33578"/>
    <w:rsid w:val="00B35355"/>
    <w:rsid w:val="00B358C1"/>
    <w:rsid w:val="00B370C3"/>
    <w:rsid w:val="00B411AE"/>
    <w:rsid w:val="00B413F5"/>
    <w:rsid w:val="00B457BF"/>
    <w:rsid w:val="00B46CE2"/>
    <w:rsid w:val="00B51B50"/>
    <w:rsid w:val="00B60190"/>
    <w:rsid w:val="00B61419"/>
    <w:rsid w:val="00B66441"/>
    <w:rsid w:val="00B72F5F"/>
    <w:rsid w:val="00B736DF"/>
    <w:rsid w:val="00B74FBD"/>
    <w:rsid w:val="00B77352"/>
    <w:rsid w:val="00B82586"/>
    <w:rsid w:val="00B829A3"/>
    <w:rsid w:val="00B857CE"/>
    <w:rsid w:val="00B86DB1"/>
    <w:rsid w:val="00B87869"/>
    <w:rsid w:val="00B953BD"/>
    <w:rsid w:val="00BA0E44"/>
    <w:rsid w:val="00BA2AAE"/>
    <w:rsid w:val="00BA47C5"/>
    <w:rsid w:val="00BA6679"/>
    <w:rsid w:val="00BA7365"/>
    <w:rsid w:val="00BA7FF9"/>
    <w:rsid w:val="00BB0F2B"/>
    <w:rsid w:val="00BC6DC6"/>
    <w:rsid w:val="00BD0D57"/>
    <w:rsid w:val="00BD3991"/>
    <w:rsid w:val="00BE1A50"/>
    <w:rsid w:val="00BE1C1F"/>
    <w:rsid w:val="00BE4A38"/>
    <w:rsid w:val="00BF50F7"/>
    <w:rsid w:val="00C00111"/>
    <w:rsid w:val="00C01BA4"/>
    <w:rsid w:val="00C02F29"/>
    <w:rsid w:val="00C05FA9"/>
    <w:rsid w:val="00C10C13"/>
    <w:rsid w:val="00C17111"/>
    <w:rsid w:val="00C20747"/>
    <w:rsid w:val="00C20AFE"/>
    <w:rsid w:val="00C22A25"/>
    <w:rsid w:val="00C23B79"/>
    <w:rsid w:val="00C24B78"/>
    <w:rsid w:val="00C33D50"/>
    <w:rsid w:val="00C34803"/>
    <w:rsid w:val="00C35671"/>
    <w:rsid w:val="00C3582F"/>
    <w:rsid w:val="00C35B77"/>
    <w:rsid w:val="00C370D3"/>
    <w:rsid w:val="00C376EB"/>
    <w:rsid w:val="00C4003A"/>
    <w:rsid w:val="00C43D38"/>
    <w:rsid w:val="00C4510C"/>
    <w:rsid w:val="00C46EC1"/>
    <w:rsid w:val="00C504E5"/>
    <w:rsid w:val="00C532D0"/>
    <w:rsid w:val="00C53E2C"/>
    <w:rsid w:val="00C550C8"/>
    <w:rsid w:val="00C56B61"/>
    <w:rsid w:val="00C606C3"/>
    <w:rsid w:val="00C620F4"/>
    <w:rsid w:val="00C63033"/>
    <w:rsid w:val="00C65814"/>
    <w:rsid w:val="00C668B6"/>
    <w:rsid w:val="00C67ECE"/>
    <w:rsid w:val="00C70AEA"/>
    <w:rsid w:val="00C7161B"/>
    <w:rsid w:val="00C72848"/>
    <w:rsid w:val="00C75F86"/>
    <w:rsid w:val="00C7736C"/>
    <w:rsid w:val="00C82D87"/>
    <w:rsid w:val="00C841ED"/>
    <w:rsid w:val="00C85F17"/>
    <w:rsid w:val="00C8712A"/>
    <w:rsid w:val="00C91324"/>
    <w:rsid w:val="00C914F7"/>
    <w:rsid w:val="00C951AE"/>
    <w:rsid w:val="00C95A9E"/>
    <w:rsid w:val="00C963D3"/>
    <w:rsid w:val="00CA6E0D"/>
    <w:rsid w:val="00CA70A6"/>
    <w:rsid w:val="00CB0C30"/>
    <w:rsid w:val="00CB26BB"/>
    <w:rsid w:val="00CB2CBB"/>
    <w:rsid w:val="00CB56CE"/>
    <w:rsid w:val="00CB7CAC"/>
    <w:rsid w:val="00CC0EA0"/>
    <w:rsid w:val="00CC36DE"/>
    <w:rsid w:val="00CC5335"/>
    <w:rsid w:val="00CC5BA4"/>
    <w:rsid w:val="00CC70BB"/>
    <w:rsid w:val="00CD3420"/>
    <w:rsid w:val="00CD4998"/>
    <w:rsid w:val="00CE1035"/>
    <w:rsid w:val="00CE2A6A"/>
    <w:rsid w:val="00CE6206"/>
    <w:rsid w:val="00CE659C"/>
    <w:rsid w:val="00CF2819"/>
    <w:rsid w:val="00CF2DFC"/>
    <w:rsid w:val="00CF4F9D"/>
    <w:rsid w:val="00CF70DC"/>
    <w:rsid w:val="00D11E05"/>
    <w:rsid w:val="00D12817"/>
    <w:rsid w:val="00D148DC"/>
    <w:rsid w:val="00D17FDC"/>
    <w:rsid w:val="00D21881"/>
    <w:rsid w:val="00D2751C"/>
    <w:rsid w:val="00D444C5"/>
    <w:rsid w:val="00D45AEA"/>
    <w:rsid w:val="00D47190"/>
    <w:rsid w:val="00D5244F"/>
    <w:rsid w:val="00D52E4F"/>
    <w:rsid w:val="00D56A37"/>
    <w:rsid w:val="00D57202"/>
    <w:rsid w:val="00D6386E"/>
    <w:rsid w:val="00D63EFD"/>
    <w:rsid w:val="00D64826"/>
    <w:rsid w:val="00D7080A"/>
    <w:rsid w:val="00D7312B"/>
    <w:rsid w:val="00D80DF2"/>
    <w:rsid w:val="00D81CF5"/>
    <w:rsid w:val="00D83A89"/>
    <w:rsid w:val="00D84150"/>
    <w:rsid w:val="00D84752"/>
    <w:rsid w:val="00D85AB0"/>
    <w:rsid w:val="00D868EF"/>
    <w:rsid w:val="00D86B3B"/>
    <w:rsid w:val="00D8748A"/>
    <w:rsid w:val="00D93196"/>
    <w:rsid w:val="00D94A4D"/>
    <w:rsid w:val="00D97A93"/>
    <w:rsid w:val="00DA0186"/>
    <w:rsid w:val="00DA1083"/>
    <w:rsid w:val="00DA218D"/>
    <w:rsid w:val="00DA26C8"/>
    <w:rsid w:val="00DA4B58"/>
    <w:rsid w:val="00DA5809"/>
    <w:rsid w:val="00DB243C"/>
    <w:rsid w:val="00DB45DD"/>
    <w:rsid w:val="00DB482A"/>
    <w:rsid w:val="00DB56F2"/>
    <w:rsid w:val="00DB6EF5"/>
    <w:rsid w:val="00DB7855"/>
    <w:rsid w:val="00DC0F54"/>
    <w:rsid w:val="00DC3089"/>
    <w:rsid w:val="00DC4420"/>
    <w:rsid w:val="00DD0802"/>
    <w:rsid w:val="00DD0A50"/>
    <w:rsid w:val="00DD2E11"/>
    <w:rsid w:val="00DD4983"/>
    <w:rsid w:val="00DD50BC"/>
    <w:rsid w:val="00DE03AF"/>
    <w:rsid w:val="00DE121C"/>
    <w:rsid w:val="00DE2A27"/>
    <w:rsid w:val="00DE3705"/>
    <w:rsid w:val="00DE3F5E"/>
    <w:rsid w:val="00DE601B"/>
    <w:rsid w:val="00DE6633"/>
    <w:rsid w:val="00DF75F8"/>
    <w:rsid w:val="00DF7A3A"/>
    <w:rsid w:val="00E00C00"/>
    <w:rsid w:val="00E04A7C"/>
    <w:rsid w:val="00E059FB"/>
    <w:rsid w:val="00E069C4"/>
    <w:rsid w:val="00E07275"/>
    <w:rsid w:val="00E07866"/>
    <w:rsid w:val="00E07C5A"/>
    <w:rsid w:val="00E157E5"/>
    <w:rsid w:val="00E15BA9"/>
    <w:rsid w:val="00E25B22"/>
    <w:rsid w:val="00E2622D"/>
    <w:rsid w:val="00E26E19"/>
    <w:rsid w:val="00E2710A"/>
    <w:rsid w:val="00E27BA7"/>
    <w:rsid w:val="00E27E3C"/>
    <w:rsid w:val="00E31DF3"/>
    <w:rsid w:val="00E32814"/>
    <w:rsid w:val="00E33448"/>
    <w:rsid w:val="00E33486"/>
    <w:rsid w:val="00E34181"/>
    <w:rsid w:val="00E35551"/>
    <w:rsid w:val="00E371F3"/>
    <w:rsid w:val="00E41B0E"/>
    <w:rsid w:val="00E441C4"/>
    <w:rsid w:val="00E450A4"/>
    <w:rsid w:val="00E506BE"/>
    <w:rsid w:val="00E52459"/>
    <w:rsid w:val="00E55547"/>
    <w:rsid w:val="00E57410"/>
    <w:rsid w:val="00E5741B"/>
    <w:rsid w:val="00E6031E"/>
    <w:rsid w:val="00E61C42"/>
    <w:rsid w:val="00E6302B"/>
    <w:rsid w:val="00E6452F"/>
    <w:rsid w:val="00E64619"/>
    <w:rsid w:val="00E64F45"/>
    <w:rsid w:val="00E65DF9"/>
    <w:rsid w:val="00E66956"/>
    <w:rsid w:val="00E6742D"/>
    <w:rsid w:val="00E70371"/>
    <w:rsid w:val="00E71CB0"/>
    <w:rsid w:val="00E73529"/>
    <w:rsid w:val="00E74BBC"/>
    <w:rsid w:val="00E761D2"/>
    <w:rsid w:val="00E7727A"/>
    <w:rsid w:val="00E77C3D"/>
    <w:rsid w:val="00E82E22"/>
    <w:rsid w:val="00E83152"/>
    <w:rsid w:val="00E85024"/>
    <w:rsid w:val="00E850FE"/>
    <w:rsid w:val="00E909F0"/>
    <w:rsid w:val="00E90D47"/>
    <w:rsid w:val="00E93993"/>
    <w:rsid w:val="00E9597C"/>
    <w:rsid w:val="00E965F8"/>
    <w:rsid w:val="00EA0913"/>
    <w:rsid w:val="00EA0A2F"/>
    <w:rsid w:val="00EA69CA"/>
    <w:rsid w:val="00EA6D31"/>
    <w:rsid w:val="00EB146B"/>
    <w:rsid w:val="00EB45AC"/>
    <w:rsid w:val="00EB77C8"/>
    <w:rsid w:val="00EC2AEA"/>
    <w:rsid w:val="00EC6C94"/>
    <w:rsid w:val="00EC747A"/>
    <w:rsid w:val="00EC7B11"/>
    <w:rsid w:val="00EC7F95"/>
    <w:rsid w:val="00ED0BC4"/>
    <w:rsid w:val="00ED3771"/>
    <w:rsid w:val="00ED4AB7"/>
    <w:rsid w:val="00ED6A32"/>
    <w:rsid w:val="00ED7055"/>
    <w:rsid w:val="00EE4971"/>
    <w:rsid w:val="00EE55A9"/>
    <w:rsid w:val="00EE7223"/>
    <w:rsid w:val="00EF090E"/>
    <w:rsid w:val="00EF1D15"/>
    <w:rsid w:val="00EF52CC"/>
    <w:rsid w:val="00F033DA"/>
    <w:rsid w:val="00F035DF"/>
    <w:rsid w:val="00F03CE6"/>
    <w:rsid w:val="00F03FC5"/>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3598"/>
    <w:rsid w:val="00F6523A"/>
    <w:rsid w:val="00F66AFF"/>
    <w:rsid w:val="00F678B2"/>
    <w:rsid w:val="00F71433"/>
    <w:rsid w:val="00F7241A"/>
    <w:rsid w:val="00F76571"/>
    <w:rsid w:val="00F83E76"/>
    <w:rsid w:val="00F87BEA"/>
    <w:rsid w:val="00F90A57"/>
    <w:rsid w:val="00F94595"/>
    <w:rsid w:val="00F95454"/>
    <w:rsid w:val="00F97C5B"/>
    <w:rsid w:val="00FA05D2"/>
    <w:rsid w:val="00FA359A"/>
    <w:rsid w:val="00FA3A76"/>
    <w:rsid w:val="00FA3D50"/>
    <w:rsid w:val="00FA428B"/>
    <w:rsid w:val="00FB009F"/>
    <w:rsid w:val="00FB25B0"/>
    <w:rsid w:val="00FB3BD1"/>
    <w:rsid w:val="00FB408F"/>
    <w:rsid w:val="00FB5906"/>
    <w:rsid w:val="00FB6136"/>
    <w:rsid w:val="00FB65B0"/>
    <w:rsid w:val="00FB6B85"/>
    <w:rsid w:val="00FC1881"/>
    <w:rsid w:val="00FC374A"/>
    <w:rsid w:val="00FC7B47"/>
    <w:rsid w:val="00FD035C"/>
    <w:rsid w:val="00FD1A35"/>
    <w:rsid w:val="00FD1FE6"/>
    <w:rsid w:val="00FD36C5"/>
    <w:rsid w:val="00FD428C"/>
    <w:rsid w:val="00FD4AB4"/>
    <w:rsid w:val="00FD6310"/>
    <w:rsid w:val="00FD7ADD"/>
    <w:rsid w:val="00FD7C7B"/>
    <w:rsid w:val="00FD7FD0"/>
    <w:rsid w:val="00FE1D12"/>
    <w:rsid w:val="00FE2122"/>
    <w:rsid w:val="00FE2A86"/>
    <w:rsid w:val="00FE3E68"/>
    <w:rsid w:val="00FE7F0A"/>
    <w:rsid w:val="00FF296F"/>
    <w:rsid w:val="00FF5E23"/>
    <w:rsid w:val="00FF7578"/>
    <w:rsid w:val="00FF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14</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Setia Law LLC</cp:lastModifiedBy>
  <cp:revision>347</cp:revision>
  <cp:lastPrinted>2019-08-27T05:42:00Z</cp:lastPrinted>
  <dcterms:created xsi:type="dcterms:W3CDTF">2024-02-18T05:16:00Z</dcterms:created>
  <dcterms:modified xsi:type="dcterms:W3CDTF">2024-03-01T01:52:00Z</dcterms:modified>
</cp:coreProperties>
</file>