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1D03DF">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207991" w:rsidRDefault="00B263D0" w:rsidP="001D03DF">
      <w:pPr>
        <w:pStyle w:val="ListParagraph"/>
        <w:numPr>
          <w:ilvl w:val="0"/>
          <w:numId w:val="1"/>
        </w:numPr>
        <w:ind w:left="426" w:hanging="426"/>
        <w:jc w:val="both"/>
        <w:rPr>
          <w:rFonts w:ascii="Avenir Next" w:hAnsi="Avenir Next" w:cs="Arial"/>
          <w:sz w:val="22"/>
          <w:szCs w:val="22"/>
          <w:highlight w:val="yellow"/>
          <w:lang w:val="en-GB"/>
        </w:rPr>
      </w:pPr>
      <w:r w:rsidRPr="00207991">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1D03DF">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1D03D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1D03DF">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1D03D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1D03D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1D03D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1D03DF">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207991" w:rsidRDefault="00AD0E59" w:rsidP="001D03DF">
      <w:pPr>
        <w:pStyle w:val="ListParagraph"/>
        <w:numPr>
          <w:ilvl w:val="0"/>
          <w:numId w:val="10"/>
        </w:numPr>
        <w:ind w:left="426" w:hanging="426"/>
        <w:jc w:val="both"/>
        <w:rPr>
          <w:rFonts w:ascii="Avenir Next" w:hAnsi="Avenir Next" w:cs="Arial"/>
          <w:sz w:val="22"/>
          <w:szCs w:val="22"/>
          <w:highlight w:val="yellow"/>
          <w:lang w:val="en-GB"/>
        </w:rPr>
      </w:pPr>
      <w:r w:rsidRPr="00207991">
        <w:rPr>
          <w:rFonts w:ascii="Avenir Next" w:hAnsi="Avenir Next" w:cs="Arial"/>
          <w:sz w:val="22"/>
          <w:szCs w:val="22"/>
          <w:highlight w:val="yellow"/>
          <w:lang w:val="en-GB"/>
        </w:rPr>
        <w:t>Options (</w:t>
      </w:r>
      <w:proofErr w:type="spellStart"/>
      <w:r w:rsidRPr="00207991">
        <w:rPr>
          <w:rFonts w:ascii="Avenir Next" w:hAnsi="Avenir Next" w:cs="Arial"/>
          <w:sz w:val="22"/>
          <w:szCs w:val="22"/>
          <w:highlight w:val="yellow"/>
          <w:lang w:val="en-GB"/>
        </w:rPr>
        <w:t>i</w:t>
      </w:r>
      <w:proofErr w:type="spellEnd"/>
      <w:r w:rsidRPr="00207991">
        <w:rPr>
          <w:rFonts w:ascii="Avenir Next" w:hAnsi="Avenir Next" w:cs="Arial"/>
          <w:sz w:val="22"/>
          <w:szCs w:val="22"/>
          <w:highlight w:val="yellow"/>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1D03DF">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1D03DF">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1D03DF">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1D03D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1D03D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1D03D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1D03DF">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1D03DF">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1D03DF">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207991" w:rsidRDefault="00893A03" w:rsidP="001D03DF">
      <w:pPr>
        <w:pStyle w:val="ListParagraph"/>
        <w:numPr>
          <w:ilvl w:val="0"/>
          <w:numId w:val="2"/>
        </w:numPr>
        <w:ind w:left="426" w:hanging="426"/>
        <w:jc w:val="both"/>
        <w:rPr>
          <w:rFonts w:ascii="Avenir Next" w:hAnsi="Avenir Next" w:cs="Arial"/>
          <w:sz w:val="22"/>
          <w:szCs w:val="22"/>
          <w:highlight w:val="yellow"/>
          <w:lang w:val="en-GB"/>
        </w:rPr>
      </w:pPr>
      <w:r w:rsidRPr="00207991">
        <w:rPr>
          <w:rFonts w:ascii="Avenir Next" w:hAnsi="Avenir Next" w:cs="Arial"/>
          <w:sz w:val="22"/>
          <w:szCs w:val="22"/>
          <w:highlight w:val="yellow"/>
          <w:lang w:val="en-GB"/>
        </w:rPr>
        <w:t>Options (</w:t>
      </w:r>
      <w:proofErr w:type="spellStart"/>
      <w:r w:rsidRPr="00207991">
        <w:rPr>
          <w:rFonts w:ascii="Avenir Next" w:hAnsi="Avenir Next" w:cs="Arial"/>
          <w:sz w:val="22"/>
          <w:szCs w:val="22"/>
          <w:highlight w:val="yellow"/>
          <w:lang w:val="en-GB"/>
        </w:rPr>
        <w:t>i</w:t>
      </w:r>
      <w:proofErr w:type="spellEnd"/>
      <w:r w:rsidRPr="00207991">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1D03DF">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1D03D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1D03D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1D03D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1D03D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1D03DF">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207991" w:rsidRDefault="00812AFE" w:rsidP="001D03DF">
      <w:pPr>
        <w:pStyle w:val="ListParagraph"/>
        <w:numPr>
          <w:ilvl w:val="0"/>
          <w:numId w:val="3"/>
        </w:numPr>
        <w:ind w:left="426" w:hanging="426"/>
        <w:jc w:val="both"/>
        <w:rPr>
          <w:rFonts w:ascii="Avenir Next" w:hAnsi="Avenir Next" w:cs="Arial"/>
          <w:sz w:val="22"/>
          <w:szCs w:val="22"/>
          <w:highlight w:val="yellow"/>
          <w:lang w:val="en-GB"/>
        </w:rPr>
      </w:pPr>
      <w:r w:rsidRPr="00207991">
        <w:rPr>
          <w:rFonts w:ascii="Avenir Next" w:hAnsi="Avenir Next" w:cs="Arial"/>
          <w:sz w:val="22"/>
          <w:szCs w:val="22"/>
          <w:highlight w:val="yellow"/>
          <w:lang w:val="en-GB"/>
        </w:rPr>
        <w:t>Options (</w:t>
      </w:r>
      <w:proofErr w:type="spellStart"/>
      <w:r w:rsidRPr="00207991">
        <w:rPr>
          <w:rFonts w:ascii="Avenir Next" w:hAnsi="Avenir Next" w:cs="Arial"/>
          <w:sz w:val="22"/>
          <w:szCs w:val="22"/>
          <w:highlight w:val="yellow"/>
          <w:lang w:val="en-GB"/>
        </w:rPr>
        <w:t>i</w:t>
      </w:r>
      <w:proofErr w:type="spellEnd"/>
      <w:r w:rsidRPr="00207991">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1D03DF">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1D03DF">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1D03DF">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1D03D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1D03D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1D03D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1D03D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1D03DF">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1D03D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1D03D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1D03DF">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207991" w:rsidRDefault="003220BA" w:rsidP="001D03DF">
      <w:pPr>
        <w:pStyle w:val="ListParagraph"/>
        <w:numPr>
          <w:ilvl w:val="0"/>
          <w:numId w:val="4"/>
        </w:numPr>
        <w:ind w:left="426" w:hanging="426"/>
        <w:jc w:val="both"/>
        <w:rPr>
          <w:rFonts w:ascii="Avenir Next" w:hAnsi="Avenir Next" w:cs="Arial"/>
          <w:sz w:val="22"/>
          <w:szCs w:val="22"/>
          <w:highlight w:val="yellow"/>
          <w:lang w:val="en-GB"/>
        </w:rPr>
      </w:pPr>
      <w:r w:rsidRPr="00207991">
        <w:rPr>
          <w:rFonts w:ascii="Avenir Next" w:hAnsi="Avenir Next" w:cs="Arial"/>
          <w:sz w:val="22"/>
          <w:szCs w:val="22"/>
          <w:highlight w:val="yellow"/>
          <w:lang w:val="en-GB"/>
        </w:rPr>
        <w:t>Options (</w:t>
      </w:r>
      <w:proofErr w:type="spellStart"/>
      <w:r w:rsidRPr="00207991">
        <w:rPr>
          <w:rFonts w:ascii="Avenir Next" w:hAnsi="Avenir Next" w:cs="Arial"/>
          <w:sz w:val="22"/>
          <w:szCs w:val="22"/>
          <w:highlight w:val="yellow"/>
          <w:lang w:val="en-GB"/>
        </w:rPr>
        <w:t>i</w:t>
      </w:r>
      <w:proofErr w:type="spellEnd"/>
      <w:r w:rsidRPr="00207991">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1D03D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1D03D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1D03DF">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1D03DF">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207991" w:rsidRDefault="009344C1" w:rsidP="001D03DF">
      <w:pPr>
        <w:pStyle w:val="ListParagraph"/>
        <w:numPr>
          <w:ilvl w:val="0"/>
          <w:numId w:val="5"/>
        </w:numPr>
        <w:ind w:left="426" w:hanging="426"/>
        <w:jc w:val="both"/>
        <w:rPr>
          <w:rFonts w:ascii="Avenir Next" w:hAnsi="Avenir Next" w:cs="Arial"/>
          <w:sz w:val="22"/>
          <w:szCs w:val="22"/>
          <w:highlight w:val="yellow"/>
          <w:lang w:val="en-GB"/>
        </w:rPr>
      </w:pPr>
      <w:r w:rsidRPr="00207991">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1D03D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1D03D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1D03D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1D03DF">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1D03DF">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207991" w:rsidRDefault="00F51EE5" w:rsidP="001D03DF">
      <w:pPr>
        <w:pStyle w:val="ListParagraph"/>
        <w:numPr>
          <w:ilvl w:val="0"/>
          <w:numId w:val="6"/>
        </w:numPr>
        <w:ind w:left="426" w:hanging="426"/>
        <w:jc w:val="both"/>
        <w:rPr>
          <w:rFonts w:ascii="Avenir Next" w:hAnsi="Avenir Next" w:cs="Arial"/>
          <w:sz w:val="22"/>
          <w:szCs w:val="22"/>
          <w:highlight w:val="yellow"/>
          <w:lang w:val="en-GB"/>
        </w:rPr>
      </w:pPr>
      <w:r w:rsidRPr="00207991">
        <w:rPr>
          <w:rFonts w:ascii="Avenir Next" w:hAnsi="Avenir Next" w:cs="Arial"/>
          <w:sz w:val="22"/>
          <w:szCs w:val="22"/>
          <w:highlight w:val="yellow"/>
          <w:lang w:val="en-GB"/>
        </w:rPr>
        <w:t>Options (</w:t>
      </w:r>
      <w:proofErr w:type="spellStart"/>
      <w:r w:rsidRPr="00207991">
        <w:rPr>
          <w:rFonts w:ascii="Avenir Next" w:hAnsi="Avenir Next" w:cs="Arial"/>
          <w:sz w:val="22"/>
          <w:szCs w:val="22"/>
          <w:highlight w:val="yellow"/>
          <w:lang w:val="en-GB"/>
        </w:rPr>
        <w:t>i</w:t>
      </w:r>
      <w:proofErr w:type="spellEnd"/>
      <w:r w:rsidRPr="00207991">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1D03DF">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1D03DF">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1D03D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1D03D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1D03D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1D03DF">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F26954" w:rsidRDefault="0097337E" w:rsidP="001D03DF">
      <w:pPr>
        <w:pStyle w:val="ListParagraph"/>
        <w:numPr>
          <w:ilvl w:val="0"/>
          <w:numId w:val="7"/>
        </w:numPr>
        <w:ind w:left="426" w:hanging="426"/>
        <w:jc w:val="both"/>
        <w:rPr>
          <w:rFonts w:ascii="Avenir Next" w:hAnsi="Avenir Next" w:cs="Arial"/>
          <w:sz w:val="22"/>
          <w:szCs w:val="22"/>
          <w:highlight w:val="yellow"/>
          <w:lang w:val="en-GB"/>
        </w:rPr>
      </w:pPr>
      <w:r w:rsidRPr="00F26954">
        <w:rPr>
          <w:rFonts w:ascii="Avenir Next" w:hAnsi="Avenir Next" w:cs="Arial"/>
          <w:sz w:val="22"/>
          <w:szCs w:val="22"/>
          <w:highlight w:val="yellow"/>
          <w:lang w:val="en-GB"/>
        </w:rPr>
        <w:t>Options (</w:t>
      </w:r>
      <w:proofErr w:type="spellStart"/>
      <w:r w:rsidRPr="00F26954">
        <w:rPr>
          <w:rFonts w:ascii="Avenir Next" w:hAnsi="Avenir Next" w:cs="Arial"/>
          <w:sz w:val="22"/>
          <w:szCs w:val="22"/>
          <w:highlight w:val="yellow"/>
          <w:lang w:val="en-GB"/>
        </w:rPr>
        <w:t>i</w:t>
      </w:r>
      <w:proofErr w:type="spellEnd"/>
      <w:r w:rsidRPr="00F26954">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1D03DF">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1D03DF">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1D03DF">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1D03D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1D03D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1D03DF">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1D03D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1D03D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A727E3" w:rsidRDefault="009A58D1" w:rsidP="001D03DF">
      <w:pPr>
        <w:pStyle w:val="ListParagraph"/>
        <w:numPr>
          <w:ilvl w:val="0"/>
          <w:numId w:val="8"/>
        </w:numPr>
        <w:ind w:left="426" w:hanging="426"/>
        <w:jc w:val="both"/>
        <w:rPr>
          <w:rFonts w:ascii="Avenir Next" w:hAnsi="Avenir Next" w:cs="Arial"/>
          <w:sz w:val="22"/>
          <w:szCs w:val="22"/>
          <w:highlight w:val="yellow"/>
          <w:lang w:val="en-GB"/>
        </w:rPr>
      </w:pPr>
      <w:r w:rsidRPr="00A727E3">
        <w:rPr>
          <w:rFonts w:ascii="Avenir Next" w:hAnsi="Avenir Next" w:cs="Arial"/>
          <w:sz w:val="22"/>
          <w:szCs w:val="22"/>
          <w:highlight w:val="yellow"/>
          <w:lang w:val="en-GB"/>
        </w:rPr>
        <w:t>Options (iii), (</w:t>
      </w:r>
      <w:proofErr w:type="spellStart"/>
      <w:r w:rsidRPr="00A727E3">
        <w:rPr>
          <w:rFonts w:ascii="Avenir Next" w:hAnsi="Avenir Next" w:cs="Arial"/>
          <w:sz w:val="22"/>
          <w:szCs w:val="22"/>
          <w:highlight w:val="yellow"/>
          <w:lang w:val="en-GB"/>
        </w:rPr>
        <w:t>i</w:t>
      </w:r>
      <w:proofErr w:type="spellEnd"/>
      <w:r w:rsidRPr="00A727E3">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1D03DF">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1D03D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1D03D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1D03DF">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DD0339" w:rsidRDefault="00C4510C" w:rsidP="001D03DF">
      <w:pPr>
        <w:pStyle w:val="ListParagraph"/>
        <w:numPr>
          <w:ilvl w:val="0"/>
          <w:numId w:val="9"/>
        </w:numPr>
        <w:ind w:left="426" w:hanging="426"/>
        <w:jc w:val="both"/>
        <w:rPr>
          <w:rFonts w:ascii="Avenir Next" w:hAnsi="Avenir Next" w:cs="Arial"/>
          <w:sz w:val="22"/>
          <w:szCs w:val="22"/>
          <w:highlight w:val="yellow"/>
          <w:lang w:val="en-GB"/>
        </w:rPr>
      </w:pPr>
      <w:r w:rsidRPr="00DD0339">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13E1B3CC" w:rsidR="00C00111" w:rsidRDefault="00F067ED" w:rsidP="00707FC8">
      <w:pPr>
        <w:jc w:val="both"/>
        <w:rPr>
          <w:rFonts w:ascii="Avenir Next Demi Bold" w:hAnsi="Avenir Next Demi Bold" w:cs="Arial"/>
          <w:b/>
          <w:bCs/>
          <w:sz w:val="22"/>
          <w:szCs w:val="22"/>
          <w:lang w:val="en-GB"/>
        </w:rPr>
      </w:pPr>
      <w:r>
        <w:rPr>
          <w:rFonts w:ascii="Avenir Next Demi Bold" w:hAnsi="Avenir Next Demi Bold" w:cs="Arial"/>
          <w:b/>
          <w:bCs/>
          <w:sz w:val="22"/>
          <w:szCs w:val="22"/>
          <w:lang w:val="en-GB"/>
        </w:rPr>
        <w:t xml:space="preserve"> </w:t>
      </w: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6B1E2E0B" w:rsidR="00CB56CE" w:rsidRDefault="00074946" w:rsidP="00F067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may be applied in any State that h</w:t>
      </w:r>
      <w:r w:rsidR="00F067ED">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s adopted it</w:t>
      </w:r>
      <w:r w:rsidR="00F067ED">
        <w:rPr>
          <w:rFonts w:ascii="Avenir Next" w:hAnsi="Avenir Next" w:cs="Arial"/>
          <w:color w:val="808080" w:themeColor="background1" w:themeShade="80"/>
          <w:sz w:val="22"/>
          <w:szCs w:val="22"/>
          <w:lang w:val="en-GB"/>
        </w:rPr>
        <w:t>, in relation to insolvency proceedings commenced in any State. In contrast, the European Union (EU) Regulation applies only to insolvency proceedings commenced in an EU Member State.</w:t>
      </w:r>
    </w:p>
    <w:p w14:paraId="7FD9571A" w14:textId="0AC19623" w:rsidR="00F067ED" w:rsidRDefault="00F067ED" w:rsidP="00F067ED">
      <w:pPr>
        <w:jc w:val="both"/>
        <w:rPr>
          <w:rFonts w:ascii="Avenir Next" w:hAnsi="Avenir Next" w:cs="Arial"/>
          <w:color w:val="808080" w:themeColor="background1" w:themeShade="80"/>
          <w:sz w:val="22"/>
          <w:szCs w:val="22"/>
          <w:lang w:val="en-GB"/>
        </w:rPr>
      </w:pPr>
    </w:p>
    <w:p w14:paraId="3FA97C41" w14:textId="3A1495E2" w:rsidR="00F067ED" w:rsidRDefault="00F067ED" w:rsidP="00F067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benefit of the MLCBI is that an enacting State is free to decide the extent to which the MLCBI is incorporated in its domestic laws, e.g., whether to adopt with modifications.  This flexibility is also a disadvantage as there are States </w:t>
      </w:r>
      <w:r w:rsidR="00FD345B">
        <w:rPr>
          <w:rFonts w:ascii="Avenir Next" w:hAnsi="Avenir Next" w:cs="Arial"/>
          <w:color w:val="808080" w:themeColor="background1" w:themeShade="80"/>
          <w:sz w:val="22"/>
          <w:szCs w:val="22"/>
          <w:lang w:val="en-GB"/>
        </w:rPr>
        <w:t xml:space="preserve">that have enacted the MLCBI in their domestic laws with </w:t>
      </w:r>
      <w:r w:rsidR="00254797">
        <w:rPr>
          <w:rFonts w:ascii="Avenir Next" w:hAnsi="Avenir Next" w:cs="Arial"/>
          <w:color w:val="808080" w:themeColor="background1" w:themeShade="80"/>
          <w:sz w:val="22"/>
          <w:szCs w:val="22"/>
          <w:lang w:val="en-GB"/>
        </w:rPr>
        <w:t xml:space="preserve">the </w:t>
      </w:r>
      <w:r w:rsidR="00FD345B">
        <w:rPr>
          <w:rFonts w:ascii="Avenir Next" w:hAnsi="Avenir Next" w:cs="Arial"/>
          <w:color w:val="808080" w:themeColor="background1" w:themeShade="80"/>
          <w:sz w:val="22"/>
          <w:szCs w:val="22"/>
          <w:lang w:val="en-GB"/>
        </w:rPr>
        <w:t>requirement for recipro</w:t>
      </w:r>
      <w:r w:rsidR="0099758C">
        <w:rPr>
          <w:rFonts w:ascii="Avenir Next" w:hAnsi="Avenir Next" w:cs="Arial"/>
          <w:color w:val="808080" w:themeColor="background1" w:themeShade="80"/>
          <w:sz w:val="22"/>
          <w:szCs w:val="22"/>
          <w:lang w:val="en-GB"/>
        </w:rPr>
        <w:t>city, which limits the effectiveness of the MLCBI as originally adopted by UNCITRAL.</w:t>
      </w:r>
    </w:p>
    <w:p w14:paraId="7580A3B6" w14:textId="22D1713B" w:rsidR="0099758C" w:rsidRDefault="0099758C" w:rsidP="00F067ED">
      <w:pPr>
        <w:jc w:val="both"/>
        <w:rPr>
          <w:rFonts w:ascii="Avenir Next" w:hAnsi="Avenir Next" w:cs="Arial"/>
          <w:color w:val="808080" w:themeColor="background1" w:themeShade="80"/>
          <w:sz w:val="22"/>
          <w:szCs w:val="22"/>
          <w:lang w:val="en-GB"/>
        </w:rPr>
      </w:pPr>
    </w:p>
    <w:p w14:paraId="57F1A5C5" w14:textId="5BBFE680" w:rsidR="00254797" w:rsidRDefault="00254797" w:rsidP="00F067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 a key benefit of the European Union (EU) Regulation on insolvency proceedings is that it requires insolvency proceedings commenced in any EU Member State to be recognised in the manner provided in the R</w:t>
      </w:r>
      <w:r w:rsidR="002B3E20">
        <w:rPr>
          <w:rFonts w:ascii="Avenir Next" w:hAnsi="Avenir Next" w:cs="Arial"/>
          <w:color w:val="808080" w:themeColor="background1" w:themeShade="80"/>
          <w:sz w:val="22"/>
          <w:szCs w:val="22"/>
          <w:lang w:val="en-GB"/>
        </w:rPr>
        <w:t xml:space="preserve">egulation, which allows insolvency proceedings in any EU Member State to be recognised and enforced throughout the rest of the EU.  One disadvantage, however, is that the Regulation </w:t>
      </w:r>
      <w:r w:rsidR="00B02FFE">
        <w:rPr>
          <w:rFonts w:ascii="Avenir Next" w:hAnsi="Avenir Next" w:cs="Arial"/>
          <w:color w:val="808080" w:themeColor="background1" w:themeShade="80"/>
          <w:sz w:val="22"/>
          <w:szCs w:val="22"/>
          <w:lang w:val="en-GB"/>
        </w:rPr>
        <w:t>applies only within the EU and does not provide a framework for whether and how insolvency proceedings commenced outside the EU should be recognised in an EU Member State.</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5D89FE6C" w:rsidR="00867A8F" w:rsidRPr="00B77352" w:rsidRDefault="00C952FE" w:rsidP="00C952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Article 21 of the MLCBI </w:t>
      </w:r>
      <w:r w:rsidR="00C95CDA">
        <w:rPr>
          <w:rFonts w:ascii="Avenir Next" w:hAnsi="Avenir Next" w:cs="Arial"/>
          <w:color w:val="808080" w:themeColor="background1" w:themeShade="80"/>
          <w:sz w:val="22"/>
          <w:szCs w:val="22"/>
          <w:lang w:val="en-GB"/>
        </w:rPr>
        <w:t>applies to a foreign proceeding regardless of whether it is main or non-main, the court, upon recognition of the foreign proceeding, should consider whether and how the post-recognition relief sought may affect the another foreign proceeding, particularly a foreign main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704EF4C8" w:rsidR="00867A8F" w:rsidRPr="00B77352" w:rsidRDefault="00D5340B" w:rsidP="00DE40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MLCBI </w:t>
      </w:r>
      <w:r w:rsidR="00DE4048">
        <w:rPr>
          <w:rFonts w:ascii="Avenir Next" w:hAnsi="Avenir Next" w:cs="Arial"/>
          <w:color w:val="808080" w:themeColor="background1" w:themeShade="80"/>
          <w:sz w:val="22"/>
          <w:szCs w:val="22"/>
          <w:lang w:val="en-GB"/>
        </w:rPr>
        <w:t xml:space="preserve">enshrines the principle that there should not be discrimination against foreign creditors by providing that foreign creditors should also be allowed to commence and participate in local insolvency proceedings involving the debtor just as local creditors are able to, save that such equal access rights should not affect the ranking of claims in the local insolvency proceeding (provided that the claims of foreign creditors are not ranked lower than that of general unsecured creditors).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65411C10" w:rsidR="00867A8F" w:rsidRDefault="00AC2AEF" w:rsidP="00AC2AE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recognition of foreign main proceedings triggers the automatic reliefs under Article 20 of the MLCBI, which is an effect that the recognition of a foreign non-main proceeding does not automatically give rise to.  If the foreign proceedings are recognised as foreign main proceedings, the following consequences will automatically arise by virtue of Article 20: (a) commencement or continuation of individual actions or individual proceedings concerning the debtor’s assets, rights, obligations or liabilities is stayed; (b) execution against the debtor’s assets is stayed; and (c) the right to transfer, encumber or otherwise dispose of any assets of the debtor is suspended.  Any of such reliefs may still be available upon the recognition of a foreign non-main proceeding, but they are subject </w:t>
      </w:r>
      <w:r w:rsidR="003876CC">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the discretion of the court.</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0C65ABC0" w:rsidR="00867A8F" w:rsidRPr="00B77352" w:rsidRDefault="00A035CA" w:rsidP="00A035C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recognition proceedings are commenced in the US, the foreign proceedings refer to the insolvency proceedings commenced in Germany and Bermuda.  Assuming that the likely result requested is that of the recognition proceedings in the US, the insolvency proceedings in Germany are likely to be recognised as foreign main proceedings since they were commenced in a jurisdiction in which the debtor has its centre of main interests (COMI), while the insolvency proceedings commenced in Bermuda are likely to be recognised as foreign non-main proceedings as the debtor has only an establishment in Bermuda.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4B9E25B7" w:rsidR="00622C2B" w:rsidRPr="00E2622D" w:rsidRDefault="00622C2B" w:rsidP="00707FC8">
      <w:pPr>
        <w:jc w:val="both"/>
        <w:rPr>
          <w:rFonts w:ascii="Avenir Next" w:hAnsi="Avenir Next" w:cs="Arial"/>
          <w:sz w:val="22"/>
          <w:szCs w:val="22"/>
          <w:lang w:val="en-GB"/>
        </w:rPr>
      </w:pPr>
    </w:p>
    <w:p w14:paraId="3937CDFF" w14:textId="146915F0" w:rsidR="00867A8F" w:rsidRPr="00B77352" w:rsidRDefault="00324A5B" w:rsidP="00324A5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Just because the joint provisional liquidators commenced a recognition proceeding in the US does not mean that they become subject to the jurisdiction of the US courts by virtue of their application for recognition.  This is the protection clarified in Article 10 of the MLCBI.  However, the protection is not absolute.  </w:t>
      </w:r>
      <w:r w:rsidR="000C11AD">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alleged cause of action in tortious interference with the contract rights of US-based vendors of the foreign debtor may provide</w:t>
      </w:r>
      <w:r w:rsidR="000C11AD">
        <w:rPr>
          <w:rFonts w:ascii="Avenir Next" w:hAnsi="Avenir Next" w:cs="Arial"/>
          <w:color w:val="808080" w:themeColor="background1" w:themeShade="80"/>
          <w:sz w:val="22"/>
          <w:szCs w:val="22"/>
          <w:lang w:val="en-GB"/>
        </w:rPr>
        <w:t xml:space="preserve"> separate occasion / ground for the US courts to exercise jurisdiction over the joint provisional liquidators, but the conditions for the exercise of that jurisdiction </w:t>
      </w:r>
      <w:r w:rsidR="00C23BBC">
        <w:rPr>
          <w:rFonts w:ascii="Avenir Next" w:hAnsi="Avenir Next" w:cs="Arial"/>
          <w:color w:val="808080" w:themeColor="background1" w:themeShade="80"/>
          <w:sz w:val="22"/>
          <w:szCs w:val="22"/>
          <w:lang w:val="en-GB"/>
        </w:rPr>
        <w:t xml:space="preserve">should be </w:t>
      </w:r>
      <w:r w:rsidR="000C11AD">
        <w:rPr>
          <w:rFonts w:ascii="Avenir Next" w:hAnsi="Avenir Next" w:cs="Arial"/>
          <w:color w:val="808080" w:themeColor="background1" w:themeShade="80"/>
          <w:sz w:val="22"/>
          <w:szCs w:val="22"/>
          <w:lang w:val="en-GB"/>
        </w:rPr>
        <w:t xml:space="preserve">found in the laws / rules of civil procedure </w:t>
      </w:r>
      <w:r w:rsidR="00583CD2">
        <w:rPr>
          <w:rFonts w:ascii="Avenir Next" w:hAnsi="Avenir Next" w:cs="Arial"/>
          <w:color w:val="808080" w:themeColor="background1" w:themeShade="80"/>
          <w:sz w:val="22"/>
          <w:szCs w:val="22"/>
          <w:lang w:val="en-GB"/>
        </w:rPr>
        <w:t xml:space="preserve">in the US </w:t>
      </w:r>
      <w:r w:rsidR="000C11AD">
        <w:rPr>
          <w:rFonts w:ascii="Avenir Next" w:hAnsi="Avenir Next" w:cs="Arial"/>
          <w:color w:val="808080" w:themeColor="background1" w:themeShade="80"/>
          <w:sz w:val="22"/>
          <w:szCs w:val="22"/>
          <w:lang w:val="en-GB"/>
        </w:rPr>
        <w:t xml:space="preserve">relating to such causes of action.  The joint provisional liquidators’ commencement of the recognition proceedings in the US does not mean that they have submitted to the jurisdiction of the US </w:t>
      </w:r>
      <w:r w:rsidR="00583CD2">
        <w:rPr>
          <w:rFonts w:ascii="Avenir Next" w:hAnsi="Avenir Next" w:cs="Arial"/>
          <w:color w:val="808080" w:themeColor="background1" w:themeShade="80"/>
          <w:sz w:val="22"/>
          <w:szCs w:val="22"/>
          <w:lang w:val="en-GB"/>
        </w:rPr>
        <w:t xml:space="preserve">courts in </w:t>
      </w:r>
      <w:r w:rsidR="000C11AD">
        <w:rPr>
          <w:rFonts w:ascii="Avenir Next" w:hAnsi="Avenir Next" w:cs="Arial"/>
          <w:color w:val="808080" w:themeColor="background1" w:themeShade="80"/>
          <w:sz w:val="22"/>
          <w:szCs w:val="22"/>
          <w:lang w:val="en-GB"/>
        </w:rPr>
        <w:t xml:space="preserve">any and all matters such as for the alleged tort.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3C2BE7E8" w:rsidR="00867A8F" w:rsidRPr="00AF5D20" w:rsidRDefault="000C4920" w:rsidP="00C83C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the foreign debtor has commenced debtor-in-possession-like restructuring proceeding in the </w:t>
      </w:r>
      <w:r w:rsidR="00C83C59">
        <w:rPr>
          <w:rFonts w:ascii="Avenir Next" w:hAnsi="Avenir Next" w:cs="Arial"/>
          <w:color w:val="808080" w:themeColor="background1" w:themeShade="80"/>
          <w:sz w:val="22"/>
          <w:szCs w:val="22"/>
          <w:lang w:val="en-GB"/>
        </w:rPr>
        <w:t xml:space="preserve">UK indicates that there is a risk that the foreign debtor’s US-governed leases and intellectual property licences may be terminated because of the foreign debtor’s insolvency.  The foreign representative has commenced a recognition proceeding in the US, but that does not in itself give rise to any relief </w:t>
      </w:r>
      <w:r w:rsidR="00D37FFB">
        <w:rPr>
          <w:rFonts w:ascii="Avenir Next" w:hAnsi="Avenir Next" w:cs="Arial"/>
          <w:color w:val="808080" w:themeColor="background1" w:themeShade="80"/>
          <w:sz w:val="22"/>
          <w:szCs w:val="22"/>
          <w:lang w:val="en-GB"/>
        </w:rPr>
        <w:t>until the date of the recognition hearing, at the earliest.  In the meantime, i</w:t>
      </w:r>
      <w:r w:rsidR="00870CD1">
        <w:rPr>
          <w:rFonts w:ascii="Avenir Next" w:hAnsi="Avenir Next" w:cs="Arial"/>
          <w:color w:val="808080" w:themeColor="background1" w:themeShade="80"/>
          <w:sz w:val="22"/>
          <w:szCs w:val="22"/>
          <w:lang w:val="en-GB"/>
        </w:rPr>
        <w:t>f it is necessary to maintain the US-governed leases and intellectual property licences</w:t>
      </w:r>
      <w:r w:rsidR="00D37FFB">
        <w:rPr>
          <w:rFonts w:ascii="Avenir Next" w:hAnsi="Avenir Next" w:cs="Arial"/>
          <w:color w:val="808080" w:themeColor="background1" w:themeShade="80"/>
          <w:sz w:val="22"/>
          <w:szCs w:val="22"/>
          <w:lang w:val="en-GB"/>
        </w:rPr>
        <w:t xml:space="preserve"> to support</w:t>
      </w:r>
      <w:r w:rsidR="00870CD1">
        <w:rPr>
          <w:rFonts w:ascii="Avenir Next" w:hAnsi="Avenir Next" w:cs="Arial"/>
          <w:color w:val="808080" w:themeColor="background1" w:themeShade="80"/>
          <w:sz w:val="22"/>
          <w:szCs w:val="22"/>
          <w:lang w:val="en-GB"/>
        </w:rPr>
        <w:t xml:space="preserve"> the debtor-in-possession-like restructuring proceeding in the UK, </w:t>
      </w:r>
      <w:r w:rsidR="00D37FFB">
        <w:rPr>
          <w:rFonts w:ascii="Avenir Next" w:hAnsi="Avenir Next" w:cs="Arial"/>
          <w:color w:val="808080" w:themeColor="background1" w:themeShade="80"/>
          <w:sz w:val="22"/>
          <w:szCs w:val="22"/>
          <w:lang w:val="en-GB"/>
        </w:rPr>
        <w:t xml:space="preserve">the foreign representative </w:t>
      </w:r>
      <w:r w:rsidR="00357664">
        <w:rPr>
          <w:rFonts w:ascii="Avenir Next" w:hAnsi="Avenir Next" w:cs="Arial"/>
          <w:color w:val="808080" w:themeColor="background1" w:themeShade="80"/>
          <w:sz w:val="22"/>
          <w:szCs w:val="22"/>
          <w:lang w:val="en-GB"/>
        </w:rPr>
        <w:t>may</w:t>
      </w:r>
      <w:r w:rsidR="00D37FFB">
        <w:rPr>
          <w:rFonts w:ascii="Avenir Next" w:hAnsi="Avenir Next" w:cs="Arial"/>
          <w:color w:val="808080" w:themeColor="background1" w:themeShade="80"/>
          <w:sz w:val="22"/>
          <w:szCs w:val="22"/>
          <w:lang w:val="en-GB"/>
        </w:rPr>
        <w:t xml:space="preserve"> consider applying </w:t>
      </w:r>
      <w:r w:rsidR="00C83C59">
        <w:rPr>
          <w:rFonts w:ascii="Avenir Next" w:hAnsi="Avenir Next" w:cs="Arial"/>
          <w:color w:val="808080" w:themeColor="background1" w:themeShade="80"/>
          <w:sz w:val="22"/>
          <w:szCs w:val="22"/>
          <w:lang w:val="en-GB"/>
        </w:rPr>
        <w:t xml:space="preserve">under Article 19 of the MLCBI </w:t>
      </w:r>
      <w:r w:rsidR="00AF5D20">
        <w:rPr>
          <w:rFonts w:ascii="Avenir Next" w:hAnsi="Avenir Next" w:cs="Arial"/>
          <w:color w:val="808080" w:themeColor="background1" w:themeShade="80"/>
          <w:sz w:val="22"/>
          <w:szCs w:val="22"/>
          <w:lang w:val="en-GB"/>
        </w:rPr>
        <w:t xml:space="preserve">adopted under Chapter 15 of the US Bankruptcy Code </w:t>
      </w:r>
      <w:r w:rsidR="00E717DD">
        <w:rPr>
          <w:rFonts w:ascii="Avenir Next" w:hAnsi="Avenir Next" w:cs="Arial"/>
          <w:color w:val="808080" w:themeColor="background1" w:themeShade="80"/>
          <w:sz w:val="22"/>
          <w:szCs w:val="22"/>
          <w:lang w:val="en-GB"/>
        </w:rPr>
        <w:t xml:space="preserve">for an interim relief that </w:t>
      </w:r>
      <w:r w:rsidR="00357664">
        <w:rPr>
          <w:rFonts w:ascii="Avenir Next" w:hAnsi="Avenir Next" w:cs="Arial"/>
          <w:color w:val="808080" w:themeColor="background1" w:themeShade="80"/>
          <w:sz w:val="22"/>
          <w:szCs w:val="22"/>
          <w:lang w:val="en-GB"/>
        </w:rPr>
        <w:t xml:space="preserve">declares </w:t>
      </w:r>
      <w:r w:rsidR="00E717DD">
        <w:rPr>
          <w:rFonts w:ascii="Avenir Next" w:hAnsi="Avenir Next" w:cs="Arial"/>
          <w:color w:val="808080" w:themeColor="background1" w:themeShade="80"/>
          <w:sz w:val="22"/>
          <w:szCs w:val="22"/>
          <w:lang w:val="en-GB"/>
        </w:rPr>
        <w:t xml:space="preserve">that the </w:t>
      </w:r>
      <w:r w:rsidR="00E717DD">
        <w:rPr>
          <w:rFonts w:ascii="Avenir Next" w:hAnsi="Avenir Next" w:cs="Arial"/>
          <w:i/>
          <w:color w:val="808080" w:themeColor="background1" w:themeShade="80"/>
          <w:sz w:val="22"/>
          <w:szCs w:val="22"/>
          <w:lang w:val="en-GB"/>
        </w:rPr>
        <w:t>ipso facto</w:t>
      </w:r>
      <w:r w:rsidR="00E717DD">
        <w:rPr>
          <w:rFonts w:ascii="Avenir Next" w:hAnsi="Avenir Next" w:cs="Arial"/>
          <w:color w:val="808080" w:themeColor="background1" w:themeShade="80"/>
          <w:sz w:val="22"/>
          <w:szCs w:val="22"/>
          <w:lang w:val="en-GB"/>
        </w:rPr>
        <w:t xml:space="preserve"> clauses in the leases and intellectual property licences have no effect.  However, it is doubtful on the facts whether the foreign representative will be able to secure a hearing date for the interim relief application sooner than the 35 days for the hearing of the recognition petition/application.  A more effective option is for the foreign representative to apply to commence an insolvency proceeding under the US Bankruptcy Code (e.g., under Chapter 11 of the US Bankruptcy Code).  The foreign representative is able to do so as Article 11 of the MLCBI adopted in Chapter 15 of the US Bankruptcy Code entitles a foreign representative to apply to commence an insolvency proceeding in the US without prior recognition of the UK debtor-in-possession-like restructuring proceeding. The commencement </w:t>
      </w:r>
      <w:r w:rsidR="00AF5D20">
        <w:rPr>
          <w:rFonts w:ascii="Avenir Next" w:hAnsi="Avenir Next" w:cs="Arial"/>
          <w:color w:val="808080" w:themeColor="background1" w:themeShade="80"/>
          <w:sz w:val="22"/>
          <w:szCs w:val="22"/>
          <w:lang w:val="en-GB"/>
        </w:rPr>
        <w:t xml:space="preserve">of insolvency proceeding under the US Bankruptcy Code has the effect of rendering unenforceable the </w:t>
      </w:r>
      <w:r w:rsidR="00AF5D20">
        <w:rPr>
          <w:rFonts w:ascii="Avenir Next" w:hAnsi="Avenir Next" w:cs="Arial"/>
          <w:i/>
          <w:color w:val="808080" w:themeColor="background1" w:themeShade="80"/>
          <w:sz w:val="22"/>
          <w:szCs w:val="22"/>
          <w:lang w:val="en-GB"/>
        </w:rPr>
        <w:t>ipso facto</w:t>
      </w:r>
      <w:r w:rsidR="00AF5D20">
        <w:rPr>
          <w:rFonts w:ascii="Avenir Next" w:hAnsi="Avenir Next" w:cs="Arial"/>
          <w:color w:val="808080" w:themeColor="background1" w:themeShade="80"/>
          <w:sz w:val="22"/>
          <w:szCs w:val="22"/>
          <w:lang w:val="en-GB"/>
        </w:rPr>
        <w:t xml:space="preserve"> clauses in the leases and intellectual property licences.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 xml:space="preserve">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w:t>
      </w:r>
      <w:r w:rsidRPr="000A7632">
        <w:rPr>
          <w:rFonts w:ascii="Avenir Next" w:hAnsi="Avenir Next" w:cs="Arial"/>
          <w:sz w:val="22"/>
          <w:szCs w:val="22"/>
          <w:lang w:val="en-GB"/>
        </w:rPr>
        <w:lastRenderedPageBreak/>
        <w:t>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0404AF04" w14:textId="1D36A9A4" w:rsidR="004619DA" w:rsidRDefault="004619DA" w:rsidP="00CB1B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make an application to the insolvency court in Country B for the recognition of the insolvency proceeding pending in Country A as a foreign non-main proceeding and seek the insolvency court’s grant of appropriate reliefs under Article 21 of the MLCBI as adopted in Country B.  The appropriate reliefs sought should include the relief that will entrust the administration or realisation of the </w:t>
      </w:r>
      <w:r w:rsidR="00DC2535">
        <w:rPr>
          <w:rFonts w:ascii="Avenir Next" w:hAnsi="Avenir Next" w:cs="Arial"/>
          <w:color w:val="808080" w:themeColor="background1" w:themeShade="80"/>
          <w:sz w:val="22"/>
          <w:szCs w:val="22"/>
          <w:lang w:val="en-GB"/>
        </w:rPr>
        <w:t xml:space="preserve">debtor’s </w:t>
      </w:r>
      <w:r>
        <w:rPr>
          <w:rFonts w:ascii="Avenir Next" w:hAnsi="Avenir Next" w:cs="Arial"/>
          <w:color w:val="808080" w:themeColor="background1" w:themeShade="80"/>
          <w:sz w:val="22"/>
          <w:szCs w:val="22"/>
          <w:lang w:val="en-GB"/>
        </w:rPr>
        <w:t xml:space="preserve">assets within the territorial jurisdiction of Country B to the foreign representative.  </w:t>
      </w:r>
    </w:p>
    <w:p w14:paraId="4EE6CA9A" w14:textId="77777777" w:rsidR="004619DA" w:rsidRDefault="004619DA" w:rsidP="00CB1B58">
      <w:pPr>
        <w:jc w:val="both"/>
        <w:rPr>
          <w:rFonts w:ascii="Avenir Next" w:hAnsi="Avenir Next" w:cs="Arial"/>
          <w:color w:val="808080" w:themeColor="background1" w:themeShade="80"/>
          <w:sz w:val="22"/>
          <w:szCs w:val="22"/>
          <w:lang w:val="en-GB"/>
        </w:rPr>
      </w:pPr>
    </w:p>
    <w:p w14:paraId="64DBE55D" w14:textId="7B8293E2" w:rsidR="00F665F8" w:rsidRDefault="004619DA" w:rsidP="00CB1B5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have applied for the recognition of the insolvency proceeding pending in Country A a</w:t>
      </w:r>
      <w:r w:rsidR="00F665F8">
        <w:rPr>
          <w:rFonts w:ascii="Avenir Next" w:hAnsi="Avenir Next" w:cs="Arial"/>
          <w:color w:val="808080" w:themeColor="background1" w:themeShade="80"/>
          <w:sz w:val="22"/>
          <w:szCs w:val="22"/>
          <w:lang w:val="en-GB"/>
        </w:rPr>
        <w:t>s a foreign non-main proceeding at the outset.  R</w:t>
      </w:r>
      <w:r>
        <w:rPr>
          <w:rFonts w:ascii="Avenir Next" w:hAnsi="Avenir Next" w:cs="Arial"/>
          <w:color w:val="808080" w:themeColor="background1" w:themeShade="80"/>
          <w:sz w:val="22"/>
          <w:szCs w:val="22"/>
          <w:lang w:val="en-GB"/>
        </w:rPr>
        <w:t>ecognition of the</w:t>
      </w:r>
      <w:r w:rsidR="00F665F8">
        <w:rPr>
          <w:rFonts w:ascii="Avenir Next" w:hAnsi="Avenir Next" w:cs="Arial"/>
          <w:color w:val="808080" w:themeColor="background1" w:themeShade="80"/>
          <w:sz w:val="22"/>
          <w:szCs w:val="22"/>
          <w:lang w:val="en-GB"/>
        </w:rPr>
        <w:t xml:space="preserve"> insolvency proceeding pending in Country A as a foreign main proceeding, even if granted by the insolvency court in Country B, only gives rise to the following automatic reliefs, which are insufficient for the foreign representative to sell </w:t>
      </w:r>
      <w:r w:rsidR="00DC2535">
        <w:rPr>
          <w:rFonts w:ascii="Avenir Next" w:hAnsi="Avenir Next" w:cs="Arial"/>
          <w:color w:val="808080" w:themeColor="background1" w:themeShade="80"/>
          <w:sz w:val="22"/>
          <w:szCs w:val="22"/>
          <w:lang w:val="en-GB"/>
        </w:rPr>
        <w:t xml:space="preserve">the debtor’s </w:t>
      </w:r>
      <w:r w:rsidR="00F665F8">
        <w:rPr>
          <w:rFonts w:ascii="Avenir Next" w:hAnsi="Avenir Next" w:cs="Arial"/>
          <w:color w:val="808080" w:themeColor="background1" w:themeShade="80"/>
          <w:sz w:val="22"/>
          <w:szCs w:val="22"/>
          <w:lang w:val="en-GB"/>
        </w:rPr>
        <w:t xml:space="preserve">assets within the territorial jurisdiction of Country B: (a) stay of commencement or continuation of individual actions or individual proceedings concerning the debtor’s assets, rights, obligations or liabilities; (b) stay of execution against the debtor’s assets; </w:t>
      </w:r>
      <w:r w:rsidR="00DC2535">
        <w:rPr>
          <w:rFonts w:ascii="Avenir Next" w:hAnsi="Avenir Next" w:cs="Arial"/>
          <w:color w:val="808080" w:themeColor="background1" w:themeShade="80"/>
          <w:sz w:val="22"/>
          <w:szCs w:val="22"/>
          <w:lang w:val="en-GB"/>
        </w:rPr>
        <w:t xml:space="preserve">and </w:t>
      </w:r>
      <w:r w:rsidR="00F665F8">
        <w:rPr>
          <w:rFonts w:ascii="Avenir Next" w:hAnsi="Avenir Next" w:cs="Arial"/>
          <w:color w:val="808080" w:themeColor="background1" w:themeShade="80"/>
          <w:sz w:val="22"/>
          <w:szCs w:val="22"/>
          <w:lang w:val="en-GB"/>
        </w:rPr>
        <w:t>(c) suspension of the right to transfer, encumber or otherwise dispose of any assets of the debtor.  If the foreign representative needs to be able to sell the debtor’s assets within the territorial jurisdiction of Country B urgently</w:t>
      </w:r>
      <w:r w:rsidR="00BD23DD">
        <w:rPr>
          <w:rFonts w:ascii="Avenir Next" w:hAnsi="Avenir Next" w:cs="Arial"/>
          <w:color w:val="808080" w:themeColor="background1" w:themeShade="80"/>
          <w:sz w:val="22"/>
          <w:szCs w:val="22"/>
          <w:lang w:val="en-GB"/>
        </w:rPr>
        <w:t xml:space="preserve"> (e.g., because of risk of quick dissipation in the value of the assets)</w:t>
      </w:r>
      <w:r w:rsidR="00F665F8">
        <w:rPr>
          <w:rFonts w:ascii="Avenir Next" w:hAnsi="Avenir Next" w:cs="Arial"/>
          <w:color w:val="808080" w:themeColor="background1" w:themeShade="80"/>
          <w:sz w:val="22"/>
          <w:szCs w:val="22"/>
          <w:lang w:val="en-GB"/>
        </w:rPr>
        <w:t>, the foreign representative may consider making a concurrent application for interim relief under Article 19 of the MLCBI as adopted in Country B to be entrusted with the administration or realisation of the debtor’s assets located in Country B.</w:t>
      </w:r>
    </w:p>
    <w:p w14:paraId="51FD7B2D" w14:textId="77777777" w:rsidR="00F665F8" w:rsidRDefault="00F665F8" w:rsidP="00CB1B58">
      <w:pPr>
        <w:jc w:val="both"/>
        <w:rPr>
          <w:rFonts w:ascii="Avenir Next" w:hAnsi="Avenir Next" w:cs="Arial"/>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 xml:space="preserve">incorporation, including in the public filings with the Securities and Exchange Commission (SEC). Around that time, Globe Holdings retained its Cayman Islands </w:t>
      </w:r>
      <w:proofErr w:type="gramStart"/>
      <w:r w:rsidRPr="00E61F6E">
        <w:rPr>
          <w:rFonts w:ascii="Avenir Next" w:hAnsi="Avenir Next"/>
          <w:sz w:val="22"/>
          <w:szCs w:val="28"/>
        </w:rPr>
        <w:t>counsel</w:t>
      </w:r>
      <w:proofErr w:type="gramEnd"/>
      <w:r w:rsidRPr="00E61F6E">
        <w:rPr>
          <w:rFonts w:ascii="Avenir Next" w:hAnsi="Avenir Next"/>
          <w:sz w:val="22"/>
          <w:szCs w:val="28"/>
        </w:rPr>
        <w:t xml:space="preserve">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 xml:space="preserve">ultimately determined that the most value accretive path for the Noteholders was to </w:t>
      </w:r>
      <w:r w:rsidRPr="00F1695D">
        <w:rPr>
          <w:rFonts w:ascii="Avenir Next" w:hAnsi="Avenir Next"/>
          <w:sz w:val="22"/>
          <w:szCs w:val="28"/>
        </w:rPr>
        <w:t>commence a scheme under Cayman Islands law</w:t>
      </w:r>
      <w:r w:rsidRPr="00E61F6E">
        <w:rPr>
          <w:rFonts w:ascii="Avenir Next" w:hAnsi="Avenir Next"/>
          <w:sz w:val="22"/>
          <w:szCs w:val="28"/>
        </w:rPr>
        <w:t xml:space="preserve">, followed by a </w:t>
      </w:r>
      <w:r w:rsidRPr="00F1695D">
        <w:rPr>
          <w:rFonts w:ascii="Avenir Next" w:hAnsi="Avenir Next"/>
          <w:sz w:val="22"/>
          <w:szCs w:val="28"/>
        </w:rPr>
        <w:t>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w:t>
      </w:r>
      <w:r w:rsidRPr="00F1695D">
        <w:rPr>
          <w:rFonts w:ascii="Avenir Next" w:hAnsi="Avenir Next"/>
          <w:sz w:val="22"/>
          <w:szCs w:val="28"/>
        </w:rPr>
        <w:t>a class action litigation was in the US was brewing</w:t>
      </w:r>
      <w:r>
        <w:rPr>
          <w:rFonts w:ascii="Avenir Next" w:hAnsi="Avenir Next"/>
          <w:sz w:val="22"/>
          <w:szCs w:val="28"/>
        </w:rPr>
        <w:t xml:space="preserve"> but has been filed yet. </w:t>
      </w:r>
    </w:p>
    <w:p w14:paraId="36BAA1A4" w14:textId="77777777" w:rsidR="009E3CA7" w:rsidRDefault="009E3CA7" w:rsidP="009E3CA7">
      <w:pPr>
        <w:jc w:val="both"/>
        <w:rPr>
          <w:rFonts w:ascii="Avenir Next" w:hAnsi="Avenir Next"/>
          <w:sz w:val="22"/>
          <w:szCs w:val="28"/>
        </w:rPr>
      </w:pPr>
    </w:p>
    <w:p w14:paraId="43034640" w14:textId="26C8F3D0" w:rsidR="00F231B4" w:rsidRDefault="007E13F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 would enquire with Globe Holdings’ Cayman </w:t>
      </w:r>
      <w:r w:rsidR="008A60A2">
        <w:rPr>
          <w:rFonts w:ascii="Avenir Next" w:hAnsi="Avenir Next"/>
          <w:color w:val="808080" w:themeColor="background1" w:themeShade="80"/>
          <w:sz w:val="22"/>
          <w:szCs w:val="28"/>
        </w:rPr>
        <w:t>counsel (</w:t>
      </w:r>
      <w:r>
        <w:rPr>
          <w:rFonts w:ascii="Avenir Next" w:hAnsi="Avenir Next"/>
          <w:color w:val="808080" w:themeColor="background1" w:themeShade="80"/>
          <w:sz w:val="22"/>
          <w:szCs w:val="28"/>
        </w:rPr>
        <w:t>Cedar and Woods</w:t>
      </w:r>
      <w:r w:rsidR="008A60A2">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on whether the Cayman C</w:t>
      </w:r>
      <w:r w:rsidR="008A60A2">
        <w:rPr>
          <w:rFonts w:ascii="Avenir Next" w:hAnsi="Avenir Next"/>
          <w:color w:val="808080" w:themeColor="background1" w:themeShade="80"/>
          <w:sz w:val="22"/>
          <w:szCs w:val="28"/>
        </w:rPr>
        <w:t xml:space="preserve">ourt has - </w:t>
      </w:r>
      <w:r>
        <w:rPr>
          <w:rFonts w:ascii="Avenir Next" w:hAnsi="Avenir Next"/>
          <w:color w:val="808080" w:themeColor="background1" w:themeShade="80"/>
          <w:sz w:val="22"/>
          <w:szCs w:val="28"/>
        </w:rPr>
        <w:t>in</w:t>
      </w:r>
      <w:r w:rsidR="008A60A2">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its S</w:t>
      </w:r>
      <w:r w:rsidR="008A60A2">
        <w:rPr>
          <w:rFonts w:ascii="Avenir Next" w:hAnsi="Avenir Next"/>
          <w:color w:val="808080" w:themeColor="background1" w:themeShade="80"/>
          <w:sz w:val="22"/>
          <w:szCs w:val="28"/>
        </w:rPr>
        <w:t>anction Order, Convening Order or any earlier order (depending on whe</w:t>
      </w:r>
      <w:r w:rsidR="00483DD4">
        <w:rPr>
          <w:rFonts w:ascii="Avenir Next" w:hAnsi="Avenir Next"/>
          <w:color w:val="808080" w:themeColor="background1" w:themeShade="80"/>
          <w:sz w:val="22"/>
          <w:szCs w:val="28"/>
        </w:rPr>
        <w:t xml:space="preserve">n I was instructed to advise </w:t>
      </w:r>
      <w:r w:rsidR="008A60A2">
        <w:rPr>
          <w:rFonts w:ascii="Avenir Next" w:hAnsi="Avenir Next"/>
          <w:color w:val="808080" w:themeColor="background1" w:themeShade="80"/>
          <w:sz w:val="22"/>
          <w:szCs w:val="28"/>
        </w:rPr>
        <w:t>Globe Holdings in relation to how it should protect its position in the US to support its restructuring in the Cayman Islands through the s</w:t>
      </w:r>
      <w:r w:rsidR="00F231B4">
        <w:rPr>
          <w:rFonts w:ascii="Avenir Next" w:hAnsi="Avenir Next"/>
          <w:color w:val="808080" w:themeColor="background1" w:themeShade="80"/>
          <w:sz w:val="22"/>
          <w:szCs w:val="28"/>
        </w:rPr>
        <w:t>c</w:t>
      </w:r>
      <w:r w:rsidR="008A60A2">
        <w:rPr>
          <w:rFonts w:ascii="Avenir Next" w:hAnsi="Avenir Next"/>
          <w:color w:val="808080" w:themeColor="background1" w:themeShade="80"/>
          <w:sz w:val="22"/>
          <w:szCs w:val="28"/>
        </w:rPr>
        <w:t xml:space="preserve">heme) </w:t>
      </w:r>
      <w:r w:rsidR="00152433">
        <w:rPr>
          <w:rFonts w:ascii="Avenir Next" w:hAnsi="Avenir Next"/>
          <w:color w:val="808080" w:themeColor="background1" w:themeShade="80"/>
          <w:sz w:val="22"/>
          <w:szCs w:val="28"/>
        </w:rPr>
        <w:t>–</w:t>
      </w:r>
      <w:r w:rsidR="008A60A2">
        <w:rPr>
          <w:rFonts w:ascii="Avenir Next" w:hAnsi="Avenir Next"/>
          <w:color w:val="808080" w:themeColor="background1" w:themeShade="80"/>
          <w:sz w:val="22"/>
          <w:szCs w:val="28"/>
        </w:rPr>
        <w:t xml:space="preserve"> </w:t>
      </w:r>
      <w:r w:rsidR="00152433">
        <w:rPr>
          <w:rFonts w:ascii="Avenir Next" w:hAnsi="Avenir Next"/>
          <w:color w:val="808080" w:themeColor="background1" w:themeShade="80"/>
          <w:sz w:val="22"/>
          <w:szCs w:val="28"/>
        </w:rPr>
        <w:t xml:space="preserve">already </w:t>
      </w:r>
      <w:r w:rsidR="008A60A2">
        <w:rPr>
          <w:rFonts w:ascii="Avenir Next" w:hAnsi="Avenir Next"/>
          <w:color w:val="808080" w:themeColor="background1" w:themeShade="80"/>
          <w:sz w:val="22"/>
          <w:szCs w:val="28"/>
        </w:rPr>
        <w:t xml:space="preserve">appointed a foreign representative for the purpose of making an application to a US Bankruptcy Court for the recognition of the scheme proceedings in the Cayman Islands in the US, pursuant to Chapter 15 of the US Bankruptcy Code.  </w:t>
      </w:r>
    </w:p>
    <w:p w14:paraId="263663B8" w14:textId="77777777" w:rsidR="00F231B4" w:rsidRDefault="00F231B4" w:rsidP="009E3CA7">
      <w:pPr>
        <w:jc w:val="both"/>
        <w:rPr>
          <w:rFonts w:ascii="Avenir Next" w:hAnsi="Avenir Next"/>
          <w:color w:val="808080" w:themeColor="background1" w:themeShade="80"/>
          <w:sz w:val="22"/>
          <w:szCs w:val="28"/>
        </w:rPr>
      </w:pPr>
    </w:p>
    <w:p w14:paraId="30D7E6F9" w14:textId="6DC8AB10" w:rsidR="009E3CA7" w:rsidRDefault="008A60A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If I were instructed prior to Globe Holdings’ commencement</w:t>
      </w:r>
      <w:r w:rsidR="00F231B4">
        <w:rPr>
          <w:rFonts w:ascii="Avenir Next" w:hAnsi="Avenir Next"/>
          <w:color w:val="808080" w:themeColor="background1" w:themeShade="80"/>
          <w:sz w:val="22"/>
          <w:szCs w:val="28"/>
        </w:rPr>
        <w:t xml:space="preserve"> of the scheme proceeding by its</w:t>
      </w:r>
      <w:r>
        <w:rPr>
          <w:rFonts w:ascii="Avenir Next" w:hAnsi="Avenir Next"/>
          <w:color w:val="808080" w:themeColor="background1" w:themeShade="80"/>
          <w:sz w:val="22"/>
          <w:szCs w:val="28"/>
        </w:rPr>
        <w:t xml:space="preserve"> application to the Cayman Court </w:t>
      </w:r>
      <w:r w:rsidR="00F231B4">
        <w:rPr>
          <w:rFonts w:ascii="Avenir Next" w:hAnsi="Avenir Next"/>
          <w:color w:val="808080" w:themeColor="background1" w:themeShade="80"/>
          <w:sz w:val="22"/>
          <w:szCs w:val="28"/>
        </w:rPr>
        <w:t xml:space="preserve">for permission to convene the Scheme Meeting, I would advise Globe Holdings to </w:t>
      </w:r>
      <w:r w:rsidR="007F17A2">
        <w:rPr>
          <w:rFonts w:ascii="Avenir Next" w:hAnsi="Avenir Next"/>
          <w:color w:val="808080" w:themeColor="background1" w:themeShade="80"/>
          <w:sz w:val="22"/>
          <w:szCs w:val="28"/>
        </w:rPr>
        <w:t xml:space="preserve">obtain, as soon as possible, an order acknowledging the commencement of the scheme proceeding (such as by an order granting permission to convene the Scheme Meeting) and recording the Cayman Court’s appointment of a foreign representative for the purpose of commencing Chapter 15 recognition proceedings in the US.  </w:t>
      </w:r>
      <w:r w:rsidR="00F231B4">
        <w:rPr>
          <w:rFonts w:ascii="Avenir Next" w:hAnsi="Avenir Next"/>
          <w:color w:val="808080" w:themeColor="background1" w:themeShade="80"/>
          <w:sz w:val="22"/>
          <w:szCs w:val="28"/>
        </w:rPr>
        <w:t xml:space="preserve">  </w:t>
      </w:r>
    </w:p>
    <w:p w14:paraId="24F46B29" w14:textId="77777777" w:rsidR="007068BD" w:rsidRDefault="007068BD" w:rsidP="009E3CA7">
      <w:pPr>
        <w:jc w:val="both"/>
        <w:rPr>
          <w:rFonts w:ascii="Avenir Next" w:hAnsi="Avenir Next"/>
          <w:color w:val="808080" w:themeColor="background1" w:themeShade="80"/>
          <w:sz w:val="22"/>
          <w:szCs w:val="28"/>
        </w:rPr>
      </w:pPr>
    </w:p>
    <w:p w14:paraId="798BEE00" w14:textId="6D9FC278" w:rsidR="00F231B4" w:rsidRDefault="007068B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 would also check with the Cayman counsel whether there are other insolvency proceedings commenced in respect of Globe Holdings, apart from the scheme proceeding commenced in the Cayman Court, as an application for recognition will have to include a statement identifying all foreign proceedings in respect of Globe Holdings that are known to the foreign representative.  </w:t>
      </w:r>
    </w:p>
    <w:p w14:paraId="4110396A" w14:textId="41A0B4C8" w:rsidR="007068BD" w:rsidRDefault="007068BD" w:rsidP="009E3CA7">
      <w:pPr>
        <w:jc w:val="both"/>
        <w:rPr>
          <w:rFonts w:ascii="Avenir Next" w:hAnsi="Avenir Next"/>
          <w:color w:val="808080" w:themeColor="background1" w:themeShade="80"/>
          <w:sz w:val="22"/>
          <w:szCs w:val="28"/>
        </w:rPr>
      </w:pPr>
    </w:p>
    <w:p w14:paraId="4D443585" w14:textId="6A866536" w:rsidR="004A2C23" w:rsidRDefault="004A2C2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above are relevant as the documents that have to be submitted for filing a Chapter 15 application must include: (a) a certified copy of the decision commencing the foreign proceeding and appointing the foreign representative; or (b) a certificate from the foreign court affirming the existence of the foreign proceeding and of the appointment of the foreign representative; or (c) any other evidence acceptable to the court of the existence of the foreign proceeding and of the appointment of the foreign representative.  </w:t>
      </w:r>
    </w:p>
    <w:p w14:paraId="6B3E6447" w14:textId="77777777" w:rsidR="004A2C23" w:rsidRDefault="004A2C23" w:rsidP="009E3CA7">
      <w:pPr>
        <w:jc w:val="both"/>
        <w:rPr>
          <w:rFonts w:ascii="Avenir Next" w:hAnsi="Avenir Next"/>
          <w:color w:val="808080" w:themeColor="background1" w:themeShade="80"/>
          <w:sz w:val="22"/>
          <w:szCs w:val="28"/>
        </w:rPr>
      </w:pPr>
    </w:p>
    <w:p w14:paraId="39E86722" w14:textId="08BCE763" w:rsidR="002259FD" w:rsidRDefault="00F5635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While there are</w:t>
      </w:r>
      <w:r w:rsidR="00152433">
        <w:rPr>
          <w:rFonts w:ascii="Avenir Next" w:hAnsi="Avenir Next"/>
          <w:color w:val="808080" w:themeColor="background1" w:themeShade="80"/>
          <w:sz w:val="22"/>
          <w:szCs w:val="28"/>
        </w:rPr>
        <w:t xml:space="preserve"> concerns that a class action litigation would be commenced in the US, </w:t>
      </w:r>
      <w:r>
        <w:rPr>
          <w:rFonts w:ascii="Avenir Next" w:hAnsi="Avenir Next"/>
          <w:color w:val="808080" w:themeColor="background1" w:themeShade="80"/>
          <w:sz w:val="22"/>
          <w:szCs w:val="28"/>
        </w:rPr>
        <w:t xml:space="preserve">it is unclear whether the class action litigation will be against </w:t>
      </w:r>
      <w:r w:rsidR="0082660C">
        <w:rPr>
          <w:rFonts w:ascii="Avenir Next" w:hAnsi="Avenir Next"/>
          <w:color w:val="808080" w:themeColor="background1" w:themeShade="80"/>
          <w:sz w:val="22"/>
          <w:szCs w:val="28"/>
        </w:rPr>
        <w:t xml:space="preserve">Globe Holdings itself or </w:t>
      </w:r>
      <w:r>
        <w:rPr>
          <w:rFonts w:ascii="Avenir Next" w:hAnsi="Avenir Next"/>
          <w:color w:val="808080" w:themeColor="background1" w:themeShade="80"/>
          <w:sz w:val="22"/>
          <w:szCs w:val="28"/>
        </w:rPr>
        <w:t xml:space="preserve">any of the US subsidiaries of Globe Holdings </w:t>
      </w:r>
      <w:r w:rsidR="0082660C">
        <w:rPr>
          <w:rFonts w:ascii="Avenir Next" w:hAnsi="Avenir Next"/>
          <w:color w:val="808080" w:themeColor="background1" w:themeShade="80"/>
          <w:sz w:val="22"/>
          <w:szCs w:val="28"/>
        </w:rPr>
        <w:t>instead</w:t>
      </w:r>
      <w:r w:rsidR="002259FD">
        <w:rPr>
          <w:rFonts w:ascii="Avenir Next" w:hAnsi="Avenir Next"/>
          <w:color w:val="808080" w:themeColor="background1" w:themeShade="80"/>
          <w:sz w:val="22"/>
          <w:szCs w:val="28"/>
        </w:rPr>
        <w:t>, or what the subject matter of the class action litigation could be.  In this regard, it is noted that Globe Holdings has no business operations of its own, an overwhelming majority of the Noteholders (both in terms of number and value) supported the Scheme, and it is unclear if Globe Holdings has other creditors beyond the Noteholders who may be affected by Globe Holdings’ insolvency. More information on the potential class action litigation and Globe Holdings’</w:t>
      </w:r>
      <w:r w:rsidR="0082660C">
        <w:rPr>
          <w:rFonts w:ascii="Avenir Next" w:hAnsi="Avenir Next"/>
          <w:color w:val="808080" w:themeColor="background1" w:themeShade="80"/>
          <w:sz w:val="22"/>
          <w:szCs w:val="28"/>
        </w:rPr>
        <w:t xml:space="preserve"> possible</w:t>
      </w:r>
      <w:r w:rsidR="002259FD">
        <w:rPr>
          <w:rFonts w:ascii="Avenir Next" w:hAnsi="Avenir Next"/>
          <w:color w:val="808080" w:themeColor="background1" w:themeShade="80"/>
          <w:sz w:val="22"/>
          <w:szCs w:val="28"/>
        </w:rPr>
        <w:t xml:space="preserve"> exposure to the class action litigation is required.</w:t>
      </w:r>
    </w:p>
    <w:p w14:paraId="24BA2837" w14:textId="77777777" w:rsidR="002259FD" w:rsidRDefault="002259FD" w:rsidP="009E3CA7">
      <w:pPr>
        <w:jc w:val="both"/>
        <w:rPr>
          <w:rFonts w:ascii="Avenir Next" w:hAnsi="Avenir Next"/>
          <w:color w:val="808080" w:themeColor="background1" w:themeShade="80"/>
          <w:sz w:val="22"/>
          <w:szCs w:val="28"/>
        </w:rPr>
      </w:pPr>
    </w:p>
    <w:p w14:paraId="24763DAB" w14:textId="5551353C" w:rsidR="007068BD" w:rsidRDefault="002259F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any case, if the potential class action litigation </w:t>
      </w:r>
      <w:r w:rsidR="00152433">
        <w:rPr>
          <w:rFonts w:ascii="Avenir Next" w:hAnsi="Avenir Next"/>
          <w:color w:val="808080" w:themeColor="background1" w:themeShade="80"/>
          <w:sz w:val="22"/>
          <w:szCs w:val="28"/>
        </w:rPr>
        <w:t>could distract the restructuring efforts in the Cayman Islands and dissipate the value of Globe Holdings, I would advise Globe Holdings to commence Chapter 15 recognition proceedings in the US for recognition of the scheme proceeding before the Cayman Court</w:t>
      </w:r>
      <w:r w:rsidR="007068BD">
        <w:rPr>
          <w:rFonts w:ascii="Avenir Next" w:hAnsi="Avenir Next"/>
          <w:color w:val="808080" w:themeColor="background1" w:themeShade="80"/>
          <w:sz w:val="22"/>
          <w:szCs w:val="28"/>
        </w:rPr>
        <w:t xml:space="preserve"> as a foreign main proceeding.  Recognition of the scheme proceeding before the Cayman Court as a foreign main proceeding will automatically give rise to the effects provided under Article 20 of the MLCBI </w:t>
      </w:r>
      <w:r w:rsidR="00763CFE">
        <w:rPr>
          <w:rFonts w:ascii="Avenir Next" w:hAnsi="Avenir Next"/>
          <w:color w:val="808080" w:themeColor="background1" w:themeShade="80"/>
          <w:sz w:val="22"/>
          <w:szCs w:val="28"/>
        </w:rPr>
        <w:t xml:space="preserve">as </w:t>
      </w:r>
      <w:r w:rsidR="007068BD">
        <w:rPr>
          <w:rFonts w:ascii="Avenir Next" w:hAnsi="Avenir Next"/>
          <w:color w:val="808080" w:themeColor="background1" w:themeShade="80"/>
          <w:sz w:val="22"/>
          <w:szCs w:val="28"/>
        </w:rPr>
        <w:t>adopted in Chapter 15 of the US Bankruptcy Code, particularly a stay of commencement or continuation of individual actions or individual proceedings concerning Globe Holdings’ assets, rights, obligations or liabilities.</w:t>
      </w:r>
    </w:p>
    <w:p w14:paraId="27742E84" w14:textId="7471BD52" w:rsidR="002259FD" w:rsidRDefault="002259FD" w:rsidP="009E3CA7">
      <w:pPr>
        <w:jc w:val="both"/>
        <w:rPr>
          <w:rFonts w:ascii="Avenir Next" w:hAnsi="Avenir Next"/>
          <w:color w:val="808080" w:themeColor="background1" w:themeShade="80"/>
          <w:sz w:val="22"/>
          <w:szCs w:val="28"/>
        </w:rPr>
      </w:pPr>
    </w:p>
    <w:p w14:paraId="5613D52C" w14:textId="38838B90" w:rsidR="004E10F7" w:rsidRDefault="002259F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Globe Holdings </w:t>
      </w:r>
      <w:r w:rsidR="0071401E">
        <w:rPr>
          <w:rFonts w:ascii="Avenir Next" w:hAnsi="Avenir Next"/>
          <w:color w:val="808080" w:themeColor="background1" w:themeShade="80"/>
          <w:sz w:val="22"/>
          <w:szCs w:val="28"/>
        </w:rPr>
        <w:t xml:space="preserve">should have </w:t>
      </w:r>
      <w:r>
        <w:rPr>
          <w:rFonts w:ascii="Avenir Next" w:hAnsi="Avenir Next"/>
          <w:color w:val="808080" w:themeColor="background1" w:themeShade="80"/>
          <w:sz w:val="22"/>
          <w:szCs w:val="28"/>
        </w:rPr>
        <w:t xml:space="preserve">a more than even chance of obtaining an order for recognition of the scheme proceeding before the Cayman Court as a foreign main proceeding.  </w:t>
      </w:r>
      <w:r w:rsidR="003D5100">
        <w:rPr>
          <w:rFonts w:ascii="Avenir Next" w:hAnsi="Avenir Next"/>
          <w:color w:val="808080" w:themeColor="background1" w:themeShade="80"/>
          <w:sz w:val="22"/>
          <w:szCs w:val="28"/>
        </w:rPr>
        <w:t xml:space="preserve">The scheme proceeding before the Cayman Court should qualify as a “foreign proceeding” as the scheme proceeding is a collective judicial proceeding in a foreign State (the Cayman Islands), pursuant to a law relating to insolvency in which proceeding the assets and affairs of Globe Holdings are subject to control or supervision by the Cayman Court, for the purpose of reorganization.  </w:t>
      </w:r>
      <w:r w:rsidR="004E10F7">
        <w:rPr>
          <w:rFonts w:ascii="Avenir Next" w:hAnsi="Avenir Next"/>
          <w:color w:val="808080" w:themeColor="background1" w:themeShade="80"/>
          <w:sz w:val="22"/>
          <w:szCs w:val="28"/>
        </w:rPr>
        <w:t xml:space="preserve">The scheme proceeding before the Cayman Court is also a “foreign main proceeding” as the scheme proceeding was commenced in the Cayman Islands, </w:t>
      </w:r>
      <w:r w:rsidR="0071401E">
        <w:rPr>
          <w:rFonts w:ascii="Avenir Next" w:hAnsi="Avenir Next"/>
          <w:color w:val="808080" w:themeColor="background1" w:themeShade="80"/>
          <w:sz w:val="22"/>
          <w:szCs w:val="28"/>
        </w:rPr>
        <w:t>which could reasonably be demonstrated to be the State in which Globe Holdings has</w:t>
      </w:r>
      <w:r w:rsidR="004E10F7">
        <w:rPr>
          <w:rFonts w:ascii="Avenir Next" w:hAnsi="Avenir Next"/>
          <w:color w:val="808080" w:themeColor="background1" w:themeShade="80"/>
          <w:sz w:val="22"/>
          <w:szCs w:val="28"/>
        </w:rPr>
        <w:t xml:space="preserve"> its </w:t>
      </w:r>
      <w:proofErr w:type="spellStart"/>
      <w:r w:rsidR="004E10F7">
        <w:rPr>
          <w:rFonts w:ascii="Avenir Next" w:hAnsi="Avenir Next"/>
          <w:color w:val="808080" w:themeColor="background1" w:themeShade="80"/>
          <w:sz w:val="22"/>
          <w:szCs w:val="28"/>
        </w:rPr>
        <w:t>centre</w:t>
      </w:r>
      <w:proofErr w:type="spellEnd"/>
      <w:r w:rsidR="004E10F7">
        <w:rPr>
          <w:rFonts w:ascii="Avenir Next" w:hAnsi="Avenir Next"/>
          <w:color w:val="808080" w:themeColor="background1" w:themeShade="80"/>
          <w:sz w:val="22"/>
          <w:szCs w:val="28"/>
        </w:rPr>
        <w:t xml:space="preserve"> of main interests (“COMI”</w:t>
      </w:r>
      <w:r w:rsidR="0071401E">
        <w:rPr>
          <w:rFonts w:ascii="Avenir Next" w:hAnsi="Avenir Next"/>
          <w:color w:val="808080" w:themeColor="background1" w:themeShade="80"/>
          <w:sz w:val="22"/>
          <w:szCs w:val="28"/>
        </w:rPr>
        <w:t>)</w:t>
      </w:r>
      <w:r w:rsidR="004E10F7">
        <w:rPr>
          <w:rFonts w:ascii="Avenir Next" w:hAnsi="Avenir Next"/>
          <w:color w:val="808080" w:themeColor="background1" w:themeShade="80"/>
          <w:sz w:val="22"/>
          <w:szCs w:val="28"/>
        </w:rPr>
        <w:t>.</w:t>
      </w:r>
      <w:r w:rsidR="0071401E">
        <w:rPr>
          <w:rFonts w:ascii="Avenir Next" w:hAnsi="Avenir Next"/>
          <w:color w:val="808080" w:themeColor="background1" w:themeShade="80"/>
          <w:sz w:val="22"/>
          <w:szCs w:val="28"/>
        </w:rPr>
        <w:t xml:space="preserve">  </w:t>
      </w:r>
      <w:r w:rsidR="004E10F7">
        <w:rPr>
          <w:rFonts w:ascii="Avenir Next" w:hAnsi="Avenir Next"/>
          <w:color w:val="808080" w:themeColor="background1" w:themeShade="80"/>
          <w:sz w:val="22"/>
          <w:szCs w:val="28"/>
        </w:rPr>
        <w:t xml:space="preserve">  </w:t>
      </w:r>
    </w:p>
    <w:p w14:paraId="1CC316AE" w14:textId="77777777" w:rsidR="004E10F7" w:rsidRDefault="004E10F7" w:rsidP="009E3CA7">
      <w:pPr>
        <w:jc w:val="both"/>
        <w:rPr>
          <w:rFonts w:ascii="Avenir Next" w:hAnsi="Avenir Next"/>
          <w:color w:val="808080" w:themeColor="background1" w:themeShade="80"/>
          <w:sz w:val="22"/>
          <w:szCs w:val="28"/>
        </w:rPr>
      </w:pPr>
    </w:p>
    <w:p w14:paraId="00DCE6A2" w14:textId="2AD971A5" w:rsidR="0071401E" w:rsidRDefault="0071401E" w:rsidP="0071401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First, in the absence of proof to the contrary, Globe Holdings’ registered office in the Cayman Islands is presumed to be the COMI.  In this regard, w</w:t>
      </w:r>
      <w:r w:rsidR="002259FD" w:rsidRPr="0071401E">
        <w:rPr>
          <w:rFonts w:ascii="Avenir Next" w:hAnsi="Avenir Next"/>
          <w:color w:val="808080" w:themeColor="background1" w:themeShade="80"/>
          <w:sz w:val="22"/>
          <w:szCs w:val="28"/>
        </w:rPr>
        <w:t xml:space="preserve">hile Globe Holdings </w:t>
      </w:r>
      <w:r w:rsidR="003D5100" w:rsidRPr="0071401E">
        <w:rPr>
          <w:rFonts w:ascii="Avenir Next" w:hAnsi="Avenir Next"/>
          <w:color w:val="808080" w:themeColor="background1" w:themeShade="80"/>
          <w:sz w:val="22"/>
          <w:szCs w:val="28"/>
        </w:rPr>
        <w:t xml:space="preserve">was originally incorporated in Canada in 2009, it was re-incorporated in the Cayman Islands just a year later (in 2010).  </w:t>
      </w:r>
      <w:r>
        <w:rPr>
          <w:rFonts w:ascii="Avenir Next" w:hAnsi="Avenir Next"/>
          <w:color w:val="808080" w:themeColor="background1" w:themeShade="80"/>
          <w:sz w:val="22"/>
          <w:szCs w:val="28"/>
        </w:rPr>
        <w:t xml:space="preserve">Globe Holdings also provided various notices of its re-incorporation, including in the public filings with the SEC.  </w:t>
      </w:r>
    </w:p>
    <w:p w14:paraId="72E9867A" w14:textId="3943B196" w:rsidR="0071401E" w:rsidRPr="0071401E" w:rsidRDefault="0071401E" w:rsidP="0071401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Globe Holdings also maintains its books and records in the Cayman Islands.  </w:t>
      </w:r>
    </w:p>
    <w:p w14:paraId="534A80DE" w14:textId="13CE5E1F" w:rsidR="0071401E" w:rsidRDefault="001F2596" w:rsidP="0071401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a financial service holding company, </w:t>
      </w:r>
      <w:r w:rsidR="0071401E">
        <w:rPr>
          <w:rFonts w:ascii="Avenir Next" w:hAnsi="Avenir Next"/>
          <w:color w:val="808080" w:themeColor="background1" w:themeShade="80"/>
          <w:sz w:val="22"/>
          <w:szCs w:val="28"/>
        </w:rPr>
        <w:t xml:space="preserve">Globe Holdings does not have business </w:t>
      </w:r>
      <w:r>
        <w:rPr>
          <w:rFonts w:ascii="Avenir Next" w:hAnsi="Avenir Next"/>
          <w:color w:val="808080" w:themeColor="background1" w:themeShade="80"/>
          <w:sz w:val="22"/>
          <w:szCs w:val="28"/>
        </w:rPr>
        <w:t>operations of its own.  However, i</w:t>
      </w:r>
      <w:r w:rsidR="0071401E">
        <w:rPr>
          <w:rFonts w:ascii="Avenir Next" w:hAnsi="Avenir Next"/>
          <w:color w:val="808080" w:themeColor="background1" w:themeShade="80"/>
          <w:sz w:val="22"/>
          <w:szCs w:val="28"/>
        </w:rPr>
        <w:t xml:space="preserve">t is significant that </w:t>
      </w:r>
      <w:r w:rsidR="00F65C35">
        <w:rPr>
          <w:rFonts w:ascii="Avenir Next" w:hAnsi="Avenir Next"/>
          <w:color w:val="808080" w:themeColor="background1" w:themeShade="80"/>
          <w:sz w:val="22"/>
          <w:szCs w:val="28"/>
        </w:rPr>
        <w:t>the restructuring that Globe Holdings seeks is an extension of the maturity of the Notes and flexibility to pay quarterly interest “in kind”, and that</w:t>
      </w:r>
      <w:r w:rsidR="00F65C35" w:rsidRPr="00F65C35">
        <w:rPr>
          <w:rFonts w:ascii="Avenir Next" w:hAnsi="Avenir Next"/>
          <w:color w:val="808080" w:themeColor="background1" w:themeShade="80"/>
          <w:sz w:val="22"/>
          <w:szCs w:val="28"/>
        </w:rPr>
        <w:t xml:space="preserve"> </w:t>
      </w:r>
      <w:r w:rsidR="00F65C35">
        <w:rPr>
          <w:rFonts w:ascii="Avenir Next" w:hAnsi="Avenir Next"/>
          <w:color w:val="808080" w:themeColor="background1" w:themeShade="80"/>
          <w:sz w:val="22"/>
          <w:szCs w:val="28"/>
        </w:rPr>
        <w:t xml:space="preserve">the creditors with whom Globe Holdings seeks to be bound to the scheme comprise only the Noteholders.  </w:t>
      </w:r>
      <w:r>
        <w:rPr>
          <w:rFonts w:ascii="Avenir Next" w:hAnsi="Avenir Next"/>
          <w:color w:val="808080" w:themeColor="background1" w:themeShade="80"/>
          <w:sz w:val="22"/>
          <w:szCs w:val="28"/>
        </w:rPr>
        <w:t xml:space="preserve">In this regard, it is noted that Globe Holdings’ public filings with the SEC as well as the prospectus provided in connection with the issuance of the Notes show that Globe Holdings is a Cayman Islands company.  </w:t>
      </w:r>
    </w:p>
    <w:p w14:paraId="6EFD936A" w14:textId="48777737" w:rsidR="00963779" w:rsidRDefault="00963779" w:rsidP="0071401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above shows that Globe Holdings’ COMI in the Cayman Islands is readily ascertainable by its creditors. In this regard, it is also relevant that the expectations of the largest Noteholders were that any restructuring of Globe Holdings would take place in the Cayman Islands.  </w:t>
      </w:r>
    </w:p>
    <w:p w14:paraId="717FFAE0" w14:textId="77777777" w:rsidR="00963779" w:rsidRDefault="00963779" w:rsidP="009E3CA7">
      <w:pPr>
        <w:jc w:val="both"/>
        <w:rPr>
          <w:rFonts w:ascii="Avenir Next" w:hAnsi="Avenir Next"/>
          <w:color w:val="808080" w:themeColor="background1" w:themeShade="80"/>
          <w:sz w:val="22"/>
          <w:szCs w:val="28"/>
        </w:rPr>
      </w:pPr>
    </w:p>
    <w:p w14:paraId="49DE27CD" w14:textId="641D9F0C" w:rsidR="00F231B4" w:rsidRDefault="00A37C1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 for whether any relief should be requested “on day one of the filing”, </w:t>
      </w:r>
      <w:r w:rsidR="00763CFE">
        <w:rPr>
          <w:rFonts w:ascii="Avenir Next" w:hAnsi="Avenir Next"/>
          <w:color w:val="808080" w:themeColor="background1" w:themeShade="80"/>
          <w:sz w:val="22"/>
          <w:szCs w:val="28"/>
        </w:rPr>
        <w:t xml:space="preserve">I would advise Globe Holdings </w:t>
      </w:r>
      <w:r>
        <w:rPr>
          <w:rFonts w:ascii="Avenir Next" w:hAnsi="Avenir Next"/>
          <w:color w:val="808080" w:themeColor="background1" w:themeShade="80"/>
          <w:sz w:val="22"/>
          <w:szCs w:val="28"/>
        </w:rPr>
        <w:t xml:space="preserve">to consider seeking, pursuant to Article 19 of the MLCBI as adopted in the US, an interim stay of commencement or continuation of individual actions or individual proceedings against Globe Holdings when the Chapter 15 application is made. </w:t>
      </w:r>
      <w:r w:rsidR="004A2C23">
        <w:rPr>
          <w:rFonts w:ascii="Avenir Next" w:hAnsi="Avenir Next"/>
          <w:color w:val="808080" w:themeColor="background1" w:themeShade="80"/>
          <w:sz w:val="22"/>
          <w:szCs w:val="28"/>
        </w:rPr>
        <w:t>While not expressly included in Article 19, such an interim relief should be available as it does not appear that the reliefs enumerated in Article 19 are intended to be exhaustive.</w:t>
      </w:r>
    </w:p>
    <w:p w14:paraId="59D3BC5D" w14:textId="2DE1ED40" w:rsidR="004A2C23" w:rsidRDefault="004A2C23" w:rsidP="009E3CA7">
      <w:pPr>
        <w:jc w:val="both"/>
        <w:rPr>
          <w:rFonts w:ascii="Avenir Next" w:hAnsi="Avenir Next"/>
          <w:color w:val="808080" w:themeColor="background1" w:themeShade="80"/>
          <w:sz w:val="22"/>
          <w:szCs w:val="28"/>
        </w:rPr>
      </w:pPr>
    </w:p>
    <w:p w14:paraId="1863C4B9" w14:textId="3F5F15E2" w:rsidR="008F083C" w:rsidRDefault="008F083C" w:rsidP="008F083C">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Further and/or in the alternative, Globe Ho</w:t>
      </w:r>
      <w:r w:rsidR="002C5502">
        <w:rPr>
          <w:rFonts w:ascii="Avenir Next" w:hAnsi="Avenir Next"/>
          <w:color w:val="808080" w:themeColor="background1" w:themeShade="80"/>
          <w:sz w:val="22"/>
          <w:szCs w:val="28"/>
        </w:rPr>
        <w:t>ldings may also consider the option of having</w:t>
      </w:r>
      <w:r>
        <w:rPr>
          <w:rFonts w:ascii="Avenir Next" w:hAnsi="Avenir Next"/>
          <w:color w:val="808080" w:themeColor="background1" w:themeShade="80"/>
          <w:sz w:val="22"/>
          <w:szCs w:val="28"/>
        </w:rPr>
        <w:t xml:space="preserve"> the foreign representative appointed by the Cayman Court </w:t>
      </w:r>
      <w:r w:rsidR="002C5502">
        <w:rPr>
          <w:rFonts w:ascii="Avenir Next" w:hAnsi="Avenir Next"/>
          <w:color w:val="808080" w:themeColor="background1" w:themeShade="80"/>
          <w:sz w:val="22"/>
          <w:szCs w:val="28"/>
        </w:rPr>
        <w:t>c</w:t>
      </w:r>
      <w:r>
        <w:rPr>
          <w:rFonts w:ascii="Avenir Next" w:hAnsi="Avenir Next"/>
          <w:color w:val="808080" w:themeColor="background1" w:themeShade="80"/>
          <w:sz w:val="22"/>
          <w:szCs w:val="28"/>
        </w:rPr>
        <w:t>ommence proceedings under Chapter 11 of the US Bankruptcy Code, which has the automatic effect of giving rise to a moratorium against the commencement of proceedings against Globe Holdings from the point of filing of the Chapter 11 application.  The foreign representative is able to do so because of Article 11 of the MLCBI as adopted in the US.  The foreign representative should be able to point to the New York law governed Restructuring Support Agreement (RSA) underpinning the scheme in the Cayman Islands as a connecting factor for a US court to be seized of jurisdiction over the Chapter 11 proceedings. This strategy works to provide Globe Holdings an interim measure of staving off any potential litigation in the US</w:t>
      </w:r>
      <w:r w:rsidR="00353ACE">
        <w:rPr>
          <w:rFonts w:ascii="Avenir Next" w:hAnsi="Avenir Next"/>
          <w:color w:val="808080" w:themeColor="background1" w:themeShade="80"/>
          <w:sz w:val="22"/>
          <w:szCs w:val="28"/>
        </w:rPr>
        <w:t>, pending determination of the Chapter 15 application, including any application for interim relief under Article 19 of the MLCBI as adopted in the US</w:t>
      </w:r>
      <w:r>
        <w:rPr>
          <w:rFonts w:ascii="Avenir Next" w:hAnsi="Avenir Next"/>
          <w:color w:val="808080" w:themeColor="background1" w:themeShade="80"/>
          <w:sz w:val="22"/>
          <w:szCs w:val="28"/>
        </w:rPr>
        <w:t xml:space="preserve">.  </w:t>
      </w:r>
    </w:p>
    <w:p w14:paraId="7A74D1F0" w14:textId="77777777" w:rsidR="00763CFE" w:rsidRPr="00710C24" w:rsidRDefault="00763CFE" w:rsidP="009E3CA7">
      <w:pPr>
        <w:jc w:val="both"/>
        <w:rPr>
          <w:rFonts w:ascii="Avenir Next" w:hAnsi="Avenir Next"/>
          <w:color w:val="808080" w:themeColor="background1" w:themeShade="80"/>
          <w:sz w:val="22"/>
          <w:szCs w:val="28"/>
        </w:rPr>
      </w:pPr>
    </w:p>
    <w:p w14:paraId="0CF7B602" w14:textId="0F4B9EC6" w:rsidR="0077498C" w:rsidRPr="00A70BBC" w:rsidRDefault="00C606C3" w:rsidP="0077498C">
      <w:pPr>
        <w:jc w:val="center"/>
        <w:rPr>
          <w:rFonts w:ascii="Avenir Next Demi Bold" w:hAnsi="Avenir Next Demi Bold" w:cs="Arial"/>
          <w:b/>
          <w:bCs/>
          <w:sz w:val="22"/>
          <w:szCs w:val="22"/>
          <w:lang w:val="en-GB"/>
        </w:rPr>
      </w:pPr>
      <w:bookmarkStart w:id="5" w:name="_GoBack"/>
      <w:bookmarkEnd w:id="1"/>
      <w:bookmarkEnd w:id="5"/>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159B7" w14:textId="77777777" w:rsidR="007F73DD" w:rsidRDefault="007F73DD" w:rsidP="00241B44">
      <w:r>
        <w:separator/>
      </w:r>
    </w:p>
  </w:endnote>
  <w:endnote w:type="continuationSeparator" w:id="0">
    <w:p w14:paraId="5BD06864" w14:textId="77777777" w:rsidR="007F73DD" w:rsidRDefault="007F73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8A60A2" w:rsidRDefault="008A60A2"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8A60A2" w:rsidRDefault="008A60A2" w:rsidP="00A70BB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8A60A2" w:rsidRPr="000300E0" w:rsidRDefault="008A60A2" w:rsidP="008A60A2">
    <w:pPr>
      <w:pStyle w:val="Footer"/>
      <w:framePr w:wrap="none" w:vAnchor="text" w:hAnchor="margin" w:xAlign="right" w:y="1"/>
      <w:rPr>
        <w:rStyle w:val="PageNumber"/>
        <w:rFonts w:ascii="Avenir Next" w:hAnsi="Avenir Next"/>
        <w:sz w:val="22"/>
        <w:szCs w:val="22"/>
      </w:rPr>
    </w:pPr>
  </w:p>
  <w:p w14:paraId="6BA38AA4" w14:textId="0591D1DD" w:rsidR="008A60A2" w:rsidRDefault="008A60A2" w:rsidP="000300E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8A60A2" w:rsidRDefault="008A60A2" w:rsidP="008A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8A60A2" w:rsidRPr="000300E0" w:rsidRDefault="008A60A2" w:rsidP="000300E0">
    <w:pPr>
      <w:pStyle w:val="Footer"/>
      <w:ind w:right="360"/>
      <w:rPr>
        <w:rFonts w:ascii="Avenir Next" w:hAnsi="Avenir Next" w:cs="Arial"/>
        <w:sz w:val="22"/>
        <w:szCs w:val="22"/>
      </w:rPr>
    </w:pPr>
  </w:p>
  <w:p w14:paraId="01028C96" w14:textId="77777777" w:rsidR="008A60A2" w:rsidRDefault="008A60A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2887607B" w:rsidR="008A60A2" w:rsidRPr="00B46CE2" w:rsidRDefault="008A60A2" w:rsidP="000300E0">
    <w:pPr>
      <w:pStyle w:val="Footer"/>
      <w:ind w:right="360"/>
      <w:rPr>
        <w:rFonts w:ascii="Avenir Next" w:hAnsi="Avenir Next"/>
        <w:sz w:val="22"/>
        <w:szCs w:val="22"/>
      </w:rPr>
    </w:pPr>
    <w:r>
      <w:rPr>
        <w:rFonts w:ascii="Avenir Next" w:hAnsi="Avenir Next"/>
        <w:sz w:val="22"/>
        <w:szCs w:val="22"/>
      </w:rPr>
      <w:t>FC202324-1412</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49D2C5C" w:rsidR="008A60A2" w:rsidRPr="000300E0" w:rsidRDefault="008A60A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D445A5">
          <w:rPr>
            <w:rStyle w:val="PageNumber"/>
            <w:rFonts w:ascii="Avenir Next" w:hAnsi="Avenir Next"/>
            <w:noProof/>
            <w:sz w:val="22"/>
            <w:szCs w:val="22"/>
          </w:rPr>
          <w:t>13</w:t>
        </w:r>
        <w:r w:rsidRPr="000300E0">
          <w:rPr>
            <w:rStyle w:val="PageNumber"/>
            <w:rFonts w:ascii="Avenir Next" w:hAnsi="Avenir Next"/>
            <w:sz w:val="22"/>
            <w:szCs w:val="22"/>
          </w:rPr>
          <w:fldChar w:fldCharType="end"/>
        </w:r>
      </w:p>
    </w:sdtContent>
  </w:sdt>
  <w:p w14:paraId="4C5B12BE" w14:textId="77777777" w:rsidR="008A60A2" w:rsidRPr="000300E0" w:rsidRDefault="008A60A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8A60A2" w:rsidRDefault="008A60A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2D24" w14:textId="77777777" w:rsidR="007F73DD" w:rsidRDefault="007F73DD" w:rsidP="00241B44">
      <w:r>
        <w:separator/>
      </w:r>
    </w:p>
  </w:footnote>
  <w:footnote w:type="continuationSeparator" w:id="0">
    <w:p w14:paraId="0B18839A" w14:textId="77777777" w:rsidR="007F73DD" w:rsidRDefault="007F73DD"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094A3B"/>
    <w:multiLevelType w:val="hybridMultilevel"/>
    <w:tmpl w:val="FE36FD6C"/>
    <w:lvl w:ilvl="0" w:tplc="A696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6"/>
  </w:num>
  <w:num w:numId="3">
    <w:abstractNumId w:val="2"/>
  </w:num>
  <w:num w:numId="4">
    <w:abstractNumId w:val="17"/>
  </w:num>
  <w:num w:numId="5">
    <w:abstractNumId w:val="16"/>
  </w:num>
  <w:num w:numId="6">
    <w:abstractNumId w:val="15"/>
  </w:num>
  <w:num w:numId="7">
    <w:abstractNumId w:val="4"/>
  </w:num>
  <w:num w:numId="8">
    <w:abstractNumId w:val="5"/>
  </w:num>
  <w:num w:numId="9">
    <w:abstractNumId w:val="11"/>
  </w:num>
  <w:num w:numId="10">
    <w:abstractNumId w:val="10"/>
  </w:num>
  <w:num w:numId="11">
    <w:abstractNumId w:val="3"/>
  </w:num>
  <w:num w:numId="12">
    <w:abstractNumId w:val="8"/>
  </w:num>
  <w:num w:numId="13">
    <w:abstractNumId w:val="9"/>
  </w:num>
  <w:num w:numId="14">
    <w:abstractNumId w:val="1"/>
  </w:num>
  <w:num w:numId="15">
    <w:abstractNumId w:val="0"/>
  </w:num>
  <w:num w:numId="16">
    <w:abstractNumId w:val="7"/>
  </w:num>
  <w:num w:numId="17">
    <w:abstractNumId w:val="14"/>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4C8"/>
    <w:rsid w:val="00037621"/>
    <w:rsid w:val="00044D46"/>
    <w:rsid w:val="00045088"/>
    <w:rsid w:val="00045904"/>
    <w:rsid w:val="000464F7"/>
    <w:rsid w:val="0005141D"/>
    <w:rsid w:val="00060E02"/>
    <w:rsid w:val="00065166"/>
    <w:rsid w:val="00067A88"/>
    <w:rsid w:val="00070B92"/>
    <w:rsid w:val="00073474"/>
    <w:rsid w:val="00074946"/>
    <w:rsid w:val="00077D49"/>
    <w:rsid w:val="00082609"/>
    <w:rsid w:val="00083359"/>
    <w:rsid w:val="00083B38"/>
    <w:rsid w:val="000851CC"/>
    <w:rsid w:val="00093BE8"/>
    <w:rsid w:val="000A68ED"/>
    <w:rsid w:val="000B4FEB"/>
    <w:rsid w:val="000B5FF1"/>
    <w:rsid w:val="000B609F"/>
    <w:rsid w:val="000C11AD"/>
    <w:rsid w:val="000C147F"/>
    <w:rsid w:val="000C4920"/>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2A3B"/>
    <w:rsid w:val="001374D8"/>
    <w:rsid w:val="00140E0A"/>
    <w:rsid w:val="0014171F"/>
    <w:rsid w:val="0014622C"/>
    <w:rsid w:val="00151F58"/>
    <w:rsid w:val="00152348"/>
    <w:rsid w:val="00152433"/>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533"/>
    <w:rsid w:val="001A7E9A"/>
    <w:rsid w:val="001B0F70"/>
    <w:rsid w:val="001B5016"/>
    <w:rsid w:val="001C0188"/>
    <w:rsid w:val="001C45FC"/>
    <w:rsid w:val="001D02C5"/>
    <w:rsid w:val="001D03DF"/>
    <w:rsid w:val="001D4862"/>
    <w:rsid w:val="001E25B9"/>
    <w:rsid w:val="001E49E0"/>
    <w:rsid w:val="001E60C3"/>
    <w:rsid w:val="001E7B5A"/>
    <w:rsid w:val="001F2596"/>
    <w:rsid w:val="001F7412"/>
    <w:rsid w:val="00200FDD"/>
    <w:rsid w:val="00201874"/>
    <w:rsid w:val="00202133"/>
    <w:rsid w:val="0020264E"/>
    <w:rsid w:val="0020725B"/>
    <w:rsid w:val="00207991"/>
    <w:rsid w:val="002175BA"/>
    <w:rsid w:val="0022599E"/>
    <w:rsid w:val="002259FD"/>
    <w:rsid w:val="00227C5E"/>
    <w:rsid w:val="002305E8"/>
    <w:rsid w:val="0023198D"/>
    <w:rsid w:val="0023317E"/>
    <w:rsid w:val="00234F2C"/>
    <w:rsid w:val="00240B0E"/>
    <w:rsid w:val="0024116D"/>
    <w:rsid w:val="00241B44"/>
    <w:rsid w:val="00245EFB"/>
    <w:rsid w:val="00250E19"/>
    <w:rsid w:val="0025386E"/>
    <w:rsid w:val="002539D7"/>
    <w:rsid w:val="0025479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B3E20"/>
    <w:rsid w:val="002C13C8"/>
    <w:rsid w:val="002C3547"/>
    <w:rsid w:val="002C5502"/>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4A5B"/>
    <w:rsid w:val="00326292"/>
    <w:rsid w:val="00326415"/>
    <w:rsid w:val="00330937"/>
    <w:rsid w:val="00330F31"/>
    <w:rsid w:val="0033442A"/>
    <w:rsid w:val="00334648"/>
    <w:rsid w:val="0033768C"/>
    <w:rsid w:val="00337938"/>
    <w:rsid w:val="00340769"/>
    <w:rsid w:val="00341AA6"/>
    <w:rsid w:val="00342459"/>
    <w:rsid w:val="003427B9"/>
    <w:rsid w:val="00346B16"/>
    <w:rsid w:val="00353ACE"/>
    <w:rsid w:val="00357664"/>
    <w:rsid w:val="00361A0A"/>
    <w:rsid w:val="0036565C"/>
    <w:rsid w:val="0036625E"/>
    <w:rsid w:val="0036760B"/>
    <w:rsid w:val="0037465A"/>
    <w:rsid w:val="00374747"/>
    <w:rsid w:val="0037544E"/>
    <w:rsid w:val="00380BAB"/>
    <w:rsid w:val="00382C98"/>
    <w:rsid w:val="0038533C"/>
    <w:rsid w:val="00386568"/>
    <w:rsid w:val="00387106"/>
    <w:rsid w:val="003876CC"/>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D5100"/>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19DA"/>
    <w:rsid w:val="0047025B"/>
    <w:rsid w:val="00483DD4"/>
    <w:rsid w:val="00491675"/>
    <w:rsid w:val="00493855"/>
    <w:rsid w:val="0049508F"/>
    <w:rsid w:val="004A171E"/>
    <w:rsid w:val="004A2C23"/>
    <w:rsid w:val="004A57DD"/>
    <w:rsid w:val="004A7B51"/>
    <w:rsid w:val="004A7D71"/>
    <w:rsid w:val="004A7EF3"/>
    <w:rsid w:val="004B11FD"/>
    <w:rsid w:val="004B23A2"/>
    <w:rsid w:val="004C4E97"/>
    <w:rsid w:val="004D1A5A"/>
    <w:rsid w:val="004D2FFF"/>
    <w:rsid w:val="004D3721"/>
    <w:rsid w:val="004D64F9"/>
    <w:rsid w:val="004E0549"/>
    <w:rsid w:val="004E10F7"/>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47A0"/>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3CD2"/>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8BD"/>
    <w:rsid w:val="00706AD5"/>
    <w:rsid w:val="007074E9"/>
    <w:rsid w:val="00707FC8"/>
    <w:rsid w:val="00713DA4"/>
    <w:rsid w:val="0071401E"/>
    <w:rsid w:val="00714BF1"/>
    <w:rsid w:val="00721383"/>
    <w:rsid w:val="0072554C"/>
    <w:rsid w:val="00725911"/>
    <w:rsid w:val="00731DBD"/>
    <w:rsid w:val="007333CC"/>
    <w:rsid w:val="0073399A"/>
    <w:rsid w:val="00751F66"/>
    <w:rsid w:val="007603F5"/>
    <w:rsid w:val="00763CFE"/>
    <w:rsid w:val="00764DB0"/>
    <w:rsid w:val="00766F8A"/>
    <w:rsid w:val="0076764D"/>
    <w:rsid w:val="0077498C"/>
    <w:rsid w:val="00777183"/>
    <w:rsid w:val="00784128"/>
    <w:rsid w:val="00784B4B"/>
    <w:rsid w:val="007854ED"/>
    <w:rsid w:val="00793173"/>
    <w:rsid w:val="007B3AC7"/>
    <w:rsid w:val="007B497A"/>
    <w:rsid w:val="007B76E8"/>
    <w:rsid w:val="007C1FCC"/>
    <w:rsid w:val="007C32A8"/>
    <w:rsid w:val="007C3FE5"/>
    <w:rsid w:val="007C6201"/>
    <w:rsid w:val="007C6988"/>
    <w:rsid w:val="007D28A1"/>
    <w:rsid w:val="007D7C92"/>
    <w:rsid w:val="007E1154"/>
    <w:rsid w:val="007E13FB"/>
    <w:rsid w:val="007E6BA4"/>
    <w:rsid w:val="007E7678"/>
    <w:rsid w:val="007F17A2"/>
    <w:rsid w:val="007F41F8"/>
    <w:rsid w:val="007F60D0"/>
    <w:rsid w:val="007F73DD"/>
    <w:rsid w:val="0080454E"/>
    <w:rsid w:val="00804C32"/>
    <w:rsid w:val="00806302"/>
    <w:rsid w:val="00807119"/>
    <w:rsid w:val="00812AFE"/>
    <w:rsid w:val="00817D57"/>
    <w:rsid w:val="00822764"/>
    <w:rsid w:val="008241C4"/>
    <w:rsid w:val="0082483F"/>
    <w:rsid w:val="008264CB"/>
    <w:rsid w:val="0082660C"/>
    <w:rsid w:val="008279C0"/>
    <w:rsid w:val="0083280B"/>
    <w:rsid w:val="00835FD1"/>
    <w:rsid w:val="0084683C"/>
    <w:rsid w:val="008512FA"/>
    <w:rsid w:val="00853A74"/>
    <w:rsid w:val="00857763"/>
    <w:rsid w:val="00860E61"/>
    <w:rsid w:val="00867A8F"/>
    <w:rsid w:val="00870CD1"/>
    <w:rsid w:val="008723F3"/>
    <w:rsid w:val="00881DE6"/>
    <w:rsid w:val="008837A6"/>
    <w:rsid w:val="0089145D"/>
    <w:rsid w:val="00893A03"/>
    <w:rsid w:val="008A0C6E"/>
    <w:rsid w:val="008A46CF"/>
    <w:rsid w:val="008A4DF2"/>
    <w:rsid w:val="008A60A2"/>
    <w:rsid w:val="008A6CFE"/>
    <w:rsid w:val="008A7470"/>
    <w:rsid w:val="008B1A08"/>
    <w:rsid w:val="008B2DE3"/>
    <w:rsid w:val="008B5333"/>
    <w:rsid w:val="008B6223"/>
    <w:rsid w:val="008C66E0"/>
    <w:rsid w:val="008E2DFA"/>
    <w:rsid w:val="008E3339"/>
    <w:rsid w:val="008E549B"/>
    <w:rsid w:val="008F083C"/>
    <w:rsid w:val="008F18EF"/>
    <w:rsid w:val="008F20FC"/>
    <w:rsid w:val="008F2B24"/>
    <w:rsid w:val="008F5FFE"/>
    <w:rsid w:val="0090421A"/>
    <w:rsid w:val="00905A43"/>
    <w:rsid w:val="009064BD"/>
    <w:rsid w:val="00907DC2"/>
    <w:rsid w:val="00912C79"/>
    <w:rsid w:val="009260A2"/>
    <w:rsid w:val="009344C1"/>
    <w:rsid w:val="00942123"/>
    <w:rsid w:val="00951031"/>
    <w:rsid w:val="0095207B"/>
    <w:rsid w:val="00954461"/>
    <w:rsid w:val="00956085"/>
    <w:rsid w:val="00957951"/>
    <w:rsid w:val="00962045"/>
    <w:rsid w:val="00963779"/>
    <w:rsid w:val="00967EDA"/>
    <w:rsid w:val="00970897"/>
    <w:rsid w:val="0097337E"/>
    <w:rsid w:val="00980314"/>
    <w:rsid w:val="009816D0"/>
    <w:rsid w:val="00991428"/>
    <w:rsid w:val="00992676"/>
    <w:rsid w:val="00996691"/>
    <w:rsid w:val="0099758C"/>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35CA"/>
    <w:rsid w:val="00A047EE"/>
    <w:rsid w:val="00A114EA"/>
    <w:rsid w:val="00A153F7"/>
    <w:rsid w:val="00A2274A"/>
    <w:rsid w:val="00A235B7"/>
    <w:rsid w:val="00A27A7A"/>
    <w:rsid w:val="00A37C16"/>
    <w:rsid w:val="00A407EF"/>
    <w:rsid w:val="00A46B4C"/>
    <w:rsid w:val="00A5117B"/>
    <w:rsid w:val="00A54000"/>
    <w:rsid w:val="00A54689"/>
    <w:rsid w:val="00A60074"/>
    <w:rsid w:val="00A6627C"/>
    <w:rsid w:val="00A6649C"/>
    <w:rsid w:val="00A70BBC"/>
    <w:rsid w:val="00A71019"/>
    <w:rsid w:val="00A727E3"/>
    <w:rsid w:val="00A81029"/>
    <w:rsid w:val="00A83CB5"/>
    <w:rsid w:val="00A865A7"/>
    <w:rsid w:val="00A953DD"/>
    <w:rsid w:val="00A96489"/>
    <w:rsid w:val="00AA3A42"/>
    <w:rsid w:val="00AA5311"/>
    <w:rsid w:val="00AA7BAA"/>
    <w:rsid w:val="00AB685C"/>
    <w:rsid w:val="00AB6C2D"/>
    <w:rsid w:val="00AC08F7"/>
    <w:rsid w:val="00AC2AEF"/>
    <w:rsid w:val="00AC3839"/>
    <w:rsid w:val="00AC7082"/>
    <w:rsid w:val="00AD0E59"/>
    <w:rsid w:val="00AD3FEA"/>
    <w:rsid w:val="00AD7BBD"/>
    <w:rsid w:val="00AF228E"/>
    <w:rsid w:val="00AF302B"/>
    <w:rsid w:val="00AF5D20"/>
    <w:rsid w:val="00B02FFE"/>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13A7"/>
    <w:rsid w:val="00BA47C5"/>
    <w:rsid w:val="00BA6A8B"/>
    <w:rsid w:val="00BB0F2B"/>
    <w:rsid w:val="00BD0D57"/>
    <w:rsid w:val="00BD23DD"/>
    <w:rsid w:val="00BE1A50"/>
    <w:rsid w:val="00BF50F7"/>
    <w:rsid w:val="00C00111"/>
    <w:rsid w:val="00C02F29"/>
    <w:rsid w:val="00C10C13"/>
    <w:rsid w:val="00C17111"/>
    <w:rsid w:val="00C20747"/>
    <w:rsid w:val="00C20AFE"/>
    <w:rsid w:val="00C22A25"/>
    <w:rsid w:val="00C23B79"/>
    <w:rsid w:val="00C23BBC"/>
    <w:rsid w:val="00C33D50"/>
    <w:rsid w:val="00C35239"/>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3C59"/>
    <w:rsid w:val="00C841ED"/>
    <w:rsid w:val="00C85F17"/>
    <w:rsid w:val="00C8712A"/>
    <w:rsid w:val="00C91324"/>
    <w:rsid w:val="00C914F7"/>
    <w:rsid w:val="00C952FE"/>
    <w:rsid w:val="00C95CDA"/>
    <w:rsid w:val="00C963D3"/>
    <w:rsid w:val="00CA6E0D"/>
    <w:rsid w:val="00CB1B58"/>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37FFB"/>
    <w:rsid w:val="00D444C5"/>
    <w:rsid w:val="00D445A5"/>
    <w:rsid w:val="00D45AEA"/>
    <w:rsid w:val="00D5244F"/>
    <w:rsid w:val="00D52E4F"/>
    <w:rsid w:val="00D5340B"/>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2535"/>
    <w:rsid w:val="00DC3089"/>
    <w:rsid w:val="00DC4420"/>
    <w:rsid w:val="00DD0339"/>
    <w:rsid w:val="00DD0802"/>
    <w:rsid w:val="00DD0A50"/>
    <w:rsid w:val="00DD2E11"/>
    <w:rsid w:val="00DE03AF"/>
    <w:rsid w:val="00DE121C"/>
    <w:rsid w:val="00DE2A27"/>
    <w:rsid w:val="00DE3705"/>
    <w:rsid w:val="00DE4048"/>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606"/>
    <w:rsid w:val="00E61C42"/>
    <w:rsid w:val="00E6302B"/>
    <w:rsid w:val="00E6452F"/>
    <w:rsid w:val="00E64619"/>
    <w:rsid w:val="00E64F45"/>
    <w:rsid w:val="00E6742D"/>
    <w:rsid w:val="00E717DD"/>
    <w:rsid w:val="00E71CB0"/>
    <w:rsid w:val="00E73529"/>
    <w:rsid w:val="00E77C3D"/>
    <w:rsid w:val="00E82E22"/>
    <w:rsid w:val="00E84C9F"/>
    <w:rsid w:val="00E850FE"/>
    <w:rsid w:val="00E909F0"/>
    <w:rsid w:val="00E90D47"/>
    <w:rsid w:val="00E93993"/>
    <w:rsid w:val="00E9597C"/>
    <w:rsid w:val="00EA0913"/>
    <w:rsid w:val="00EA0A2F"/>
    <w:rsid w:val="00EA6D31"/>
    <w:rsid w:val="00EB146B"/>
    <w:rsid w:val="00EB45AC"/>
    <w:rsid w:val="00EB52CD"/>
    <w:rsid w:val="00EC2AEA"/>
    <w:rsid w:val="00EC7B11"/>
    <w:rsid w:val="00EC7F95"/>
    <w:rsid w:val="00ED0BC4"/>
    <w:rsid w:val="00ED3771"/>
    <w:rsid w:val="00ED4AB7"/>
    <w:rsid w:val="00ED6A32"/>
    <w:rsid w:val="00EE4971"/>
    <w:rsid w:val="00EF090E"/>
    <w:rsid w:val="00F033DA"/>
    <w:rsid w:val="00F067ED"/>
    <w:rsid w:val="00F11AAB"/>
    <w:rsid w:val="00F13FB1"/>
    <w:rsid w:val="00F1695D"/>
    <w:rsid w:val="00F17BC1"/>
    <w:rsid w:val="00F17C87"/>
    <w:rsid w:val="00F20272"/>
    <w:rsid w:val="00F21789"/>
    <w:rsid w:val="00F223E7"/>
    <w:rsid w:val="00F2288D"/>
    <w:rsid w:val="00F231B4"/>
    <w:rsid w:val="00F25779"/>
    <w:rsid w:val="00F26954"/>
    <w:rsid w:val="00F2750A"/>
    <w:rsid w:val="00F27CD8"/>
    <w:rsid w:val="00F30351"/>
    <w:rsid w:val="00F31EE9"/>
    <w:rsid w:val="00F3323E"/>
    <w:rsid w:val="00F341F4"/>
    <w:rsid w:val="00F34F9D"/>
    <w:rsid w:val="00F35CCE"/>
    <w:rsid w:val="00F51EE5"/>
    <w:rsid w:val="00F55241"/>
    <w:rsid w:val="00F5524B"/>
    <w:rsid w:val="00F56356"/>
    <w:rsid w:val="00F60538"/>
    <w:rsid w:val="00F61DD2"/>
    <w:rsid w:val="00F6523A"/>
    <w:rsid w:val="00F65C35"/>
    <w:rsid w:val="00F665F8"/>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45B"/>
    <w:rsid w:val="00FD36C5"/>
    <w:rsid w:val="00FD428C"/>
    <w:rsid w:val="00FD6310"/>
    <w:rsid w:val="00FD74F6"/>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7F89-2BB5-47D5-84B8-F61A56D4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13</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ISS user</cp:lastModifiedBy>
  <cp:revision>46</cp:revision>
  <cp:lastPrinted>2019-08-27T05:42:00Z</cp:lastPrinted>
  <dcterms:created xsi:type="dcterms:W3CDTF">2024-02-25T10:15:00Z</dcterms:created>
  <dcterms:modified xsi:type="dcterms:W3CDTF">2024-02-28T03:36:00Z</dcterms:modified>
</cp:coreProperties>
</file>