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A5342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976F4"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6976F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6976F4"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6976F4">
        <w:rPr>
          <w:rFonts w:ascii="Avenir Next" w:hAnsi="Avenir Next" w:cs="Arial"/>
          <w:sz w:val="22"/>
          <w:szCs w:val="22"/>
          <w:highlight w:val="yellow"/>
          <w:lang w:val="en-GB"/>
        </w:rPr>
        <w:t>Options (</w:t>
      </w:r>
      <w:proofErr w:type="spellStart"/>
      <w:r w:rsidRPr="006976F4">
        <w:rPr>
          <w:rFonts w:ascii="Avenir Next" w:hAnsi="Avenir Next" w:cs="Arial"/>
          <w:sz w:val="22"/>
          <w:szCs w:val="22"/>
          <w:highlight w:val="yellow"/>
          <w:lang w:val="en-GB"/>
        </w:rPr>
        <w:t>i</w:t>
      </w:r>
      <w:proofErr w:type="spellEnd"/>
      <w:r w:rsidRPr="006976F4">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6976F4"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6976F4">
        <w:rPr>
          <w:rFonts w:ascii="Avenir Next" w:hAnsi="Avenir Next" w:cs="Arial"/>
          <w:sz w:val="22"/>
          <w:szCs w:val="22"/>
          <w:highlight w:val="yellow"/>
          <w:lang w:val="en-GB"/>
        </w:rPr>
        <w:t>Options (</w:t>
      </w:r>
      <w:proofErr w:type="spellStart"/>
      <w:r w:rsidRPr="006976F4">
        <w:rPr>
          <w:rFonts w:ascii="Avenir Next" w:hAnsi="Avenir Next" w:cs="Arial"/>
          <w:sz w:val="22"/>
          <w:szCs w:val="22"/>
          <w:highlight w:val="yellow"/>
          <w:lang w:val="en-GB"/>
        </w:rPr>
        <w:t>i</w:t>
      </w:r>
      <w:proofErr w:type="spellEnd"/>
      <w:r w:rsidRPr="006976F4">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C4199A"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C4199A">
        <w:rPr>
          <w:rFonts w:ascii="Avenir Next" w:hAnsi="Avenir Next" w:cs="Arial"/>
          <w:sz w:val="22"/>
          <w:szCs w:val="22"/>
          <w:highlight w:val="yellow"/>
          <w:lang w:val="en-GB"/>
        </w:rPr>
        <w:t>Options (</w:t>
      </w:r>
      <w:proofErr w:type="spellStart"/>
      <w:r w:rsidRPr="00C4199A">
        <w:rPr>
          <w:rFonts w:ascii="Avenir Next" w:hAnsi="Avenir Next" w:cs="Arial"/>
          <w:sz w:val="22"/>
          <w:szCs w:val="22"/>
          <w:highlight w:val="yellow"/>
          <w:lang w:val="en-GB"/>
        </w:rPr>
        <w:t>i</w:t>
      </w:r>
      <w:proofErr w:type="spellEnd"/>
      <w:r w:rsidRPr="00C4199A">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C4199A"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C4199A">
        <w:rPr>
          <w:rFonts w:ascii="Avenir Next" w:hAnsi="Avenir Next" w:cs="Arial"/>
          <w:sz w:val="22"/>
          <w:szCs w:val="22"/>
          <w:highlight w:val="yellow"/>
          <w:lang w:val="en-GB"/>
        </w:rPr>
        <w:t>Options (</w:t>
      </w:r>
      <w:proofErr w:type="spellStart"/>
      <w:r w:rsidRPr="00C4199A">
        <w:rPr>
          <w:rFonts w:ascii="Avenir Next" w:hAnsi="Avenir Next" w:cs="Arial"/>
          <w:sz w:val="22"/>
          <w:szCs w:val="22"/>
          <w:highlight w:val="yellow"/>
          <w:lang w:val="en-GB"/>
        </w:rPr>
        <w:t>i</w:t>
      </w:r>
      <w:proofErr w:type="spellEnd"/>
      <w:r w:rsidRPr="00C4199A">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C4199A"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C4199A">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4199A"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C4199A">
        <w:rPr>
          <w:rFonts w:ascii="Avenir Next" w:hAnsi="Avenir Next" w:cs="Arial"/>
          <w:sz w:val="22"/>
          <w:szCs w:val="22"/>
          <w:highlight w:val="yellow"/>
          <w:lang w:val="en-GB"/>
        </w:rPr>
        <w:t>Options (</w:t>
      </w:r>
      <w:proofErr w:type="spellStart"/>
      <w:r w:rsidRPr="00C4199A">
        <w:rPr>
          <w:rFonts w:ascii="Avenir Next" w:hAnsi="Avenir Next" w:cs="Arial"/>
          <w:sz w:val="22"/>
          <w:szCs w:val="22"/>
          <w:highlight w:val="yellow"/>
          <w:lang w:val="en-GB"/>
        </w:rPr>
        <w:t>i</w:t>
      </w:r>
      <w:proofErr w:type="spellEnd"/>
      <w:r w:rsidRPr="00C4199A">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4199A"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C4199A">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2E2240D8" w14:textId="77777777" w:rsidR="009A58D1" w:rsidRPr="00074E4B" w:rsidRDefault="009A58D1" w:rsidP="009A58D1">
      <w:pPr>
        <w:jc w:val="both"/>
        <w:rPr>
          <w:rFonts w:ascii="Avenir Next" w:hAnsi="Avenir Next"/>
          <w:sz w:val="22"/>
          <w:szCs w:val="28"/>
        </w:rPr>
      </w:pPr>
    </w:p>
    <w:p w14:paraId="5524B526" w14:textId="77777777" w:rsidR="001A1172" w:rsidRDefault="001A1172" w:rsidP="002E5E84">
      <w:pPr>
        <w:jc w:val="both"/>
        <w:rPr>
          <w:rFonts w:ascii="Avenir Next" w:hAnsi="Avenir Next"/>
          <w:sz w:val="22"/>
          <w:szCs w:val="28"/>
        </w:rPr>
      </w:pPr>
      <w:r w:rsidRPr="002E5E84">
        <w:rPr>
          <w:rFonts w:ascii="Avenir Next" w:hAnsi="Avenir Next"/>
          <w:sz w:val="22"/>
          <w:szCs w:val="28"/>
        </w:rPr>
        <w:t xml:space="preserve">In the event of the following concurrent proceedings, indicate the </w:t>
      </w:r>
      <w:r w:rsidRPr="002E5E84">
        <w:rPr>
          <w:rFonts w:ascii="Avenir Next Demi Bold" w:hAnsi="Avenir Next Demi Bold"/>
          <w:sz w:val="22"/>
          <w:szCs w:val="28"/>
          <w:u w:val="single"/>
        </w:rPr>
        <w:t>order of the proceedings</w:t>
      </w:r>
      <w:r w:rsidRPr="002E5E84">
        <w:rPr>
          <w:rFonts w:ascii="Avenir Next" w:hAnsi="Avenir Next"/>
          <w:sz w:val="22"/>
          <w:szCs w:val="28"/>
        </w:rPr>
        <w:t xml:space="preserve"> in terms of their hierarchy / primacy:</w:t>
      </w:r>
    </w:p>
    <w:p w14:paraId="2913466F" w14:textId="77777777" w:rsidR="002E5E84" w:rsidRPr="002E5E84" w:rsidRDefault="002E5E84" w:rsidP="002E5E84">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E5E84"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2E5E84">
        <w:rPr>
          <w:rFonts w:ascii="Avenir Next" w:hAnsi="Avenir Next" w:cs="Arial"/>
          <w:sz w:val="22"/>
          <w:szCs w:val="22"/>
          <w:highlight w:val="yellow"/>
          <w:lang w:val="en-GB"/>
        </w:rPr>
        <w:t>Options (iii), (</w:t>
      </w:r>
      <w:proofErr w:type="spellStart"/>
      <w:r w:rsidRPr="002E5E84">
        <w:rPr>
          <w:rFonts w:ascii="Avenir Next" w:hAnsi="Avenir Next" w:cs="Arial"/>
          <w:sz w:val="22"/>
          <w:szCs w:val="22"/>
          <w:highlight w:val="yellow"/>
          <w:lang w:val="en-GB"/>
        </w:rPr>
        <w:t>i</w:t>
      </w:r>
      <w:proofErr w:type="spellEnd"/>
      <w:r w:rsidRPr="002E5E84">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lastRenderedPageBreak/>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64BC1"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F64BC1">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FC16E13" w14:textId="77777777" w:rsidR="00B260E5" w:rsidRDefault="00F64BC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Model Law is </w:t>
      </w:r>
      <w:r w:rsidR="00EB49F1">
        <w:rPr>
          <w:rFonts w:ascii="Avenir Next" w:hAnsi="Avenir Next" w:cs="Arial"/>
          <w:color w:val="808080" w:themeColor="background1" w:themeShade="80"/>
          <w:sz w:val="22"/>
          <w:szCs w:val="22"/>
          <w:lang w:val="en-GB"/>
        </w:rPr>
        <w:t>global</w:t>
      </w:r>
      <w:r>
        <w:rPr>
          <w:rFonts w:ascii="Avenir Next" w:hAnsi="Avenir Next" w:cs="Arial"/>
          <w:color w:val="808080" w:themeColor="background1" w:themeShade="80"/>
          <w:sz w:val="22"/>
          <w:szCs w:val="22"/>
          <w:lang w:val="en-GB"/>
        </w:rPr>
        <w:t xml:space="preserve"> in scope and not limited to a single geographical area. It is also more flexible than the EIR </w:t>
      </w:r>
      <w:r w:rsidR="00EB49F1">
        <w:rPr>
          <w:rFonts w:ascii="Avenir Next" w:hAnsi="Avenir Next" w:cs="Arial"/>
          <w:color w:val="808080" w:themeColor="background1" w:themeShade="80"/>
          <w:sz w:val="22"/>
          <w:szCs w:val="22"/>
          <w:lang w:val="en-GB"/>
        </w:rPr>
        <w:t>in the sense</w:t>
      </w:r>
      <w:r>
        <w:rPr>
          <w:rFonts w:ascii="Avenir Next" w:hAnsi="Avenir Next" w:cs="Arial"/>
          <w:color w:val="808080" w:themeColor="background1" w:themeShade="80"/>
          <w:sz w:val="22"/>
          <w:szCs w:val="22"/>
          <w:lang w:val="en-GB"/>
        </w:rPr>
        <w:t xml:space="preserve"> that it reflects merely a recommended default legislative text governing </w:t>
      </w:r>
      <w:r w:rsidR="00EB49F1">
        <w:rPr>
          <w:rFonts w:ascii="Avenir Next" w:hAnsi="Avenir Next" w:cs="Arial"/>
          <w:color w:val="808080" w:themeColor="background1" w:themeShade="80"/>
          <w:sz w:val="22"/>
          <w:szCs w:val="22"/>
          <w:lang w:val="en-GB"/>
        </w:rPr>
        <w:t xml:space="preserve">some aspects of </w:t>
      </w:r>
      <w:r>
        <w:rPr>
          <w:rFonts w:ascii="Avenir Next" w:hAnsi="Avenir Next" w:cs="Arial"/>
          <w:color w:val="808080" w:themeColor="background1" w:themeShade="80"/>
          <w:sz w:val="22"/>
          <w:szCs w:val="22"/>
          <w:lang w:val="en-GB"/>
        </w:rPr>
        <w:t>cross border</w:t>
      </w:r>
      <w:r w:rsidR="003830B0">
        <w:rPr>
          <w:rFonts w:ascii="Avenir Next" w:hAnsi="Avenir Next" w:cs="Arial"/>
          <w:color w:val="808080" w:themeColor="background1" w:themeShade="80"/>
          <w:sz w:val="22"/>
          <w:szCs w:val="22"/>
          <w:lang w:val="en-GB"/>
        </w:rPr>
        <w:t xml:space="preserve"> </w:t>
      </w:r>
      <w:r w:rsidR="00EB49F1">
        <w:rPr>
          <w:rFonts w:ascii="Avenir Next" w:hAnsi="Avenir Next" w:cs="Arial"/>
          <w:color w:val="808080" w:themeColor="background1" w:themeShade="80"/>
          <w:sz w:val="22"/>
          <w:szCs w:val="22"/>
          <w:lang w:val="en-GB"/>
        </w:rPr>
        <w:t xml:space="preserve">insolvency </w:t>
      </w:r>
      <w:r w:rsidR="003830B0">
        <w:rPr>
          <w:rFonts w:ascii="Avenir Next" w:hAnsi="Avenir Next" w:cs="Arial"/>
          <w:color w:val="808080" w:themeColor="background1" w:themeShade="80"/>
          <w:sz w:val="22"/>
          <w:szCs w:val="22"/>
          <w:lang w:val="en-GB"/>
        </w:rPr>
        <w:t>and permits deviation by individual states owing to their individual circumstances</w:t>
      </w:r>
      <w:r>
        <w:rPr>
          <w:rFonts w:ascii="Avenir Next" w:hAnsi="Avenir Next" w:cs="Arial"/>
          <w:color w:val="808080" w:themeColor="background1" w:themeShade="80"/>
          <w:sz w:val="22"/>
          <w:szCs w:val="22"/>
          <w:lang w:val="en-GB"/>
        </w:rPr>
        <w:t xml:space="preserve">. </w:t>
      </w:r>
    </w:p>
    <w:p w14:paraId="1FF47A03" w14:textId="77777777" w:rsidR="00B260E5" w:rsidRDefault="00B260E5" w:rsidP="00707FC8">
      <w:pPr>
        <w:ind w:left="720" w:hanging="720"/>
        <w:jc w:val="both"/>
        <w:rPr>
          <w:rFonts w:ascii="Avenir Next" w:hAnsi="Avenir Next" w:cs="Arial"/>
          <w:color w:val="808080" w:themeColor="background1" w:themeShade="80"/>
          <w:sz w:val="22"/>
          <w:szCs w:val="22"/>
          <w:lang w:val="en-GB"/>
        </w:rPr>
      </w:pPr>
    </w:p>
    <w:p w14:paraId="0147B9AD" w14:textId="77777777" w:rsidR="00B260E5" w:rsidRDefault="00EB49F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in contrast, is focused on the EU. The</w:t>
      </w:r>
      <w:r w:rsidR="00F64BC1">
        <w:rPr>
          <w:rFonts w:ascii="Avenir Next" w:hAnsi="Avenir Next" w:cs="Arial"/>
          <w:color w:val="808080" w:themeColor="background1" w:themeShade="80"/>
          <w:sz w:val="22"/>
          <w:szCs w:val="22"/>
          <w:lang w:val="en-GB"/>
        </w:rPr>
        <w:t xml:space="preserve"> benefit of the EIR is that upon adoption, it directly becomes part of the domestic law of each EU member state</w:t>
      </w:r>
      <w:r>
        <w:rPr>
          <w:rFonts w:ascii="Avenir Next" w:hAnsi="Avenir Next" w:cs="Arial"/>
          <w:color w:val="808080" w:themeColor="background1" w:themeShade="80"/>
          <w:sz w:val="22"/>
          <w:szCs w:val="22"/>
          <w:lang w:val="en-GB"/>
        </w:rPr>
        <w:t xml:space="preserve"> and is therefore prescriptive, uniform, and consistent;</w:t>
      </w:r>
      <w:r w:rsidR="00F64BC1">
        <w:rPr>
          <w:rFonts w:ascii="Avenir Next" w:hAnsi="Avenir Next" w:cs="Arial"/>
          <w:color w:val="808080" w:themeColor="background1" w:themeShade="80"/>
          <w:sz w:val="22"/>
          <w:szCs w:val="22"/>
          <w:lang w:val="en-GB"/>
        </w:rPr>
        <w:t xml:space="preserve"> whereas the Model Law requires each state to act to adopt and incorporate the model text into its domestic legislation</w:t>
      </w:r>
      <w:r w:rsidR="003830B0">
        <w:rPr>
          <w:rFonts w:ascii="Avenir Next" w:hAnsi="Avenir Next" w:cs="Arial"/>
          <w:color w:val="808080" w:themeColor="background1" w:themeShade="80"/>
          <w:sz w:val="22"/>
          <w:szCs w:val="22"/>
          <w:lang w:val="en-GB"/>
        </w:rPr>
        <w:t xml:space="preserve"> – which takes a long time and </w:t>
      </w:r>
      <w:r>
        <w:rPr>
          <w:rFonts w:ascii="Avenir Next" w:hAnsi="Avenir Next" w:cs="Arial"/>
          <w:color w:val="808080" w:themeColor="background1" w:themeShade="80"/>
          <w:sz w:val="22"/>
          <w:szCs w:val="22"/>
          <w:lang w:val="en-GB"/>
        </w:rPr>
        <w:t>will likely</w:t>
      </w:r>
      <w:r w:rsidR="003830B0">
        <w:rPr>
          <w:rFonts w:ascii="Avenir Next" w:hAnsi="Avenir Next" w:cs="Arial"/>
          <w:color w:val="808080" w:themeColor="background1" w:themeShade="80"/>
          <w:sz w:val="22"/>
          <w:szCs w:val="22"/>
          <w:lang w:val="en-GB"/>
        </w:rPr>
        <w:t xml:space="preserve"> result in piecemeal global adoption rates</w:t>
      </w:r>
      <w:r w:rsidR="00F64BC1">
        <w:rPr>
          <w:rFonts w:ascii="Avenir Next" w:hAnsi="Avenir Next" w:cs="Arial"/>
          <w:color w:val="808080" w:themeColor="background1" w:themeShade="80"/>
          <w:sz w:val="22"/>
          <w:szCs w:val="22"/>
          <w:lang w:val="en-GB"/>
        </w:rPr>
        <w:t xml:space="preserve">.  </w:t>
      </w:r>
    </w:p>
    <w:p w14:paraId="2D204CD9" w14:textId="77777777" w:rsidR="00B260E5" w:rsidRDefault="00B260E5" w:rsidP="00707FC8">
      <w:pPr>
        <w:ind w:left="720" w:hanging="720"/>
        <w:jc w:val="both"/>
        <w:rPr>
          <w:rFonts w:ascii="Avenir Next" w:hAnsi="Avenir Next" w:cs="Arial"/>
          <w:color w:val="808080" w:themeColor="background1" w:themeShade="80"/>
          <w:sz w:val="22"/>
          <w:szCs w:val="22"/>
          <w:lang w:val="en-GB"/>
        </w:rPr>
      </w:pPr>
    </w:p>
    <w:p w14:paraId="654B0E66" w14:textId="29A5B0DC" w:rsidR="00CB56CE" w:rsidRPr="00B77352" w:rsidRDefault="00B260E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Owing to these differences in the politics underlying the promulgation of each set of rules, there are also substantive differences in their approaches to resolving cross border insolvency. For instance, under the EIR, recognition of a foreign EU proceeding is automatic, whereas under the Model Law this requires an application to the court of the enacting state.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78D4DF4C" w14:textId="41C53BDF" w:rsidR="000B7A67" w:rsidRDefault="000B7A67" w:rsidP="00707FC8">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t xml:space="preserve">The most obvious answer is that it depends on whether the foreign proceeding in relation to which relief is sought is a foreign main or non-main proceeding. </w:t>
      </w:r>
    </w:p>
    <w:p w14:paraId="77A8CBF3" w14:textId="77777777" w:rsidR="000B7A67" w:rsidRDefault="000B7A67" w:rsidP="00707FC8">
      <w:pPr>
        <w:ind w:left="720" w:hanging="720"/>
        <w:jc w:val="both"/>
        <w:rPr>
          <w:rFonts w:ascii="Avenir Next" w:hAnsi="Avenir Next" w:cs="Arial"/>
          <w:color w:val="808080" w:themeColor="background1" w:themeShade="80"/>
          <w:sz w:val="22"/>
          <w:szCs w:val="22"/>
          <w:lang w:eastAsia="zh-CN"/>
        </w:rPr>
      </w:pPr>
    </w:p>
    <w:p w14:paraId="21FE5681" w14:textId="198753DC" w:rsidR="00A20379" w:rsidRDefault="00A20379" w:rsidP="00707FC8">
      <w:pPr>
        <w:ind w:left="720" w:hanging="720"/>
        <w:jc w:val="both"/>
        <w:rPr>
          <w:rFonts w:ascii="Avenir Next" w:hAnsi="Avenir Next" w:cs="Arial"/>
          <w:color w:val="808080" w:themeColor="background1" w:themeShade="80"/>
          <w:sz w:val="22"/>
          <w:szCs w:val="22"/>
          <w:lang w:eastAsia="zh-CN"/>
        </w:rPr>
      </w:pPr>
      <w:r w:rsidRPr="00A20379">
        <w:rPr>
          <w:rFonts w:ascii="Avenir Next" w:hAnsi="Avenir Next" w:cs="Arial"/>
          <w:color w:val="808080" w:themeColor="background1" w:themeShade="80"/>
          <w:sz w:val="22"/>
          <w:szCs w:val="22"/>
          <w:lang w:eastAsia="zh-CN"/>
        </w:rPr>
        <w:t xml:space="preserve"> </w:t>
      </w:r>
      <w:r>
        <w:rPr>
          <w:rFonts w:ascii="Avenir Next" w:hAnsi="Avenir Next" w:cs="Arial"/>
          <w:color w:val="808080" w:themeColor="background1" w:themeShade="80"/>
          <w:sz w:val="22"/>
          <w:szCs w:val="22"/>
          <w:lang w:eastAsia="zh-CN"/>
        </w:rPr>
        <w:t>In terms of the text of Art 21, sub-provision (2) provides a statutory pre-condition that t</w:t>
      </w:r>
      <w:r w:rsidRPr="00A20379">
        <w:rPr>
          <w:rFonts w:ascii="Avenir Next" w:hAnsi="Avenir Next" w:cs="Arial"/>
          <w:color w:val="808080" w:themeColor="background1" w:themeShade="80"/>
          <w:sz w:val="22"/>
          <w:szCs w:val="22"/>
          <w:lang w:eastAsia="zh-CN"/>
        </w:rPr>
        <w:t xml:space="preserve">he </w:t>
      </w:r>
      <w:r>
        <w:rPr>
          <w:rFonts w:ascii="Avenir Next" w:hAnsi="Avenir Next" w:cs="Arial"/>
          <w:color w:val="808080" w:themeColor="background1" w:themeShade="80"/>
          <w:sz w:val="22"/>
          <w:szCs w:val="22"/>
          <w:lang w:eastAsia="zh-CN"/>
        </w:rPr>
        <w:t>“</w:t>
      </w:r>
      <w:r w:rsidRPr="00A20379">
        <w:rPr>
          <w:rFonts w:ascii="Avenir Next" w:hAnsi="Avenir Next" w:cs="Arial"/>
          <w:color w:val="808080" w:themeColor="background1" w:themeShade="80"/>
          <w:sz w:val="22"/>
          <w:szCs w:val="22"/>
          <w:lang w:eastAsia="zh-CN"/>
        </w:rPr>
        <w:t>court is satisfied that the interests of creditors in this State are adequately protected</w:t>
      </w:r>
      <w:r>
        <w:rPr>
          <w:rFonts w:ascii="Avenir Next" w:hAnsi="Avenir Next" w:cs="Arial"/>
          <w:color w:val="808080" w:themeColor="background1" w:themeShade="80"/>
          <w:sz w:val="22"/>
          <w:szCs w:val="22"/>
          <w:lang w:eastAsia="zh-CN"/>
        </w:rPr>
        <w:t xml:space="preserve">”. If the recognized proceeding is a foreign non-main proceeding, then </w:t>
      </w:r>
      <w:r w:rsidR="00A900AE">
        <w:rPr>
          <w:rFonts w:ascii="Avenir Next" w:hAnsi="Avenir Next" w:cs="Arial"/>
          <w:color w:val="808080" w:themeColor="background1" w:themeShade="80"/>
          <w:sz w:val="22"/>
          <w:szCs w:val="22"/>
          <w:lang w:eastAsia="zh-CN"/>
        </w:rPr>
        <w:t xml:space="preserve">the court must ensure that the relief relates to property that should be administered by, or concerns information relating to, that </w:t>
      </w:r>
      <w:r w:rsidR="00A900AE">
        <w:rPr>
          <w:rFonts w:ascii="Avenir Next" w:hAnsi="Avenir Next" w:cs="Arial"/>
          <w:color w:val="808080" w:themeColor="background1" w:themeShade="80"/>
          <w:sz w:val="22"/>
          <w:szCs w:val="22"/>
          <w:lang w:eastAsia="zh-CN"/>
        </w:rPr>
        <w:t>foreign proceeding</w:t>
      </w:r>
      <w:r w:rsidR="00A900AE">
        <w:rPr>
          <w:rFonts w:ascii="Avenir Next" w:hAnsi="Avenir Next" w:cs="Arial"/>
          <w:color w:val="808080" w:themeColor="background1" w:themeShade="80"/>
          <w:sz w:val="22"/>
          <w:szCs w:val="22"/>
          <w:lang w:eastAsia="zh-CN"/>
        </w:rPr>
        <w:t xml:space="preserve">. </w:t>
      </w:r>
    </w:p>
    <w:p w14:paraId="5C0D105F" w14:textId="77777777" w:rsidR="00A20379" w:rsidRDefault="00A20379" w:rsidP="00707FC8">
      <w:pPr>
        <w:ind w:left="720" w:hanging="720"/>
        <w:jc w:val="both"/>
        <w:rPr>
          <w:rFonts w:ascii="Avenir Next" w:hAnsi="Avenir Next" w:cs="Arial"/>
          <w:color w:val="808080" w:themeColor="background1" w:themeShade="80"/>
          <w:sz w:val="22"/>
          <w:szCs w:val="22"/>
          <w:lang w:eastAsia="zh-CN"/>
        </w:rPr>
      </w:pPr>
    </w:p>
    <w:p w14:paraId="4BCF9AD1" w14:textId="77777777" w:rsidR="00B16BEE" w:rsidRDefault="00A20379" w:rsidP="00707FC8">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lastRenderedPageBreak/>
        <w:t xml:space="preserve">Case law </w:t>
      </w:r>
      <w:r w:rsidR="00A900AE">
        <w:rPr>
          <w:rFonts w:ascii="Avenir Next" w:hAnsi="Avenir Next" w:cs="Arial"/>
          <w:color w:val="808080" w:themeColor="background1" w:themeShade="80"/>
          <w:sz w:val="22"/>
          <w:szCs w:val="22"/>
          <w:lang w:eastAsia="zh-CN"/>
        </w:rPr>
        <w:t xml:space="preserve">suggests that the Court has different considerations depending on the type of the relief sought. For instance, if the relief sought is a moratorium, then what is important is creditor support (Re </w:t>
      </w:r>
      <w:proofErr w:type="spellStart"/>
      <w:r w:rsidR="00A900AE">
        <w:rPr>
          <w:rFonts w:ascii="Avenir Next" w:hAnsi="Avenir Next" w:cs="Arial"/>
          <w:color w:val="808080" w:themeColor="background1" w:themeShade="80"/>
          <w:sz w:val="22"/>
          <w:szCs w:val="22"/>
          <w:lang w:eastAsia="zh-CN"/>
        </w:rPr>
        <w:t>Im</w:t>
      </w:r>
      <w:proofErr w:type="spellEnd"/>
      <w:r w:rsidR="00A900AE">
        <w:rPr>
          <w:rFonts w:ascii="Avenir Next" w:hAnsi="Avenir Next" w:cs="Arial"/>
          <w:color w:val="808080" w:themeColor="background1" w:themeShade="80"/>
          <w:sz w:val="22"/>
          <w:szCs w:val="22"/>
          <w:lang w:eastAsia="zh-CN"/>
        </w:rPr>
        <w:t xml:space="preserve"> </w:t>
      </w:r>
      <w:proofErr w:type="spellStart"/>
      <w:r w:rsidR="00A900AE">
        <w:rPr>
          <w:rFonts w:ascii="Avenir Next" w:hAnsi="Avenir Next" w:cs="Arial"/>
          <w:color w:val="808080" w:themeColor="background1" w:themeShade="80"/>
          <w:sz w:val="22"/>
          <w:szCs w:val="22"/>
          <w:lang w:eastAsia="zh-CN"/>
        </w:rPr>
        <w:t>Skaugen</w:t>
      </w:r>
      <w:proofErr w:type="spellEnd"/>
      <w:r w:rsidR="00A900AE">
        <w:rPr>
          <w:rFonts w:ascii="Avenir Next" w:hAnsi="Avenir Next" w:cs="Arial"/>
          <w:color w:val="808080" w:themeColor="background1" w:themeShade="80"/>
          <w:sz w:val="22"/>
          <w:szCs w:val="22"/>
          <w:lang w:eastAsia="zh-CN"/>
        </w:rPr>
        <w:t xml:space="preserve"> SE [2019] 3 SLR 979). </w:t>
      </w:r>
      <w:r w:rsidR="00670EA3">
        <w:rPr>
          <w:rFonts w:ascii="Avenir Next" w:hAnsi="Avenir Next" w:cs="Arial"/>
          <w:color w:val="808080" w:themeColor="background1" w:themeShade="80"/>
          <w:sz w:val="22"/>
          <w:szCs w:val="22"/>
          <w:lang w:eastAsia="zh-CN"/>
        </w:rPr>
        <w:t xml:space="preserve">The court will frequently also require a minimum level of disclosure by the debtor of the foreign restructuring plan, and whether there is a realistic prospect of the plan working as intended. </w:t>
      </w:r>
    </w:p>
    <w:p w14:paraId="3A71CC8E" w14:textId="77777777" w:rsidR="00B16BEE" w:rsidRDefault="00B16BEE" w:rsidP="00707FC8">
      <w:pPr>
        <w:ind w:left="720" w:hanging="720"/>
        <w:jc w:val="both"/>
        <w:rPr>
          <w:rFonts w:ascii="Avenir Next" w:hAnsi="Avenir Next" w:cs="Arial"/>
          <w:color w:val="808080" w:themeColor="background1" w:themeShade="80"/>
          <w:sz w:val="22"/>
          <w:szCs w:val="22"/>
          <w:lang w:eastAsia="zh-CN"/>
        </w:rPr>
      </w:pPr>
    </w:p>
    <w:p w14:paraId="61701DD3" w14:textId="32E5CB51" w:rsidR="00867A8F" w:rsidRPr="00A20379" w:rsidRDefault="00670EA3" w:rsidP="00707FC8">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t>I</w:t>
      </w:r>
      <w:r w:rsidR="00A900AE">
        <w:rPr>
          <w:rFonts w:ascii="Avenir Next" w:hAnsi="Avenir Next" w:cs="Arial"/>
          <w:color w:val="808080" w:themeColor="background1" w:themeShade="80"/>
          <w:sz w:val="22"/>
          <w:szCs w:val="22"/>
          <w:lang w:eastAsia="zh-CN"/>
        </w:rPr>
        <w:t xml:space="preserve">n a more generic sense, the </w:t>
      </w:r>
      <w:r w:rsidR="00A20379">
        <w:rPr>
          <w:rFonts w:ascii="Avenir Next" w:hAnsi="Avenir Next" w:cs="Arial"/>
          <w:color w:val="808080" w:themeColor="background1" w:themeShade="80"/>
          <w:sz w:val="22"/>
          <w:szCs w:val="22"/>
          <w:lang w:eastAsia="zh-CN"/>
        </w:rPr>
        <w:t>court’s primary consideratio</w:t>
      </w:r>
      <w:r w:rsidR="00A900AE">
        <w:rPr>
          <w:rFonts w:ascii="Avenir Next" w:hAnsi="Avenir Next" w:cs="Arial"/>
          <w:color w:val="808080" w:themeColor="background1" w:themeShade="80"/>
          <w:sz w:val="22"/>
          <w:szCs w:val="22"/>
          <w:lang w:eastAsia="zh-CN"/>
        </w:rPr>
        <w:t xml:space="preserve">n will always be </w:t>
      </w:r>
      <w:r w:rsidR="00A20379">
        <w:rPr>
          <w:rFonts w:ascii="Avenir Next" w:hAnsi="Avenir Next" w:cs="Arial"/>
          <w:color w:val="808080" w:themeColor="background1" w:themeShade="80"/>
          <w:sz w:val="22"/>
          <w:szCs w:val="22"/>
          <w:lang w:eastAsia="zh-CN"/>
        </w:rPr>
        <w:t xml:space="preserve">with a balancing of policies – of according comity and due deference to the recognized foreign proceeding or representative on one </w:t>
      </w:r>
      <w:proofErr w:type="gramStart"/>
      <w:r w:rsidR="00A20379">
        <w:rPr>
          <w:rFonts w:ascii="Avenir Next" w:hAnsi="Avenir Next" w:cs="Arial"/>
          <w:color w:val="808080" w:themeColor="background1" w:themeShade="80"/>
          <w:sz w:val="22"/>
          <w:szCs w:val="22"/>
          <w:lang w:eastAsia="zh-CN"/>
        </w:rPr>
        <w:t xml:space="preserve">hand, </w:t>
      </w:r>
      <w:r w:rsidR="00B16BEE">
        <w:rPr>
          <w:rFonts w:ascii="Avenir Next" w:hAnsi="Avenir Next" w:cs="Arial"/>
          <w:color w:val="808080" w:themeColor="background1" w:themeShade="80"/>
          <w:sz w:val="22"/>
          <w:szCs w:val="22"/>
          <w:lang w:eastAsia="zh-CN"/>
        </w:rPr>
        <w:t xml:space="preserve"> like</w:t>
      </w:r>
      <w:proofErr w:type="gramEnd"/>
      <w:r w:rsidR="00B16BEE">
        <w:rPr>
          <w:rFonts w:ascii="Avenir Next" w:hAnsi="Avenir Next" w:cs="Arial"/>
          <w:color w:val="808080" w:themeColor="background1" w:themeShade="80"/>
          <w:sz w:val="22"/>
          <w:szCs w:val="22"/>
          <w:lang w:eastAsia="zh-CN"/>
        </w:rPr>
        <w:t xml:space="preserve"> the court would for a local proceeding or representative, in line with the ideals of modified universalism, as </w:t>
      </w:r>
      <w:r w:rsidR="00A20379">
        <w:rPr>
          <w:rFonts w:ascii="Avenir Next" w:hAnsi="Avenir Next" w:cs="Arial"/>
          <w:color w:val="808080" w:themeColor="background1" w:themeShade="80"/>
          <w:sz w:val="22"/>
          <w:szCs w:val="22"/>
          <w:lang w:eastAsia="zh-CN"/>
        </w:rPr>
        <w:t xml:space="preserve">against the interests of the stakeholder (most often, creditor) </w:t>
      </w:r>
      <w:r w:rsidR="00B16BEE">
        <w:rPr>
          <w:rFonts w:ascii="Avenir Next" w:hAnsi="Avenir Next" w:cs="Arial"/>
          <w:color w:val="808080" w:themeColor="background1" w:themeShade="80"/>
          <w:sz w:val="22"/>
          <w:szCs w:val="22"/>
          <w:lang w:eastAsia="zh-CN"/>
        </w:rPr>
        <w:t xml:space="preserve">or local public policy </w:t>
      </w:r>
      <w:r w:rsidR="00A20379">
        <w:rPr>
          <w:rFonts w:ascii="Avenir Next" w:hAnsi="Avenir Next" w:cs="Arial"/>
          <w:color w:val="808080" w:themeColor="background1" w:themeShade="80"/>
          <w:sz w:val="22"/>
          <w:szCs w:val="22"/>
          <w:lang w:eastAsia="zh-CN"/>
        </w:rPr>
        <w:t xml:space="preserve">on the other hand.   </w:t>
      </w:r>
    </w:p>
    <w:p w14:paraId="13912C90" w14:textId="77777777" w:rsidR="00F771E8" w:rsidRDefault="00F771E8" w:rsidP="00707FC8">
      <w:pPr>
        <w:ind w:left="720" w:hanging="720"/>
        <w:jc w:val="both"/>
        <w:rPr>
          <w:rFonts w:ascii="Avenir Next" w:hAnsi="Avenir Next" w:cs="Arial"/>
          <w:color w:val="808080" w:themeColor="background1" w:themeShade="80"/>
          <w:sz w:val="22"/>
          <w:szCs w:val="22"/>
          <w:lang w:val="en-GB"/>
        </w:rPr>
      </w:pPr>
    </w:p>
    <w:p w14:paraId="6BBA4CE3" w14:textId="77777777" w:rsidR="00F771E8" w:rsidRPr="00E2622D" w:rsidRDefault="00F771E8"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01527DDD" w14:textId="77777777" w:rsidR="00167F0B" w:rsidRDefault="00EF7FA3"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foreign creditors and local creditors are generally accorded the same rights as regards the commencement of, and participation in, insolvency laws of the enacting State</w:t>
      </w:r>
      <w:r w:rsidR="00843D2B">
        <w:rPr>
          <w:rFonts w:ascii="Avenir Next" w:hAnsi="Avenir Next" w:cs="Arial"/>
          <w:color w:val="808080" w:themeColor="background1" w:themeShade="80"/>
          <w:sz w:val="22"/>
          <w:szCs w:val="22"/>
          <w:lang w:val="en-GB"/>
        </w:rPr>
        <w:t xml:space="preserve"> (see Art 13(1) Model Law).  </w:t>
      </w:r>
    </w:p>
    <w:p w14:paraId="7B5AD714" w14:textId="77777777" w:rsidR="00167F0B" w:rsidRDefault="00167F0B" w:rsidP="00100E8F">
      <w:pPr>
        <w:ind w:left="720" w:hanging="720"/>
        <w:jc w:val="both"/>
        <w:rPr>
          <w:rFonts w:ascii="Avenir Next" w:hAnsi="Avenir Next" w:cs="Arial"/>
          <w:color w:val="808080" w:themeColor="background1" w:themeShade="80"/>
          <w:sz w:val="22"/>
          <w:szCs w:val="22"/>
          <w:lang w:val="en-GB"/>
        </w:rPr>
      </w:pPr>
    </w:p>
    <w:p w14:paraId="741D1873" w14:textId="300AA426" w:rsidR="00867A8F" w:rsidRDefault="00843D2B"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there are ranking protections accorded to the foreign creditors which the enacting State can prescribe as they wish – generally </w:t>
      </w:r>
      <w:r w:rsidR="00167F0B">
        <w:rPr>
          <w:rFonts w:ascii="Avenir Next" w:hAnsi="Avenir Next" w:cs="Arial"/>
          <w:color w:val="808080" w:themeColor="background1" w:themeShade="80"/>
          <w:sz w:val="22"/>
          <w:szCs w:val="22"/>
          <w:lang w:val="en-GB"/>
        </w:rPr>
        <w:t>this states that, save for tax and social security claims, the foreign creditor’s claim shall not rank lower than a local general unsecured claim solely because the holder of the claim is foreign</w:t>
      </w:r>
      <w:r>
        <w:rPr>
          <w:rFonts w:ascii="Avenir Next" w:hAnsi="Avenir Next" w:cs="Arial"/>
          <w:color w:val="808080" w:themeColor="background1" w:themeShade="80"/>
          <w:sz w:val="22"/>
          <w:szCs w:val="22"/>
          <w:lang w:val="en-GB"/>
        </w:rPr>
        <w:t xml:space="preserve"> (see Art 13(2) Model Law).  </w:t>
      </w:r>
    </w:p>
    <w:p w14:paraId="66360BAF" w14:textId="77777777" w:rsidR="00AE22AB" w:rsidRDefault="00AE22AB" w:rsidP="00100E8F">
      <w:pPr>
        <w:ind w:left="720" w:hanging="720"/>
        <w:jc w:val="both"/>
        <w:rPr>
          <w:rFonts w:ascii="Avenir Next" w:hAnsi="Avenir Next" w:cs="Arial"/>
          <w:color w:val="808080" w:themeColor="background1" w:themeShade="80"/>
          <w:sz w:val="22"/>
          <w:szCs w:val="22"/>
          <w:lang w:val="en-GB"/>
        </w:rPr>
      </w:pPr>
    </w:p>
    <w:p w14:paraId="76A53414" w14:textId="77777777" w:rsidR="001C7440" w:rsidRPr="00B77352" w:rsidRDefault="001C7440" w:rsidP="00100E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533E863F" w:rsidR="00867A8F" w:rsidRDefault="000B7A67"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relief is automatic. Under Art 20, if the foreign main proceeding is recognised, 3 of the stated effects occur automatically, which are collectively intended to allow steps to be taken for the organisation of a foreign restructuring in the COMI jurisdiction. In contrast, under Art 21 for post-recognition relief for non-main proceedings, just like under Art 19, such relief are discretionary and there are also statutory preconditions (see, for instance, Art 21(3) Model Law). </w:t>
      </w:r>
    </w:p>
    <w:p w14:paraId="20AAD67B" w14:textId="77777777" w:rsidR="007F01B8" w:rsidRDefault="007F01B8" w:rsidP="00100E8F">
      <w:pPr>
        <w:ind w:left="720" w:hanging="720"/>
        <w:jc w:val="both"/>
        <w:rPr>
          <w:rFonts w:ascii="Avenir Next" w:hAnsi="Avenir Next" w:cs="Arial"/>
          <w:color w:val="808080" w:themeColor="background1" w:themeShade="80"/>
          <w:sz w:val="22"/>
          <w:szCs w:val="22"/>
          <w:lang w:val="en-GB"/>
        </w:rPr>
      </w:pPr>
    </w:p>
    <w:p w14:paraId="054EEDE8" w14:textId="45DF1EC4" w:rsidR="007F01B8" w:rsidRDefault="007F01B8"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in considering the kind of relief granted to the representative, the court can and will likely consider that the interests and authority of a representative of a </w:t>
      </w:r>
      <w:r>
        <w:rPr>
          <w:rFonts w:ascii="Avenir Next" w:hAnsi="Avenir Next" w:cs="Arial"/>
          <w:color w:val="808080" w:themeColor="background1" w:themeShade="80"/>
          <w:sz w:val="22"/>
          <w:szCs w:val="22"/>
          <w:lang w:val="en-GB"/>
        </w:rPr>
        <w:lastRenderedPageBreak/>
        <w:t xml:space="preserve">foreign non-main proceeding are narrow than those of a representative of a foreign main proceeding. </w:t>
      </w:r>
    </w:p>
    <w:p w14:paraId="4A262D7B" w14:textId="16ECE5FF" w:rsidR="00B16BEE" w:rsidRDefault="00B16BEE" w:rsidP="00100E8F">
      <w:pPr>
        <w:ind w:left="720" w:hanging="720"/>
        <w:jc w:val="both"/>
        <w:rPr>
          <w:rFonts w:ascii="Avenir Next" w:hAnsi="Avenir Next" w:cs="Arial"/>
          <w:color w:val="808080" w:themeColor="background1" w:themeShade="80"/>
          <w:sz w:val="22"/>
          <w:szCs w:val="22"/>
          <w:lang w:val="en-GB"/>
        </w:rPr>
      </w:pPr>
    </w:p>
    <w:p w14:paraId="4ED5313F" w14:textId="10DCF1F0" w:rsidR="00B16BEE" w:rsidRDefault="00B16BEE"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point of distinction is that because Art 20 comes into effect automatically without reference to any application, it appears that any stakeholder with locus including a creditor can seek recognition of a foreign main proceeding. However, Art 21 specifies that the court may grant relief “at the request of the foreign representative” which suggests that the foreign representative is essential and irreplaceable in this process</w:t>
      </w:r>
      <w:r w:rsidR="00D12FDB">
        <w:rPr>
          <w:rFonts w:ascii="Avenir Next" w:hAnsi="Avenir Next" w:cs="Arial"/>
          <w:color w:val="808080" w:themeColor="background1" w:themeShade="80"/>
          <w:sz w:val="22"/>
          <w:szCs w:val="22"/>
          <w:lang w:val="en-GB"/>
        </w:rPr>
        <w:t xml:space="preserve"> (see </w:t>
      </w:r>
      <w:r w:rsidR="00D12FDB" w:rsidRPr="00D12FDB">
        <w:rPr>
          <w:rFonts w:ascii="Avenir Next" w:hAnsi="Avenir Next" w:cs="Arial"/>
          <w:color w:val="808080" w:themeColor="background1" w:themeShade="80"/>
          <w:sz w:val="22"/>
          <w:szCs w:val="22"/>
          <w:lang w:val="en-GB"/>
        </w:rPr>
        <w:t>Re Rooftop Group International Pte Ltd</w:t>
      </w:r>
      <w:r w:rsidR="00D12FDB">
        <w:rPr>
          <w:rFonts w:ascii="Avenir Next" w:hAnsi="Avenir Next" w:cs="Arial"/>
          <w:color w:val="808080" w:themeColor="background1" w:themeShade="80"/>
          <w:sz w:val="22"/>
          <w:szCs w:val="22"/>
          <w:lang w:val="en-GB"/>
        </w:rPr>
        <w:t xml:space="preserve"> [2019] SGHC 280). </w:t>
      </w:r>
    </w:p>
    <w:p w14:paraId="74DDA3AB" w14:textId="77777777" w:rsidR="00C41532" w:rsidRDefault="00C41532" w:rsidP="00100E8F">
      <w:pPr>
        <w:ind w:left="720" w:hanging="720"/>
        <w:jc w:val="both"/>
        <w:rPr>
          <w:rFonts w:ascii="Avenir Next" w:hAnsi="Avenir Next" w:cs="Arial"/>
          <w:color w:val="808080" w:themeColor="background1" w:themeShade="80"/>
          <w:sz w:val="22"/>
          <w:szCs w:val="22"/>
          <w:lang w:val="en-GB"/>
        </w:rPr>
      </w:pPr>
    </w:p>
    <w:p w14:paraId="31ED378B" w14:textId="26CB2299" w:rsidR="00C41532" w:rsidRPr="00D12FDB" w:rsidRDefault="00C41532" w:rsidP="00100E8F">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Furthermore, </w:t>
      </w:r>
      <w:r w:rsidR="008D6138">
        <w:rPr>
          <w:rFonts w:ascii="Avenir Next" w:hAnsi="Avenir Next" w:cs="Arial"/>
          <w:color w:val="808080" w:themeColor="background1" w:themeShade="80"/>
          <w:sz w:val="22"/>
          <w:szCs w:val="22"/>
          <w:lang w:val="en-GB"/>
        </w:rPr>
        <w:t xml:space="preserve">Art 21(3) requires that for foreign non-main proceedings specifically, the court must be satisfied that the relief to be granted relates to the assets should be administered in the foreign non-main proceeding, or concerns information required in that foreign proceeding. This is not a requirement if foreign main proceedings are concerned.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EDEE139" w14:textId="578B3CEF" w:rsidR="00AC142D" w:rsidRDefault="00B31A2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COMI is indisputably in Germany, then the foreign main proceedings should </w:t>
      </w:r>
      <w:r w:rsidR="003A07D7">
        <w:rPr>
          <w:rFonts w:ascii="Avenir Next" w:hAnsi="Avenir Next" w:cs="Arial"/>
          <w:color w:val="808080" w:themeColor="background1" w:themeShade="80"/>
          <w:sz w:val="22"/>
          <w:szCs w:val="22"/>
          <w:lang w:val="en-GB"/>
        </w:rPr>
        <w:t xml:space="preserve">rightly </w:t>
      </w:r>
      <w:r>
        <w:rPr>
          <w:rFonts w:ascii="Avenir Next" w:hAnsi="Avenir Next" w:cs="Arial"/>
          <w:color w:val="808080" w:themeColor="background1" w:themeShade="80"/>
          <w:sz w:val="22"/>
          <w:szCs w:val="22"/>
          <w:lang w:val="en-GB"/>
        </w:rPr>
        <w:t xml:space="preserve">have been commenced in Germany. </w:t>
      </w:r>
      <w:r w:rsidR="009D7B6C">
        <w:rPr>
          <w:rFonts w:ascii="Avenir Next" w:hAnsi="Avenir Next" w:cs="Arial"/>
          <w:color w:val="808080" w:themeColor="background1" w:themeShade="80"/>
          <w:sz w:val="22"/>
          <w:szCs w:val="22"/>
          <w:lang w:val="en-GB"/>
        </w:rPr>
        <w:t xml:space="preserve">Upon recognition of these German proceedings in the US as the foreign main proceeding (or the German representative as the representative of the foreign main proceeding), the automatic relief under Art 20 Model Law comes immediately into effect. </w:t>
      </w:r>
    </w:p>
    <w:p w14:paraId="051216DE" w14:textId="77777777" w:rsidR="009D7B6C" w:rsidRDefault="009D7B6C" w:rsidP="00867A8F">
      <w:pPr>
        <w:ind w:left="720" w:hanging="720"/>
        <w:jc w:val="both"/>
        <w:rPr>
          <w:rFonts w:ascii="Avenir Next" w:hAnsi="Avenir Next" w:cs="Arial"/>
          <w:color w:val="808080" w:themeColor="background1" w:themeShade="80"/>
          <w:sz w:val="22"/>
          <w:szCs w:val="22"/>
          <w:lang w:val="en-GB"/>
        </w:rPr>
      </w:pPr>
    </w:p>
    <w:p w14:paraId="0CF1DC35" w14:textId="28B8BEDE" w:rsidR="009D7B6C" w:rsidRDefault="009D7B6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there is an establishment in Bermuda, the Bermudan proceeding will be recognised as the foreign non-main proceeding in the US, with discretionary relief available for application by the Bermudan representative. </w:t>
      </w:r>
    </w:p>
    <w:p w14:paraId="024BAAF6" w14:textId="77777777" w:rsidR="00AC142D" w:rsidRDefault="00AC142D" w:rsidP="00867A8F">
      <w:pPr>
        <w:ind w:left="720" w:hanging="720"/>
        <w:jc w:val="both"/>
        <w:rPr>
          <w:rFonts w:ascii="Avenir Next" w:hAnsi="Avenir Next" w:cs="Arial"/>
          <w:color w:val="808080" w:themeColor="background1" w:themeShade="80"/>
          <w:sz w:val="22"/>
          <w:szCs w:val="22"/>
          <w:lang w:val="en-GB"/>
        </w:rPr>
      </w:pPr>
    </w:p>
    <w:p w14:paraId="08475351" w14:textId="5C20CD3D" w:rsidR="00867A8F" w:rsidRDefault="00AC142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 know</w:t>
      </w:r>
      <w:r w:rsidR="002109EB">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what the subject of the recognition proceedings in the US was. </w:t>
      </w:r>
      <w:r w:rsidR="00E65B4F">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f both </w:t>
      </w:r>
      <w:r w:rsidR="00E65B4F">
        <w:rPr>
          <w:rFonts w:ascii="Avenir Next" w:hAnsi="Avenir Next" w:cs="Arial"/>
          <w:color w:val="808080" w:themeColor="background1" w:themeShade="80"/>
          <w:sz w:val="22"/>
          <w:szCs w:val="22"/>
          <w:lang w:val="en-GB"/>
        </w:rPr>
        <w:t xml:space="preserve">German and Bermudan </w:t>
      </w:r>
      <w:r>
        <w:rPr>
          <w:rFonts w:ascii="Avenir Next" w:hAnsi="Avenir Next" w:cs="Arial"/>
          <w:color w:val="808080" w:themeColor="background1" w:themeShade="80"/>
          <w:sz w:val="22"/>
          <w:szCs w:val="22"/>
          <w:lang w:val="en-GB"/>
        </w:rPr>
        <w:t>proceedings were sought to be recognised</w:t>
      </w:r>
      <w:r w:rsidR="00E65B4F">
        <w:rPr>
          <w:rFonts w:ascii="Avenir Next" w:hAnsi="Avenir Next" w:cs="Arial"/>
          <w:color w:val="808080" w:themeColor="background1" w:themeShade="80"/>
          <w:sz w:val="22"/>
          <w:szCs w:val="22"/>
          <w:lang w:val="en-GB"/>
        </w:rPr>
        <w:t xml:space="preserve"> in the US</w:t>
      </w:r>
      <w:r>
        <w:rPr>
          <w:rFonts w:ascii="Avenir Next" w:hAnsi="Avenir Next" w:cs="Arial"/>
          <w:color w:val="808080" w:themeColor="background1" w:themeShade="80"/>
          <w:sz w:val="22"/>
          <w:szCs w:val="22"/>
          <w:lang w:val="en-GB"/>
        </w:rPr>
        <w:t xml:space="preserve">, then </w:t>
      </w:r>
      <w:r w:rsidR="002C0CAC">
        <w:rPr>
          <w:rFonts w:ascii="Avenir Next" w:hAnsi="Avenir Next" w:cs="Arial"/>
          <w:color w:val="808080" w:themeColor="background1" w:themeShade="80"/>
          <w:sz w:val="22"/>
          <w:szCs w:val="22"/>
          <w:lang w:val="en-GB"/>
        </w:rPr>
        <w:t xml:space="preserve">the court should ensure that the relief granted to the representative of the foreign </w:t>
      </w:r>
      <w:r w:rsidR="0009737D">
        <w:rPr>
          <w:rFonts w:ascii="Avenir Next" w:hAnsi="Avenir Next" w:cs="Arial"/>
          <w:color w:val="808080" w:themeColor="background1" w:themeShade="80"/>
          <w:sz w:val="22"/>
          <w:szCs w:val="22"/>
          <w:lang w:val="en-GB"/>
        </w:rPr>
        <w:t xml:space="preserve">non-main proceeding </w:t>
      </w:r>
      <w:r w:rsidR="00E65B4F">
        <w:rPr>
          <w:rFonts w:ascii="Avenir Next" w:hAnsi="Avenir Next" w:cs="Arial"/>
          <w:color w:val="808080" w:themeColor="background1" w:themeShade="80"/>
          <w:sz w:val="22"/>
          <w:szCs w:val="22"/>
          <w:lang w:val="en-GB"/>
        </w:rPr>
        <w:t xml:space="preserve">(Bermudan) </w:t>
      </w:r>
      <w:r w:rsidR="0009737D">
        <w:rPr>
          <w:rFonts w:ascii="Avenir Next" w:hAnsi="Avenir Next" w:cs="Arial"/>
          <w:color w:val="808080" w:themeColor="background1" w:themeShade="80"/>
          <w:sz w:val="22"/>
          <w:szCs w:val="22"/>
          <w:lang w:val="en-GB"/>
        </w:rPr>
        <w:t>be consistent with that granted vis-à-vis the foreign main proceeding</w:t>
      </w:r>
      <w:r w:rsidR="00E65B4F">
        <w:rPr>
          <w:rFonts w:ascii="Avenir Next" w:hAnsi="Avenir Next" w:cs="Arial"/>
          <w:color w:val="808080" w:themeColor="background1" w:themeShade="80"/>
          <w:sz w:val="22"/>
          <w:szCs w:val="22"/>
          <w:lang w:val="en-GB"/>
        </w:rPr>
        <w:t xml:space="preserve"> (German) regardless of the order of application (Art 30 Model Law)</w:t>
      </w:r>
      <w:r w:rsidR="0009737D">
        <w:rPr>
          <w:rFonts w:ascii="Avenir Next" w:hAnsi="Avenir Next" w:cs="Arial"/>
          <w:color w:val="808080" w:themeColor="background1" w:themeShade="80"/>
          <w:sz w:val="22"/>
          <w:szCs w:val="22"/>
          <w:lang w:val="en-GB"/>
        </w:rPr>
        <w:t xml:space="preserve">. </w:t>
      </w:r>
    </w:p>
    <w:p w14:paraId="76D479D6" w14:textId="77777777" w:rsidR="009D7B6C" w:rsidRDefault="009D7B6C" w:rsidP="009D7B6C">
      <w:pPr>
        <w:ind w:left="720" w:hanging="720"/>
        <w:jc w:val="both"/>
        <w:rPr>
          <w:rFonts w:ascii="Avenir Next" w:hAnsi="Avenir Next" w:cs="Arial"/>
          <w:color w:val="808080" w:themeColor="background1" w:themeShade="80"/>
          <w:sz w:val="22"/>
          <w:szCs w:val="22"/>
          <w:lang w:val="en-GB"/>
        </w:rPr>
      </w:pPr>
    </w:p>
    <w:p w14:paraId="50530C1D" w14:textId="77777777" w:rsidR="009D7B6C" w:rsidRDefault="009D7B6C" w:rsidP="009D7B6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proceedings in the US are sought to be recognised overseas, it will likely be recognised as foreign non-main proceedings, given that it is not the locale of the COMI, but this requires that there must be an “establishment” in the US. Otherwise, </w:t>
      </w:r>
      <w:r>
        <w:rPr>
          <w:rFonts w:ascii="Avenir Next" w:hAnsi="Avenir Next" w:cs="Arial"/>
          <w:color w:val="808080" w:themeColor="background1" w:themeShade="80"/>
          <w:sz w:val="22"/>
          <w:szCs w:val="22"/>
          <w:lang w:val="en-GB"/>
        </w:rPr>
        <w:lastRenderedPageBreak/>
        <w:t xml:space="preserve">the proceedings in the US will not be recognised as foreign proceedings at all, for the purposes of the Model Law. </w:t>
      </w:r>
    </w:p>
    <w:p w14:paraId="3E55A62A" w14:textId="77777777" w:rsidR="009D7B6C" w:rsidRDefault="009D7B6C" w:rsidP="00867A8F">
      <w:pPr>
        <w:ind w:left="720" w:hanging="720"/>
        <w:jc w:val="both"/>
        <w:rPr>
          <w:rFonts w:ascii="Avenir Next" w:hAnsi="Avenir Next" w:cs="Arial"/>
          <w:color w:val="808080" w:themeColor="background1" w:themeShade="80"/>
          <w:sz w:val="22"/>
          <w:szCs w:val="22"/>
          <w:lang w:val="en-GB"/>
        </w:rPr>
      </w:pPr>
    </w:p>
    <w:p w14:paraId="1990AE5A" w14:textId="77777777" w:rsidR="003A07D7" w:rsidRPr="00B77352" w:rsidRDefault="003A07D7"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8A4F5E2" w:rsidR="00867A8F" w:rsidRDefault="00647F07" w:rsidP="009738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is unclear – was the alleged tortious interference the very act of commencing a recognition proceeding in the US, or was this interference sued upon some other prior conduct? </w:t>
      </w:r>
      <w:r w:rsidR="009738D0">
        <w:rPr>
          <w:rFonts w:ascii="Avenir Next" w:hAnsi="Avenir Next" w:cs="Arial"/>
          <w:color w:val="808080" w:themeColor="background1" w:themeShade="80"/>
          <w:sz w:val="22"/>
          <w:szCs w:val="22"/>
          <w:lang w:val="en-GB"/>
        </w:rPr>
        <w:t xml:space="preserve">Was this a suit against the debtor-company, or against the joint PLs personally? </w:t>
      </w:r>
    </w:p>
    <w:p w14:paraId="3E797BC1" w14:textId="77777777" w:rsidR="0075652F" w:rsidRDefault="0075652F" w:rsidP="00867A8F">
      <w:pPr>
        <w:ind w:left="720" w:hanging="720"/>
        <w:jc w:val="both"/>
        <w:rPr>
          <w:rFonts w:ascii="Avenir Next" w:hAnsi="Avenir Next" w:cs="Arial"/>
          <w:color w:val="808080" w:themeColor="background1" w:themeShade="80"/>
          <w:sz w:val="22"/>
          <w:szCs w:val="22"/>
          <w:lang w:val="en-GB"/>
        </w:rPr>
      </w:pPr>
    </w:p>
    <w:p w14:paraId="4B165D4E" w14:textId="2D2DE9AF" w:rsidR="009738D0" w:rsidRDefault="00A85224" w:rsidP="00756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claimant is suing the company or JPLs, it</w:t>
      </w:r>
      <w:r w:rsidR="002949EA">
        <w:rPr>
          <w:rFonts w:ascii="Avenir Next" w:hAnsi="Avenir Next" w:cs="Arial"/>
          <w:color w:val="808080" w:themeColor="background1" w:themeShade="80"/>
          <w:sz w:val="22"/>
          <w:szCs w:val="22"/>
          <w:lang w:val="en-GB"/>
        </w:rPr>
        <w:t xml:space="preserve"> is</w:t>
      </w:r>
      <w:r w:rsidR="0075652F">
        <w:rPr>
          <w:rFonts w:ascii="Avenir Next" w:hAnsi="Avenir Next" w:cs="Arial"/>
          <w:color w:val="808080" w:themeColor="background1" w:themeShade="80"/>
          <w:sz w:val="22"/>
          <w:szCs w:val="22"/>
          <w:lang w:val="en-GB"/>
        </w:rPr>
        <w:t xml:space="preserve"> unlikely that the mere filing of an application for recognition – which is indisputably a legal act in itself in the sense that it is sanctioned by the Model Law </w:t>
      </w:r>
      <w:r w:rsidR="00BD0800">
        <w:rPr>
          <w:rFonts w:ascii="Avenir Next" w:hAnsi="Avenir Next" w:cs="Arial"/>
          <w:color w:val="808080" w:themeColor="background1" w:themeShade="80"/>
          <w:sz w:val="22"/>
          <w:szCs w:val="22"/>
          <w:lang w:val="en-GB"/>
        </w:rPr>
        <w:t xml:space="preserve">– would constitute a tortious act without more. </w:t>
      </w:r>
    </w:p>
    <w:p w14:paraId="6F5BD1EB" w14:textId="77777777" w:rsidR="009738D0" w:rsidRDefault="009738D0" w:rsidP="0075652F">
      <w:pPr>
        <w:jc w:val="both"/>
        <w:rPr>
          <w:rFonts w:ascii="Avenir Next" w:hAnsi="Avenir Next" w:cs="Arial"/>
          <w:color w:val="808080" w:themeColor="background1" w:themeShade="80"/>
          <w:sz w:val="22"/>
          <w:szCs w:val="22"/>
          <w:lang w:val="en-GB"/>
        </w:rPr>
      </w:pPr>
    </w:p>
    <w:p w14:paraId="5966BC60" w14:textId="61359D66" w:rsidR="0075652F" w:rsidRDefault="00BD0800" w:rsidP="00756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claimant may wish to apply to set aside the recognition order on the basis that the filing was in abuse of process, but if so, the first issue is whether the relevant US circuit recognises abuse of process as a ground for setting aside a recognition order, and secondly, </w:t>
      </w:r>
      <w:r w:rsidR="00CD4BC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evidential threshold for abuse of process is likely to be extremely high.  This argument might work, for instance, if it is evident that the application for recognition could have been and should reasonably have been filed much earlier </w:t>
      </w:r>
      <w:r w:rsidR="003F5593">
        <w:rPr>
          <w:rFonts w:ascii="Avenir Next" w:hAnsi="Avenir Next" w:cs="Arial"/>
          <w:color w:val="808080" w:themeColor="background1" w:themeShade="80"/>
          <w:sz w:val="22"/>
          <w:szCs w:val="22"/>
          <w:lang w:val="en-GB"/>
        </w:rPr>
        <w:t xml:space="preserve">or in a different and clearly more convenient forum, </w:t>
      </w:r>
      <w:r>
        <w:rPr>
          <w:rFonts w:ascii="Avenir Next" w:hAnsi="Avenir Next" w:cs="Arial"/>
          <w:color w:val="808080" w:themeColor="background1" w:themeShade="80"/>
          <w:sz w:val="22"/>
          <w:szCs w:val="22"/>
          <w:lang w:val="en-GB"/>
        </w:rPr>
        <w:t xml:space="preserve">but was timed or strategically located to thwart a legitimate claim that the representative knew was going to be filed by the claimant.  </w:t>
      </w:r>
    </w:p>
    <w:p w14:paraId="007CA327" w14:textId="77777777" w:rsidR="00A85224" w:rsidRDefault="00A85224" w:rsidP="0075652F">
      <w:pPr>
        <w:jc w:val="both"/>
        <w:rPr>
          <w:rFonts w:ascii="Avenir Next" w:hAnsi="Avenir Next" w:cs="Arial"/>
          <w:color w:val="808080" w:themeColor="background1" w:themeShade="80"/>
          <w:sz w:val="22"/>
          <w:szCs w:val="22"/>
          <w:lang w:val="en-GB"/>
        </w:rPr>
      </w:pPr>
    </w:p>
    <w:p w14:paraId="29E6E5EA" w14:textId="4DC98F1E" w:rsidR="00F73D24" w:rsidRDefault="00FE58ED" w:rsidP="00756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claimant is suing the </w:t>
      </w:r>
      <w:proofErr w:type="gramStart"/>
      <w:r>
        <w:rPr>
          <w:rFonts w:ascii="Avenir Next" w:hAnsi="Avenir Next" w:cs="Arial"/>
          <w:color w:val="808080" w:themeColor="background1" w:themeShade="80"/>
          <w:sz w:val="22"/>
          <w:szCs w:val="22"/>
          <w:lang w:val="en-GB"/>
        </w:rPr>
        <w:t>company</w:t>
      </w:r>
      <w:proofErr w:type="gramEnd"/>
      <w:r>
        <w:rPr>
          <w:rFonts w:ascii="Avenir Next" w:hAnsi="Avenir Next" w:cs="Arial"/>
          <w:color w:val="808080" w:themeColor="background1" w:themeShade="80"/>
          <w:sz w:val="22"/>
          <w:szCs w:val="22"/>
          <w:lang w:val="en-GB"/>
        </w:rPr>
        <w:t xml:space="preserve"> then he might not be able to do so given the automatic moratorium in place under Art 20 if the foreign proceeding sought to be recognised is a foreign main proceeding. In other words, if the JPLs are </w:t>
      </w:r>
      <w:r w:rsidR="00874E7F">
        <w:rPr>
          <w:rFonts w:ascii="Avenir Next" w:hAnsi="Avenir Next" w:cs="Arial"/>
          <w:color w:val="808080" w:themeColor="background1" w:themeShade="80"/>
          <w:sz w:val="22"/>
          <w:szCs w:val="22"/>
          <w:lang w:val="en-GB"/>
        </w:rPr>
        <w:t xml:space="preserve">representatives of, and appointed by, the court of the COMI jurisdiction, then the claim may be subject of a moratorium (if it has not commenced) or stayed (if it has). </w:t>
      </w:r>
      <w:r w:rsidR="00F73D24">
        <w:rPr>
          <w:rFonts w:ascii="Avenir Next" w:hAnsi="Avenir Next" w:cs="Arial"/>
          <w:color w:val="808080" w:themeColor="background1" w:themeShade="80"/>
          <w:sz w:val="22"/>
          <w:szCs w:val="22"/>
          <w:lang w:val="en-GB"/>
        </w:rPr>
        <w:t xml:space="preserve">While there are exceptions to this, contract rights do not generally qualify. </w:t>
      </w:r>
    </w:p>
    <w:p w14:paraId="3B413A6A" w14:textId="77777777" w:rsidR="00EF4FB1" w:rsidRDefault="00EF4FB1" w:rsidP="0075652F">
      <w:pPr>
        <w:jc w:val="both"/>
        <w:rPr>
          <w:rFonts w:ascii="Avenir Next" w:hAnsi="Avenir Next" w:cs="Arial"/>
          <w:color w:val="808080" w:themeColor="background1" w:themeShade="80"/>
          <w:sz w:val="22"/>
          <w:szCs w:val="22"/>
          <w:lang w:val="en-GB"/>
        </w:rPr>
      </w:pPr>
    </w:p>
    <w:p w14:paraId="2B026EF2" w14:textId="59D03370" w:rsidR="00EF4FB1" w:rsidRDefault="00ED0269" w:rsidP="00756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completeness, it should be noted that liquidation </w:t>
      </w:r>
      <w:r w:rsidR="002A6685">
        <w:rPr>
          <w:rFonts w:ascii="Avenir Next" w:hAnsi="Avenir Next" w:cs="Arial"/>
          <w:color w:val="808080" w:themeColor="background1" w:themeShade="80"/>
          <w:sz w:val="22"/>
          <w:szCs w:val="22"/>
          <w:lang w:val="en-GB"/>
        </w:rPr>
        <w:t>has no issue qualifying as a</w:t>
      </w:r>
      <w:r>
        <w:rPr>
          <w:rFonts w:ascii="Avenir Next" w:hAnsi="Avenir Next" w:cs="Arial"/>
          <w:color w:val="808080" w:themeColor="background1" w:themeShade="80"/>
          <w:sz w:val="22"/>
          <w:szCs w:val="22"/>
          <w:lang w:val="en-GB"/>
        </w:rPr>
        <w:t xml:space="preserve"> “foreign proceeding”. </w:t>
      </w:r>
      <w:r w:rsidR="00F71D5B">
        <w:rPr>
          <w:rFonts w:ascii="Avenir Next" w:hAnsi="Avenir Next" w:cs="Arial"/>
          <w:color w:val="808080" w:themeColor="background1" w:themeShade="80"/>
          <w:sz w:val="22"/>
          <w:szCs w:val="22"/>
          <w:lang w:val="en-GB"/>
        </w:rPr>
        <w:t xml:space="preserve">The facts are insufficient but it seems there is no significant obstacle to the conclusion that the recognition proceedings commenced by the </w:t>
      </w:r>
      <w:r w:rsidR="00FE58ED">
        <w:rPr>
          <w:rFonts w:ascii="Avenir Next" w:hAnsi="Avenir Next" w:cs="Arial"/>
          <w:color w:val="808080" w:themeColor="background1" w:themeShade="80"/>
          <w:sz w:val="22"/>
          <w:szCs w:val="22"/>
          <w:lang w:val="en-GB"/>
        </w:rPr>
        <w:t>J</w:t>
      </w:r>
      <w:r w:rsidR="00F71D5B">
        <w:rPr>
          <w:rFonts w:ascii="Avenir Next" w:hAnsi="Avenir Next" w:cs="Arial"/>
          <w:color w:val="808080" w:themeColor="background1" w:themeShade="80"/>
          <w:sz w:val="22"/>
          <w:szCs w:val="22"/>
          <w:lang w:val="en-GB"/>
        </w:rPr>
        <w:t xml:space="preserve">PLs will be granted in the US.  </w:t>
      </w:r>
    </w:p>
    <w:p w14:paraId="475DD961" w14:textId="77777777" w:rsidR="009738D0" w:rsidRDefault="009738D0" w:rsidP="0075652F">
      <w:pPr>
        <w:jc w:val="both"/>
        <w:rPr>
          <w:rFonts w:ascii="Avenir Next" w:hAnsi="Avenir Next" w:cs="Arial"/>
          <w:color w:val="808080" w:themeColor="background1" w:themeShade="80"/>
          <w:sz w:val="22"/>
          <w:szCs w:val="22"/>
          <w:lang w:val="en-GB"/>
        </w:rPr>
      </w:pPr>
    </w:p>
    <w:p w14:paraId="3D120F04" w14:textId="77777777" w:rsidR="009738D0" w:rsidRDefault="009738D0" w:rsidP="0075652F">
      <w:pPr>
        <w:jc w:val="both"/>
        <w:rPr>
          <w:rFonts w:ascii="Avenir Next" w:hAnsi="Avenir Next" w:cs="Arial"/>
          <w:color w:val="808080" w:themeColor="background1" w:themeShade="80"/>
          <w:sz w:val="22"/>
          <w:szCs w:val="22"/>
          <w:lang w:val="en-GB"/>
        </w:rPr>
      </w:pPr>
    </w:p>
    <w:p w14:paraId="3AC347D6" w14:textId="77777777" w:rsidR="00A37A48" w:rsidRDefault="00A37A48" w:rsidP="00867A8F">
      <w:pPr>
        <w:ind w:left="720" w:hanging="720"/>
        <w:jc w:val="both"/>
        <w:rPr>
          <w:rFonts w:ascii="Avenir Next" w:hAnsi="Avenir Next" w:cs="Arial"/>
          <w:color w:val="808080" w:themeColor="background1" w:themeShade="80"/>
          <w:sz w:val="22"/>
          <w:szCs w:val="22"/>
          <w:lang w:val="en-GB"/>
        </w:rPr>
      </w:pPr>
    </w:p>
    <w:p w14:paraId="6BA4545A" w14:textId="77777777" w:rsidR="00A37A48" w:rsidRPr="00B77352" w:rsidRDefault="00A37A48" w:rsidP="00867A8F">
      <w:pPr>
        <w:ind w:left="720" w:hanging="720"/>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086C60B" w14:textId="77777777" w:rsidR="00EC18B3" w:rsidRDefault="00F73D24"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Bankruptcy Code generally forbids the termination of executory contracts based solely on the counterparty’s insolvency. </w:t>
      </w:r>
      <w:r w:rsidR="00074FCF">
        <w:rPr>
          <w:rFonts w:ascii="Avenir Next" w:hAnsi="Avenir Next" w:cs="Arial"/>
          <w:color w:val="808080" w:themeColor="background1" w:themeShade="80"/>
          <w:sz w:val="22"/>
          <w:szCs w:val="22"/>
          <w:lang w:val="en-GB"/>
        </w:rPr>
        <w:t xml:space="preserve">This protection for the debtor is critical to allow it to continue operations (with the tenanted land and the intellectual property licensed) and have time and breathing space to work out its affairs. </w:t>
      </w:r>
      <w:r w:rsidR="00EC18B3">
        <w:rPr>
          <w:rFonts w:ascii="Avenir Next" w:hAnsi="Avenir Next" w:cs="Arial"/>
          <w:color w:val="808080" w:themeColor="background1" w:themeShade="80"/>
          <w:sz w:val="22"/>
          <w:szCs w:val="22"/>
          <w:lang w:val="en-GB"/>
        </w:rPr>
        <w:t xml:space="preserve"> </w:t>
      </w:r>
    </w:p>
    <w:p w14:paraId="709F47AA" w14:textId="77777777" w:rsidR="00D51CA3" w:rsidRDefault="00D51CA3" w:rsidP="00F31EE9">
      <w:pPr>
        <w:ind w:left="720" w:hanging="720"/>
        <w:jc w:val="both"/>
        <w:rPr>
          <w:rFonts w:ascii="Avenir Next" w:hAnsi="Avenir Next" w:cs="Arial"/>
          <w:color w:val="808080" w:themeColor="background1" w:themeShade="80"/>
          <w:sz w:val="22"/>
          <w:szCs w:val="22"/>
          <w:lang w:val="en-GB"/>
        </w:rPr>
      </w:pPr>
    </w:p>
    <w:p w14:paraId="29AA196A" w14:textId="638354C9" w:rsidR="00D51CA3" w:rsidRDefault="00D51CA3"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665C5A">
        <w:rPr>
          <w:rFonts w:ascii="Avenir Next" w:hAnsi="Avenir Next" w:cs="Arial"/>
          <w:color w:val="808080" w:themeColor="background1" w:themeShade="80"/>
          <w:sz w:val="22"/>
          <w:szCs w:val="22"/>
          <w:lang w:val="en-GB"/>
        </w:rPr>
        <w:t xml:space="preserve">subject to further research about the US Bankruptcy Code, </w:t>
      </w:r>
      <w:r>
        <w:rPr>
          <w:rFonts w:ascii="Avenir Next" w:hAnsi="Avenir Next" w:cs="Arial"/>
          <w:color w:val="808080" w:themeColor="background1" w:themeShade="80"/>
          <w:sz w:val="22"/>
          <w:szCs w:val="22"/>
          <w:lang w:val="en-GB"/>
        </w:rPr>
        <w:t>the mere filing of a recognition proceeding in the US may not trigger this protection, because that filing is not in itself proof that the debtor is insolvent. Under Art 31 Mode</w:t>
      </w:r>
      <w:r w:rsidR="00665C5A">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 Law, the </w:t>
      </w:r>
      <w:r>
        <w:rPr>
          <w:rFonts w:ascii="Avenir Next" w:hAnsi="Avenir Next" w:cs="Arial"/>
          <w:i/>
          <w:iCs/>
          <w:color w:val="808080" w:themeColor="background1" w:themeShade="80"/>
          <w:sz w:val="22"/>
          <w:szCs w:val="22"/>
          <w:lang w:val="en-GB"/>
        </w:rPr>
        <w:t xml:space="preserve">recognition </w:t>
      </w:r>
      <w:r>
        <w:rPr>
          <w:rFonts w:ascii="Avenir Next" w:hAnsi="Avenir Next" w:cs="Arial"/>
          <w:color w:val="808080" w:themeColor="background1" w:themeShade="80"/>
          <w:sz w:val="22"/>
          <w:szCs w:val="22"/>
          <w:lang w:val="en-GB"/>
        </w:rPr>
        <w:t>of a foreign main proceeding is proof that the debtor is insolvent</w:t>
      </w:r>
      <w:r w:rsidR="008C7075">
        <w:rPr>
          <w:rFonts w:ascii="Avenir Next" w:hAnsi="Avenir Next" w:cs="Arial"/>
          <w:color w:val="808080" w:themeColor="background1" w:themeShade="80"/>
          <w:sz w:val="22"/>
          <w:szCs w:val="22"/>
          <w:lang w:val="en-GB"/>
        </w:rPr>
        <w:t xml:space="preserve">, </w:t>
      </w:r>
      <w:r w:rsidR="00BD20AC">
        <w:rPr>
          <w:rFonts w:ascii="Avenir Next" w:hAnsi="Avenir Next" w:cs="Arial"/>
          <w:color w:val="808080" w:themeColor="background1" w:themeShade="80"/>
          <w:sz w:val="22"/>
          <w:szCs w:val="22"/>
          <w:lang w:val="en-GB"/>
        </w:rPr>
        <w:t>but</w:t>
      </w:r>
      <w:r w:rsidR="008C7075">
        <w:rPr>
          <w:rFonts w:ascii="Avenir Next" w:hAnsi="Avenir Next" w:cs="Arial"/>
          <w:color w:val="808080" w:themeColor="background1" w:themeShade="80"/>
          <w:sz w:val="22"/>
          <w:szCs w:val="22"/>
          <w:lang w:val="en-GB"/>
        </w:rPr>
        <w:t xml:space="preserve"> not </w:t>
      </w:r>
      <w:r w:rsidR="00BD20AC">
        <w:rPr>
          <w:rFonts w:ascii="Avenir Next" w:hAnsi="Avenir Next" w:cs="Arial"/>
          <w:color w:val="808080" w:themeColor="background1" w:themeShade="80"/>
          <w:sz w:val="22"/>
          <w:szCs w:val="22"/>
          <w:lang w:val="en-GB"/>
        </w:rPr>
        <w:t>the mere</w:t>
      </w:r>
      <w:r w:rsidR="008C7075">
        <w:rPr>
          <w:rFonts w:ascii="Avenir Next" w:hAnsi="Avenir Next" w:cs="Arial"/>
          <w:color w:val="808080" w:themeColor="background1" w:themeShade="80"/>
          <w:sz w:val="22"/>
          <w:szCs w:val="22"/>
          <w:lang w:val="en-GB"/>
        </w:rPr>
        <w:t xml:space="preserve"> </w:t>
      </w:r>
      <w:r w:rsidR="008C7075" w:rsidRPr="00BC69FA">
        <w:rPr>
          <w:rFonts w:ascii="Avenir Next" w:hAnsi="Avenir Next" w:cs="Arial"/>
          <w:i/>
          <w:iCs/>
          <w:color w:val="808080" w:themeColor="background1" w:themeShade="80"/>
          <w:sz w:val="22"/>
          <w:szCs w:val="22"/>
          <w:lang w:val="en-GB"/>
        </w:rPr>
        <w:t>filing</w:t>
      </w:r>
      <w:r w:rsidR="008C7075">
        <w:rPr>
          <w:rFonts w:ascii="Avenir Next" w:hAnsi="Avenir Next" w:cs="Arial"/>
          <w:color w:val="808080" w:themeColor="background1" w:themeShade="80"/>
          <w:sz w:val="22"/>
          <w:szCs w:val="22"/>
          <w:lang w:val="en-GB"/>
        </w:rPr>
        <w:t xml:space="preserve"> of an application for recognition</w:t>
      </w:r>
      <w:r w:rsidR="008C7075">
        <w:rPr>
          <w:rFonts w:ascii="Avenir Next" w:hAnsi="Avenir Next" w:cs="Arial"/>
          <w:color w:val="808080" w:themeColor="background1" w:themeShade="80"/>
          <w:sz w:val="22"/>
          <w:szCs w:val="22"/>
          <w:lang w:val="en-GB"/>
        </w:rPr>
        <w:t xml:space="preserve">. </w:t>
      </w:r>
    </w:p>
    <w:p w14:paraId="520117F3" w14:textId="77777777" w:rsidR="00EC18B3" w:rsidRDefault="00EC18B3" w:rsidP="00EC18B3">
      <w:pPr>
        <w:jc w:val="both"/>
        <w:rPr>
          <w:rFonts w:ascii="Avenir Next" w:hAnsi="Avenir Next" w:cs="Arial"/>
          <w:color w:val="808080" w:themeColor="background1" w:themeShade="80"/>
          <w:sz w:val="22"/>
          <w:szCs w:val="22"/>
          <w:lang w:val="en-GB"/>
        </w:rPr>
      </w:pPr>
    </w:p>
    <w:p w14:paraId="0F0099BA" w14:textId="13B3C16E" w:rsidR="00EC18B3" w:rsidRDefault="00EC18B3" w:rsidP="00EC18B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there is no Bankruptcy Code protection until and unless the recognition application is heard and granted in 35 days’ time. Additionally, the automatic moratorium protection that would attach to the recognition of a foreign main proceeding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the UK scheme) would also not come into effect until the grant of the recognition application</w:t>
      </w:r>
      <w:r w:rsidR="003B205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Meanwhile, until such time the recognition application is granted, there are no protections in effect for the debtor-company. </w:t>
      </w:r>
    </w:p>
    <w:p w14:paraId="2033AFE0" w14:textId="77777777" w:rsidR="000A3F85" w:rsidRDefault="000A3F85" w:rsidP="00CA4570">
      <w:pPr>
        <w:jc w:val="both"/>
        <w:rPr>
          <w:rFonts w:ascii="Avenir Next" w:hAnsi="Avenir Next" w:cs="Arial"/>
          <w:color w:val="808080" w:themeColor="background1" w:themeShade="80"/>
          <w:sz w:val="22"/>
          <w:szCs w:val="22"/>
          <w:lang w:val="en-GB"/>
        </w:rPr>
      </w:pPr>
    </w:p>
    <w:p w14:paraId="5A26E78F" w14:textId="768AB3C5" w:rsidR="008C7075" w:rsidRDefault="008C7075"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above premise</w:t>
      </w:r>
      <w:r w:rsidR="00EC18B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EC18B3">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correct, then the natural incentive is for the US counterparties in the leases and licenses to rush to protect their rights by exercising any pre-bankruptcy termination clause, or making any filing in court, once they become aware of the filing of the recognition application.  </w:t>
      </w:r>
      <w:r w:rsidR="008C4414">
        <w:rPr>
          <w:rFonts w:ascii="Avenir Next" w:hAnsi="Avenir Next" w:cs="Arial"/>
          <w:color w:val="808080" w:themeColor="background1" w:themeShade="80"/>
          <w:sz w:val="22"/>
          <w:szCs w:val="22"/>
          <w:lang w:val="en-GB"/>
        </w:rPr>
        <w:t xml:space="preserve">Even though there is no action or threatened action now, much can change within 35 days to the prejudice of the debtor. </w:t>
      </w:r>
    </w:p>
    <w:p w14:paraId="11850370" w14:textId="77777777" w:rsidR="00CA4570" w:rsidRDefault="00CA4570" w:rsidP="00F31EE9">
      <w:pPr>
        <w:ind w:left="720" w:hanging="720"/>
        <w:jc w:val="both"/>
        <w:rPr>
          <w:rFonts w:ascii="Avenir Next" w:hAnsi="Avenir Next" w:cs="Arial"/>
          <w:color w:val="808080" w:themeColor="background1" w:themeShade="80"/>
          <w:sz w:val="22"/>
          <w:szCs w:val="22"/>
          <w:lang w:val="en-GB"/>
        </w:rPr>
      </w:pPr>
    </w:p>
    <w:p w14:paraId="0A21BE0A" w14:textId="13C34D29" w:rsidR="00CA4570" w:rsidRDefault="00CA4570"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it will be prudent for the foreign representatives to </w:t>
      </w:r>
      <w:r w:rsidR="005760FF">
        <w:rPr>
          <w:rFonts w:ascii="Avenir Next" w:hAnsi="Avenir Next" w:cs="Arial"/>
          <w:color w:val="808080" w:themeColor="background1" w:themeShade="80"/>
          <w:sz w:val="22"/>
          <w:szCs w:val="22"/>
          <w:lang w:val="en-GB"/>
        </w:rPr>
        <w:t xml:space="preserve">immediately </w:t>
      </w:r>
      <w:r>
        <w:rPr>
          <w:rFonts w:ascii="Avenir Next" w:hAnsi="Avenir Next" w:cs="Arial"/>
          <w:color w:val="808080" w:themeColor="background1" w:themeShade="80"/>
          <w:sz w:val="22"/>
          <w:szCs w:val="22"/>
          <w:lang w:val="en-GB"/>
        </w:rPr>
        <w:t>seek pre-recognition relief under Art 19 Model Law in the form of an immediate interim moratorium, pending determination of the recognition application</w:t>
      </w:r>
      <w:r w:rsidR="00D76FBD">
        <w:rPr>
          <w:rFonts w:ascii="Avenir Next" w:hAnsi="Avenir Next" w:cs="Arial"/>
          <w:color w:val="808080" w:themeColor="background1" w:themeShade="80"/>
          <w:sz w:val="22"/>
          <w:szCs w:val="22"/>
          <w:lang w:val="en-GB"/>
        </w:rPr>
        <w:t>, preventing not only the commencement of any action in court against the debtor but also the exercise of any adverse contractual right</w:t>
      </w:r>
      <w:r>
        <w:rPr>
          <w:rFonts w:ascii="Avenir Next" w:hAnsi="Avenir Next" w:cs="Arial"/>
          <w:color w:val="808080" w:themeColor="background1" w:themeShade="80"/>
          <w:sz w:val="22"/>
          <w:szCs w:val="22"/>
          <w:lang w:val="en-GB"/>
        </w:rPr>
        <w:t xml:space="preserve">.  The interim moratorium sought should be carefully tailored to be no broader than necessary to protect the essential interests of the debtor; it should also be calibrated to be no broader than what would eventually come into effect upon the grant of the recognition application (if it is granted).  </w:t>
      </w:r>
      <w:r w:rsidR="00E02DC4">
        <w:rPr>
          <w:rFonts w:ascii="Avenir Next" w:hAnsi="Avenir Next" w:cs="Arial"/>
          <w:color w:val="808080" w:themeColor="background1" w:themeShade="80"/>
          <w:sz w:val="22"/>
          <w:szCs w:val="22"/>
          <w:lang w:val="en-GB"/>
        </w:rPr>
        <w:t xml:space="preserve">The hearing for the interim moratorium should also be sought on an urgent / expedited basis.  </w:t>
      </w:r>
    </w:p>
    <w:p w14:paraId="4E7C7DEB" w14:textId="77777777" w:rsidR="003B2051" w:rsidRDefault="003B2051" w:rsidP="00F31EE9">
      <w:pPr>
        <w:ind w:left="720" w:hanging="720"/>
        <w:jc w:val="both"/>
        <w:rPr>
          <w:rFonts w:ascii="Avenir Next" w:hAnsi="Avenir Next" w:cs="Arial"/>
          <w:color w:val="808080" w:themeColor="background1" w:themeShade="80"/>
          <w:sz w:val="22"/>
          <w:szCs w:val="22"/>
          <w:lang w:val="en-GB"/>
        </w:rPr>
      </w:pPr>
    </w:p>
    <w:p w14:paraId="68F89CB6" w14:textId="08AFC2C9" w:rsidR="003B2051" w:rsidRDefault="003B2051"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Indeed, the application for pre-recognition relief should be filed at the same time as the </w:t>
      </w:r>
      <w:r w:rsidR="00FE5BC0">
        <w:rPr>
          <w:rFonts w:ascii="Avenir Next" w:hAnsi="Avenir Next" w:cs="Arial"/>
          <w:color w:val="808080" w:themeColor="background1" w:themeShade="80"/>
          <w:sz w:val="22"/>
          <w:szCs w:val="22"/>
          <w:lang w:val="en-GB"/>
        </w:rPr>
        <w:t>substantive</w:t>
      </w:r>
      <w:r>
        <w:rPr>
          <w:rFonts w:ascii="Avenir Next" w:hAnsi="Avenir Next" w:cs="Arial"/>
          <w:color w:val="808080" w:themeColor="background1" w:themeShade="80"/>
          <w:sz w:val="22"/>
          <w:szCs w:val="22"/>
          <w:lang w:val="en-GB"/>
        </w:rPr>
        <w:t xml:space="preserve"> recognition application</w:t>
      </w:r>
      <w:r w:rsidR="00977F12">
        <w:rPr>
          <w:rFonts w:ascii="Avenir Next" w:hAnsi="Avenir Next" w:cs="Arial"/>
          <w:color w:val="808080" w:themeColor="background1" w:themeShade="80"/>
          <w:sz w:val="22"/>
          <w:szCs w:val="22"/>
          <w:lang w:val="en-GB"/>
        </w:rPr>
        <w:t>, to reduce the risks that adverse action might be taken in the interim</w:t>
      </w:r>
      <w:r w:rsidR="00A0192E">
        <w:rPr>
          <w:rFonts w:ascii="Avenir Next" w:hAnsi="Avenir Next" w:cs="Arial"/>
          <w:color w:val="808080" w:themeColor="background1" w:themeShade="80"/>
          <w:sz w:val="22"/>
          <w:szCs w:val="22"/>
          <w:lang w:val="en-GB"/>
        </w:rPr>
        <w:t xml:space="preserve">. </w:t>
      </w:r>
    </w:p>
    <w:p w14:paraId="12759207" w14:textId="77777777" w:rsidR="00292F44" w:rsidRDefault="00292F44" w:rsidP="00F31EE9">
      <w:pPr>
        <w:ind w:left="720" w:hanging="720"/>
        <w:jc w:val="both"/>
        <w:rPr>
          <w:rFonts w:ascii="Avenir Next" w:hAnsi="Avenir Next" w:cs="Arial"/>
          <w:color w:val="808080" w:themeColor="background1" w:themeShade="80"/>
          <w:sz w:val="22"/>
          <w:szCs w:val="22"/>
          <w:lang w:val="en-GB"/>
        </w:rPr>
      </w:pPr>
    </w:p>
    <w:p w14:paraId="42EA9D01" w14:textId="77777777" w:rsidR="008C4414" w:rsidRDefault="008C4414" w:rsidP="00977F12">
      <w:pPr>
        <w:jc w:val="both"/>
        <w:rPr>
          <w:rFonts w:ascii="Avenir Next" w:hAnsi="Avenir Next" w:cs="Arial"/>
          <w:color w:val="808080" w:themeColor="background1" w:themeShade="80"/>
          <w:sz w:val="22"/>
          <w:szCs w:val="22"/>
          <w:lang w:val="en-GB"/>
        </w:rPr>
      </w:pPr>
    </w:p>
    <w:p w14:paraId="5FF77D06" w14:textId="77777777" w:rsidR="000A3F85" w:rsidRPr="00D51CA3" w:rsidRDefault="000A3F85" w:rsidP="00F31EE9">
      <w:pPr>
        <w:ind w:left="720" w:hanging="720"/>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07BD03C6" w:rsidR="00867A8F" w:rsidRDefault="007700B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Country A is not the COMI jurisdiction. Indeed, depending on what the registered office in that country does, it might not even constitute an “establishment” because it is unclear if it carries out a “non-transitory economic activity with human means and goods and services”</w:t>
      </w:r>
      <w:r w:rsidR="004E3090">
        <w:rPr>
          <w:rFonts w:ascii="Avenir Next" w:hAnsi="Avenir Next" w:cs="Arial"/>
          <w:color w:val="808080" w:themeColor="background1" w:themeShade="80"/>
          <w:sz w:val="22"/>
          <w:szCs w:val="22"/>
          <w:lang w:val="en-GB"/>
        </w:rPr>
        <w:t xml:space="preserve"> at that registered office</w:t>
      </w:r>
      <w:r>
        <w:rPr>
          <w:rFonts w:ascii="Avenir Next" w:hAnsi="Avenir Next" w:cs="Arial"/>
          <w:color w:val="808080" w:themeColor="background1" w:themeShade="80"/>
          <w:sz w:val="22"/>
          <w:szCs w:val="22"/>
          <w:lang w:val="en-GB"/>
        </w:rPr>
        <w:t xml:space="preserve">.  </w:t>
      </w:r>
    </w:p>
    <w:p w14:paraId="7D66B226" w14:textId="77777777" w:rsidR="007700BE" w:rsidRDefault="007700BE" w:rsidP="00867A8F">
      <w:pPr>
        <w:ind w:left="720" w:hanging="720"/>
        <w:jc w:val="both"/>
        <w:rPr>
          <w:rFonts w:ascii="Avenir Next" w:hAnsi="Avenir Next" w:cs="Arial"/>
          <w:color w:val="808080" w:themeColor="background1" w:themeShade="80"/>
          <w:sz w:val="22"/>
          <w:szCs w:val="22"/>
          <w:lang w:val="en-GB"/>
        </w:rPr>
      </w:pPr>
    </w:p>
    <w:p w14:paraId="51AFF807" w14:textId="77777777" w:rsidR="00883B84" w:rsidRDefault="007700B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Country A is an establishment, the representative can at best seek recognition as a foreign non-main proceeding. It ought to have done so at the start, and even though it is late and misguided, it should do </w:t>
      </w:r>
      <w:r w:rsidR="00883B84">
        <w:rPr>
          <w:rFonts w:ascii="Avenir Next" w:hAnsi="Avenir Next" w:cs="Arial"/>
          <w:color w:val="808080" w:themeColor="background1" w:themeShade="80"/>
          <w:sz w:val="22"/>
          <w:szCs w:val="22"/>
          <w:lang w:val="en-GB"/>
        </w:rPr>
        <w:t>the same as soon as possible despite the rejection of its application for recognition as foreign main proceedings</w:t>
      </w:r>
      <w:r>
        <w:rPr>
          <w:rFonts w:ascii="Avenir Next" w:hAnsi="Avenir Next" w:cs="Arial"/>
          <w:color w:val="808080" w:themeColor="background1" w:themeShade="80"/>
          <w:sz w:val="22"/>
          <w:szCs w:val="22"/>
          <w:lang w:val="en-GB"/>
        </w:rPr>
        <w:t xml:space="preserve">.  </w:t>
      </w:r>
    </w:p>
    <w:p w14:paraId="179E83F8" w14:textId="77777777" w:rsidR="00883B84" w:rsidRDefault="00883B84" w:rsidP="00867A8F">
      <w:pPr>
        <w:ind w:left="720" w:hanging="720"/>
        <w:jc w:val="both"/>
        <w:rPr>
          <w:rFonts w:ascii="Avenir Next" w:hAnsi="Avenir Next" w:cs="Arial"/>
          <w:color w:val="808080" w:themeColor="background1" w:themeShade="80"/>
          <w:sz w:val="22"/>
          <w:szCs w:val="22"/>
          <w:lang w:val="en-GB"/>
        </w:rPr>
      </w:pPr>
    </w:p>
    <w:p w14:paraId="28733FBC" w14:textId="77777777" w:rsidR="00725D03" w:rsidRDefault="007700B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Being recognised as a foreign non-main proceeding will allow </w:t>
      </w:r>
      <w:r w:rsidR="004E3090">
        <w:rPr>
          <w:rFonts w:ascii="Avenir Next" w:hAnsi="Avenir Next" w:cs="Arial"/>
          <w:color w:val="808080" w:themeColor="background1" w:themeShade="80"/>
          <w:sz w:val="22"/>
          <w:szCs w:val="22"/>
          <w:lang w:val="en-GB"/>
        </w:rPr>
        <w:t>the representative to seek the court’s discretionary powers</w:t>
      </w:r>
      <w:r w:rsidR="00883B84">
        <w:rPr>
          <w:rFonts w:ascii="Avenir Next" w:hAnsi="Avenir Next" w:cs="Arial"/>
          <w:color w:val="808080" w:themeColor="background1" w:themeShade="80"/>
          <w:sz w:val="22"/>
          <w:szCs w:val="22"/>
          <w:lang w:val="en-GB"/>
        </w:rPr>
        <w:t xml:space="preserve">, specifically, to empower the representative to sell that “certain asset” that it intended to sell in Country B.  </w:t>
      </w:r>
      <w:r w:rsidR="00CA7B4B">
        <w:rPr>
          <w:rFonts w:ascii="Avenir Next" w:hAnsi="Avenir Next" w:cs="Arial"/>
          <w:color w:val="808080" w:themeColor="background1" w:themeShade="80"/>
          <w:sz w:val="22"/>
          <w:szCs w:val="22"/>
          <w:lang w:val="en-GB"/>
        </w:rPr>
        <w:t xml:space="preserve">In most jurisdictions, it should seek this power as a prayer within the same application as the recognition.  </w:t>
      </w:r>
    </w:p>
    <w:p w14:paraId="6655F27C" w14:textId="77777777" w:rsidR="00725D03" w:rsidRDefault="00725D03" w:rsidP="00867A8F">
      <w:pPr>
        <w:ind w:left="720" w:hanging="720"/>
        <w:jc w:val="both"/>
        <w:rPr>
          <w:rFonts w:ascii="Avenir Next" w:hAnsi="Avenir Next" w:cs="Arial"/>
          <w:color w:val="808080" w:themeColor="background1" w:themeShade="80"/>
          <w:sz w:val="22"/>
          <w:szCs w:val="22"/>
          <w:lang w:val="en-GB"/>
        </w:rPr>
      </w:pPr>
    </w:p>
    <w:p w14:paraId="4C9A471C" w14:textId="44FAEE52" w:rsidR="007700BE" w:rsidRDefault="007A200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some jurisdictions such as the </w:t>
      </w:r>
      <w:r w:rsidR="005176E5">
        <w:rPr>
          <w:rFonts w:ascii="Avenir Next" w:hAnsi="Avenir Next" w:cs="Arial"/>
          <w:color w:val="808080" w:themeColor="background1" w:themeShade="80"/>
          <w:sz w:val="22"/>
          <w:szCs w:val="22"/>
          <w:lang w:val="en-GB"/>
        </w:rPr>
        <w:t>SDNY</w:t>
      </w:r>
      <w:r>
        <w:rPr>
          <w:rFonts w:ascii="Avenir Next" w:hAnsi="Avenir Next" w:cs="Arial"/>
          <w:color w:val="808080" w:themeColor="background1" w:themeShade="80"/>
          <w:sz w:val="22"/>
          <w:szCs w:val="22"/>
          <w:lang w:val="en-GB"/>
        </w:rPr>
        <w:t xml:space="preserve">, the scope of relief that the courts are willing to grant for non-main proceedings is often almost as large as that for main proceedings; there </w:t>
      </w:r>
      <w:r w:rsidR="000757EB">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therefore </w:t>
      </w:r>
      <w:r w:rsidR="000757EB">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no significant disadvantage in </w:t>
      </w:r>
      <w:r w:rsidR="00E30E53">
        <w:rPr>
          <w:rFonts w:ascii="Avenir Next" w:hAnsi="Avenir Next" w:cs="Arial"/>
          <w:color w:val="808080" w:themeColor="background1" w:themeShade="80"/>
          <w:sz w:val="22"/>
          <w:szCs w:val="22"/>
          <w:lang w:val="en-GB"/>
        </w:rPr>
        <w:t xml:space="preserve">seeking recognition of a non-main proceeding.  </w:t>
      </w:r>
    </w:p>
    <w:p w14:paraId="02D52ABE" w14:textId="77777777" w:rsidR="002F53E9" w:rsidRDefault="002F53E9" w:rsidP="00867A8F">
      <w:pPr>
        <w:ind w:left="720" w:hanging="720"/>
        <w:jc w:val="both"/>
        <w:rPr>
          <w:rFonts w:ascii="Avenir Next" w:hAnsi="Avenir Next" w:cs="Arial"/>
          <w:color w:val="808080" w:themeColor="background1" w:themeShade="80"/>
          <w:sz w:val="22"/>
          <w:szCs w:val="22"/>
          <w:lang w:val="en-GB"/>
        </w:rPr>
      </w:pPr>
    </w:p>
    <w:p w14:paraId="02B29090" w14:textId="77777777" w:rsidR="002F53E9" w:rsidRPr="00B77352" w:rsidRDefault="002F53E9" w:rsidP="00867A8F">
      <w:pPr>
        <w:ind w:left="720" w:hanging="72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w:t>
      </w:r>
      <w:r>
        <w:rPr>
          <w:rFonts w:ascii="Avenir Next Demi Bold" w:hAnsi="Avenir Next Demi Bold" w:cs="Arial"/>
          <w:b/>
          <w:bCs/>
          <w:color w:val="FF0000"/>
          <w:sz w:val="22"/>
          <w:szCs w:val="22"/>
          <w:lang w:val="en-GB"/>
        </w:rPr>
        <w:lastRenderedPageBreak/>
        <w:t>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2F94241" w14:textId="5A8042C9" w:rsidR="003C25F9" w:rsidRDefault="003C25F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SUMMARY</w:t>
      </w:r>
    </w:p>
    <w:p w14:paraId="23D31BD8" w14:textId="77777777" w:rsidR="003C25F9" w:rsidRDefault="003C25F9" w:rsidP="009E3CA7">
      <w:pPr>
        <w:jc w:val="both"/>
        <w:rPr>
          <w:rFonts w:ascii="Avenir Next" w:hAnsi="Avenir Next"/>
          <w:color w:val="808080" w:themeColor="background1" w:themeShade="80"/>
          <w:sz w:val="22"/>
          <w:szCs w:val="28"/>
        </w:rPr>
      </w:pPr>
    </w:p>
    <w:p w14:paraId="229F2AE3" w14:textId="6F6F81CA" w:rsidR="00FE2759" w:rsidRDefault="000E4C8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Client should file </w:t>
      </w:r>
      <w:r w:rsidR="00D73387">
        <w:rPr>
          <w:rFonts w:ascii="Avenir Next" w:hAnsi="Avenir Next"/>
          <w:color w:val="808080" w:themeColor="background1" w:themeShade="80"/>
          <w:sz w:val="22"/>
          <w:szCs w:val="28"/>
        </w:rPr>
        <w:t xml:space="preserve">a </w:t>
      </w:r>
      <w:r>
        <w:rPr>
          <w:rFonts w:ascii="Avenir Next" w:hAnsi="Avenir Next"/>
          <w:color w:val="808080" w:themeColor="background1" w:themeShade="80"/>
          <w:sz w:val="22"/>
          <w:szCs w:val="28"/>
        </w:rPr>
        <w:t xml:space="preserve">recognition application </w:t>
      </w:r>
      <w:r w:rsidR="005A4AEE">
        <w:rPr>
          <w:rFonts w:ascii="Avenir Next" w:hAnsi="Avenir Next"/>
          <w:color w:val="808080" w:themeColor="background1" w:themeShade="80"/>
          <w:sz w:val="22"/>
          <w:szCs w:val="28"/>
        </w:rPr>
        <w:t xml:space="preserve">in NY </w:t>
      </w:r>
      <w:r w:rsidR="002F3612">
        <w:rPr>
          <w:rFonts w:ascii="Avenir Next" w:hAnsi="Avenir Next"/>
          <w:color w:val="808080" w:themeColor="background1" w:themeShade="80"/>
          <w:sz w:val="22"/>
          <w:szCs w:val="28"/>
        </w:rPr>
        <w:t xml:space="preserve">under Chapter 15 </w:t>
      </w:r>
      <w:r w:rsidR="00EF0221">
        <w:rPr>
          <w:rFonts w:ascii="Avenir Next" w:hAnsi="Avenir Next"/>
          <w:color w:val="808080" w:themeColor="background1" w:themeShade="80"/>
          <w:sz w:val="22"/>
          <w:szCs w:val="28"/>
        </w:rPr>
        <w:t>with alternative prayers for</w:t>
      </w:r>
      <w:r>
        <w:rPr>
          <w:rFonts w:ascii="Avenir Next" w:hAnsi="Avenir Next"/>
          <w:color w:val="808080" w:themeColor="background1" w:themeShade="80"/>
          <w:sz w:val="22"/>
          <w:szCs w:val="28"/>
        </w:rPr>
        <w:t xml:space="preserve"> the Cayman scheme </w:t>
      </w:r>
      <w:r w:rsidR="00EF0221">
        <w:rPr>
          <w:rFonts w:ascii="Avenir Next" w:hAnsi="Avenir Next"/>
          <w:color w:val="808080" w:themeColor="background1" w:themeShade="80"/>
          <w:sz w:val="22"/>
          <w:szCs w:val="28"/>
        </w:rPr>
        <w:t>to be recognized as</w:t>
      </w:r>
      <w:r>
        <w:rPr>
          <w:rFonts w:ascii="Avenir Next" w:hAnsi="Avenir Next"/>
          <w:color w:val="808080" w:themeColor="background1" w:themeShade="80"/>
          <w:sz w:val="22"/>
          <w:szCs w:val="28"/>
        </w:rPr>
        <w:t xml:space="preserve"> a foreign </w:t>
      </w:r>
      <w:r w:rsidR="00EF0221">
        <w:rPr>
          <w:rFonts w:ascii="Avenir Next" w:hAnsi="Avenir Next"/>
          <w:color w:val="808080" w:themeColor="background1" w:themeShade="80"/>
          <w:sz w:val="22"/>
          <w:szCs w:val="28"/>
        </w:rPr>
        <w:t xml:space="preserve">main proceeding, or in the alternative, as a foreign non-main proceeding. </w:t>
      </w:r>
      <w:r w:rsidR="000F49F4">
        <w:rPr>
          <w:rFonts w:ascii="Avenir Next" w:hAnsi="Avenir Next"/>
          <w:color w:val="808080" w:themeColor="background1" w:themeShade="80"/>
          <w:sz w:val="22"/>
          <w:szCs w:val="28"/>
        </w:rPr>
        <w:t xml:space="preserve">The supporting affidavit / statement should assert that Cayman is the COMI jurisdiction, and in any event, </w:t>
      </w:r>
      <w:r w:rsidR="003D699A">
        <w:rPr>
          <w:rFonts w:ascii="Avenir Next" w:hAnsi="Avenir Next"/>
          <w:color w:val="808080" w:themeColor="background1" w:themeShade="80"/>
          <w:sz w:val="22"/>
          <w:szCs w:val="28"/>
        </w:rPr>
        <w:t xml:space="preserve">constitutes </w:t>
      </w:r>
      <w:r w:rsidR="000F49F4">
        <w:rPr>
          <w:rFonts w:ascii="Avenir Next" w:hAnsi="Avenir Next"/>
          <w:color w:val="808080" w:themeColor="background1" w:themeShade="80"/>
          <w:sz w:val="22"/>
          <w:szCs w:val="28"/>
        </w:rPr>
        <w:t>an establishment</w:t>
      </w:r>
      <w:r w:rsidR="00C26DE7">
        <w:rPr>
          <w:rFonts w:ascii="Avenir Next" w:hAnsi="Avenir Next"/>
          <w:color w:val="808080" w:themeColor="background1" w:themeShade="80"/>
          <w:sz w:val="22"/>
          <w:szCs w:val="28"/>
        </w:rPr>
        <w:t xml:space="preserve"> within the meaning of the Model Law. </w:t>
      </w:r>
    </w:p>
    <w:p w14:paraId="7518F882" w14:textId="77777777" w:rsidR="00FE2759" w:rsidRDefault="00FE2759" w:rsidP="009E3CA7">
      <w:pPr>
        <w:jc w:val="both"/>
        <w:rPr>
          <w:rFonts w:ascii="Avenir Next" w:hAnsi="Avenir Next"/>
          <w:color w:val="808080" w:themeColor="background1" w:themeShade="80"/>
          <w:sz w:val="22"/>
          <w:szCs w:val="28"/>
        </w:rPr>
      </w:pPr>
    </w:p>
    <w:p w14:paraId="241A3ABE" w14:textId="12A64501" w:rsidR="00B40744" w:rsidRDefault="001E703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I</w:t>
      </w:r>
      <w:r w:rsidR="00B40744">
        <w:rPr>
          <w:rFonts w:ascii="Avenir Next" w:hAnsi="Avenir Next"/>
          <w:color w:val="808080" w:themeColor="background1" w:themeShade="80"/>
          <w:sz w:val="22"/>
          <w:szCs w:val="28"/>
        </w:rPr>
        <w:t xml:space="preserve">f local law does not permit alternative prayers, then the client should file for recognition as a non-main proceeding, </w:t>
      </w:r>
      <w:r w:rsidR="00F976FF">
        <w:rPr>
          <w:rFonts w:ascii="Avenir Next" w:hAnsi="Avenir Next"/>
          <w:color w:val="808080" w:themeColor="background1" w:themeShade="80"/>
          <w:sz w:val="22"/>
          <w:szCs w:val="28"/>
        </w:rPr>
        <w:t>and</w:t>
      </w:r>
      <w:r w:rsidR="00571A5A">
        <w:rPr>
          <w:rFonts w:ascii="Avenir Next" w:hAnsi="Avenir Next"/>
          <w:color w:val="808080" w:themeColor="background1" w:themeShade="80"/>
          <w:sz w:val="22"/>
          <w:szCs w:val="28"/>
        </w:rPr>
        <w:t xml:space="preserve"> abandon its claim that Cayman is the COMI. </w:t>
      </w:r>
    </w:p>
    <w:p w14:paraId="13EC24CF" w14:textId="77777777" w:rsidR="00B40744" w:rsidRDefault="00B40744" w:rsidP="009E3CA7">
      <w:pPr>
        <w:jc w:val="both"/>
        <w:rPr>
          <w:rFonts w:ascii="Avenir Next" w:hAnsi="Avenir Next"/>
          <w:color w:val="808080" w:themeColor="background1" w:themeShade="80"/>
          <w:sz w:val="22"/>
          <w:szCs w:val="28"/>
        </w:rPr>
      </w:pPr>
    </w:p>
    <w:p w14:paraId="493CCE6B" w14:textId="1D4C51D5" w:rsidR="0090405E" w:rsidRDefault="00B5647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Together with the recognition application, the client should also seek </w:t>
      </w:r>
      <w:r w:rsidR="001F1405">
        <w:rPr>
          <w:rFonts w:ascii="Avenir Next" w:hAnsi="Avenir Next"/>
          <w:color w:val="808080" w:themeColor="background1" w:themeShade="80"/>
          <w:sz w:val="22"/>
          <w:szCs w:val="28"/>
        </w:rPr>
        <w:t xml:space="preserve">pre-recognition relief </w:t>
      </w:r>
      <w:r w:rsidR="004813F9">
        <w:rPr>
          <w:rFonts w:ascii="Avenir Next" w:hAnsi="Avenir Next"/>
          <w:color w:val="808080" w:themeColor="background1" w:themeShade="80"/>
          <w:sz w:val="22"/>
          <w:szCs w:val="28"/>
        </w:rPr>
        <w:t xml:space="preserve">(or provisional relief) </w:t>
      </w:r>
      <w:r w:rsidR="001F1405">
        <w:rPr>
          <w:rFonts w:ascii="Avenir Next" w:hAnsi="Avenir Next"/>
          <w:color w:val="808080" w:themeColor="background1" w:themeShade="80"/>
          <w:sz w:val="22"/>
          <w:szCs w:val="28"/>
        </w:rPr>
        <w:t>in the form of a moratorium pending the hearing of the recognition application. Notice of these applications / prayers will likely have to be given to all persons affected by it</w:t>
      </w:r>
      <w:r w:rsidR="00712091">
        <w:rPr>
          <w:rFonts w:ascii="Avenir Next" w:hAnsi="Avenir Next"/>
          <w:color w:val="808080" w:themeColor="background1" w:themeShade="80"/>
          <w:sz w:val="22"/>
          <w:szCs w:val="28"/>
        </w:rPr>
        <w:t xml:space="preserve"> (or parties-in-interest)</w:t>
      </w:r>
      <w:r w:rsidR="001F1405">
        <w:rPr>
          <w:rFonts w:ascii="Avenir Next" w:hAnsi="Avenir Next"/>
          <w:color w:val="808080" w:themeColor="background1" w:themeShade="80"/>
          <w:sz w:val="22"/>
          <w:szCs w:val="28"/>
        </w:rPr>
        <w:t xml:space="preserve">, which may include the class litigants. </w:t>
      </w:r>
      <w:r w:rsidR="00956935">
        <w:rPr>
          <w:rFonts w:ascii="Avenir Next" w:hAnsi="Avenir Next"/>
          <w:color w:val="808080" w:themeColor="background1" w:themeShade="80"/>
          <w:sz w:val="22"/>
          <w:szCs w:val="28"/>
        </w:rPr>
        <w:t xml:space="preserve">Relief in the form of court authorization should also be sought for the continuance of payments and use of cash collaterals for the operational needs of the company. </w:t>
      </w:r>
    </w:p>
    <w:p w14:paraId="6600444A" w14:textId="77777777" w:rsidR="00841A73" w:rsidRDefault="00841A73" w:rsidP="009E3CA7">
      <w:pPr>
        <w:jc w:val="both"/>
        <w:rPr>
          <w:rFonts w:ascii="Avenir Next" w:hAnsi="Avenir Next"/>
          <w:color w:val="808080" w:themeColor="background1" w:themeShade="80"/>
          <w:sz w:val="22"/>
          <w:szCs w:val="28"/>
        </w:rPr>
      </w:pPr>
    </w:p>
    <w:p w14:paraId="5D982C9B" w14:textId="54D79E54" w:rsidR="008E4597" w:rsidRDefault="008E459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CAYMAN SCHEME INDUBITABLY A “FOREIGN PROCEEDING”</w:t>
      </w:r>
    </w:p>
    <w:p w14:paraId="1EDE706E" w14:textId="77777777" w:rsidR="008E4597" w:rsidRDefault="008E4597" w:rsidP="009E3CA7">
      <w:pPr>
        <w:jc w:val="both"/>
        <w:rPr>
          <w:rFonts w:ascii="Avenir Next" w:hAnsi="Avenir Next"/>
          <w:color w:val="808080" w:themeColor="background1" w:themeShade="80"/>
          <w:sz w:val="22"/>
          <w:szCs w:val="28"/>
        </w:rPr>
      </w:pPr>
    </w:p>
    <w:p w14:paraId="5271760B" w14:textId="497C3CB8" w:rsidR="008E4597" w:rsidRDefault="00CB2FA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Cayman scheme </w:t>
      </w:r>
      <w:r w:rsidR="00E709D2">
        <w:rPr>
          <w:rFonts w:ascii="Avenir Next" w:hAnsi="Avenir Next"/>
          <w:color w:val="808080" w:themeColor="background1" w:themeShade="80"/>
          <w:sz w:val="22"/>
          <w:szCs w:val="28"/>
        </w:rPr>
        <w:t>is indubitably a “foreign proceeding”</w:t>
      </w:r>
      <w:r w:rsidR="0020177C">
        <w:rPr>
          <w:rFonts w:ascii="Avenir Next" w:hAnsi="Avenir Next"/>
          <w:color w:val="808080" w:themeColor="background1" w:themeShade="80"/>
          <w:sz w:val="22"/>
          <w:szCs w:val="28"/>
        </w:rPr>
        <w:t xml:space="preserve">. Under 11 USCS s 101(23), </w:t>
      </w:r>
      <w:r w:rsidR="009C68DF">
        <w:rPr>
          <w:rFonts w:ascii="Avenir Next" w:hAnsi="Avenir Next"/>
          <w:color w:val="808080" w:themeColor="background1" w:themeShade="80"/>
          <w:sz w:val="22"/>
          <w:szCs w:val="28"/>
        </w:rPr>
        <w:t xml:space="preserve">the Cayman scheme must be (1) a proceeding (2) that is either judicial or administrative (3) that is collective in nature (4) that is in a foreign country (5) that is authorized or conducted under a law related to the insolvency or the adjustment of debts (6) in which the debtor’s assets and affairs are subject to the control or supervision of a foreign court and (7) which proceeding is for the purpose of </w:t>
      </w:r>
      <w:r w:rsidR="00475893">
        <w:rPr>
          <w:rFonts w:ascii="Avenir Next" w:hAnsi="Avenir Next"/>
          <w:color w:val="808080" w:themeColor="background1" w:themeShade="80"/>
          <w:sz w:val="22"/>
          <w:szCs w:val="28"/>
        </w:rPr>
        <w:t>reorganization</w:t>
      </w:r>
      <w:r w:rsidR="009C68DF">
        <w:rPr>
          <w:rFonts w:ascii="Avenir Next" w:hAnsi="Avenir Next"/>
          <w:color w:val="808080" w:themeColor="background1" w:themeShade="80"/>
          <w:sz w:val="22"/>
          <w:szCs w:val="28"/>
        </w:rPr>
        <w:t xml:space="preserve"> or liquidation. </w:t>
      </w:r>
    </w:p>
    <w:p w14:paraId="00966E8C" w14:textId="77777777" w:rsidR="009C68DF" w:rsidRDefault="009C68DF" w:rsidP="009E3CA7">
      <w:pPr>
        <w:jc w:val="both"/>
        <w:rPr>
          <w:rFonts w:ascii="Avenir Next" w:hAnsi="Avenir Next"/>
          <w:color w:val="808080" w:themeColor="background1" w:themeShade="80"/>
          <w:sz w:val="22"/>
          <w:szCs w:val="28"/>
        </w:rPr>
      </w:pPr>
    </w:p>
    <w:p w14:paraId="0D2BCC8A" w14:textId="5DD8AC8F" w:rsidR="009C68DF" w:rsidRDefault="009C68D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All 7 requirements are </w:t>
      </w:r>
      <w:r w:rsidR="00D44C4A">
        <w:rPr>
          <w:rFonts w:ascii="Avenir Next" w:hAnsi="Avenir Next"/>
          <w:color w:val="808080" w:themeColor="background1" w:themeShade="80"/>
          <w:sz w:val="22"/>
          <w:szCs w:val="28"/>
        </w:rPr>
        <w:t xml:space="preserve">highly </w:t>
      </w:r>
      <w:r>
        <w:rPr>
          <w:rFonts w:ascii="Avenir Next" w:hAnsi="Avenir Next"/>
          <w:color w:val="808080" w:themeColor="background1" w:themeShade="80"/>
          <w:sz w:val="22"/>
          <w:szCs w:val="28"/>
        </w:rPr>
        <w:t xml:space="preserve">likely to be satisfied vis-à-vis the Cayman scheme. </w:t>
      </w:r>
    </w:p>
    <w:p w14:paraId="7C83A34F" w14:textId="77777777" w:rsidR="008E4597" w:rsidRDefault="008E4597" w:rsidP="009E3CA7">
      <w:pPr>
        <w:jc w:val="both"/>
        <w:rPr>
          <w:rFonts w:ascii="Avenir Next" w:hAnsi="Avenir Next"/>
          <w:color w:val="808080" w:themeColor="background1" w:themeShade="80"/>
          <w:sz w:val="22"/>
          <w:szCs w:val="28"/>
        </w:rPr>
      </w:pPr>
    </w:p>
    <w:p w14:paraId="71CE94D5" w14:textId="5DB687C5" w:rsidR="0043601C" w:rsidRDefault="00EB422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FOREIGN MAIN OR NON-MAIN – </w:t>
      </w:r>
      <w:r w:rsidR="003C25F9">
        <w:rPr>
          <w:rFonts w:ascii="Avenir Next" w:hAnsi="Avenir Next"/>
          <w:color w:val="808080" w:themeColor="background1" w:themeShade="80"/>
          <w:sz w:val="22"/>
          <w:szCs w:val="28"/>
        </w:rPr>
        <w:t>WHERE IS THE COMI?</w:t>
      </w:r>
    </w:p>
    <w:p w14:paraId="2DC9948E" w14:textId="77777777" w:rsidR="00FF60F2" w:rsidRDefault="00FF60F2" w:rsidP="009E3CA7">
      <w:pPr>
        <w:jc w:val="both"/>
        <w:rPr>
          <w:rFonts w:ascii="Avenir Next" w:hAnsi="Avenir Next"/>
          <w:color w:val="808080" w:themeColor="background1" w:themeShade="80"/>
          <w:sz w:val="22"/>
          <w:szCs w:val="28"/>
        </w:rPr>
      </w:pPr>
    </w:p>
    <w:p w14:paraId="36FB4EE7" w14:textId="46FCE5A1" w:rsidR="00FF60F2" w:rsidRDefault="00AF49E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determining whether the Cayman scheme is a foreign main or non-main proceeding, t</w:t>
      </w:r>
      <w:r w:rsidR="00017C7D">
        <w:rPr>
          <w:rFonts w:ascii="Avenir Next" w:hAnsi="Avenir Next"/>
          <w:color w:val="808080" w:themeColor="background1" w:themeShade="80"/>
          <w:sz w:val="22"/>
          <w:szCs w:val="28"/>
        </w:rPr>
        <w:t xml:space="preserve">he first </w:t>
      </w:r>
      <w:r w:rsidR="009E4E60">
        <w:rPr>
          <w:rFonts w:ascii="Avenir Next" w:hAnsi="Avenir Next"/>
          <w:color w:val="808080" w:themeColor="background1" w:themeShade="80"/>
          <w:sz w:val="22"/>
          <w:szCs w:val="28"/>
        </w:rPr>
        <w:t>sub-issue</w:t>
      </w:r>
      <w:r w:rsidR="00017C7D">
        <w:rPr>
          <w:rFonts w:ascii="Avenir Next" w:hAnsi="Avenir Next"/>
          <w:color w:val="808080" w:themeColor="background1" w:themeShade="80"/>
          <w:sz w:val="22"/>
          <w:szCs w:val="28"/>
        </w:rPr>
        <w:t xml:space="preserve"> is when is COMI determined? </w:t>
      </w:r>
      <w:r w:rsidR="0083042E">
        <w:rPr>
          <w:rFonts w:ascii="Avenir Next" w:hAnsi="Avenir Next"/>
          <w:color w:val="808080" w:themeColor="background1" w:themeShade="80"/>
          <w:sz w:val="22"/>
          <w:szCs w:val="28"/>
        </w:rPr>
        <w:t>In the US (and specifically NY) where the recognition application is to be filed, the preponderance of authorities suggest that COMI is determined at the time of the Chapter 15 filing</w:t>
      </w:r>
      <w:r w:rsidR="005D2B32">
        <w:rPr>
          <w:rFonts w:ascii="Avenir Next" w:hAnsi="Avenir Next"/>
          <w:color w:val="808080" w:themeColor="background1" w:themeShade="80"/>
          <w:sz w:val="22"/>
          <w:szCs w:val="28"/>
        </w:rPr>
        <w:t xml:space="preserve"> (see, for instance</w:t>
      </w:r>
      <w:r w:rsidR="004875B4">
        <w:rPr>
          <w:rFonts w:ascii="Avenir Next" w:hAnsi="Avenir Next"/>
          <w:color w:val="808080" w:themeColor="background1" w:themeShade="80"/>
          <w:sz w:val="22"/>
          <w:szCs w:val="28"/>
        </w:rPr>
        <w:t>, the 2</w:t>
      </w:r>
      <w:r w:rsidR="004875B4" w:rsidRPr="004875B4">
        <w:rPr>
          <w:rFonts w:ascii="Avenir Next" w:hAnsi="Avenir Next"/>
          <w:color w:val="808080" w:themeColor="background1" w:themeShade="80"/>
          <w:sz w:val="22"/>
          <w:szCs w:val="28"/>
          <w:vertAlign w:val="superscript"/>
        </w:rPr>
        <w:t>nd</w:t>
      </w:r>
      <w:r w:rsidR="004875B4">
        <w:rPr>
          <w:rFonts w:ascii="Avenir Next" w:hAnsi="Avenir Next"/>
          <w:color w:val="808080" w:themeColor="background1" w:themeShade="80"/>
          <w:sz w:val="22"/>
          <w:szCs w:val="28"/>
        </w:rPr>
        <w:t xml:space="preserve"> Circuit decision in Morning Mist Holdings Ltd v </w:t>
      </w:r>
      <w:proofErr w:type="spellStart"/>
      <w:r w:rsidR="004875B4">
        <w:rPr>
          <w:rFonts w:ascii="Avenir Next" w:hAnsi="Avenir Next"/>
          <w:color w:val="808080" w:themeColor="background1" w:themeShade="80"/>
          <w:sz w:val="22"/>
          <w:szCs w:val="28"/>
        </w:rPr>
        <w:t>Krys</w:t>
      </w:r>
      <w:proofErr w:type="spellEnd"/>
      <w:r w:rsidR="004875B4">
        <w:rPr>
          <w:rFonts w:ascii="Avenir Next" w:hAnsi="Avenir Next"/>
          <w:color w:val="808080" w:themeColor="background1" w:themeShade="80"/>
          <w:sz w:val="22"/>
          <w:szCs w:val="28"/>
        </w:rPr>
        <w:t xml:space="preserve"> (Matter of Fairfield Sentry Ltd; </w:t>
      </w:r>
      <w:r w:rsidR="000A38BA">
        <w:rPr>
          <w:rFonts w:ascii="Avenir Next" w:hAnsi="Avenir Next"/>
          <w:color w:val="808080" w:themeColor="background1" w:themeShade="80"/>
          <w:sz w:val="22"/>
          <w:szCs w:val="28"/>
        </w:rPr>
        <w:t xml:space="preserve">In re </w:t>
      </w:r>
      <w:proofErr w:type="spellStart"/>
      <w:r w:rsidR="000A38BA">
        <w:rPr>
          <w:rFonts w:ascii="Avenir Next" w:hAnsi="Avenir Next"/>
          <w:color w:val="808080" w:themeColor="background1" w:themeShade="80"/>
          <w:sz w:val="22"/>
          <w:szCs w:val="28"/>
        </w:rPr>
        <w:t>Ascott</w:t>
      </w:r>
      <w:proofErr w:type="spellEnd"/>
      <w:r w:rsidR="000A38BA">
        <w:rPr>
          <w:rFonts w:ascii="Avenir Next" w:hAnsi="Avenir Next"/>
          <w:color w:val="808080" w:themeColor="background1" w:themeShade="80"/>
          <w:sz w:val="22"/>
          <w:szCs w:val="28"/>
        </w:rPr>
        <w:t xml:space="preserve"> Fund Ltd 603</w:t>
      </w:r>
      <w:r w:rsidR="001627EC">
        <w:rPr>
          <w:rFonts w:ascii="Avenir Next" w:hAnsi="Avenir Next"/>
          <w:color w:val="808080" w:themeColor="background1" w:themeShade="80"/>
          <w:sz w:val="22"/>
          <w:szCs w:val="28"/>
        </w:rPr>
        <w:t xml:space="preserve"> </w:t>
      </w:r>
      <w:r w:rsidR="000A38BA">
        <w:rPr>
          <w:rFonts w:ascii="Avenir Next" w:hAnsi="Avenir Next"/>
          <w:color w:val="808080" w:themeColor="background1" w:themeShade="80"/>
          <w:sz w:val="22"/>
          <w:szCs w:val="28"/>
        </w:rPr>
        <w:t xml:space="preserve">BR 271, 282 (SDNY 2019); In re Ocean Rig UDW Inc 570 BR 687 (SDNY 2017)).  </w:t>
      </w:r>
    </w:p>
    <w:p w14:paraId="6267F667" w14:textId="77777777" w:rsidR="008F22F0" w:rsidRDefault="008F22F0" w:rsidP="009E3CA7">
      <w:pPr>
        <w:jc w:val="both"/>
        <w:rPr>
          <w:rFonts w:ascii="Avenir Next" w:hAnsi="Avenir Next"/>
          <w:color w:val="808080" w:themeColor="background1" w:themeShade="80"/>
          <w:sz w:val="22"/>
          <w:szCs w:val="28"/>
        </w:rPr>
      </w:pPr>
    </w:p>
    <w:p w14:paraId="1F0DB4E0" w14:textId="3C297424" w:rsidR="00EB6F26" w:rsidRDefault="0007399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this basis, </w:t>
      </w:r>
      <w:r w:rsidR="002346CE">
        <w:rPr>
          <w:rFonts w:ascii="Avenir Next" w:hAnsi="Avenir Next"/>
          <w:color w:val="808080" w:themeColor="background1" w:themeShade="80"/>
          <w:sz w:val="22"/>
          <w:szCs w:val="28"/>
        </w:rPr>
        <w:t xml:space="preserve">it is strongly arguable </w:t>
      </w:r>
      <w:r w:rsidR="00375468">
        <w:rPr>
          <w:rFonts w:ascii="Avenir Next" w:hAnsi="Avenir Next"/>
          <w:color w:val="808080" w:themeColor="background1" w:themeShade="80"/>
          <w:sz w:val="22"/>
          <w:szCs w:val="28"/>
        </w:rPr>
        <w:t xml:space="preserve">that the client’s COMI is located in Cayman. </w:t>
      </w:r>
      <w:r w:rsidR="00EB6F26">
        <w:rPr>
          <w:rFonts w:ascii="Avenir Next" w:hAnsi="Avenir Next"/>
          <w:color w:val="808080" w:themeColor="background1" w:themeShade="80"/>
          <w:sz w:val="22"/>
          <w:szCs w:val="28"/>
        </w:rPr>
        <w:t>These main factors</w:t>
      </w:r>
      <w:r w:rsidR="00FA3B80">
        <w:rPr>
          <w:rFonts w:ascii="Avenir Next" w:hAnsi="Avenir Next"/>
          <w:color w:val="808080" w:themeColor="background1" w:themeShade="80"/>
          <w:sz w:val="22"/>
          <w:szCs w:val="28"/>
        </w:rPr>
        <w:t xml:space="preserve">, among others, </w:t>
      </w:r>
      <w:r w:rsidR="00EB6F26">
        <w:rPr>
          <w:rFonts w:ascii="Avenir Next" w:hAnsi="Avenir Next"/>
          <w:color w:val="808080" w:themeColor="background1" w:themeShade="80"/>
          <w:sz w:val="22"/>
          <w:szCs w:val="28"/>
        </w:rPr>
        <w:t xml:space="preserve">should be highlighted: </w:t>
      </w:r>
    </w:p>
    <w:p w14:paraId="296C0ED0" w14:textId="77777777" w:rsidR="00EB6F26" w:rsidRDefault="00EB6F26" w:rsidP="009E3CA7">
      <w:pPr>
        <w:jc w:val="both"/>
        <w:rPr>
          <w:rFonts w:ascii="Avenir Next" w:hAnsi="Avenir Next"/>
          <w:color w:val="808080" w:themeColor="background1" w:themeShade="80"/>
          <w:sz w:val="22"/>
          <w:szCs w:val="28"/>
        </w:rPr>
      </w:pPr>
    </w:p>
    <w:p w14:paraId="4879DAFA" w14:textId="540A06DE" w:rsidR="0040409A" w:rsidRDefault="0040409A" w:rsidP="009818FD">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Client’s </w:t>
      </w:r>
      <w:r w:rsidR="00AA4459">
        <w:rPr>
          <w:rFonts w:ascii="Avenir Next" w:hAnsi="Avenir Next"/>
          <w:color w:val="808080" w:themeColor="background1" w:themeShade="80"/>
          <w:sz w:val="22"/>
          <w:szCs w:val="28"/>
        </w:rPr>
        <w:t xml:space="preserve">primary </w:t>
      </w:r>
      <w:r>
        <w:rPr>
          <w:rFonts w:ascii="Avenir Next" w:hAnsi="Avenir Next"/>
          <w:color w:val="808080" w:themeColor="background1" w:themeShade="80"/>
          <w:sz w:val="22"/>
          <w:szCs w:val="28"/>
        </w:rPr>
        <w:t xml:space="preserve">bank account was opened in Cayman </w:t>
      </w:r>
      <w:r w:rsidR="00AA4459">
        <w:rPr>
          <w:rFonts w:ascii="Avenir Next" w:hAnsi="Avenir Next"/>
          <w:color w:val="808080" w:themeColor="background1" w:themeShade="80"/>
          <w:sz w:val="22"/>
          <w:szCs w:val="28"/>
        </w:rPr>
        <w:t xml:space="preserve">in 2010, and operational payments have been from that account for more than a decade. </w:t>
      </w:r>
    </w:p>
    <w:p w14:paraId="0D7D9DB8" w14:textId="6A8697C9" w:rsidR="00EB6F26" w:rsidRDefault="009818FD" w:rsidP="009818FD">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Client’s lawyer </w:t>
      </w:r>
      <w:r w:rsidR="0040409A">
        <w:rPr>
          <w:rFonts w:ascii="Avenir Next" w:hAnsi="Avenir Next"/>
          <w:color w:val="808080" w:themeColor="background1" w:themeShade="80"/>
          <w:sz w:val="22"/>
          <w:szCs w:val="28"/>
        </w:rPr>
        <w:t xml:space="preserve">is based in Cayman and has been regularly representing and advising the client in relation to major corporate milestones for over a decade. </w:t>
      </w:r>
    </w:p>
    <w:p w14:paraId="7A38955C" w14:textId="43746D0D" w:rsidR="00FA6E69" w:rsidRDefault="00CE5929" w:rsidP="009818FD">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Board meetings, even if held virtually for necessity or convenience, are organized from and based in Cayman. </w:t>
      </w:r>
      <w:r w:rsidR="00F20117">
        <w:rPr>
          <w:rFonts w:ascii="Avenir Next" w:hAnsi="Avenir Next"/>
          <w:color w:val="808080" w:themeColor="background1" w:themeShade="80"/>
          <w:sz w:val="22"/>
          <w:szCs w:val="28"/>
        </w:rPr>
        <w:t>The c</w:t>
      </w:r>
      <w:r w:rsidR="008F379F">
        <w:rPr>
          <w:rFonts w:ascii="Avenir Next" w:hAnsi="Avenir Next"/>
          <w:color w:val="808080" w:themeColor="background1" w:themeShade="80"/>
          <w:sz w:val="22"/>
          <w:szCs w:val="28"/>
        </w:rPr>
        <w:t>ontrolling mind of the company is thus located in Cayman</w:t>
      </w:r>
      <w:r w:rsidR="00720BCB">
        <w:rPr>
          <w:rFonts w:ascii="Avenir Next" w:hAnsi="Avenir Next"/>
          <w:color w:val="808080" w:themeColor="background1" w:themeShade="80"/>
          <w:sz w:val="22"/>
          <w:szCs w:val="28"/>
        </w:rPr>
        <w:t xml:space="preserve"> and commercial policy is determined from here. </w:t>
      </w:r>
    </w:p>
    <w:p w14:paraId="477D684A" w14:textId="671052B5" w:rsidR="00720BCB" w:rsidRDefault="00720BCB" w:rsidP="009818FD">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restructuring exercise is almost entirely conducted from and based in Cayman, </w:t>
      </w:r>
      <w:r w:rsidR="007156CE">
        <w:rPr>
          <w:rFonts w:ascii="Avenir Next" w:hAnsi="Avenir Next"/>
          <w:color w:val="808080" w:themeColor="background1" w:themeShade="80"/>
          <w:sz w:val="22"/>
          <w:szCs w:val="28"/>
        </w:rPr>
        <w:t xml:space="preserve">advised by Cayman counsel, </w:t>
      </w:r>
      <w:r>
        <w:rPr>
          <w:rFonts w:ascii="Avenir Next" w:hAnsi="Avenir Next"/>
          <w:color w:val="808080" w:themeColor="background1" w:themeShade="80"/>
          <w:sz w:val="22"/>
          <w:szCs w:val="28"/>
        </w:rPr>
        <w:t xml:space="preserve">and the creditors’ expectations are also as such. </w:t>
      </w:r>
    </w:p>
    <w:p w14:paraId="102CD68C" w14:textId="77777777" w:rsidR="007156CE" w:rsidRDefault="007156CE" w:rsidP="007156CE">
      <w:pPr>
        <w:jc w:val="both"/>
        <w:rPr>
          <w:rFonts w:ascii="Avenir Next" w:hAnsi="Avenir Next"/>
          <w:color w:val="808080" w:themeColor="background1" w:themeShade="80"/>
          <w:sz w:val="22"/>
          <w:szCs w:val="28"/>
        </w:rPr>
      </w:pPr>
    </w:p>
    <w:p w14:paraId="5478B6BA" w14:textId="2C299C62" w:rsidR="007156CE" w:rsidRDefault="007156CE" w:rsidP="007156C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While the client’s subsidiaries are incorporated in the US and operate in the US, it should be pointed out that the restructuring at hand is a liability of the client </w:t>
      </w:r>
      <w:r w:rsidR="00CE1C53">
        <w:rPr>
          <w:rFonts w:ascii="Avenir Next" w:hAnsi="Avenir Next"/>
          <w:color w:val="808080" w:themeColor="background1" w:themeShade="80"/>
          <w:sz w:val="22"/>
          <w:szCs w:val="28"/>
        </w:rPr>
        <w:t xml:space="preserve">(holding company) </w:t>
      </w:r>
      <w:r>
        <w:rPr>
          <w:rFonts w:ascii="Avenir Next" w:hAnsi="Avenir Next"/>
          <w:color w:val="808080" w:themeColor="background1" w:themeShade="80"/>
          <w:sz w:val="22"/>
          <w:szCs w:val="28"/>
        </w:rPr>
        <w:t xml:space="preserve">and not its subsidiaries; the focus of the COMI inquiry should thus be on the client. </w:t>
      </w:r>
      <w:r w:rsidR="001B3512">
        <w:rPr>
          <w:rFonts w:ascii="Avenir Next" w:hAnsi="Avenir Next"/>
          <w:color w:val="808080" w:themeColor="background1" w:themeShade="80"/>
          <w:sz w:val="22"/>
          <w:szCs w:val="28"/>
        </w:rPr>
        <w:t xml:space="preserve">This is </w:t>
      </w:r>
      <w:r w:rsidR="001B3512">
        <w:rPr>
          <w:rFonts w:ascii="Avenir Next" w:hAnsi="Avenir Next"/>
          <w:color w:val="808080" w:themeColor="background1" w:themeShade="80"/>
          <w:sz w:val="22"/>
          <w:szCs w:val="28"/>
        </w:rPr>
        <w:lastRenderedPageBreak/>
        <w:t xml:space="preserve">unlike the cases in which it is the entire business (of both the holding and the subsidiaries) that is sought to be restructured.  </w:t>
      </w:r>
    </w:p>
    <w:p w14:paraId="38195A5F" w14:textId="77777777" w:rsidR="00C34869" w:rsidRDefault="00C34869" w:rsidP="009E3CA7">
      <w:pPr>
        <w:jc w:val="both"/>
        <w:rPr>
          <w:rFonts w:ascii="Avenir Next" w:hAnsi="Avenir Next"/>
          <w:color w:val="808080" w:themeColor="background1" w:themeShade="80"/>
          <w:sz w:val="22"/>
          <w:szCs w:val="28"/>
        </w:rPr>
      </w:pPr>
    </w:p>
    <w:p w14:paraId="7DA739A8" w14:textId="1A4BB4AD" w:rsidR="00E14AFE" w:rsidRDefault="007B5BA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Even if, in the unlikely situation,</w:t>
      </w:r>
      <w:r w:rsidR="00342806">
        <w:rPr>
          <w:rFonts w:ascii="Avenir Next" w:hAnsi="Avenir Next"/>
          <w:color w:val="808080" w:themeColor="background1" w:themeShade="80"/>
          <w:sz w:val="22"/>
          <w:szCs w:val="28"/>
        </w:rPr>
        <w:t xml:space="preserve"> COMI </w:t>
      </w:r>
      <w:r>
        <w:rPr>
          <w:rFonts w:ascii="Avenir Next" w:hAnsi="Avenir Next"/>
          <w:color w:val="808080" w:themeColor="background1" w:themeShade="80"/>
          <w:sz w:val="22"/>
          <w:szCs w:val="28"/>
        </w:rPr>
        <w:t>is held to be determined</w:t>
      </w:r>
      <w:r w:rsidR="00342806">
        <w:rPr>
          <w:rFonts w:ascii="Avenir Next" w:hAnsi="Avenir Next"/>
          <w:color w:val="808080" w:themeColor="background1" w:themeShade="80"/>
          <w:sz w:val="22"/>
          <w:szCs w:val="28"/>
        </w:rPr>
        <w:t xml:space="preserve"> as at the date of the foreign proceeding sought to be </w:t>
      </w:r>
      <w:r w:rsidR="00D7524E">
        <w:rPr>
          <w:rFonts w:ascii="Avenir Next" w:hAnsi="Avenir Next"/>
          <w:color w:val="808080" w:themeColor="background1" w:themeShade="80"/>
          <w:sz w:val="22"/>
          <w:szCs w:val="28"/>
        </w:rPr>
        <w:t>recognized</w:t>
      </w:r>
      <w:r w:rsidR="00056574">
        <w:rPr>
          <w:rFonts w:ascii="Avenir Next" w:hAnsi="Avenir Next"/>
          <w:color w:val="808080" w:themeColor="background1" w:themeShade="80"/>
          <w:sz w:val="22"/>
          <w:szCs w:val="28"/>
        </w:rPr>
        <w:t>, which in this case is the filing of the Cayman scheme application</w:t>
      </w:r>
      <w:r w:rsidR="00022C3C">
        <w:rPr>
          <w:rFonts w:ascii="Avenir Next" w:hAnsi="Avenir Next"/>
          <w:color w:val="808080" w:themeColor="background1" w:themeShade="80"/>
          <w:sz w:val="22"/>
          <w:szCs w:val="28"/>
        </w:rPr>
        <w:t xml:space="preserve">. </w:t>
      </w:r>
      <w:r w:rsidR="00056574">
        <w:rPr>
          <w:rFonts w:ascii="Avenir Next" w:hAnsi="Avenir Next"/>
          <w:color w:val="808080" w:themeColor="background1" w:themeShade="80"/>
          <w:sz w:val="22"/>
          <w:szCs w:val="28"/>
        </w:rPr>
        <w:t xml:space="preserve">The first 3 factors highlighted above </w:t>
      </w:r>
      <w:r w:rsidR="00E14AFE">
        <w:rPr>
          <w:rFonts w:ascii="Avenir Next" w:hAnsi="Avenir Next"/>
          <w:color w:val="808080" w:themeColor="background1" w:themeShade="80"/>
          <w:sz w:val="22"/>
          <w:szCs w:val="28"/>
        </w:rPr>
        <w:t xml:space="preserve">nevertheless militate against recognition of the Cayman scheme as a foreign main proceeding. </w:t>
      </w:r>
      <w:r w:rsidR="00056574">
        <w:rPr>
          <w:rFonts w:ascii="Avenir Next" w:hAnsi="Avenir Next"/>
          <w:color w:val="808080" w:themeColor="background1" w:themeShade="80"/>
          <w:sz w:val="22"/>
          <w:szCs w:val="28"/>
        </w:rPr>
        <w:t xml:space="preserve"> </w:t>
      </w:r>
    </w:p>
    <w:p w14:paraId="644D5DC2" w14:textId="77777777" w:rsidR="00C40DA8" w:rsidRDefault="00C40DA8" w:rsidP="00C40DA8">
      <w:pPr>
        <w:jc w:val="both"/>
        <w:rPr>
          <w:rFonts w:ascii="Avenir Next" w:hAnsi="Avenir Next"/>
          <w:color w:val="808080" w:themeColor="background1" w:themeShade="80"/>
          <w:sz w:val="22"/>
          <w:szCs w:val="28"/>
        </w:rPr>
      </w:pPr>
    </w:p>
    <w:p w14:paraId="0712D431" w14:textId="77777777" w:rsidR="00C40DA8" w:rsidRDefault="00C40DA8" w:rsidP="00C40DA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 the foregoing reasons, it is likely that the Cayman scheme will be found to be the foreign main proceedings by the US court.  </w:t>
      </w:r>
    </w:p>
    <w:p w14:paraId="042ABC15" w14:textId="77777777" w:rsidR="00106978" w:rsidRDefault="00106978" w:rsidP="00C40DA8">
      <w:pPr>
        <w:jc w:val="both"/>
        <w:rPr>
          <w:rFonts w:ascii="Avenir Next" w:hAnsi="Avenir Next"/>
          <w:color w:val="808080" w:themeColor="background1" w:themeShade="80"/>
          <w:sz w:val="22"/>
          <w:szCs w:val="28"/>
        </w:rPr>
      </w:pPr>
    </w:p>
    <w:p w14:paraId="625677FA" w14:textId="48EEF5AA" w:rsidR="00106978" w:rsidRPr="007156CE" w:rsidRDefault="00106978" w:rsidP="00C40DA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AUTOMATIC / MANDATORY RELIEF AS FOREIGN MAIN PROCEEDING</w:t>
      </w:r>
    </w:p>
    <w:p w14:paraId="7F867542" w14:textId="77777777" w:rsidR="00C40DA8" w:rsidRDefault="00C40DA8" w:rsidP="009E3CA7">
      <w:pPr>
        <w:jc w:val="both"/>
        <w:rPr>
          <w:rFonts w:ascii="Avenir Next" w:hAnsi="Avenir Next"/>
          <w:color w:val="808080" w:themeColor="background1" w:themeShade="80"/>
          <w:sz w:val="22"/>
          <w:szCs w:val="28"/>
        </w:rPr>
      </w:pPr>
    </w:p>
    <w:p w14:paraId="3451F565" w14:textId="11BDF7DE" w:rsidR="008C275B" w:rsidRDefault="00075B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On the basis that the Cayman scheme is found to be the foreign main proceeding, the automatic reliefs under Art 20 will come into effect, which will (among other things) protect our client from the brewing class litigation</w:t>
      </w:r>
      <w:r w:rsidR="000526FE">
        <w:rPr>
          <w:rFonts w:ascii="Avenir Next" w:hAnsi="Avenir Next"/>
          <w:color w:val="808080" w:themeColor="background1" w:themeShade="80"/>
          <w:sz w:val="22"/>
          <w:szCs w:val="28"/>
        </w:rPr>
        <w:t xml:space="preserve"> </w:t>
      </w:r>
      <w:r w:rsidR="005465B7">
        <w:rPr>
          <w:rFonts w:ascii="Avenir Next" w:hAnsi="Avenir Next"/>
          <w:color w:val="808080" w:themeColor="background1" w:themeShade="80"/>
          <w:sz w:val="22"/>
          <w:szCs w:val="28"/>
        </w:rPr>
        <w:t xml:space="preserve">and offer it breathing space. </w:t>
      </w:r>
      <w:r w:rsidR="000526FE">
        <w:rPr>
          <w:rFonts w:ascii="Avenir Next" w:hAnsi="Avenir Next"/>
          <w:color w:val="808080" w:themeColor="background1" w:themeShade="80"/>
          <w:sz w:val="22"/>
          <w:szCs w:val="28"/>
        </w:rPr>
        <w:t xml:space="preserve"> </w:t>
      </w:r>
    </w:p>
    <w:p w14:paraId="37E9E783" w14:textId="77777777" w:rsidR="00961139" w:rsidRDefault="00961139" w:rsidP="009E3CA7">
      <w:pPr>
        <w:jc w:val="both"/>
        <w:rPr>
          <w:rFonts w:ascii="Avenir Next" w:hAnsi="Avenir Next"/>
          <w:color w:val="808080" w:themeColor="background1" w:themeShade="80"/>
          <w:sz w:val="22"/>
          <w:szCs w:val="28"/>
        </w:rPr>
      </w:pPr>
    </w:p>
    <w:p w14:paraId="708D62E5" w14:textId="77777777" w:rsidR="00307070" w:rsidRDefault="0096113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Even if our client fails to show that the Cayman scheme is the COMI, it will likely have no difficulty establishing that the Cayman operations constitute an “establishment” </w:t>
      </w:r>
      <w:r w:rsidR="00D66C52">
        <w:rPr>
          <w:rFonts w:ascii="Avenir Next" w:hAnsi="Avenir Next"/>
          <w:color w:val="808080" w:themeColor="background1" w:themeShade="80"/>
          <w:sz w:val="22"/>
          <w:szCs w:val="28"/>
        </w:rPr>
        <w:t xml:space="preserve">such that the Cayman scheme may be considered a foreign non-main proceeding. </w:t>
      </w:r>
    </w:p>
    <w:p w14:paraId="606EEAB2" w14:textId="77777777" w:rsidR="00307070" w:rsidRDefault="00307070" w:rsidP="009E3CA7">
      <w:pPr>
        <w:jc w:val="both"/>
        <w:rPr>
          <w:rFonts w:ascii="Avenir Next" w:hAnsi="Avenir Next"/>
          <w:color w:val="808080" w:themeColor="background1" w:themeShade="80"/>
          <w:sz w:val="22"/>
          <w:szCs w:val="28"/>
        </w:rPr>
      </w:pPr>
    </w:p>
    <w:p w14:paraId="342A207E" w14:textId="7E8553B3" w:rsidR="00961139" w:rsidRDefault="0096113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While theoretically, a wider scope of relief is available to main proceedings under the Model Law, in practice, SDNY bankruptcy court has been equally liberal with relief granted for non-main proceedings (see, for instance, Judge Glenn’s note in </w:t>
      </w:r>
      <w:proofErr w:type="gramStart"/>
      <w:r w:rsidRPr="00664AB6">
        <w:rPr>
          <w:rFonts w:ascii="Avenir Next" w:hAnsi="Avenir Next"/>
          <w:i/>
          <w:iCs/>
          <w:color w:val="808080" w:themeColor="background1" w:themeShade="80"/>
          <w:sz w:val="22"/>
          <w:szCs w:val="28"/>
        </w:rPr>
        <w:t>In</w:t>
      </w:r>
      <w:proofErr w:type="gramEnd"/>
      <w:r w:rsidRPr="00664AB6">
        <w:rPr>
          <w:rFonts w:ascii="Avenir Next" w:hAnsi="Avenir Next"/>
          <w:i/>
          <w:iCs/>
          <w:color w:val="808080" w:themeColor="background1" w:themeShade="80"/>
          <w:sz w:val="22"/>
          <w:szCs w:val="28"/>
        </w:rPr>
        <w:t xml:space="preserve"> re </w:t>
      </w:r>
      <w:proofErr w:type="spellStart"/>
      <w:r w:rsidRPr="00664AB6">
        <w:rPr>
          <w:rFonts w:ascii="Avenir Next" w:hAnsi="Avenir Next"/>
          <w:i/>
          <w:iCs/>
          <w:color w:val="808080" w:themeColor="background1" w:themeShade="80"/>
          <w:sz w:val="22"/>
          <w:szCs w:val="28"/>
        </w:rPr>
        <w:t>Servicos</w:t>
      </w:r>
      <w:proofErr w:type="spellEnd"/>
      <w:r w:rsidRPr="00664AB6">
        <w:rPr>
          <w:rFonts w:ascii="Avenir Next" w:hAnsi="Avenir Next"/>
          <w:i/>
          <w:iCs/>
          <w:color w:val="808080" w:themeColor="background1" w:themeShade="80"/>
          <w:sz w:val="22"/>
          <w:szCs w:val="28"/>
        </w:rPr>
        <w:t xml:space="preserve"> de </w:t>
      </w:r>
      <w:proofErr w:type="spellStart"/>
      <w:r w:rsidRPr="00664AB6">
        <w:rPr>
          <w:rFonts w:ascii="Avenir Next" w:hAnsi="Avenir Next"/>
          <w:i/>
          <w:iCs/>
          <w:color w:val="808080" w:themeColor="background1" w:themeShade="80"/>
          <w:sz w:val="22"/>
          <w:szCs w:val="28"/>
        </w:rPr>
        <w:t>Petroleo</w:t>
      </w:r>
      <w:proofErr w:type="spellEnd"/>
      <w:r w:rsidRPr="00664AB6">
        <w:rPr>
          <w:rFonts w:ascii="Avenir Next" w:hAnsi="Avenir Next"/>
          <w:i/>
          <w:iCs/>
          <w:color w:val="808080" w:themeColor="background1" w:themeShade="80"/>
          <w:sz w:val="22"/>
          <w:szCs w:val="28"/>
        </w:rPr>
        <w:t xml:space="preserve"> Constellation SA</w:t>
      </w:r>
      <w:r>
        <w:rPr>
          <w:rFonts w:ascii="Avenir Next" w:hAnsi="Avenir Next"/>
          <w:color w:val="808080" w:themeColor="background1" w:themeShade="80"/>
          <w:sz w:val="22"/>
          <w:szCs w:val="28"/>
        </w:rPr>
        <w:t xml:space="preserve"> that relief available vis-à-vis non-main proceedings are “nearly identical” as that in relation to main proceedings).</w:t>
      </w:r>
      <w:r w:rsidR="00307070">
        <w:rPr>
          <w:rFonts w:ascii="Avenir Next" w:hAnsi="Avenir Next"/>
          <w:color w:val="808080" w:themeColor="background1" w:themeShade="80"/>
          <w:sz w:val="22"/>
          <w:szCs w:val="28"/>
        </w:rPr>
        <w:t xml:space="preserve"> Thus, the question of where COMI is located is not likely to significant or irremediably prejudice our client. </w:t>
      </w:r>
    </w:p>
    <w:p w14:paraId="30207652" w14:textId="77777777" w:rsidR="00AB52F0" w:rsidRDefault="00AB52F0" w:rsidP="009E3CA7">
      <w:pPr>
        <w:jc w:val="both"/>
        <w:rPr>
          <w:rFonts w:ascii="Avenir Next" w:hAnsi="Avenir Next"/>
          <w:color w:val="808080" w:themeColor="background1" w:themeShade="80"/>
          <w:sz w:val="22"/>
          <w:szCs w:val="28"/>
        </w:rPr>
      </w:pPr>
    </w:p>
    <w:p w14:paraId="78ABD3D0" w14:textId="42859304" w:rsidR="00AB52F0" w:rsidRDefault="00AB52F0"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GIBBS PRINCIPLE? </w:t>
      </w:r>
    </w:p>
    <w:p w14:paraId="21A5BA46" w14:textId="77777777" w:rsidR="002311E9" w:rsidRDefault="002311E9" w:rsidP="009E3CA7">
      <w:pPr>
        <w:jc w:val="both"/>
        <w:rPr>
          <w:rFonts w:ascii="Avenir Next" w:hAnsi="Avenir Next"/>
          <w:color w:val="808080" w:themeColor="background1" w:themeShade="80"/>
          <w:sz w:val="22"/>
          <w:szCs w:val="28"/>
        </w:rPr>
      </w:pPr>
    </w:p>
    <w:p w14:paraId="72F2E47F" w14:textId="4BE4FB03" w:rsidR="002311E9" w:rsidRDefault="002311E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Gibbs principle is a protective principle </w:t>
      </w:r>
      <w:r w:rsidR="00D56891">
        <w:rPr>
          <w:rFonts w:ascii="Avenir Next" w:hAnsi="Avenir Next"/>
          <w:color w:val="808080" w:themeColor="background1" w:themeShade="80"/>
          <w:sz w:val="22"/>
          <w:szCs w:val="28"/>
        </w:rPr>
        <w:t xml:space="preserve">that </w:t>
      </w:r>
      <w:r w:rsidR="003B6CC2">
        <w:rPr>
          <w:rFonts w:ascii="Avenir Next" w:hAnsi="Avenir Next"/>
          <w:color w:val="808080" w:themeColor="background1" w:themeShade="80"/>
          <w:sz w:val="22"/>
          <w:szCs w:val="28"/>
        </w:rPr>
        <w:t>disallows</w:t>
      </w:r>
      <w:r w:rsidR="00D56891">
        <w:rPr>
          <w:rFonts w:ascii="Avenir Next" w:hAnsi="Avenir Next"/>
          <w:color w:val="808080" w:themeColor="background1" w:themeShade="80"/>
          <w:sz w:val="22"/>
          <w:szCs w:val="28"/>
        </w:rPr>
        <w:t xml:space="preserve"> a debt governed by English law </w:t>
      </w:r>
      <w:r w:rsidR="003B6CC2">
        <w:rPr>
          <w:rFonts w:ascii="Avenir Next" w:hAnsi="Avenir Next"/>
          <w:color w:val="808080" w:themeColor="background1" w:themeShade="80"/>
          <w:sz w:val="22"/>
          <w:szCs w:val="28"/>
        </w:rPr>
        <w:t xml:space="preserve">from being </w:t>
      </w:r>
      <w:r w:rsidR="00EE20EE">
        <w:rPr>
          <w:rFonts w:ascii="Avenir Next" w:hAnsi="Avenir Next"/>
          <w:color w:val="808080" w:themeColor="background1" w:themeShade="80"/>
          <w:sz w:val="22"/>
          <w:szCs w:val="28"/>
        </w:rPr>
        <w:t xml:space="preserve">discharged or compromised by a foreign insolvency proceeding. At present, the notes to be restructured are governed by NY law. The </w:t>
      </w:r>
      <w:r w:rsidR="00E843EE">
        <w:rPr>
          <w:rFonts w:ascii="Avenir Next" w:hAnsi="Avenir Next"/>
          <w:color w:val="808080" w:themeColor="background1" w:themeShade="80"/>
          <w:sz w:val="22"/>
          <w:szCs w:val="28"/>
        </w:rPr>
        <w:t>Gibbs</w:t>
      </w:r>
      <w:r w:rsidR="00EE20EE">
        <w:rPr>
          <w:rFonts w:ascii="Avenir Next" w:hAnsi="Avenir Next"/>
          <w:color w:val="808080" w:themeColor="background1" w:themeShade="80"/>
          <w:sz w:val="22"/>
          <w:szCs w:val="28"/>
        </w:rPr>
        <w:t xml:space="preserve"> principle therefore does not apply. In any event, </w:t>
      </w:r>
      <w:r w:rsidR="00E56BAE">
        <w:rPr>
          <w:rFonts w:ascii="Avenir Next" w:hAnsi="Avenir Next"/>
          <w:color w:val="808080" w:themeColor="background1" w:themeShade="80"/>
          <w:sz w:val="22"/>
          <w:szCs w:val="28"/>
        </w:rPr>
        <w:t>it is arguable that the Gibbs principle does not operate because the creditors have submitted to the Cayman scheme, and therefore should be taken to have accepted that Cayman law should</w:t>
      </w:r>
      <w:r w:rsidR="00B7558A">
        <w:rPr>
          <w:rFonts w:ascii="Avenir Next" w:hAnsi="Avenir Next"/>
          <w:color w:val="808080" w:themeColor="background1" w:themeShade="80"/>
          <w:sz w:val="22"/>
          <w:szCs w:val="28"/>
        </w:rPr>
        <w:t xml:space="preserve"> govern the </w:t>
      </w:r>
      <w:r w:rsidR="00316979">
        <w:rPr>
          <w:rFonts w:ascii="Avenir Next" w:hAnsi="Avenir Next"/>
          <w:color w:val="808080" w:themeColor="background1" w:themeShade="80"/>
          <w:sz w:val="22"/>
          <w:szCs w:val="28"/>
        </w:rPr>
        <w:t>restructuring</w:t>
      </w:r>
      <w:r w:rsidR="00B7558A">
        <w:rPr>
          <w:rFonts w:ascii="Avenir Next" w:hAnsi="Avenir Next"/>
          <w:color w:val="808080" w:themeColor="background1" w:themeShade="80"/>
          <w:sz w:val="22"/>
          <w:szCs w:val="28"/>
        </w:rPr>
        <w:t xml:space="preserve">. </w:t>
      </w:r>
    </w:p>
    <w:p w14:paraId="080EBA6A" w14:textId="77777777" w:rsidR="00841A73" w:rsidRDefault="00841A73" w:rsidP="009E3CA7">
      <w:pPr>
        <w:jc w:val="both"/>
        <w:rPr>
          <w:rFonts w:ascii="Avenir Next" w:hAnsi="Avenir Next"/>
          <w:color w:val="808080" w:themeColor="background1" w:themeShade="80"/>
          <w:sz w:val="22"/>
          <w:szCs w:val="28"/>
        </w:rPr>
      </w:pPr>
    </w:p>
    <w:p w14:paraId="54BE1305" w14:textId="372442A5" w:rsidR="0090405E" w:rsidRDefault="00B156D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PRE-RECOGNITION </w:t>
      </w:r>
      <w:r w:rsidR="00F64831">
        <w:rPr>
          <w:rFonts w:ascii="Avenir Next" w:hAnsi="Avenir Next"/>
          <w:color w:val="808080" w:themeColor="background1" w:themeShade="80"/>
          <w:sz w:val="22"/>
          <w:szCs w:val="28"/>
        </w:rPr>
        <w:t xml:space="preserve">AND APPROPRIATE </w:t>
      </w:r>
      <w:r>
        <w:rPr>
          <w:rFonts w:ascii="Avenir Next" w:hAnsi="Avenir Next"/>
          <w:color w:val="808080" w:themeColor="background1" w:themeShade="80"/>
          <w:sz w:val="22"/>
          <w:szCs w:val="28"/>
        </w:rPr>
        <w:t>RELIEF</w:t>
      </w:r>
    </w:p>
    <w:p w14:paraId="101E2989" w14:textId="77777777" w:rsidR="00B156DC" w:rsidRDefault="00B156DC" w:rsidP="009E3CA7">
      <w:pPr>
        <w:jc w:val="both"/>
        <w:rPr>
          <w:rFonts w:ascii="Avenir Next" w:hAnsi="Avenir Next"/>
          <w:color w:val="808080" w:themeColor="background1" w:themeShade="80"/>
          <w:sz w:val="22"/>
          <w:szCs w:val="28"/>
        </w:rPr>
      </w:pPr>
    </w:p>
    <w:p w14:paraId="676527FD" w14:textId="629DEDB5" w:rsidR="00B156DC" w:rsidRDefault="00631D6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anticipation of operational needs during the pendency of the recognition application, since the client will likely need to draw on funds and assets in NY and in US to main its business operations</w:t>
      </w:r>
      <w:r w:rsidR="00390CE0">
        <w:rPr>
          <w:rFonts w:ascii="Avenir Next" w:hAnsi="Avenir Next"/>
          <w:color w:val="808080" w:themeColor="background1" w:themeShade="80"/>
          <w:sz w:val="22"/>
          <w:szCs w:val="28"/>
        </w:rPr>
        <w:t xml:space="preserve">, the client should seek provisional relief to this end. It should make an assessment as to its cash and asset needs, and seek empowerment to liquidate or dispose of such assets </w:t>
      </w:r>
      <w:r w:rsidR="006D5041">
        <w:rPr>
          <w:rFonts w:ascii="Avenir Next" w:hAnsi="Avenir Next"/>
          <w:color w:val="808080" w:themeColor="background1" w:themeShade="80"/>
          <w:sz w:val="22"/>
          <w:szCs w:val="28"/>
        </w:rPr>
        <w:t xml:space="preserve">(limited to an amount) </w:t>
      </w:r>
      <w:r w:rsidR="00390CE0">
        <w:rPr>
          <w:rFonts w:ascii="Avenir Next" w:hAnsi="Avenir Next"/>
          <w:color w:val="808080" w:themeColor="background1" w:themeShade="80"/>
          <w:sz w:val="22"/>
          <w:szCs w:val="28"/>
        </w:rPr>
        <w:t>as required.</w:t>
      </w:r>
      <w:r w:rsidR="007A11F6">
        <w:rPr>
          <w:rFonts w:ascii="Avenir Next" w:hAnsi="Avenir Next"/>
          <w:color w:val="808080" w:themeColor="background1" w:themeShade="80"/>
          <w:sz w:val="22"/>
          <w:szCs w:val="28"/>
        </w:rPr>
        <w:t xml:space="preserve"> </w:t>
      </w:r>
    </w:p>
    <w:p w14:paraId="5BF51CBE" w14:textId="77777777" w:rsidR="00691BB9" w:rsidRDefault="00691BB9" w:rsidP="009E3CA7">
      <w:pPr>
        <w:jc w:val="both"/>
        <w:rPr>
          <w:rFonts w:ascii="Avenir Next" w:hAnsi="Avenir Next"/>
          <w:color w:val="808080" w:themeColor="background1" w:themeShade="80"/>
          <w:sz w:val="22"/>
          <w:szCs w:val="28"/>
        </w:rPr>
      </w:pPr>
    </w:p>
    <w:p w14:paraId="2B391667" w14:textId="10638FF9" w:rsidR="00691BB9" w:rsidRDefault="005A247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Additionally, in anticipation of a potential rush to court litigation by the class litigants</w:t>
      </w:r>
      <w:r w:rsidR="00673D80">
        <w:rPr>
          <w:rFonts w:ascii="Avenir Next" w:hAnsi="Avenir Next"/>
          <w:color w:val="808080" w:themeColor="background1" w:themeShade="80"/>
          <w:sz w:val="22"/>
          <w:szCs w:val="28"/>
        </w:rPr>
        <w:t xml:space="preserve"> and any other vultures</w:t>
      </w:r>
      <w:r>
        <w:rPr>
          <w:rFonts w:ascii="Avenir Next" w:hAnsi="Avenir Next"/>
          <w:color w:val="808080" w:themeColor="background1" w:themeShade="80"/>
          <w:sz w:val="22"/>
          <w:szCs w:val="28"/>
        </w:rPr>
        <w:t xml:space="preserve">, the client should also seek an interim moratorium / stay on proceedings until the disposition of the </w:t>
      </w:r>
      <w:r w:rsidR="001222C1">
        <w:rPr>
          <w:rFonts w:ascii="Avenir Next" w:hAnsi="Avenir Next"/>
          <w:color w:val="808080" w:themeColor="background1" w:themeShade="80"/>
          <w:sz w:val="22"/>
          <w:szCs w:val="28"/>
        </w:rPr>
        <w:t>recognition application</w:t>
      </w:r>
      <w:r w:rsidR="00AD75DE">
        <w:rPr>
          <w:rFonts w:ascii="Avenir Next" w:hAnsi="Avenir Next"/>
          <w:color w:val="808080" w:themeColor="background1" w:themeShade="80"/>
          <w:sz w:val="22"/>
          <w:szCs w:val="28"/>
        </w:rPr>
        <w:t xml:space="preserve">. </w:t>
      </w:r>
    </w:p>
    <w:p w14:paraId="247CBC70" w14:textId="77777777" w:rsidR="00835CDB" w:rsidRDefault="00835CDB" w:rsidP="009E3CA7">
      <w:pPr>
        <w:jc w:val="both"/>
        <w:rPr>
          <w:rFonts w:ascii="Avenir Next" w:hAnsi="Avenir Next"/>
          <w:color w:val="808080" w:themeColor="background1" w:themeShade="80"/>
          <w:sz w:val="22"/>
          <w:szCs w:val="28"/>
        </w:rPr>
      </w:pPr>
    </w:p>
    <w:p w14:paraId="56378191" w14:textId="37655135" w:rsidR="00835CDB" w:rsidRDefault="00835CD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US, some bankruptcy courts have suggested that threshold for pre-recognition provisional relief </w:t>
      </w:r>
      <w:r w:rsidR="00621A8A">
        <w:rPr>
          <w:rFonts w:ascii="Avenir Next" w:hAnsi="Avenir Next"/>
          <w:color w:val="808080" w:themeColor="background1" w:themeShade="80"/>
          <w:sz w:val="22"/>
          <w:szCs w:val="28"/>
        </w:rPr>
        <w:t xml:space="preserve">should be the same as that for preliminary injunctions. </w:t>
      </w:r>
      <w:r w:rsidR="007F6406">
        <w:rPr>
          <w:rFonts w:ascii="Avenir Next" w:hAnsi="Avenir Next"/>
          <w:color w:val="808080" w:themeColor="background1" w:themeShade="80"/>
          <w:sz w:val="22"/>
          <w:szCs w:val="28"/>
        </w:rPr>
        <w:t>In that case, we will need to show, and will likely be able to show, reasonable probability of success on the merits of the recognition application</w:t>
      </w:r>
      <w:r w:rsidR="005A3FD1">
        <w:rPr>
          <w:rFonts w:ascii="Avenir Next" w:hAnsi="Avenir Next"/>
          <w:color w:val="808080" w:themeColor="background1" w:themeShade="80"/>
          <w:sz w:val="22"/>
          <w:szCs w:val="28"/>
        </w:rPr>
        <w:t xml:space="preserve">, </w:t>
      </w:r>
      <w:r w:rsidR="00C47DDB">
        <w:rPr>
          <w:rFonts w:ascii="Avenir Next" w:hAnsi="Avenir Next"/>
          <w:color w:val="808080" w:themeColor="background1" w:themeShade="80"/>
          <w:sz w:val="22"/>
          <w:szCs w:val="28"/>
        </w:rPr>
        <w:t xml:space="preserve">irreparably injury if there is a denial of relief, </w:t>
      </w:r>
      <w:r w:rsidR="005B7FCF">
        <w:rPr>
          <w:rFonts w:ascii="Avenir Next" w:hAnsi="Avenir Next"/>
          <w:color w:val="808080" w:themeColor="background1" w:themeShade="80"/>
          <w:sz w:val="22"/>
          <w:szCs w:val="28"/>
        </w:rPr>
        <w:t>the preservation of status quo by granting of the provisional relief, and that such relief will be in the public interest</w:t>
      </w:r>
      <w:r w:rsidR="00D11C07">
        <w:rPr>
          <w:rFonts w:ascii="Avenir Next" w:hAnsi="Avenir Next"/>
          <w:color w:val="808080" w:themeColor="background1" w:themeShade="80"/>
          <w:sz w:val="22"/>
          <w:szCs w:val="28"/>
        </w:rPr>
        <w:t xml:space="preserve"> by pointing to the purposes of Chapter 15. </w:t>
      </w:r>
    </w:p>
    <w:p w14:paraId="7B7A3EBD" w14:textId="77777777" w:rsidR="009E1EA8" w:rsidRDefault="009E1EA8" w:rsidP="009E3CA7">
      <w:pPr>
        <w:jc w:val="both"/>
        <w:rPr>
          <w:rFonts w:ascii="Avenir Next" w:hAnsi="Avenir Next"/>
          <w:color w:val="808080" w:themeColor="background1" w:themeShade="80"/>
          <w:sz w:val="22"/>
          <w:szCs w:val="28"/>
        </w:rPr>
      </w:pPr>
    </w:p>
    <w:p w14:paraId="0FD58B32" w14:textId="069FB7E5" w:rsidR="009E1EA8" w:rsidRDefault="009E1EA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due course, at the recognition proceeding or thereafter in further hearings, an extension may be sought of the provisional relief in interim relief.  </w:t>
      </w:r>
    </w:p>
    <w:p w14:paraId="2A00872A" w14:textId="77777777" w:rsidR="00A64898" w:rsidRDefault="00A64898" w:rsidP="009E3CA7">
      <w:pPr>
        <w:jc w:val="both"/>
        <w:rPr>
          <w:rFonts w:ascii="Avenir Next" w:hAnsi="Avenir Next"/>
          <w:color w:val="808080" w:themeColor="background1" w:themeShade="80"/>
          <w:sz w:val="22"/>
          <w:szCs w:val="28"/>
        </w:rPr>
      </w:pPr>
    </w:p>
    <w:p w14:paraId="5A429E2F" w14:textId="77777777" w:rsidR="00A64898" w:rsidRDefault="00A64898" w:rsidP="009E3CA7">
      <w:pPr>
        <w:jc w:val="both"/>
        <w:rPr>
          <w:rFonts w:ascii="Avenir Next" w:hAnsi="Avenir Next"/>
          <w:color w:val="808080" w:themeColor="background1" w:themeShade="80"/>
          <w:sz w:val="22"/>
          <w:szCs w:val="28"/>
        </w:rPr>
      </w:pPr>
    </w:p>
    <w:p w14:paraId="30D7E6F9" w14:textId="3CC7B6D6" w:rsidR="009E3CA7" w:rsidRPr="00710C24" w:rsidRDefault="000F49F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A5342B">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D1E4" w14:textId="77777777" w:rsidR="00A5342B" w:rsidRDefault="00A5342B" w:rsidP="00241B44">
      <w:r>
        <w:separator/>
      </w:r>
    </w:p>
  </w:endnote>
  <w:endnote w:type="continuationSeparator" w:id="0">
    <w:p w14:paraId="23D26132" w14:textId="77777777" w:rsidR="00A5342B" w:rsidRDefault="00A534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1AB43B3" w:rsidR="000300E0" w:rsidRPr="00B46CE2" w:rsidRDefault="004D750B" w:rsidP="000300E0">
    <w:pPr>
      <w:pStyle w:val="Footer"/>
      <w:ind w:right="360"/>
      <w:rPr>
        <w:rFonts w:ascii="Avenir Next" w:hAnsi="Avenir Next"/>
        <w:sz w:val="22"/>
        <w:szCs w:val="22"/>
      </w:rPr>
    </w:pPr>
    <w:r w:rsidRPr="004D750B">
      <w:rPr>
        <w:rFonts w:ascii="Avenir Next" w:hAnsi="Avenir Next"/>
        <w:sz w:val="22"/>
        <w:szCs w:val="22"/>
      </w:rPr>
      <w:t>FC202324-1384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9709" w14:textId="77777777" w:rsidR="00A5342B" w:rsidRDefault="00A5342B" w:rsidP="00241B44">
      <w:r>
        <w:separator/>
      </w:r>
    </w:p>
  </w:footnote>
  <w:footnote w:type="continuationSeparator" w:id="0">
    <w:p w14:paraId="3DE4F8A0" w14:textId="77777777" w:rsidR="00A5342B" w:rsidRDefault="00A534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B160B72"/>
    <w:multiLevelType w:val="hybridMultilevel"/>
    <w:tmpl w:val="B27E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7"/>
  </w:num>
  <w:num w:numId="3" w16cid:durableId="1837500537">
    <w:abstractNumId w:val="42"/>
  </w:num>
  <w:num w:numId="4" w16cid:durableId="577205504">
    <w:abstractNumId w:val="52"/>
  </w:num>
  <w:num w:numId="5" w16cid:durableId="587693970">
    <w:abstractNumId w:val="8"/>
  </w:num>
  <w:num w:numId="6" w16cid:durableId="937175523">
    <w:abstractNumId w:val="50"/>
  </w:num>
  <w:num w:numId="7" w16cid:durableId="1654067440">
    <w:abstractNumId w:val="23"/>
  </w:num>
  <w:num w:numId="8" w16cid:durableId="1105736194">
    <w:abstractNumId w:val="44"/>
  </w:num>
  <w:num w:numId="9" w16cid:durableId="337470287">
    <w:abstractNumId w:val="26"/>
  </w:num>
  <w:num w:numId="10" w16cid:durableId="409736686">
    <w:abstractNumId w:val="15"/>
  </w:num>
  <w:num w:numId="11" w16cid:durableId="2113239495">
    <w:abstractNumId w:val="31"/>
  </w:num>
  <w:num w:numId="12" w16cid:durableId="277688465">
    <w:abstractNumId w:val="48"/>
  </w:num>
  <w:num w:numId="13" w16cid:durableId="2058502388">
    <w:abstractNumId w:val="6"/>
  </w:num>
  <w:num w:numId="14" w16cid:durableId="1848598104">
    <w:abstractNumId w:val="38"/>
  </w:num>
  <w:num w:numId="15" w16cid:durableId="634214434">
    <w:abstractNumId w:val="16"/>
  </w:num>
  <w:num w:numId="16" w16cid:durableId="1164055646">
    <w:abstractNumId w:val="17"/>
  </w:num>
  <w:num w:numId="17" w16cid:durableId="4065661">
    <w:abstractNumId w:val="33"/>
  </w:num>
  <w:num w:numId="18" w16cid:durableId="970591766">
    <w:abstractNumId w:val="7"/>
  </w:num>
  <w:num w:numId="19" w16cid:durableId="1299339140">
    <w:abstractNumId w:val="32"/>
  </w:num>
  <w:num w:numId="20" w16cid:durableId="1327175081">
    <w:abstractNumId w:val="56"/>
  </w:num>
  <w:num w:numId="21" w16cid:durableId="2089498112">
    <w:abstractNumId w:val="21"/>
  </w:num>
  <w:num w:numId="22" w16cid:durableId="221064104">
    <w:abstractNumId w:val="47"/>
  </w:num>
  <w:num w:numId="23" w16cid:durableId="860243873">
    <w:abstractNumId w:val="54"/>
  </w:num>
  <w:num w:numId="24" w16cid:durableId="1555506834">
    <w:abstractNumId w:val="46"/>
  </w:num>
  <w:num w:numId="25" w16cid:durableId="1954677308">
    <w:abstractNumId w:val="37"/>
  </w:num>
  <w:num w:numId="26" w16cid:durableId="998270126">
    <w:abstractNumId w:val="55"/>
  </w:num>
  <w:num w:numId="27" w16cid:durableId="657656171">
    <w:abstractNumId w:val="51"/>
  </w:num>
  <w:num w:numId="28" w16cid:durableId="1116829249">
    <w:abstractNumId w:val="11"/>
  </w:num>
  <w:num w:numId="29" w16cid:durableId="1055274873">
    <w:abstractNumId w:val="12"/>
  </w:num>
  <w:num w:numId="30" w16cid:durableId="790785319">
    <w:abstractNumId w:val="34"/>
  </w:num>
  <w:num w:numId="31" w16cid:durableId="781922295">
    <w:abstractNumId w:val="4"/>
  </w:num>
  <w:num w:numId="32" w16cid:durableId="268047206">
    <w:abstractNumId w:val="36"/>
  </w:num>
  <w:num w:numId="33" w16cid:durableId="198930779">
    <w:abstractNumId w:val="0"/>
  </w:num>
  <w:num w:numId="34" w16cid:durableId="480577945">
    <w:abstractNumId w:val="43"/>
  </w:num>
  <w:num w:numId="35" w16cid:durableId="984242224">
    <w:abstractNumId w:val="25"/>
  </w:num>
  <w:num w:numId="36" w16cid:durableId="485898662">
    <w:abstractNumId w:val="45"/>
  </w:num>
  <w:num w:numId="37" w16cid:durableId="1147433143">
    <w:abstractNumId w:val="28"/>
  </w:num>
  <w:num w:numId="38" w16cid:durableId="827285019">
    <w:abstractNumId w:val="40"/>
  </w:num>
  <w:num w:numId="39" w16cid:durableId="128666775">
    <w:abstractNumId w:val="5"/>
  </w:num>
  <w:num w:numId="40" w16cid:durableId="1339426664">
    <w:abstractNumId w:val="24"/>
  </w:num>
  <w:num w:numId="41" w16cid:durableId="1969971734">
    <w:abstractNumId w:val="49"/>
  </w:num>
  <w:num w:numId="42" w16cid:durableId="368453801">
    <w:abstractNumId w:val="20"/>
  </w:num>
  <w:num w:numId="43" w16cid:durableId="51392340">
    <w:abstractNumId w:val="35"/>
  </w:num>
  <w:num w:numId="44" w16cid:durableId="1531332188">
    <w:abstractNumId w:val="14"/>
  </w:num>
  <w:num w:numId="45" w16cid:durableId="8337133">
    <w:abstractNumId w:val="13"/>
  </w:num>
  <w:num w:numId="46" w16cid:durableId="1612931796">
    <w:abstractNumId w:val="39"/>
  </w:num>
  <w:num w:numId="47" w16cid:durableId="89930162">
    <w:abstractNumId w:val="22"/>
  </w:num>
  <w:num w:numId="48" w16cid:durableId="1477838578">
    <w:abstractNumId w:val="9"/>
  </w:num>
  <w:num w:numId="49" w16cid:durableId="2073384460">
    <w:abstractNumId w:val="53"/>
  </w:num>
  <w:num w:numId="50" w16cid:durableId="59720369">
    <w:abstractNumId w:val="30"/>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1"/>
  </w:num>
  <w:num w:numId="58" w16cid:durableId="71508203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7C7D"/>
    <w:rsid w:val="00020557"/>
    <w:rsid w:val="00022C3C"/>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26FE"/>
    <w:rsid w:val="00056574"/>
    <w:rsid w:val="0006046C"/>
    <w:rsid w:val="00060E02"/>
    <w:rsid w:val="00065166"/>
    <w:rsid w:val="00067A88"/>
    <w:rsid w:val="00070B92"/>
    <w:rsid w:val="00073474"/>
    <w:rsid w:val="00073997"/>
    <w:rsid w:val="00074FCF"/>
    <w:rsid w:val="000757EB"/>
    <w:rsid w:val="00075B7B"/>
    <w:rsid w:val="00077D49"/>
    <w:rsid w:val="00082609"/>
    <w:rsid w:val="00083B38"/>
    <w:rsid w:val="000851CC"/>
    <w:rsid w:val="00093BE8"/>
    <w:rsid w:val="0009737D"/>
    <w:rsid w:val="000A38BA"/>
    <w:rsid w:val="000A3F85"/>
    <w:rsid w:val="000A68ED"/>
    <w:rsid w:val="000B4FEB"/>
    <w:rsid w:val="000B5FF1"/>
    <w:rsid w:val="000B609F"/>
    <w:rsid w:val="000B7A67"/>
    <w:rsid w:val="000C147F"/>
    <w:rsid w:val="000C6BB9"/>
    <w:rsid w:val="000D32A9"/>
    <w:rsid w:val="000D55A8"/>
    <w:rsid w:val="000E4841"/>
    <w:rsid w:val="000E4C86"/>
    <w:rsid w:val="000E6325"/>
    <w:rsid w:val="000F1677"/>
    <w:rsid w:val="000F3D6C"/>
    <w:rsid w:val="000F49F4"/>
    <w:rsid w:val="000F579C"/>
    <w:rsid w:val="00100E8F"/>
    <w:rsid w:val="00101707"/>
    <w:rsid w:val="00101A9E"/>
    <w:rsid w:val="00101D7E"/>
    <w:rsid w:val="00106978"/>
    <w:rsid w:val="00114082"/>
    <w:rsid w:val="0011473D"/>
    <w:rsid w:val="00115C85"/>
    <w:rsid w:val="001222C1"/>
    <w:rsid w:val="00123855"/>
    <w:rsid w:val="00126A4D"/>
    <w:rsid w:val="00126E19"/>
    <w:rsid w:val="001270C8"/>
    <w:rsid w:val="001374D8"/>
    <w:rsid w:val="00137FB2"/>
    <w:rsid w:val="00140E0A"/>
    <w:rsid w:val="0014171F"/>
    <w:rsid w:val="001419A4"/>
    <w:rsid w:val="00143584"/>
    <w:rsid w:val="0014622C"/>
    <w:rsid w:val="00151F58"/>
    <w:rsid w:val="00152348"/>
    <w:rsid w:val="00152845"/>
    <w:rsid w:val="0015456D"/>
    <w:rsid w:val="0015549B"/>
    <w:rsid w:val="00155FA2"/>
    <w:rsid w:val="001578CB"/>
    <w:rsid w:val="00161F1B"/>
    <w:rsid w:val="001627EC"/>
    <w:rsid w:val="00162829"/>
    <w:rsid w:val="001672E0"/>
    <w:rsid w:val="00167C32"/>
    <w:rsid w:val="00167F0B"/>
    <w:rsid w:val="0017257C"/>
    <w:rsid w:val="00176079"/>
    <w:rsid w:val="0017652E"/>
    <w:rsid w:val="00180548"/>
    <w:rsid w:val="00180AC4"/>
    <w:rsid w:val="00180CCE"/>
    <w:rsid w:val="00181089"/>
    <w:rsid w:val="00182648"/>
    <w:rsid w:val="0018267A"/>
    <w:rsid w:val="00182779"/>
    <w:rsid w:val="001830DF"/>
    <w:rsid w:val="00190FD2"/>
    <w:rsid w:val="001966D9"/>
    <w:rsid w:val="00196C1C"/>
    <w:rsid w:val="001A1172"/>
    <w:rsid w:val="001A24E7"/>
    <w:rsid w:val="001A2B78"/>
    <w:rsid w:val="001A7E9A"/>
    <w:rsid w:val="001B0F70"/>
    <w:rsid w:val="001B3512"/>
    <w:rsid w:val="001B5016"/>
    <w:rsid w:val="001C0188"/>
    <w:rsid w:val="001C0E6D"/>
    <w:rsid w:val="001C45FC"/>
    <w:rsid w:val="001C7440"/>
    <w:rsid w:val="001D02C5"/>
    <w:rsid w:val="001D405D"/>
    <w:rsid w:val="001D4862"/>
    <w:rsid w:val="001D76A0"/>
    <w:rsid w:val="001E25B9"/>
    <w:rsid w:val="001E49E0"/>
    <w:rsid w:val="001E4A45"/>
    <w:rsid w:val="001E60C3"/>
    <w:rsid w:val="001E7030"/>
    <w:rsid w:val="001E7B5A"/>
    <w:rsid w:val="001F1405"/>
    <w:rsid w:val="001F7412"/>
    <w:rsid w:val="00200FDD"/>
    <w:rsid w:val="0020177C"/>
    <w:rsid w:val="00201874"/>
    <w:rsid w:val="00202133"/>
    <w:rsid w:val="0020264E"/>
    <w:rsid w:val="00203BFF"/>
    <w:rsid w:val="0020725B"/>
    <w:rsid w:val="002109EB"/>
    <w:rsid w:val="002143BE"/>
    <w:rsid w:val="002175BA"/>
    <w:rsid w:val="002211C7"/>
    <w:rsid w:val="0022599E"/>
    <w:rsid w:val="00227C5E"/>
    <w:rsid w:val="002305E8"/>
    <w:rsid w:val="002311E9"/>
    <w:rsid w:val="0023198D"/>
    <w:rsid w:val="0023317E"/>
    <w:rsid w:val="002346CE"/>
    <w:rsid w:val="00234F2C"/>
    <w:rsid w:val="00240B0E"/>
    <w:rsid w:val="0024116D"/>
    <w:rsid w:val="00241B44"/>
    <w:rsid w:val="00245EFB"/>
    <w:rsid w:val="00250E19"/>
    <w:rsid w:val="0025386E"/>
    <w:rsid w:val="002539D7"/>
    <w:rsid w:val="00257437"/>
    <w:rsid w:val="00257686"/>
    <w:rsid w:val="002638B0"/>
    <w:rsid w:val="00264FFF"/>
    <w:rsid w:val="002650D7"/>
    <w:rsid w:val="002654E8"/>
    <w:rsid w:val="0026647A"/>
    <w:rsid w:val="002668D3"/>
    <w:rsid w:val="002675BE"/>
    <w:rsid w:val="0027299F"/>
    <w:rsid w:val="00276913"/>
    <w:rsid w:val="0028135B"/>
    <w:rsid w:val="00282480"/>
    <w:rsid w:val="00284EBE"/>
    <w:rsid w:val="002878D6"/>
    <w:rsid w:val="00292F44"/>
    <w:rsid w:val="002930FC"/>
    <w:rsid w:val="0029433F"/>
    <w:rsid w:val="00294829"/>
    <w:rsid w:val="002949EA"/>
    <w:rsid w:val="00294F3B"/>
    <w:rsid w:val="0029690F"/>
    <w:rsid w:val="002A1EEC"/>
    <w:rsid w:val="002A29FB"/>
    <w:rsid w:val="002A2A60"/>
    <w:rsid w:val="002A6685"/>
    <w:rsid w:val="002B1C45"/>
    <w:rsid w:val="002C0CAC"/>
    <w:rsid w:val="002C13C8"/>
    <w:rsid w:val="002C3547"/>
    <w:rsid w:val="002D0021"/>
    <w:rsid w:val="002D3473"/>
    <w:rsid w:val="002D5C95"/>
    <w:rsid w:val="002E00F8"/>
    <w:rsid w:val="002E0D2D"/>
    <w:rsid w:val="002E1BB5"/>
    <w:rsid w:val="002E2322"/>
    <w:rsid w:val="002E38E2"/>
    <w:rsid w:val="002E5E84"/>
    <w:rsid w:val="002F1956"/>
    <w:rsid w:val="002F3440"/>
    <w:rsid w:val="002F3612"/>
    <w:rsid w:val="002F4EC0"/>
    <w:rsid w:val="002F53E9"/>
    <w:rsid w:val="002F71BE"/>
    <w:rsid w:val="002F75A3"/>
    <w:rsid w:val="002F78CA"/>
    <w:rsid w:val="00303C2F"/>
    <w:rsid w:val="0030469C"/>
    <w:rsid w:val="00307070"/>
    <w:rsid w:val="00312911"/>
    <w:rsid w:val="003144EF"/>
    <w:rsid w:val="003148CA"/>
    <w:rsid w:val="00315506"/>
    <w:rsid w:val="00316979"/>
    <w:rsid w:val="0031716D"/>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2806"/>
    <w:rsid w:val="00346B16"/>
    <w:rsid w:val="00361A0A"/>
    <w:rsid w:val="0036565C"/>
    <w:rsid w:val="0036625E"/>
    <w:rsid w:val="0036760B"/>
    <w:rsid w:val="0037465A"/>
    <w:rsid w:val="0037544E"/>
    <w:rsid w:val="00375468"/>
    <w:rsid w:val="00380BAB"/>
    <w:rsid w:val="00382C98"/>
    <w:rsid w:val="003830B0"/>
    <w:rsid w:val="0038533C"/>
    <w:rsid w:val="00386568"/>
    <w:rsid w:val="00387106"/>
    <w:rsid w:val="00390CE0"/>
    <w:rsid w:val="00391F3E"/>
    <w:rsid w:val="00392915"/>
    <w:rsid w:val="003948D5"/>
    <w:rsid w:val="003963D4"/>
    <w:rsid w:val="0039670D"/>
    <w:rsid w:val="00396821"/>
    <w:rsid w:val="00397D3A"/>
    <w:rsid w:val="003A051E"/>
    <w:rsid w:val="003A07D7"/>
    <w:rsid w:val="003A2FEE"/>
    <w:rsid w:val="003B1310"/>
    <w:rsid w:val="003B170F"/>
    <w:rsid w:val="003B2051"/>
    <w:rsid w:val="003B3C5F"/>
    <w:rsid w:val="003B6CC2"/>
    <w:rsid w:val="003C089D"/>
    <w:rsid w:val="003C25F9"/>
    <w:rsid w:val="003C2FE2"/>
    <w:rsid w:val="003C4471"/>
    <w:rsid w:val="003C66B1"/>
    <w:rsid w:val="003D0A6D"/>
    <w:rsid w:val="003D699A"/>
    <w:rsid w:val="003E0B16"/>
    <w:rsid w:val="003E67D1"/>
    <w:rsid w:val="003F5593"/>
    <w:rsid w:val="0040409A"/>
    <w:rsid w:val="00405DC1"/>
    <w:rsid w:val="0040710D"/>
    <w:rsid w:val="0041139B"/>
    <w:rsid w:val="004137C3"/>
    <w:rsid w:val="004138E1"/>
    <w:rsid w:val="00413D3A"/>
    <w:rsid w:val="00415F1F"/>
    <w:rsid w:val="00417B0F"/>
    <w:rsid w:val="0042108F"/>
    <w:rsid w:val="00422242"/>
    <w:rsid w:val="00424637"/>
    <w:rsid w:val="00424D07"/>
    <w:rsid w:val="00430FED"/>
    <w:rsid w:val="00432179"/>
    <w:rsid w:val="00434292"/>
    <w:rsid w:val="00434A8C"/>
    <w:rsid w:val="00435583"/>
    <w:rsid w:val="0043601C"/>
    <w:rsid w:val="00436884"/>
    <w:rsid w:val="00437297"/>
    <w:rsid w:val="00443403"/>
    <w:rsid w:val="00444284"/>
    <w:rsid w:val="00445CE6"/>
    <w:rsid w:val="00447FE6"/>
    <w:rsid w:val="004534C2"/>
    <w:rsid w:val="0045446F"/>
    <w:rsid w:val="0045683E"/>
    <w:rsid w:val="0047025B"/>
    <w:rsid w:val="00475893"/>
    <w:rsid w:val="0048080B"/>
    <w:rsid w:val="004813F9"/>
    <w:rsid w:val="004875B4"/>
    <w:rsid w:val="00491675"/>
    <w:rsid w:val="00493855"/>
    <w:rsid w:val="0049481A"/>
    <w:rsid w:val="0049508F"/>
    <w:rsid w:val="004A171E"/>
    <w:rsid w:val="004A57DD"/>
    <w:rsid w:val="004A7B51"/>
    <w:rsid w:val="004A7D71"/>
    <w:rsid w:val="004A7EF3"/>
    <w:rsid w:val="004B11FD"/>
    <w:rsid w:val="004B23A2"/>
    <w:rsid w:val="004B3930"/>
    <w:rsid w:val="004B400B"/>
    <w:rsid w:val="004C4E97"/>
    <w:rsid w:val="004D1A5A"/>
    <w:rsid w:val="004D2FFF"/>
    <w:rsid w:val="004D3721"/>
    <w:rsid w:val="004D64F9"/>
    <w:rsid w:val="004D750B"/>
    <w:rsid w:val="004E0549"/>
    <w:rsid w:val="004E1674"/>
    <w:rsid w:val="004E2E92"/>
    <w:rsid w:val="004E3090"/>
    <w:rsid w:val="004E30B0"/>
    <w:rsid w:val="004E622C"/>
    <w:rsid w:val="004F47AD"/>
    <w:rsid w:val="004F4F4A"/>
    <w:rsid w:val="004F5FDF"/>
    <w:rsid w:val="0050157D"/>
    <w:rsid w:val="00502C43"/>
    <w:rsid w:val="00506803"/>
    <w:rsid w:val="0050682B"/>
    <w:rsid w:val="00507AAC"/>
    <w:rsid w:val="005176E5"/>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65B7"/>
    <w:rsid w:val="00547993"/>
    <w:rsid w:val="00553EB2"/>
    <w:rsid w:val="00556777"/>
    <w:rsid w:val="0055688E"/>
    <w:rsid w:val="00560534"/>
    <w:rsid w:val="0056391B"/>
    <w:rsid w:val="005650E2"/>
    <w:rsid w:val="00565292"/>
    <w:rsid w:val="0056535A"/>
    <w:rsid w:val="00565DEE"/>
    <w:rsid w:val="00567AD7"/>
    <w:rsid w:val="00567F31"/>
    <w:rsid w:val="00571A5A"/>
    <w:rsid w:val="00573E73"/>
    <w:rsid w:val="00575B2D"/>
    <w:rsid w:val="005760FF"/>
    <w:rsid w:val="0057755E"/>
    <w:rsid w:val="005833D0"/>
    <w:rsid w:val="005846F3"/>
    <w:rsid w:val="0058622F"/>
    <w:rsid w:val="005871AB"/>
    <w:rsid w:val="00587461"/>
    <w:rsid w:val="00590023"/>
    <w:rsid w:val="00592F82"/>
    <w:rsid w:val="005A0CCA"/>
    <w:rsid w:val="005A2471"/>
    <w:rsid w:val="005A3FD1"/>
    <w:rsid w:val="005A4AEE"/>
    <w:rsid w:val="005A726D"/>
    <w:rsid w:val="005B34B4"/>
    <w:rsid w:val="005B67AC"/>
    <w:rsid w:val="005B7FCF"/>
    <w:rsid w:val="005C2C94"/>
    <w:rsid w:val="005C36BC"/>
    <w:rsid w:val="005C4865"/>
    <w:rsid w:val="005C575C"/>
    <w:rsid w:val="005D2B32"/>
    <w:rsid w:val="005D43E0"/>
    <w:rsid w:val="005D58A3"/>
    <w:rsid w:val="005E0D14"/>
    <w:rsid w:val="005E1B79"/>
    <w:rsid w:val="005E5C28"/>
    <w:rsid w:val="005F026D"/>
    <w:rsid w:val="005F21F4"/>
    <w:rsid w:val="005F2A67"/>
    <w:rsid w:val="005F2D0B"/>
    <w:rsid w:val="005F4B31"/>
    <w:rsid w:val="00610388"/>
    <w:rsid w:val="00612CA5"/>
    <w:rsid w:val="006153EC"/>
    <w:rsid w:val="00621A17"/>
    <w:rsid w:val="00621A8A"/>
    <w:rsid w:val="00622586"/>
    <w:rsid w:val="00622C2B"/>
    <w:rsid w:val="00622C8B"/>
    <w:rsid w:val="00622DCB"/>
    <w:rsid w:val="00627CC9"/>
    <w:rsid w:val="00627E7B"/>
    <w:rsid w:val="00630542"/>
    <w:rsid w:val="00631D61"/>
    <w:rsid w:val="00632E44"/>
    <w:rsid w:val="00634622"/>
    <w:rsid w:val="00636808"/>
    <w:rsid w:val="00641002"/>
    <w:rsid w:val="00641515"/>
    <w:rsid w:val="00647F07"/>
    <w:rsid w:val="00651AE3"/>
    <w:rsid w:val="00652074"/>
    <w:rsid w:val="00654C2F"/>
    <w:rsid w:val="00657087"/>
    <w:rsid w:val="0066252C"/>
    <w:rsid w:val="00664AB6"/>
    <w:rsid w:val="00665C5A"/>
    <w:rsid w:val="006661EF"/>
    <w:rsid w:val="00670EA3"/>
    <w:rsid w:val="0067294B"/>
    <w:rsid w:val="00673D80"/>
    <w:rsid w:val="00677736"/>
    <w:rsid w:val="0067785F"/>
    <w:rsid w:val="00677AEB"/>
    <w:rsid w:val="00680EF2"/>
    <w:rsid w:val="006839C2"/>
    <w:rsid w:val="00687A1D"/>
    <w:rsid w:val="00691BB9"/>
    <w:rsid w:val="006920CC"/>
    <w:rsid w:val="00692AB2"/>
    <w:rsid w:val="0069647C"/>
    <w:rsid w:val="006976F4"/>
    <w:rsid w:val="00697EA1"/>
    <w:rsid w:val="006A1850"/>
    <w:rsid w:val="006A22AF"/>
    <w:rsid w:val="006A2646"/>
    <w:rsid w:val="006A3DF0"/>
    <w:rsid w:val="006A6530"/>
    <w:rsid w:val="006B1755"/>
    <w:rsid w:val="006B435A"/>
    <w:rsid w:val="006B4C64"/>
    <w:rsid w:val="006B4FFC"/>
    <w:rsid w:val="006B5CEC"/>
    <w:rsid w:val="006D0E6E"/>
    <w:rsid w:val="006D4D8D"/>
    <w:rsid w:val="006D5041"/>
    <w:rsid w:val="006D6580"/>
    <w:rsid w:val="006D6BD5"/>
    <w:rsid w:val="006E1A95"/>
    <w:rsid w:val="006E481A"/>
    <w:rsid w:val="006E5298"/>
    <w:rsid w:val="006F2CE3"/>
    <w:rsid w:val="006F734A"/>
    <w:rsid w:val="00700D83"/>
    <w:rsid w:val="00703819"/>
    <w:rsid w:val="00704852"/>
    <w:rsid w:val="00706297"/>
    <w:rsid w:val="00706AD5"/>
    <w:rsid w:val="007074E9"/>
    <w:rsid w:val="00707FC8"/>
    <w:rsid w:val="00712091"/>
    <w:rsid w:val="00713020"/>
    <w:rsid w:val="00713DA4"/>
    <w:rsid w:val="00714BF1"/>
    <w:rsid w:val="007156CE"/>
    <w:rsid w:val="00720BCB"/>
    <w:rsid w:val="00721383"/>
    <w:rsid w:val="0072554C"/>
    <w:rsid w:val="007257BB"/>
    <w:rsid w:val="00725911"/>
    <w:rsid w:val="00725D03"/>
    <w:rsid w:val="00731DBD"/>
    <w:rsid w:val="007333CC"/>
    <w:rsid w:val="0073399A"/>
    <w:rsid w:val="00734A6E"/>
    <w:rsid w:val="007404D2"/>
    <w:rsid w:val="00743DA7"/>
    <w:rsid w:val="00751F66"/>
    <w:rsid w:val="0075652F"/>
    <w:rsid w:val="007603F5"/>
    <w:rsid w:val="00764DB0"/>
    <w:rsid w:val="00766F8A"/>
    <w:rsid w:val="0076764D"/>
    <w:rsid w:val="007700BE"/>
    <w:rsid w:val="007712B8"/>
    <w:rsid w:val="0077498C"/>
    <w:rsid w:val="00777183"/>
    <w:rsid w:val="0078394C"/>
    <w:rsid w:val="00784128"/>
    <w:rsid w:val="00784B4B"/>
    <w:rsid w:val="007854ED"/>
    <w:rsid w:val="00793173"/>
    <w:rsid w:val="00795E0C"/>
    <w:rsid w:val="007A11F6"/>
    <w:rsid w:val="007A200A"/>
    <w:rsid w:val="007B3AC7"/>
    <w:rsid w:val="007B497A"/>
    <w:rsid w:val="007B5BA2"/>
    <w:rsid w:val="007C048E"/>
    <w:rsid w:val="007C1FCC"/>
    <w:rsid w:val="007C32A8"/>
    <w:rsid w:val="007C3FE5"/>
    <w:rsid w:val="007C6201"/>
    <w:rsid w:val="007C6988"/>
    <w:rsid w:val="007D28A1"/>
    <w:rsid w:val="007D7C92"/>
    <w:rsid w:val="007E1154"/>
    <w:rsid w:val="007E6BA4"/>
    <w:rsid w:val="007E7678"/>
    <w:rsid w:val="007F01B8"/>
    <w:rsid w:val="007F41F8"/>
    <w:rsid w:val="007F60D0"/>
    <w:rsid w:val="007F6406"/>
    <w:rsid w:val="007F7708"/>
    <w:rsid w:val="0080454E"/>
    <w:rsid w:val="00804C32"/>
    <w:rsid w:val="00806302"/>
    <w:rsid w:val="00807119"/>
    <w:rsid w:val="00812AFE"/>
    <w:rsid w:val="00817D57"/>
    <w:rsid w:val="00822764"/>
    <w:rsid w:val="008241C4"/>
    <w:rsid w:val="0082483F"/>
    <w:rsid w:val="008264CB"/>
    <w:rsid w:val="00826562"/>
    <w:rsid w:val="008279C0"/>
    <w:rsid w:val="0083042E"/>
    <w:rsid w:val="00835CDB"/>
    <w:rsid w:val="00835FD1"/>
    <w:rsid w:val="00841A73"/>
    <w:rsid w:val="00843D2B"/>
    <w:rsid w:val="0084683C"/>
    <w:rsid w:val="008512FA"/>
    <w:rsid w:val="00853A74"/>
    <w:rsid w:val="00857763"/>
    <w:rsid w:val="00860E61"/>
    <w:rsid w:val="00867A8F"/>
    <w:rsid w:val="008723F3"/>
    <w:rsid w:val="00874E7F"/>
    <w:rsid w:val="00881DE6"/>
    <w:rsid w:val="008837A6"/>
    <w:rsid w:val="00883B84"/>
    <w:rsid w:val="0089145D"/>
    <w:rsid w:val="00893A03"/>
    <w:rsid w:val="008A0C6E"/>
    <w:rsid w:val="008A46CF"/>
    <w:rsid w:val="008A4DF2"/>
    <w:rsid w:val="008A6CFE"/>
    <w:rsid w:val="008A7470"/>
    <w:rsid w:val="008A7B01"/>
    <w:rsid w:val="008B040D"/>
    <w:rsid w:val="008B1A08"/>
    <w:rsid w:val="008B2DE3"/>
    <w:rsid w:val="008B5333"/>
    <w:rsid w:val="008B6223"/>
    <w:rsid w:val="008B67DA"/>
    <w:rsid w:val="008C275B"/>
    <w:rsid w:val="008C4414"/>
    <w:rsid w:val="008C66E0"/>
    <w:rsid w:val="008C6E00"/>
    <w:rsid w:val="008C7075"/>
    <w:rsid w:val="008D6138"/>
    <w:rsid w:val="008E2DFA"/>
    <w:rsid w:val="008E3339"/>
    <w:rsid w:val="008E4597"/>
    <w:rsid w:val="008E549B"/>
    <w:rsid w:val="008F18EF"/>
    <w:rsid w:val="008F20FC"/>
    <w:rsid w:val="008F22F0"/>
    <w:rsid w:val="008F2B24"/>
    <w:rsid w:val="008F379F"/>
    <w:rsid w:val="008F5FFE"/>
    <w:rsid w:val="0090405E"/>
    <w:rsid w:val="0090421A"/>
    <w:rsid w:val="00905A43"/>
    <w:rsid w:val="00907DC2"/>
    <w:rsid w:val="009105BE"/>
    <w:rsid w:val="00912C79"/>
    <w:rsid w:val="00912DF4"/>
    <w:rsid w:val="00916E99"/>
    <w:rsid w:val="0092052D"/>
    <w:rsid w:val="009260A2"/>
    <w:rsid w:val="009344C1"/>
    <w:rsid w:val="00942123"/>
    <w:rsid w:val="00951031"/>
    <w:rsid w:val="0095207B"/>
    <w:rsid w:val="00952C5B"/>
    <w:rsid w:val="00954461"/>
    <w:rsid w:val="00956085"/>
    <w:rsid w:val="00956935"/>
    <w:rsid w:val="00957951"/>
    <w:rsid w:val="00961139"/>
    <w:rsid w:val="00962045"/>
    <w:rsid w:val="00967EDA"/>
    <w:rsid w:val="00970897"/>
    <w:rsid w:val="0097337E"/>
    <w:rsid w:val="009738D0"/>
    <w:rsid w:val="00977F12"/>
    <w:rsid w:val="00980314"/>
    <w:rsid w:val="009816D0"/>
    <w:rsid w:val="009818FD"/>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68DF"/>
    <w:rsid w:val="009D0811"/>
    <w:rsid w:val="009D0EE1"/>
    <w:rsid w:val="009D30BB"/>
    <w:rsid w:val="009D7B6C"/>
    <w:rsid w:val="009E1EA8"/>
    <w:rsid w:val="009E2AEB"/>
    <w:rsid w:val="009E2E27"/>
    <w:rsid w:val="009E3CA7"/>
    <w:rsid w:val="009E4DE3"/>
    <w:rsid w:val="009E4E60"/>
    <w:rsid w:val="00A0192E"/>
    <w:rsid w:val="00A047EE"/>
    <w:rsid w:val="00A114EA"/>
    <w:rsid w:val="00A153F7"/>
    <w:rsid w:val="00A20379"/>
    <w:rsid w:val="00A2274A"/>
    <w:rsid w:val="00A235B7"/>
    <w:rsid w:val="00A25204"/>
    <w:rsid w:val="00A27A7A"/>
    <w:rsid w:val="00A37A48"/>
    <w:rsid w:val="00A407EF"/>
    <w:rsid w:val="00A4465E"/>
    <w:rsid w:val="00A46B4C"/>
    <w:rsid w:val="00A5117B"/>
    <w:rsid w:val="00A5342B"/>
    <w:rsid w:val="00A54000"/>
    <w:rsid w:val="00A54689"/>
    <w:rsid w:val="00A60074"/>
    <w:rsid w:val="00A64898"/>
    <w:rsid w:val="00A6627C"/>
    <w:rsid w:val="00A6649C"/>
    <w:rsid w:val="00A678C8"/>
    <w:rsid w:val="00A70BBC"/>
    <w:rsid w:val="00A71019"/>
    <w:rsid w:val="00A81029"/>
    <w:rsid w:val="00A83CB5"/>
    <w:rsid w:val="00A85224"/>
    <w:rsid w:val="00A865A7"/>
    <w:rsid w:val="00A900AE"/>
    <w:rsid w:val="00A91A58"/>
    <w:rsid w:val="00A96489"/>
    <w:rsid w:val="00AA3A42"/>
    <w:rsid w:val="00AA4459"/>
    <w:rsid w:val="00AA5311"/>
    <w:rsid w:val="00AA7BAA"/>
    <w:rsid w:val="00AB26B5"/>
    <w:rsid w:val="00AB52F0"/>
    <w:rsid w:val="00AB685C"/>
    <w:rsid w:val="00AB6C2D"/>
    <w:rsid w:val="00AC08F7"/>
    <w:rsid w:val="00AC142D"/>
    <w:rsid w:val="00AC3839"/>
    <w:rsid w:val="00AC7082"/>
    <w:rsid w:val="00AD0E59"/>
    <w:rsid w:val="00AD3FEA"/>
    <w:rsid w:val="00AD75DE"/>
    <w:rsid w:val="00AD7BBD"/>
    <w:rsid w:val="00AE22AB"/>
    <w:rsid w:val="00AF228E"/>
    <w:rsid w:val="00AF302B"/>
    <w:rsid w:val="00AF49E8"/>
    <w:rsid w:val="00B04137"/>
    <w:rsid w:val="00B1112C"/>
    <w:rsid w:val="00B11D19"/>
    <w:rsid w:val="00B12936"/>
    <w:rsid w:val="00B12C2D"/>
    <w:rsid w:val="00B14819"/>
    <w:rsid w:val="00B15031"/>
    <w:rsid w:val="00B156DC"/>
    <w:rsid w:val="00B16BEE"/>
    <w:rsid w:val="00B17AA9"/>
    <w:rsid w:val="00B260E5"/>
    <w:rsid w:val="00B263D0"/>
    <w:rsid w:val="00B31A2D"/>
    <w:rsid w:val="00B32DE4"/>
    <w:rsid w:val="00B33578"/>
    <w:rsid w:val="00B370C3"/>
    <w:rsid w:val="00B40744"/>
    <w:rsid w:val="00B411AE"/>
    <w:rsid w:val="00B413F5"/>
    <w:rsid w:val="00B457BF"/>
    <w:rsid w:val="00B46CE2"/>
    <w:rsid w:val="00B56478"/>
    <w:rsid w:val="00B60190"/>
    <w:rsid w:val="00B6124F"/>
    <w:rsid w:val="00B61419"/>
    <w:rsid w:val="00B66441"/>
    <w:rsid w:val="00B72F5F"/>
    <w:rsid w:val="00B736DF"/>
    <w:rsid w:val="00B74FBD"/>
    <w:rsid w:val="00B7558A"/>
    <w:rsid w:val="00B77352"/>
    <w:rsid w:val="00B82586"/>
    <w:rsid w:val="00B829A3"/>
    <w:rsid w:val="00B86DB1"/>
    <w:rsid w:val="00B87869"/>
    <w:rsid w:val="00B953BD"/>
    <w:rsid w:val="00BA0E44"/>
    <w:rsid w:val="00BA47C5"/>
    <w:rsid w:val="00BB0F2B"/>
    <w:rsid w:val="00BB11C2"/>
    <w:rsid w:val="00BC69FA"/>
    <w:rsid w:val="00BD0800"/>
    <w:rsid w:val="00BD0D57"/>
    <w:rsid w:val="00BD20AC"/>
    <w:rsid w:val="00BE1A50"/>
    <w:rsid w:val="00BE2BB0"/>
    <w:rsid w:val="00BF32A8"/>
    <w:rsid w:val="00BF50F7"/>
    <w:rsid w:val="00C00111"/>
    <w:rsid w:val="00C02F29"/>
    <w:rsid w:val="00C10C13"/>
    <w:rsid w:val="00C17111"/>
    <w:rsid w:val="00C20747"/>
    <w:rsid w:val="00C20AFE"/>
    <w:rsid w:val="00C22A25"/>
    <w:rsid w:val="00C23B79"/>
    <w:rsid w:val="00C25F31"/>
    <w:rsid w:val="00C26DE7"/>
    <w:rsid w:val="00C31DDF"/>
    <w:rsid w:val="00C33D50"/>
    <w:rsid w:val="00C34869"/>
    <w:rsid w:val="00C35671"/>
    <w:rsid w:val="00C35B77"/>
    <w:rsid w:val="00C370D3"/>
    <w:rsid w:val="00C376EB"/>
    <w:rsid w:val="00C4003A"/>
    <w:rsid w:val="00C40DA8"/>
    <w:rsid w:val="00C41532"/>
    <w:rsid w:val="00C4199A"/>
    <w:rsid w:val="00C41A8C"/>
    <w:rsid w:val="00C4510C"/>
    <w:rsid w:val="00C46EC1"/>
    <w:rsid w:val="00C47DDB"/>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2C6F"/>
    <w:rsid w:val="00CA4570"/>
    <w:rsid w:val="00CA4FDF"/>
    <w:rsid w:val="00CA6869"/>
    <w:rsid w:val="00CA6E0D"/>
    <w:rsid w:val="00CA7B4B"/>
    <w:rsid w:val="00CB2CBB"/>
    <w:rsid w:val="00CB2FA7"/>
    <w:rsid w:val="00CB56CE"/>
    <w:rsid w:val="00CB7CAC"/>
    <w:rsid w:val="00CC0EA0"/>
    <w:rsid w:val="00CC5335"/>
    <w:rsid w:val="00CC5BA4"/>
    <w:rsid w:val="00CC70BB"/>
    <w:rsid w:val="00CD3420"/>
    <w:rsid w:val="00CD4998"/>
    <w:rsid w:val="00CD4BC1"/>
    <w:rsid w:val="00CE1035"/>
    <w:rsid w:val="00CE1C53"/>
    <w:rsid w:val="00CE2A6A"/>
    <w:rsid w:val="00CE5929"/>
    <w:rsid w:val="00CF2819"/>
    <w:rsid w:val="00CF4F9D"/>
    <w:rsid w:val="00CF70DC"/>
    <w:rsid w:val="00D11C07"/>
    <w:rsid w:val="00D12FDB"/>
    <w:rsid w:val="00D148DC"/>
    <w:rsid w:val="00D17FDC"/>
    <w:rsid w:val="00D279BA"/>
    <w:rsid w:val="00D42AAB"/>
    <w:rsid w:val="00D444C5"/>
    <w:rsid w:val="00D44C4A"/>
    <w:rsid w:val="00D45AEA"/>
    <w:rsid w:val="00D51CA3"/>
    <w:rsid w:val="00D5244F"/>
    <w:rsid w:val="00D52E4F"/>
    <w:rsid w:val="00D56689"/>
    <w:rsid w:val="00D56891"/>
    <w:rsid w:val="00D56A37"/>
    <w:rsid w:val="00D57202"/>
    <w:rsid w:val="00D6386E"/>
    <w:rsid w:val="00D63EFD"/>
    <w:rsid w:val="00D64826"/>
    <w:rsid w:val="00D661DE"/>
    <w:rsid w:val="00D66C52"/>
    <w:rsid w:val="00D7080A"/>
    <w:rsid w:val="00D73387"/>
    <w:rsid w:val="00D7524E"/>
    <w:rsid w:val="00D76FBD"/>
    <w:rsid w:val="00D80DF2"/>
    <w:rsid w:val="00D84150"/>
    <w:rsid w:val="00D84752"/>
    <w:rsid w:val="00D85AB0"/>
    <w:rsid w:val="00D86B3B"/>
    <w:rsid w:val="00D8748A"/>
    <w:rsid w:val="00D90C8B"/>
    <w:rsid w:val="00D93196"/>
    <w:rsid w:val="00D93E7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2DC4"/>
    <w:rsid w:val="00E04A7C"/>
    <w:rsid w:val="00E059FB"/>
    <w:rsid w:val="00E069C4"/>
    <w:rsid w:val="00E07275"/>
    <w:rsid w:val="00E07866"/>
    <w:rsid w:val="00E07C5A"/>
    <w:rsid w:val="00E12C54"/>
    <w:rsid w:val="00E14AFE"/>
    <w:rsid w:val="00E15BA9"/>
    <w:rsid w:val="00E25B22"/>
    <w:rsid w:val="00E2622D"/>
    <w:rsid w:val="00E26E19"/>
    <w:rsid w:val="00E27E3C"/>
    <w:rsid w:val="00E30E53"/>
    <w:rsid w:val="00E31DF3"/>
    <w:rsid w:val="00E32814"/>
    <w:rsid w:val="00E33448"/>
    <w:rsid w:val="00E33486"/>
    <w:rsid w:val="00E34181"/>
    <w:rsid w:val="00E450A4"/>
    <w:rsid w:val="00E506BE"/>
    <w:rsid w:val="00E55547"/>
    <w:rsid w:val="00E56BAE"/>
    <w:rsid w:val="00E57410"/>
    <w:rsid w:val="00E61C42"/>
    <w:rsid w:val="00E6302B"/>
    <w:rsid w:val="00E6452F"/>
    <w:rsid w:val="00E64619"/>
    <w:rsid w:val="00E64F45"/>
    <w:rsid w:val="00E65B4F"/>
    <w:rsid w:val="00E6742D"/>
    <w:rsid w:val="00E709D2"/>
    <w:rsid w:val="00E71CB0"/>
    <w:rsid w:val="00E73529"/>
    <w:rsid w:val="00E77B53"/>
    <w:rsid w:val="00E77C3D"/>
    <w:rsid w:val="00E82E22"/>
    <w:rsid w:val="00E843EE"/>
    <w:rsid w:val="00E850FE"/>
    <w:rsid w:val="00E909F0"/>
    <w:rsid w:val="00E90D47"/>
    <w:rsid w:val="00E93993"/>
    <w:rsid w:val="00E9597C"/>
    <w:rsid w:val="00EA0913"/>
    <w:rsid w:val="00EA0A2F"/>
    <w:rsid w:val="00EA6D31"/>
    <w:rsid w:val="00EB146B"/>
    <w:rsid w:val="00EB422F"/>
    <w:rsid w:val="00EB45AC"/>
    <w:rsid w:val="00EB49F1"/>
    <w:rsid w:val="00EB6F26"/>
    <w:rsid w:val="00EC18B3"/>
    <w:rsid w:val="00EC2AEA"/>
    <w:rsid w:val="00EC6583"/>
    <w:rsid w:val="00EC7B11"/>
    <w:rsid w:val="00EC7F95"/>
    <w:rsid w:val="00ED0269"/>
    <w:rsid w:val="00ED0BC4"/>
    <w:rsid w:val="00ED3771"/>
    <w:rsid w:val="00ED4AB7"/>
    <w:rsid w:val="00ED6A32"/>
    <w:rsid w:val="00EE20EE"/>
    <w:rsid w:val="00EE4971"/>
    <w:rsid w:val="00EE5EC9"/>
    <w:rsid w:val="00EF0221"/>
    <w:rsid w:val="00EF090E"/>
    <w:rsid w:val="00EF4FB1"/>
    <w:rsid w:val="00EF7FA3"/>
    <w:rsid w:val="00F033DA"/>
    <w:rsid w:val="00F11AAB"/>
    <w:rsid w:val="00F13FB1"/>
    <w:rsid w:val="00F15742"/>
    <w:rsid w:val="00F17BC1"/>
    <w:rsid w:val="00F17C87"/>
    <w:rsid w:val="00F20117"/>
    <w:rsid w:val="00F20272"/>
    <w:rsid w:val="00F21C7D"/>
    <w:rsid w:val="00F223E7"/>
    <w:rsid w:val="00F2288D"/>
    <w:rsid w:val="00F25779"/>
    <w:rsid w:val="00F2750A"/>
    <w:rsid w:val="00F27CD8"/>
    <w:rsid w:val="00F30351"/>
    <w:rsid w:val="00F31EE9"/>
    <w:rsid w:val="00F3323E"/>
    <w:rsid w:val="00F33C96"/>
    <w:rsid w:val="00F341F4"/>
    <w:rsid w:val="00F34F9D"/>
    <w:rsid w:val="00F35CCE"/>
    <w:rsid w:val="00F51EE5"/>
    <w:rsid w:val="00F55241"/>
    <w:rsid w:val="00F5524B"/>
    <w:rsid w:val="00F60538"/>
    <w:rsid w:val="00F61DD2"/>
    <w:rsid w:val="00F64831"/>
    <w:rsid w:val="00F64BC1"/>
    <w:rsid w:val="00F6523A"/>
    <w:rsid w:val="00F66AFF"/>
    <w:rsid w:val="00F71433"/>
    <w:rsid w:val="00F71D5B"/>
    <w:rsid w:val="00F7241A"/>
    <w:rsid w:val="00F73D24"/>
    <w:rsid w:val="00F771E8"/>
    <w:rsid w:val="00F83E76"/>
    <w:rsid w:val="00F87BEA"/>
    <w:rsid w:val="00F90A57"/>
    <w:rsid w:val="00F95DC4"/>
    <w:rsid w:val="00F976FF"/>
    <w:rsid w:val="00F97C5B"/>
    <w:rsid w:val="00FA05D2"/>
    <w:rsid w:val="00FA359A"/>
    <w:rsid w:val="00FA3B80"/>
    <w:rsid w:val="00FA3D50"/>
    <w:rsid w:val="00FA6E69"/>
    <w:rsid w:val="00FB009F"/>
    <w:rsid w:val="00FB25B0"/>
    <w:rsid w:val="00FB6136"/>
    <w:rsid w:val="00FB7115"/>
    <w:rsid w:val="00FC374A"/>
    <w:rsid w:val="00FC7B47"/>
    <w:rsid w:val="00FD035C"/>
    <w:rsid w:val="00FD1A35"/>
    <w:rsid w:val="00FD1FE6"/>
    <w:rsid w:val="00FD36C5"/>
    <w:rsid w:val="00FD428C"/>
    <w:rsid w:val="00FD6310"/>
    <w:rsid w:val="00FD7C7B"/>
    <w:rsid w:val="00FD7FD0"/>
    <w:rsid w:val="00FE1D12"/>
    <w:rsid w:val="00FE2122"/>
    <w:rsid w:val="00FE2759"/>
    <w:rsid w:val="00FE2A86"/>
    <w:rsid w:val="00FE58ED"/>
    <w:rsid w:val="00FE5BC0"/>
    <w:rsid w:val="00FF296F"/>
    <w:rsid w:val="00FF5E23"/>
    <w:rsid w:val="00FF60F2"/>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3298">
      <w:bodyDiv w:val="1"/>
      <w:marLeft w:val="0"/>
      <w:marRight w:val="0"/>
      <w:marTop w:val="0"/>
      <w:marBottom w:val="0"/>
      <w:divBdr>
        <w:top w:val="none" w:sz="0" w:space="0" w:color="auto"/>
        <w:left w:val="none" w:sz="0" w:space="0" w:color="auto"/>
        <w:bottom w:val="none" w:sz="0" w:space="0" w:color="auto"/>
        <w:right w:val="none" w:sz="0" w:space="0" w:color="auto"/>
      </w:divBdr>
      <w:divsChild>
        <w:div w:id="215317573">
          <w:marLeft w:val="0"/>
          <w:marRight w:val="0"/>
          <w:marTop w:val="0"/>
          <w:marBottom w:val="0"/>
          <w:divBdr>
            <w:top w:val="none" w:sz="0" w:space="0" w:color="auto"/>
            <w:left w:val="none" w:sz="0" w:space="0" w:color="auto"/>
            <w:bottom w:val="none" w:sz="0" w:space="0" w:color="auto"/>
            <w:right w:val="none" w:sz="0" w:space="0" w:color="auto"/>
          </w:divBdr>
          <w:divsChild>
            <w:div w:id="1606038902">
              <w:marLeft w:val="0"/>
              <w:marRight w:val="0"/>
              <w:marTop w:val="0"/>
              <w:marBottom w:val="0"/>
              <w:divBdr>
                <w:top w:val="none" w:sz="0" w:space="0" w:color="auto"/>
                <w:left w:val="none" w:sz="0" w:space="0" w:color="auto"/>
                <w:bottom w:val="none" w:sz="0" w:space="0" w:color="auto"/>
                <w:right w:val="none" w:sz="0" w:space="0" w:color="auto"/>
              </w:divBdr>
              <w:divsChild>
                <w:div w:id="363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4575174">
      <w:bodyDiv w:val="1"/>
      <w:marLeft w:val="0"/>
      <w:marRight w:val="0"/>
      <w:marTop w:val="0"/>
      <w:marBottom w:val="0"/>
      <w:divBdr>
        <w:top w:val="none" w:sz="0" w:space="0" w:color="auto"/>
        <w:left w:val="none" w:sz="0" w:space="0" w:color="auto"/>
        <w:bottom w:val="none" w:sz="0" w:space="0" w:color="auto"/>
        <w:right w:val="none" w:sz="0" w:space="0" w:color="auto"/>
      </w:divBdr>
      <w:divsChild>
        <w:div w:id="1985037004">
          <w:marLeft w:val="0"/>
          <w:marRight w:val="0"/>
          <w:marTop w:val="0"/>
          <w:marBottom w:val="0"/>
          <w:divBdr>
            <w:top w:val="none" w:sz="0" w:space="0" w:color="auto"/>
            <w:left w:val="none" w:sz="0" w:space="0" w:color="auto"/>
            <w:bottom w:val="none" w:sz="0" w:space="0" w:color="auto"/>
            <w:right w:val="none" w:sz="0" w:space="0" w:color="auto"/>
          </w:divBdr>
          <w:divsChild>
            <w:div w:id="1411807947">
              <w:marLeft w:val="0"/>
              <w:marRight w:val="0"/>
              <w:marTop w:val="0"/>
              <w:marBottom w:val="0"/>
              <w:divBdr>
                <w:top w:val="none" w:sz="0" w:space="0" w:color="auto"/>
                <w:left w:val="none" w:sz="0" w:space="0" w:color="auto"/>
                <w:bottom w:val="none" w:sz="0" w:space="0" w:color="auto"/>
                <w:right w:val="none" w:sz="0" w:space="0" w:color="auto"/>
              </w:divBdr>
              <w:divsChild>
                <w:div w:id="691340497">
                  <w:marLeft w:val="0"/>
                  <w:marRight w:val="0"/>
                  <w:marTop w:val="0"/>
                  <w:marBottom w:val="0"/>
                  <w:divBdr>
                    <w:top w:val="none" w:sz="0" w:space="0" w:color="auto"/>
                    <w:left w:val="none" w:sz="0" w:space="0" w:color="auto"/>
                    <w:bottom w:val="none" w:sz="0" w:space="0" w:color="auto"/>
                    <w:right w:val="none" w:sz="0" w:space="0" w:color="auto"/>
                  </w:divBdr>
                  <w:divsChild>
                    <w:div w:id="11803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sChild>
        <w:div w:id="1545293893">
          <w:marLeft w:val="0"/>
          <w:marRight w:val="0"/>
          <w:marTop w:val="0"/>
          <w:marBottom w:val="0"/>
          <w:divBdr>
            <w:top w:val="none" w:sz="0" w:space="0" w:color="auto"/>
            <w:left w:val="none" w:sz="0" w:space="0" w:color="auto"/>
            <w:bottom w:val="none" w:sz="0" w:space="0" w:color="auto"/>
            <w:right w:val="none" w:sz="0" w:space="0" w:color="auto"/>
          </w:divBdr>
          <w:divsChild>
            <w:div w:id="379011593">
              <w:marLeft w:val="0"/>
              <w:marRight w:val="0"/>
              <w:marTop w:val="0"/>
              <w:marBottom w:val="0"/>
              <w:divBdr>
                <w:top w:val="none" w:sz="0" w:space="0" w:color="auto"/>
                <w:left w:val="none" w:sz="0" w:space="0" w:color="auto"/>
                <w:bottom w:val="none" w:sz="0" w:space="0" w:color="auto"/>
                <w:right w:val="none" w:sz="0" w:space="0" w:color="auto"/>
              </w:divBdr>
              <w:divsChild>
                <w:div w:id="2067726763">
                  <w:marLeft w:val="0"/>
                  <w:marRight w:val="0"/>
                  <w:marTop w:val="0"/>
                  <w:marBottom w:val="0"/>
                  <w:divBdr>
                    <w:top w:val="none" w:sz="0" w:space="0" w:color="auto"/>
                    <w:left w:val="none" w:sz="0" w:space="0" w:color="auto"/>
                    <w:bottom w:val="none" w:sz="0" w:space="0" w:color="auto"/>
                    <w:right w:val="none" w:sz="0" w:space="0" w:color="auto"/>
                  </w:divBdr>
                  <w:divsChild>
                    <w:div w:id="14005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Kenneth Wang Ye</cp:lastModifiedBy>
  <cp:revision>2</cp:revision>
  <cp:lastPrinted>2024-03-01T06:36:00Z</cp:lastPrinted>
  <dcterms:created xsi:type="dcterms:W3CDTF">2024-03-01T06:37:00Z</dcterms:created>
  <dcterms:modified xsi:type="dcterms:W3CDTF">2024-03-01T06:37:00Z</dcterms:modified>
</cp:coreProperties>
</file>