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7C7653" w:rsidRDefault="00AE5B6F" w:rsidP="00B04033">
      <w:pPr>
        <w:pStyle w:val="ListParagraph"/>
        <w:numPr>
          <w:ilvl w:val="0"/>
          <w:numId w:val="1"/>
        </w:numPr>
        <w:ind w:left="426"/>
        <w:jc w:val="both"/>
        <w:rPr>
          <w:rFonts w:ascii="Avenir Next" w:hAnsi="Avenir Next" w:cs="Arial"/>
          <w:sz w:val="22"/>
          <w:szCs w:val="22"/>
          <w:highlight w:val="yellow"/>
          <w:lang w:val="en-GB"/>
        </w:rPr>
      </w:pPr>
      <w:r w:rsidRPr="007C7653">
        <w:rPr>
          <w:rFonts w:ascii="Avenir Next" w:hAnsi="Avenir Next" w:cs="Arial"/>
          <w:sz w:val="22"/>
          <w:szCs w:val="22"/>
          <w:highlight w:val="yellow"/>
          <w:lang w:val="en-GB"/>
        </w:rPr>
        <w:t>w</w:t>
      </w:r>
      <w:r w:rsidR="00C91062" w:rsidRPr="007C7653">
        <w:rPr>
          <w:rFonts w:ascii="Avenir Next" w:hAnsi="Avenir Next" w:cs="Arial"/>
          <w:sz w:val="22"/>
          <w:szCs w:val="22"/>
          <w:highlight w:val="yellow"/>
          <w:lang w:val="en-GB"/>
        </w:rPr>
        <w:t xml:space="preserve">ithin </w:t>
      </w:r>
      <w:r w:rsidR="00733A34" w:rsidRPr="007C7653">
        <w:rPr>
          <w:rFonts w:ascii="Avenir Next" w:hAnsi="Avenir Next" w:cs="Arial"/>
          <w:sz w:val="22"/>
          <w:szCs w:val="22"/>
          <w:highlight w:val="yellow"/>
          <w:lang w:val="en-GB"/>
        </w:rPr>
        <w:t>eight</w:t>
      </w:r>
      <w:r w:rsidR="00C91062" w:rsidRPr="007C7653">
        <w:rPr>
          <w:rFonts w:ascii="Avenir Next" w:hAnsi="Avenir Next" w:cs="Arial"/>
          <w:sz w:val="22"/>
          <w:szCs w:val="22"/>
          <w:highlight w:val="yellow"/>
          <w:lang w:val="en-GB"/>
        </w:rPr>
        <w:t xml:space="preserve"> weeks of the commencement of the administration</w:t>
      </w:r>
      <w:r w:rsidR="00763348" w:rsidRPr="007C7653">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7C7653" w:rsidRDefault="00AE5B6F" w:rsidP="00B04033">
      <w:pPr>
        <w:pStyle w:val="ListParagraph"/>
        <w:numPr>
          <w:ilvl w:val="0"/>
          <w:numId w:val="1"/>
        </w:numPr>
        <w:ind w:left="426"/>
        <w:jc w:val="both"/>
        <w:rPr>
          <w:rFonts w:ascii="Avenir Next" w:hAnsi="Avenir Next" w:cs="Arial"/>
          <w:sz w:val="22"/>
          <w:szCs w:val="22"/>
          <w:lang w:val="en-GB"/>
        </w:rPr>
      </w:pPr>
      <w:r w:rsidRPr="007C7653">
        <w:rPr>
          <w:rFonts w:ascii="Avenir Next" w:hAnsi="Avenir Next" w:cs="Arial"/>
          <w:sz w:val="22"/>
          <w:szCs w:val="22"/>
          <w:lang w:val="en-GB"/>
        </w:rPr>
        <w:t>o</w:t>
      </w:r>
      <w:r w:rsidR="00C91062" w:rsidRPr="007C7653">
        <w:rPr>
          <w:rFonts w:ascii="Avenir Next" w:hAnsi="Avenir Next" w:cs="Arial"/>
          <w:sz w:val="22"/>
          <w:szCs w:val="22"/>
          <w:lang w:val="en-GB"/>
        </w:rPr>
        <w:t>n the day the company enters administration</w:t>
      </w:r>
      <w:r w:rsidR="00763348" w:rsidRPr="007C7653">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0F1C69" w:rsidRDefault="00E443D7" w:rsidP="00C55824">
      <w:pPr>
        <w:pStyle w:val="ListParagraph"/>
        <w:numPr>
          <w:ilvl w:val="0"/>
          <w:numId w:val="2"/>
        </w:numPr>
        <w:ind w:left="426"/>
        <w:jc w:val="both"/>
        <w:rPr>
          <w:rFonts w:ascii="Avenir Next" w:hAnsi="Avenir Next" w:cs="Arial"/>
          <w:sz w:val="22"/>
          <w:szCs w:val="22"/>
          <w:highlight w:val="yellow"/>
          <w:lang w:val="en-GB"/>
        </w:rPr>
      </w:pPr>
      <w:r w:rsidRPr="000F1C69">
        <w:rPr>
          <w:rFonts w:ascii="Avenir Next" w:hAnsi="Avenir Next" w:cs="Arial"/>
          <w:sz w:val="22"/>
          <w:szCs w:val="22"/>
          <w:highlight w:val="yellow"/>
          <w:lang w:val="en-GB"/>
        </w:rPr>
        <w:t>One year</w:t>
      </w:r>
      <w:r w:rsidR="00763348" w:rsidRPr="000F1C69">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16902308" w14:textId="77777777" w:rsidR="0086299B" w:rsidRDefault="00AE5B6F" w:rsidP="0086299B">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329CA001" w14:textId="77777777" w:rsidR="0086299B" w:rsidRPr="0086299B" w:rsidRDefault="0086299B" w:rsidP="0086299B">
      <w:pPr>
        <w:pStyle w:val="ListParagraph"/>
        <w:rPr>
          <w:rFonts w:ascii="Avenir Next" w:hAnsi="Avenir Next" w:cs="Arial"/>
          <w:sz w:val="22"/>
          <w:szCs w:val="22"/>
          <w:highlight w:val="yellow"/>
          <w:lang w:val="en-GB"/>
        </w:rPr>
      </w:pPr>
    </w:p>
    <w:p w14:paraId="6C67DEAB" w14:textId="359B015D" w:rsidR="00867701" w:rsidRPr="0086299B" w:rsidRDefault="00AE5B6F" w:rsidP="0086299B">
      <w:pPr>
        <w:pStyle w:val="ListParagraph"/>
        <w:numPr>
          <w:ilvl w:val="0"/>
          <w:numId w:val="3"/>
        </w:numPr>
        <w:ind w:left="426"/>
        <w:jc w:val="both"/>
        <w:rPr>
          <w:rFonts w:ascii="Avenir Next" w:hAnsi="Avenir Next" w:cs="Arial"/>
          <w:sz w:val="22"/>
          <w:szCs w:val="22"/>
          <w:lang w:val="en-GB"/>
        </w:rPr>
      </w:pPr>
      <w:r w:rsidRPr="0086299B">
        <w:rPr>
          <w:rFonts w:ascii="Avenir Next" w:hAnsi="Avenir Next" w:cs="Arial"/>
          <w:sz w:val="22"/>
          <w:szCs w:val="22"/>
          <w:highlight w:val="yellow"/>
          <w:lang w:val="en-GB"/>
        </w:rPr>
        <w:t>T</w:t>
      </w:r>
      <w:r w:rsidR="008D1616" w:rsidRPr="0086299B">
        <w:rPr>
          <w:rFonts w:ascii="Avenir Next" w:hAnsi="Avenir Next" w:cs="Arial"/>
          <w:sz w:val="22"/>
          <w:szCs w:val="22"/>
          <w:highlight w:val="yellow"/>
          <w:lang w:val="en-GB"/>
        </w:rPr>
        <w:t>he company is, or is likely to become, unable to pay their debts, as defined under s</w:t>
      </w:r>
      <w:r w:rsidR="00E833F4" w:rsidRPr="0086299B">
        <w:rPr>
          <w:rFonts w:ascii="Avenir Next" w:hAnsi="Avenir Next" w:cs="Arial"/>
          <w:sz w:val="22"/>
          <w:szCs w:val="22"/>
          <w:highlight w:val="yellow"/>
          <w:lang w:val="en-GB"/>
        </w:rPr>
        <w:t>ection</w:t>
      </w:r>
      <w:r w:rsidR="008D1616" w:rsidRPr="0086299B">
        <w:rPr>
          <w:rFonts w:ascii="Avenir Next" w:hAnsi="Avenir Next" w:cs="Arial"/>
          <w:sz w:val="22"/>
          <w:szCs w:val="22"/>
          <w:highlight w:val="yellow"/>
          <w:lang w:val="en-GB"/>
        </w:rPr>
        <w:t xml:space="preserve"> 123 of the Insolvency Act 1986</w:t>
      </w:r>
      <w:r w:rsidR="00763348" w:rsidRPr="0086299B">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3205B3" w:rsidRDefault="00C91062" w:rsidP="00B04033">
      <w:pPr>
        <w:pStyle w:val="ListParagraph"/>
        <w:numPr>
          <w:ilvl w:val="0"/>
          <w:numId w:val="4"/>
        </w:numPr>
        <w:ind w:left="426"/>
        <w:jc w:val="both"/>
        <w:rPr>
          <w:rFonts w:ascii="Avenir Next" w:hAnsi="Avenir Next" w:cs="Arial"/>
          <w:sz w:val="22"/>
          <w:szCs w:val="22"/>
          <w:highlight w:val="yellow"/>
          <w:lang w:val="en-GB"/>
        </w:rPr>
      </w:pPr>
      <w:r w:rsidRPr="003205B3">
        <w:rPr>
          <w:rFonts w:ascii="Avenir Next" w:hAnsi="Avenir Next" w:cs="Arial"/>
          <w:sz w:val="22"/>
          <w:szCs w:val="22"/>
          <w:highlight w:val="yellow"/>
          <w:lang w:val="en-GB"/>
        </w:rPr>
        <w:t>The purchaser</w:t>
      </w:r>
      <w:r w:rsidR="00763348" w:rsidRPr="003205B3">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694DE4" w:rsidRDefault="00BA1CFD" w:rsidP="00B04033">
      <w:pPr>
        <w:pStyle w:val="ListParagraph"/>
        <w:numPr>
          <w:ilvl w:val="0"/>
          <w:numId w:val="5"/>
        </w:numPr>
        <w:ind w:left="426"/>
        <w:jc w:val="both"/>
        <w:rPr>
          <w:rFonts w:ascii="Avenir Next" w:hAnsi="Avenir Next" w:cs="Arial"/>
          <w:sz w:val="22"/>
          <w:szCs w:val="22"/>
          <w:highlight w:val="yellow"/>
          <w:lang w:val="en-GB"/>
        </w:rPr>
      </w:pPr>
      <w:r w:rsidRPr="00694DE4">
        <w:rPr>
          <w:rFonts w:ascii="Avenir Next" w:hAnsi="Avenir Next" w:cs="Arial"/>
          <w:sz w:val="22"/>
          <w:szCs w:val="22"/>
          <w:highlight w:val="yellow"/>
          <w:lang w:val="en-GB"/>
        </w:rPr>
        <w:t>Administration</w:t>
      </w:r>
      <w:r w:rsidR="00763348" w:rsidRPr="00694DE4">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694DE4" w:rsidRDefault="00221444" w:rsidP="00221444">
      <w:pPr>
        <w:pStyle w:val="ListParagraph"/>
        <w:numPr>
          <w:ilvl w:val="0"/>
          <w:numId w:val="6"/>
        </w:numPr>
        <w:ind w:left="426"/>
        <w:jc w:val="both"/>
        <w:rPr>
          <w:rFonts w:ascii="Avenir Next" w:hAnsi="Avenir Next" w:cs="Arial"/>
          <w:sz w:val="22"/>
          <w:szCs w:val="22"/>
          <w:highlight w:val="yellow"/>
          <w:lang w:val="en-GB"/>
        </w:rPr>
      </w:pPr>
      <w:r w:rsidRPr="00694DE4">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57319A" w:rsidRDefault="00BA1CFD" w:rsidP="00B04033">
      <w:pPr>
        <w:pStyle w:val="ListParagraph"/>
        <w:numPr>
          <w:ilvl w:val="0"/>
          <w:numId w:val="7"/>
        </w:numPr>
        <w:ind w:left="426"/>
        <w:jc w:val="both"/>
        <w:rPr>
          <w:rFonts w:ascii="Avenir Next" w:hAnsi="Avenir Next" w:cs="Arial"/>
          <w:sz w:val="22"/>
          <w:szCs w:val="22"/>
          <w:highlight w:val="yellow"/>
          <w:lang w:val="en-GB"/>
        </w:rPr>
      </w:pPr>
      <w:r w:rsidRPr="0057319A">
        <w:rPr>
          <w:rFonts w:ascii="Avenir Next" w:hAnsi="Avenir Next" w:cs="Arial"/>
          <w:sz w:val="22"/>
          <w:szCs w:val="22"/>
          <w:highlight w:val="yellow"/>
          <w:lang w:val="en-GB"/>
        </w:rPr>
        <w:t>Wrongful trading</w:t>
      </w:r>
      <w:r w:rsidR="00763348" w:rsidRPr="0057319A">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62745" w:rsidRDefault="00450393" w:rsidP="00450393">
      <w:pPr>
        <w:pStyle w:val="ListParagraph"/>
        <w:numPr>
          <w:ilvl w:val="0"/>
          <w:numId w:val="8"/>
        </w:numPr>
        <w:ind w:left="426"/>
        <w:jc w:val="both"/>
        <w:rPr>
          <w:rFonts w:ascii="Avenir Next" w:hAnsi="Avenir Next" w:cs="Arial"/>
          <w:sz w:val="22"/>
          <w:szCs w:val="22"/>
          <w:highlight w:val="yellow"/>
          <w:lang w:val="en-GB"/>
        </w:rPr>
      </w:pPr>
      <w:r w:rsidRPr="00162745">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9778E7" w:rsidRDefault="00E833F4" w:rsidP="00B04033">
      <w:pPr>
        <w:pStyle w:val="ListParagraph"/>
        <w:numPr>
          <w:ilvl w:val="0"/>
          <w:numId w:val="9"/>
        </w:numPr>
        <w:ind w:left="426"/>
        <w:jc w:val="both"/>
        <w:rPr>
          <w:rFonts w:ascii="Avenir Next" w:hAnsi="Avenir Next" w:cs="Arial"/>
          <w:sz w:val="22"/>
          <w:szCs w:val="22"/>
          <w:highlight w:val="yellow"/>
          <w:lang w:val="en-GB"/>
        </w:rPr>
      </w:pPr>
      <w:r w:rsidRPr="009778E7">
        <w:rPr>
          <w:rFonts w:ascii="Avenir Next" w:hAnsi="Avenir Next" w:cs="Arial"/>
          <w:sz w:val="22"/>
          <w:szCs w:val="22"/>
          <w:highlight w:val="yellow"/>
          <w:lang w:val="en-GB"/>
        </w:rPr>
        <w:t>A</w:t>
      </w:r>
      <w:r w:rsidR="000D10C6" w:rsidRPr="009778E7">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0202EE" w:rsidRDefault="000D4CFA" w:rsidP="004C7A8F">
      <w:pPr>
        <w:pStyle w:val="ListParagraph"/>
        <w:numPr>
          <w:ilvl w:val="0"/>
          <w:numId w:val="10"/>
        </w:numPr>
        <w:ind w:left="426"/>
        <w:jc w:val="both"/>
        <w:rPr>
          <w:rFonts w:ascii="Avenir Next" w:hAnsi="Avenir Next" w:cs="Arial"/>
          <w:sz w:val="22"/>
          <w:szCs w:val="22"/>
          <w:highlight w:val="yellow"/>
          <w:lang w:val="en-GB"/>
        </w:rPr>
      </w:pPr>
      <w:r w:rsidRPr="000202EE">
        <w:rPr>
          <w:rFonts w:ascii="Avenir Next" w:hAnsi="Avenir Next" w:cs="Arial"/>
          <w:sz w:val="22"/>
          <w:szCs w:val="22"/>
          <w:highlight w:val="yellow"/>
          <w:lang w:val="en-GB"/>
        </w:rPr>
        <w:t>Twelve</w:t>
      </w:r>
      <w:r w:rsidR="004C7A8F" w:rsidRPr="000202EE">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48887587" w:rsidR="00DE03AF" w:rsidRDefault="000F7A4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persons may bring action under the described sections of the relevant laws:</w:t>
      </w:r>
    </w:p>
    <w:p w14:paraId="7B794A8F" w14:textId="77777777" w:rsidR="000C2CDB" w:rsidRDefault="000C2CDB" w:rsidP="002A37BB">
      <w:pPr>
        <w:jc w:val="both"/>
        <w:rPr>
          <w:rFonts w:ascii="Avenir Next" w:hAnsi="Avenir Next" w:cs="Arial"/>
          <w:color w:val="7B7B7B" w:themeColor="accent3" w:themeShade="BF"/>
          <w:sz w:val="22"/>
          <w:szCs w:val="22"/>
          <w:lang w:val="en-GB"/>
        </w:rPr>
      </w:pPr>
    </w:p>
    <w:p w14:paraId="599928D4" w14:textId="7183BCF3" w:rsidR="000F7A47" w:rsidRDefault="000F7A47" w:rsidP="000F7A47">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245 of the Insolvency Act 1986, </w:t>
      </w:r>
      <w:r w:rsidR="00703AF9">
        <w:rPr>
          <w:rFonts w:ascii="Avenir Next" w:hAnsi="Avenir Next" w:cs="Arial"/>
          <w:color w:val="7B7B7B" w:themeColor="accent3" w:themeShade="BF"/>
          <w:sz w:val="22"/>
          <w:szCs w:val="22"/>
          <w:lang w:val="en-GB"/>
        </w:rPr>
        <w:t xml:space="preserve">an action may be brought </w:t>
      </w:r>
      <w:r w:rsidR="00FA727B">
        <w:rPr>
          <w:rFonts w:ascii="Avenir Next" w:hAnsi="Avenir Next" w:cs="Arial"/>
          <w:color w:val="7B7B7B" w:themeColor="accent3" w:themeShade="BF"/>
          <w:sz w:val="22"/>
          <w:szCs w:val="22"/>
          <w:lang w:val="en-GB"/>
        </w:rPr>
        <w:t xml:space="preserve">by the </w:t>
      </w:r>
      <w:r w:rsidR="00262D7E" w:rsidRPr="000C2CDB">
        <w:rPr>
          <w:rFonts w:ascii="Avenir Next" w:hAnsi="Avenir Next" w:cs="Arial"/>
          <w:b/>
          <w:bCs/>
          <w:color w:val="7B7B7B" w:themeColor="accent3" w:themeShade="BF"/>
          <w:sz w:val="22"/>
          <w:szCs w:val="22"/>
          <w:lang w:val="en-GB"/>
        </w:rPr>
        <w:t>administrator, or a liquidator</w:t>
      </w:r>
      <w:r w:rsidR="00262D7E">
        <w:rPr>
          <w:rFonts w:ascii="Avenir Next" w:hAnsi="Avenir Next" w:cs="Arial"/>
          <w:color w:val="7B7B7B" w:themeColor="accent3" w:themeShade="BF"/>
          <w:sz w:val="22"/>
          <w:szCs w:val="22"/>
          <w:lang w:val="en-GB"/>
        </w:rPr>
        <w:t xml:space="preserve"> </w:t>
      </w:r>
      <w:r w:rsidR="00FA727B">
        <w:rPr>
          <w:rFonts w:ascii="Avenir Next" w:hAnsi="Avenir Next" w:cs="Arial"/>
          <w:color w:val="7B7B7B" w:themeColor="accent3" w:themeShade="BF"/>
          <w:sz w:val="22"/>
          <w:szCs w:val="22"/>
          <w:lang w:val="en-GB"/>
        </w:rPr>
        <w:t>of a company undergoing insolvency proceedings</w:t>
      </w:r>
      <w:r w:rsidR="00F07A22">
        <w:rPr>
          <w:rFonts w:ascii="Avenir Next" w:hAnsi="Avenir Next" w:cs="Arial"/>
          <w:color w:val="7B7B7B" w:themeColor="accent3" w:themeShade="BF"/>
          <w:sz w:val="22"/>
          <w:szCs w:val="22"/>
          <w:lang w:val="en-GB"/>
        </w:rPr>
        <w:t xml:space="preserve"> in relation to </w:t>
      </w:r>
      <w:r w:rsidR="006E3CA9">
        <w:rPr>
          <w:rFonts w:ascii="Avenir Next" w:hAnsi="Avenir Next" w:cs="Arial"/>
          <w:color w:val="7B7B7B" w:themeColor="accent3" w:themeShade="BF"/>
          <w:sz w:val="22"/>
          <w:szCs w:val="22"/>
          <w:lang w:val="en-GB"/>
        </w:rPr>
        <w:t>the avoidance of certain floating charges</w:t>
      </w:r>
      <w:r w:rsidR="00005901">
        <w:rPr>
          <w:rFonts w:ascii="Avenir Next" w:hAnsi="Avenir Next" w:cs="Arial"/>
          <w:color w:val="7B7B7B" w:themeColor="accent3" w:themeShade="BF"/>
          <w:sz w:val="22"/>
          <w:szCs w:val="22"/>
          <w:lang w:val="en-GB"/>
        </w:rPr>
        <w:t xml:space="preserve">. Such </w:t>
      </w:r>
      <w:r w:rsidR="005F2DD3">
        <w:rPr>
          <w:rFonts w:ascii="Avenir Next" w:hAnsi="Avenir Next" w:cs="Arial"/>
          <w:color w:val="7B7B7B" w:themeColor="accent3" w:themeShade="BF"/>
          <w:sz w:val="22"/>
          <w:szCs w:val="22"/>
          <w:lang w:val="en-GB"/>
        </w:rPr>
        <w:t xml:space="preserve">actions are aimed at challenging any dealings in assets of the company </w:t>
      </w:r>
      <w:r w:rsidR="000C2CDB">
        <w:rPr>
          <w:rFonts w:ascii="Avenir Next" w:hAnsi="Avenir Next" w:cs="Arial"/>
          <w:color w:val="7B7B7B" w:themeColor="accent3" w:themeShade="BF"/>
          <w:sz w:val="22"/>
          <w:szCs w:val="22"/>
          <w:lang w:val="en-GB"/>
        </w:rPr>
        <w:t xml:space="preserve">at an undervalue within the relevant time. </w:t>
      </w:r>
    </w:p>
    <w:p w14:paraId="08FAE784" w14:textId="48D44C46" w:rsidR="000C2CDB" w:rsidRDefault="00C71305" w:rsidP="000F7A47">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6 of the Company Directors Disqualification Act 1986</w:t>
      </w:r>
      <w:r w:rsidR="00CB371C">
        <w:rPr>
          <w:rFonts w:ascii="Avenir Next" w:hAnsi="Avenir Next" w:cs="Arial"/>
          <w:color w:val="7B7B7B" w:themeColor="accent3" w:themeShade="BF"/>
          <w:sz w:val="22"/>
          <w:szCs w:val="22"/>
          <w:lang w:val="en-GB"/>
        </w:rPr>
        <w:t xml:space="preserve"> deals with the duty of court to disqualify unfit directors upon the application </w:t>
      </w:r>
      <w:r w:rsidR="00047DDF">
        <w:rPr>
          <w:rFonts w:ascii="Avenir Next" w:hAnsi="Avenir Next" w:cs="Arial"/>
          <w:color w:val="7B7B7B" w:themeColor="accent3" w:themeShade="BF"/>
          <w:sz w:val="22"/>
          <w:szCs w:val="22"/>
          <w:lang w:val="en-GB"/>
        </w:rPr>
        <w:t xml:space="preserve">of the </w:t>
      </w:r>
      <w:r w:rsidR="006F6ECF" w:rsidRPr="00F31AB0">
        <w:rPr>
          <w:rFonts w:ascii="Avenir Next" w:hAnsi="Avenir Next" w:cs="Arial"/>
          <w:b/>
          <w:bCs/>
          <w:color w:val="7B7B7B" w:themeColor="accent3" w:themeShade="BF"/>
          <w:sz w:val="22"/>
          <w:szCs w:val="22"/>
          <w:lang w:val="en-GB"/>
        </w:rPr>
        <w:t xml:space="preserve">Secretary of State for Business, Energy and Industrial Strategy </w:t>
      </w:r>
      <w:r w:rsidR="006569CA" w:rsidRPr="00F31AB0">
        <w:rPr>
          <w:rFonts w:ascii="Avenir Next" w:hAnsi="Avenir Next" w:cs="Arial"/>
          <w:b/>
          <w:bCs/>
          <w:color w:val="7B7B7B" w:themeColor="accent3" w:themeShade="BF"/>
          <w:sz w:val="22"/>
          <w:szCs w:val="22"/>
          <w:lang w:val="en-GB"/>
        </w:rPr>
        <w:t>or the Official Receiver</w:t>
      </w:r>
      <w:r w:rsidR="006569CA">
        <w:rPr>
          <w:rFonts w:ascii="Avenir Next" w:hAnsi="Avenir Next" w:cs="Arial"/>
          <w:color w:val="7B7B7B" w:themeColor="accent3" w:themeShade="BF"/>
          <w:sz w:val="22"/>
          <w:szCs w:val="22"/>
          <w:lang w:val="en-GB"/>
        </w:rPr>
        <w:t xml:space="preserve"> acting upon the instructions of the Secretary of State </w:t>
      </w:r>
      <w:r w:rsidR="006F0317">
        <w:rPr>
          <w:rFonts w:ascii="Avenir Next" w:hAnsi="Avenir Next" w:cs="Arial"/>
          <w:color w:val="7B7B7B" w:themeColor="accent3" w:themeShade="BF"/>
          <w:sz w:val="22"/>
          <w:szCs w:val="22"/>
          <w:lang w:val="en-GB"/>
        </w:rPr>
        <w:t xml:space="preserve">if the company has been wound up by court. </w:t>
      </w:r>
    </w:p>
    <w:p w14:paraId="07954EC3" w14:textId="4104E641" w:rsidR="006F0317" w:rsidRDefault="006862A7" w:rsidP="000F7A47">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Since Section 246ZB of the Insolvency Act 1986 deals with wrongful trading</w:t>
      </w:r>
      <w:r w:rsidR="00F31AB0">
        <w:rPr>
          <w:rFonts w:ascii="Avenir Next" w:hAnsi="Avenir Next" w:cs="Arial"/>
          <w:color w:val="7B7B7B" w:themeColor="accent3" w:themeShade="BF"/>
          <w:sz w:val="22"/>
          <w:szCs w:val="22"/>
          <w:lang w:val="en-GB"/>
        </w:rPr>
        <w:t xml:space="preserve"> in administration, action against directors of the company may be brought by the </w:t>
      </w:r>
      <w:r w:rsidR="00F31AB0" w:rsidRPr="00F31AB0">
        <w:rPr>
          <w:rFonts w:ascii="Avenir Next" w:hAnsi="Avenir Next" w:cs="Arial"/>
          <w:b/>
          <w:bCs/>
          <w:color w:val="7B7B7B" w:themeColor="accent3" w:themeShade="BF"/>
          <w:sz w:val="22"/>
          <w:szCs w:val="22"/>
          <w:lang w:val="en-GB"/>
        </w:rPr>
        <w:t>administrator</w:t>
      </w:r>
      <w:r w:rsidR="00F31AB0">
        <w:rPr>
          <w:rFonts w:ascii="Avenir Next" w:hAnsi="Avenir Next" w:cs="Arial"/>
          <w:color w:val="7B7B7B" w:themeColor="accent3" w:themeShade="BF"/>
          <w:sz w:val="22"/>
          <w:szCs w:val="22"/>
          <w:lang w:val="en-GB"/>
        </w:rPr>
        <w:t xml:space="preserve">. </w:t>
      </w:r>
      <w:r w:rsidR="007B7F14">
        <w:rPr>
          <w:rFonts w:ascii="Avenir Next" w:hAnsi="Avenir Next" w:cs="Arial"/>
          <w:color w:val="7B7B7B" w:themeColor="accent3" w:themeShade="BF"/>
          <w:sz w:val="22"/>
          <w:szCs w:val="22"/>
          <w:lang w:val="en-GB"/>
        </w:rPr>
        <w:t>Additionally, t</w:t>
      </w:r>
      <w:r w:rsidR="005E21A2">
        <w:rPr>
          <w:rFonts w:ascii="Avenir Next" w:hAnsi="Avenir Next" w:cs="Arial"/>
          <w:color w:val="7B7B7B" w:themeColor="accent3" w:themeShade="BF"/>
          <w:sz w:val="22"/>
          <w:szCs w:val="22"/>
          <w:lang w:val="en-GB"/>
        </w:rPr>
        <w:t>he provisions of Section 246ZB (2) (b)</w:t>
      </w:r>
      <w:r w:rsidR="008167AA">
        <w:rPr>
          <w:rStyle w:val="FootnoteReference"/>
          <w:rFonts w:ascii="Avenir Next" w:hAnsi="Avenir Next" w:cs="Arial"/>
          <w:color w:val="7B7B7B" w:themeColor="accent3" w:themeShade="BF"/>
          <w:sz w:val="22"/>
          <w:szCs w:val="22"/>
          <w:lang w:val="en-GB"/>
        </w:rPr>
        <w:footnoteReference w:id="1"/>
      </w:r>
      <w:r w:rsidR="005E21A2">
        <w:rPr>
          <w:rFonts w:ascii="Avenir Next" w:hAnsi="Avenir Next" w:cs="Arial"/>
          <w:color w:val="7B7B7B" w:themeColor="accent3" w:themeShade="BF"/>
          <w:sz w:val="22"/>
          <w:szCs w:val="22"/>
          <w:lang w:val="en-GB"/>
        </w:rPr>
        <w:t xml:space="preserve"> </w:t>
      </w:r>
      <w:r w:rsidR="008167AA">
        <w:rPr>
          <w:rFonts w:ascii="Avenir Next" w:hAnsi="Avenir Next" w:cs="Arial"/>
          <w:color w:val="7B7B7B" w:themeColor="accent3" w:themeShade="BF"/>
          <w:sz w:val="22"/>
          <w:szCs w:val="22"/>
          <w:lang w:val="en-GB"/>
        </w:rPr>
        <w:t xml:space="preserve">imply that the provisions may apply to liquidations thus </w:t>
      </w:r>
      <w:r w:rsidR="008167AA" w:rsidRPr="00203960">
        <w:rPr>
          <w:rFonts w:ascii="Avenir Next" w:hAnsi="Avenir Next" w:cs="Arial"/>
          <w:b/>
          <w:bCs/>
          <w:color w:val="7B7B7B" w:themeColor="accent3" w:themeShade="BF"/>
          <w:sz w:val="22"/>
          <w:szCs w:val="22"/>
          <w:lang w:val="en-GB"/>
        </w:rPr>
        <w:t>a liquidator</w:t>
      </w:r>
      <w:r w:rsidR="008167AA">
        <w:rPr>
          <w:rFonts w:ascii="Avenir Next" w:hAnsi="Avenir Next" w:cs="Arial"/>
          <w:color w:val="7B7B7B" w:themeColor="accent3" w:themeShade="BF"/>
          <w:sz w:val="22"/>
          <w:szCs w:val="22"/>
          <w:lang w:val="en-GB"/>
        </w:rPr>
        <w:t xml:space="preserve"> may bring action under this section. </w:t>
      </w:r>
    </w:p>
    <w:p w14:paraId="43493DE2" w14:textId="6AFC85C3" w:rsidR="00AF61F6" w:rsidRPr="000F7A47" w:rsidRDefault="00203960" w:rsidP="000F7A47">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of the Insolvency Act 1986 deals with avoidance of property dispositions in company winding up </w:t>
      </w:r>
      <w:r w:rsidR="0037285F">
        <w:rPr>
          <w:rFonts w:ascii="Avenir Next" w:hAnsi="Avenir Next" w:cs="Arial"/>
          <w:color w:val="7B7B7B" w:themeColor="accent3" w:themeShade="BF"/>
          <w:sz w:val="22"/>
          <w:szCs w:val="22"/>
          <w:lang w:val="en-GB"/>
        </w:rPr>
        <w:t xml:space="preserve">thus </w:t>
      </w:r>
      <w:r w:rsidR="0037285F" w:rsidRPr="00640A95">
        <w:rPr>
          <w:rFonts w:ascii="Avenir Next" w:hAnsi="Avenir Next" w:cs="Arial"/>
          <w:b/>
          <w:bCs/>
          <w:color w:val="7B7B7B" w:themeColor="accent3" w:themeShade="BF"/>
          <w:sz w:val="22"/>
          <w:szCs w:val="22"/>
          <w:lang w:val="en-GB"/>
        </w:rPr>
        <w:t>a liquidator</w:t>
      </w:r>
      <w:r w:rsidR="0037285F">
        <w:rPr>
          <w:rFonts w:ascii="Avenir Next" w:hAnsi="Avenir Next" w:cs="Arial"/>
          <w:color w:val="7B7B7B" w:themeColor="accent3" w:themeShade="BF"/>
          <w:sz w:val="22"/>
          <w:szCs w:val="22"/>
          <w:lang w:val="en-GB"/>
        </w:rPr>
        <w:t xml:space="preserve"> may bring action</w:t>
      </w:r>
      <w:r w:rsidR="00640A95">
        <w:rPr>
          <w:rFonts w:ascii="Avenir Next" w:hAnsi="Avenir Next" w:cs="Arial"/>
          <w:color w:val="7B7B7B" w:themeColor="accent3" w:themeShade="BF"/>
          <w:sz w:val="22"/>
          <w:szCs w:val="22"/>
          <w:lang w:val="en-GB"/>
        </w:rPr>
        <w:t xml:space="preserve"> against the directors to avoid the dispositions made during the period between the filing of a winding up petition and </w:t>
      </w:r>
      <w:r w:rsidR="005279AE">
        <w:rPr>
          <w:rFonts w:ascii="Avenir Next" w:hAnsi="Avenir Next" w:cs="Arial"/>
          <w:color w:val="7B7B7B" w:themeColor="accent3" w:themeShade="BF"/>
          <w:sz w:val="22"/>
          <w:szCs w:val="22"/>
          <w:lang w:val="en-GB"/>
        </w:rPr>
        <w:t xml:space="preserve">the winding up order.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B5B226B" w14:textId="77777777" w:rsidR="00467004" w:rsidRDefault="00210057" w:rsidP="008A3421">
      <w:pPr>
        <w:pStyle w:val="legclearfix"/>
        <w:shd w:val="clear" w:color="auto" w:fill="FFFFFF"/>
        <w:spacing w:before="0" w:beforeAutospacing="0" w:after="120" w:afterAutospacing="0" w:line="360" w:lineRule="atLeast"/>
        <w:rPr>
          <w:rFonts w:ascii="Avenir Next" w:hAnsi="Avenir Next" w:cs="Arial"/>
          <w:color w:val="7B7B7B" w:themeColor="accent3" w:themeShade="BF"/>
          <w:sz w:val="22"/>
          <w:szCs w:val="22"/>
          <w:lang w:eastAsia="en-US"/>
        </w:rPr>
      </w:pPr>
      <w:r>
        <w:rPr>
          <w:rFonts w:ascii="Avenir Next" w:hAnsi="Avenir Next"/>
          <w:color w:val="7B7B7B" w:themeColor="accent3" w:themeShade="BF"/>
          <w:sz w:val="22"/>
          <w:szCs w:val="22"/>
          <w:lang w:eastAsia="en-US"/>
        </w:rPr>
        <w:t>Section A18 of the Act</w:t>
      </w:r>
      <w:r w:rsidR="00090BFD">
        <w:rPr>
          <w:rStyle w:val="FootnoteReference"/>
          <w:rFonts w:ascii="Avenir Next" w:hAnsi="Avenir Next"/>
          <w:color w:val="7B7B7B" w:themeColor="accent3" w:themeShade="BF"/>
          <w:sz w:val="22"/>
          <w:szCs w:val="22"/>
          <w:lang w:eastAsia="en-US"/>
        </w:rPr>
        <w:footnoteReference w:id="2"/>
      </w:r>
      <w:r>
        <w:rPr>
          <w:rFonts w:ascii="Avenir Next" w:hAnsi="Avenir Next"/>
          <w:color w:val="7B7B7B" w:themeColor="accent3" w:themeShade="BF"/>
          <w:sz w:val="22"/>
          <w:szCs w:val="22"/>
          <w:lang w:eastAsia="en-US"/>
        </w:rPr>
        <w:t xml:space="preserve"> </w:t>
      </w:r>
      <w:r w:rsidR="00CF1D7E">
        <w:rPr>
          <w:rFonts w:ascii="Avenir Next" w:hAnsi="Avenir Next"/>
          <w:color w:val="7B7B7B" w:themeColor="accent3" w:themeShade="BF"/>
          <w:sz w:val="22"/>
          <w:szCs w:val="22"/>
          <w:lang w:eastAsia="en-US"/>
        </w:rPr>
        <w:t xml:space="preserve">provides for the exceptions to </w:t>
      </w:r>
      <w:r w:rsidR="008A3421" w:rsidRPr="008A3421">
        <w:rPr>
          <w:rFonts w:ascii="Avenir Next" w:hAnsi="Avenir Next"/>
          <w:color w:val="7B7B7B" w:themeColor="accent3" w:themeShade="BF"/>
          <w:sz w:val="22"/>
          <w:szCs w:val="22"/>
          <w:lang w:eastAsia="en-US"/>
        </w:rPr>
        <w:t>pre-moratorium debts for which a company has a payment holiday during a moratorium</w:t>
      </w:r>
      <w:r w:rsidR="00CD67EF">
        <w:rPr>
          <w:rFonts w:ascii="Avenir Next" w:hAnsi="Avenir Next"/>
          <w:color w:val="7B7B7B" w:themeColor="accent3" w:themeShade="BF"/>
          <w:sz w:val="22"/>
          <w:szCs w:val="22"/>
          <w:lang w:eastAsia="en-US"/>
        </w:rPr>
        <w:t xml:space="preserve">. This includes </w:t>
      </w:r>
      <w:r w:rsidR="008A3421" w:rsidRPr="008A3421">
        <w:rPr>
          <w:rFonts w:ascii="Avenir Next" w:hAnsi="Avenir Next"/>
          <w:color w:val="7B7B7B" w:themeColor="accent3" w:themeShade="BF"/>
          <w:sz w:val="22"/>
          <w:szCs w:val="22"/>
          <w:lang w:eastAsia="en-US"/>
        </w:rPr>
        <w:t>amounts payable in respect of—</w:t>
      </w:r>
    </w:p>
    <w:p w14:paraId="37441B1A" w14:textId="28A5A122" w:rsidR="00467004" w:rsidRPr="00467004" w:rsidRDefault="008A3421" w:rsidP="008A3421">
      <w:pPr>
        <w:pStyle w:val="legclearfix"/>
        <w:numPr>
          <w:ilvl w:val="0"/>
          <w:numId w:val="19"/>
        </w:numPr>
        <w:shd w:val="clear" w:color="auto" w:fill="FFFFFF"/>
        <w:spacing w:before="0" w:beforeAutospacing="0" w:after="120" w:afterAutospacing="0" w:line="360" w:lineRule="atLeast"/>
        <w:rPr>
          <w:rFonts w:ascii="Avenir Next" w:hAnsi="Avenir Next" w:cs="Arial"/>
          <w:color w:val="7B7B7B" w:themeColor="accent3" w:themeShade="BF"/>
          <w:sz w:val="22"/>
          <w:szCs w:val="22"/>
          <w:lang w:eastAsia="en-US"/>
        </w:rPr>
      </w:pPr>
      <w:r w:rsidRPr="008A3421">
        <w:rPr>
          <w:rFonts w:ascii="Avenir Next" w:hAnsi="Avenir Next"/>
          <w:color w:val="7B7B7B" w:themeColor="accent3" w:themeShade="BF"/>
          <w:sz w:val="22"/>
          <w:szCs w:val="22"/>
          <w:lang w:eastAsia="en-US"/>
        </w:rPr>
        <w:t xml:space="preserve">the monitor's remuneration or </w:t>
      </w:r>
      <w:r w:rsidR="00467004" w:rsidRPr="008A3421">
        <w:rPr>
          <w:rFonts w:ascii="Avenir Next" w:hAnsi="Avenir Next"/>
          <w:color w:val="7B7B7B" w:themeColor="accent3" w:themeShade="BF"/>
          <w:sz w:val="22"/>
          <w:szCs w:val="22"/>
          <w:lang w:eastAsia="en-US"/>
        </w:rPr>
        <w:t>expenses</w:t>
      </w:r>
      <w:r w:rsidR="00467004">
        <w:rPr>
          <w:rFonts w:ascii="Avenir Next" w:hAnsi="Avenir Next"/>
          <w:color w:val="7B7B7B" w:themeColor="accent3" w:themeShade="BF"/>
          <w:sz w:val="22"/>
          <w:szCs w:val="22"/>
          <w:lang w:eastAsia="en-US"/>
        </w:rPr>
        <w:t>.</w:t>
      </w:r>
    </w:p>
    <w:p w14:paraId="4E5EE030" w14:textId="2022B5E1" w:rsidR="00467004" w:rsidRPr="00467004" w:rsidRDefault="008A3421" w:rsidP="008A3421">
      <w:pPr>
        <w:pStyle w:val="legclearfix"/>
        <w:numPr>
          <w:ilvl w:val="0"/>
          <w:numId w:val="19"/>
        </w:numPr>
        <w:shd w:val="clear" w:color="auto" w:fill="FFFFFF"/>
        <w:spacing w:before="0" w:beforeAutospacing="0" w:after="120" w:afterAutospacing="0" w:line="360" w:lineRule="atLeast"/>
        <w:rPr>
          <w:rFonts w:ascii="Avenir Next" w:hAnsi="Avenir Next" w:cs="Arial"/>
          <w:color w:val="7B7B7B" w:themeColor="accent3" w:themeShade="BF"/>
          <w:sz w:val="22"/>
          <w:szCs w:val="22"/>
          <w:lang w:eastAsia="en-US"/>
        </w:rPr>
      </w:pPr>
      <w:r w:rsidRPr="00467004">
        <w:rPr>
          <w:rFonts w:ascii="Avenir Next" w:hAnsi="Avenir Next"/>
          <w:color w:val="7B7B7B" w:themeColor="accent3" w:themeShade="BF"/>
          <w:sz w:val="22"/>
          <w:szCs w:val="22"/>
          <w:lang w:eastAsia="en-US"/>
        </w:rPr>
        <w:t>goods or services supplied during the moratorium</w:t>
      </w:r>
      <w:r w:rsidR="00467004">
        <w:rPr>
          <w:rFonts w:ascii="Avenir Next" w:hAnsi="Avenir Next"/>
          <w:color w:val="7B7B7B" w:themeColor="accent3" w:themeShade="BF"/>
          <w:sz w:val="22"/>
          <w:szCs w:val="22"/>
          <w:lang w:eastAsia="en-US"/>
        </w:rPr>
        <w:t xml:space="preserve">. </w:t>
      </w:r>
    </w:p>
    <w:p w14:paraId="6E2B50EF" w14:textId="77777777" w:rsidR="00467004" w:rsidRDefault="008A3421" w:rsidP="008A3421">
      <w:pPr>
        <w:pStyle w:val="legclearfix"/>
        <w:numPr>
          <w:ilvl w:val="0"/>
          <w:numId w:val="19"/>
        </w:numPr>
        <w:shd w:val="clear" w:color="auto" w:fill="FFFFFF"/>
        <w:spacing w:before="0" w:beforeAutospacing="0" w:after="120" w:afterAutospacing="0" w:line="360" w:lineRule="atLeast"/>
        <w:rPr>
          <w:rFonts w:ascii="Avenir Next" w:hAnsi="Avenir Next" w:cs="Arial"/>
          <w:color w:val="7B7B7B" w:themeColor="accent3" w:themeShade="BF"/>
          <w:sz w:val="22"/>
          <w:szCs w:val="22"/>
          <w:lang w:eastAsia="en-US"/>
        </w:rPr>
      </w:pPr>
      <w:r w:rsidRPr="00467004">
        <w:rPr>
          <w:rFonts w:ascii="Avenir Next" w:hAnsi="Avenir Next"/>
          <w:color w:val="7B7B7B" w:themeColor="accent3" w:themeShade="BF"/>
          <w:sz w:val="22"/>
          <w:szCs w:val="22"/>
          <w:lang w:eastAsia="en-US"/>
        </w:rPr>
        <w:t>rent in respect of a period during the moratorium</w:t>
      </w:r>
      <w:r w:rsidR="00467004">
        <w:rPr>
          <w:rFonts w:ascii="Avenir Next" w:hAnsi="Avenir Next"/>
          <w:color w:val="7B7B7B" w:themeColor="accent3" w:themeShade="BF"/>
          <w:sz w:val="22"/>
          <w:szCs w:val="22"/>
          <w:lang w:eastAsia="en-US"/>
        </w:rPr>
        <w:t xml:space="preserve">. </w:t>
      </w:r>
    </w:p>
    <w:p w14:paraId="043F846C" w14:textId="77777777" w:rsidR="00467004" w:rsidRPr="00467004" w:rsidRDefault="008A3421" w:rsidP="00467004">
      <w:pPr>
        <w:pStyle w:val="legclearfix"/>
        <w:numPr>
          <w:ilvl w:val="0"/>
          <w:numId w:val="19"/>
        </w:numPr>
        <w:shd w:val="clear" w:color="auto" w:fill="FFFFFF"/>
        <w:spacing w:before="0" w:beforeAutospacing="0" w:after="120" w:afterAutospacing="0" w:line="360" w:lineRule="atLeast"/>
        <w:rPr>
          <w:rFonts w:ascii="Avenir Next" w:hAnsi="Avenir Next" w:cs="Arial"/>
          <w:color w:val="7B7B7B" w:themeColor="accent3" w:themeShade="BF"/>
          <w:sz w:val="22"/>
          <w:szCs w:val="22"/>
          <w:lang w:eastAsia="en-US"/>
        </w:rPr>
      </w:pPr>
      <w:r w:rsidRPr="00467004">
        <w:rPr>
          <w:rFonts w:ascii="Avenir Next" w:hAnsi="Avenir Next"/>
          <w:color w:val="7B7B7B" w:themeColor="accent3" w:themeShade="BF"/>
          <w:sz w:val="22"/>
          <w:szCs w:val="22"/>
          <w:lang w:eastAsia="en-US"/>
        </w:rPr>
        <w:lastRenderedPageBreak/>
        <w:t>wages or salary arising under a contract of employment</w:t>
      </w:r>
      <w:r w:rsidR="00467004">
        <w:rPr>
          <w:rFonts w:ascii="Avenir Next" w:hAnsi="Avenir Next"/>
          <w:color w:val="7B7B7B" w:themeColor="accent3" w:themeShade="BF"/>
          <w:sz w:val="22"/>
          <w:szCs w:val="22"/>
          <w:lang w:eastAsia="en-US"/>
        </w:rPr>
        <w:t>.</w:t>
      </w:r>
    </w:p>
    <w:p w14:paraId="200BEF37" w14:textId="77777777" w:rsidR="00467004" w:rsidRDefault="008A3421" w:rsidP="008A3421">
      <w:pPr>
        <w:pStyle w:val="legclearfix"/>
        <w:numPr>
          <w:ilvl w:val="0"/>
          <w:numId w:val="19"/>
        </w:numPr>
        <w:shd w:val="clear" w:color="auto" w:fill="FFFFFF"/>
        <w:spacing w:before="0" w:beforeAutospacing="0" w:after="120" w:afterAutospacing="0" w:line="360" w:lineRule="atLeast"/>
        <w:rPr>
          <w:rFonts w:ascii="Avenir Next" w:hAnsi="Avenir Next" w:cs="Arial"/>
          <w:color w:val="7B7B7B" w:themeColor="accent3" w:themeShade="BF"/>
          <w:sz w:val="22"/>
          <w:szCs w:val="22"/>
          <w:lang w:eastAsia="en-US"/>
        </w:rPr>
      </w:pPr>
      <w:r w:rsidRPr="00467004">
        <w:rPr>
          <w:rFonts w:ascii="Avenir Next" w:hAnsi="Avenir Next"/>
          <w:color w:val="7B7B7B" w:themeColor="accent3" w:themeShade="BF"/>
          <w:sz w:val="22"/>
          <w:szCs w:val="22"/>
          <w:lang w:eastAsia="en-US"/>
        </w:rPr>
        <w:t>redundancy payments, or</w:t>
      </w:r>
    </w:p>
    <w:p w14:paraId="27069C04" w14:textId="5A634133" w:rsidR="007F321C" w:rsidRDefault="008A3421" w:rsidP="00C9330B">
      <w:pPr>
        <w:pStyle w:val="legclearfix"/>
        <w:numPr>
          <w:ilvl w:val="0"/>
          <w:numId w:val="19"/>
        </w:numPr>
        <w:shd w:val="clear" w:color="auto" w:fill="FFFFFF"/>
        <w:spacing w:before="0" w:beforeAutospacing="0" w:after="120" w:afterAutospacing="0" w:line="360" w:lineRule="atLeast"/>
        <w:rPr>
          <w:rFonts w:ascii="Avenir Next" w:hAnsi="Avenir Next" w:cs="Arial"/>
          <w:color w:val="7B7B7B" w:themeColor="accent3" w:themeShade="BF"/>
          <w:sz w:val="22"/>
          <w:szCs w:val="22"/>
          <w:lang w:eastAsia="en-US"/>
        </w:rPr>
      </w:pPr>
      <w:r w:rsidRPr="00467004">
        <w:rPr>
          <w:rFonts w:ascii="Avenir Next" w:hAnsi="Avenir Next"/>
          <w:color w:val="7B7B7B" w:themeColor="accent3" w:themeShade="BF"/>
          <w:sz w:val="22"/>
          <w:szCs w:val="22"/>
          <w:lang w:eastAsia="en-US"/>
        </w:rPr>
        <w:t>debts or other liabilities arising under a contract or other instrument involving financial services.</w:t>
      </w:r>
    </w:p>
    <w:p w14:paraId="3CEED702" w14:textId="77777777" w:rsidR="00C9330B" w:rsidRPr="00C9330B" w:rsidRDefault="00C9330B" w:rsidP="00C9330B">
      <w:pPr>
        <w:pStyle w:val="legclearfix"/>
        <w:shd w:val="clear" w:color="auto" w:fill="FFFFFF"/>
        <w:spacing w:before="0" w:beforeAutospacing="0" w:after="120" w:afterAutospacing="0" w:line="360" w:lineRule="atLeast"/>
        <w:ind w:left="720"/>
        <w:rPr>
          <w:rFonts w:ascii="Avenir Next" w:hAnsi="Avenir Next" w:cs="Arial"/>
          <w:color w:val="7B7B7B" w:themeColor="accent3" w:themeShade="BF"/>
          <w:sz w:val="22"/>
          <w:szCs w:val="22"/>
          <w:lang w:eastAsia="en-US"/>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proofErr w:type="gramStart"/>
      <w:r w:rsidR="00FA417D" w:rsidRPr="0063381C">
        <w:rPr>
          <w:rFonts w:ascii="Avenir Next Demi Bold" w:hAnsi="Avenir Next Demi Bold" w:cs="Arial"/>
          <w:b/>
          <w:bCs/>
          <w:sz w:val="22"/>
          <w:szCs w:val="22"/>
        </w:rPr>
        <w:t>6</w:t>
      </w:r>
      <w:proofErr w:type="gramEnd"/>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5DC61D09" w:rsidR="00197F24" w:rsidRDefault="00197F24" w:rsidP="00197F24">
      <w:pPr>
        <w:jc w:val="both"/>
        <w:rPr>
          <w:rFonts w:ascii="Avenir Next" w:hAnsi="Avenir Next" w:cs="Arial"/>
          <w:color w:val="7B7B7B" w:themeColor="accent3" w:themeShade="BF"/>
          <w:sz w:val="22"/>
          <w:szCs w:val="22"/>
          <w:lang w:val="en-GB"/>
        </w:rPr>
      </w:pPr>
    </w:p>
    <w:p w14:paraId="65D2AD6B" w14:textId="77777777" w:rsidR="00B2269D" w:rsidRDefault="00CB577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an administrator who wishes to continue the business of a company as a going concern </w:t>
      </w:r>
      <w:r w:rsidR="00D870E0">
        <w:rPr>
          <w:rFonts w:ascii="Avenir Next" w:hAnsi="Avenir Next" w:cs="Arial"/>
          <w:color w:val="7B7B7B" w:themeColor="accent3" w:themeShade="BF"/>
          <w:sz w:val="22"/>
          <w:szCs w:val="22"/>
          <w:lang w:val="en-GB"/>
        </w:rPr>
        <w:t>can require suppliers of goods and services to continue supply during the administration</w:t>
      </w:r>
      <w:r w:rsidR="002B246A">
        <w:rPr>
          <w:rFonts w:ascii="Avenir Next" w:hAnsi="Avenir Next" w:cs="Arial"/>
          <w:color w:val="7B7B7B" w:themeColor="accent3" w:themeShade="BF"/>
          <w:sz w:val="22"/>
          <w:szCs w:val="22"/>
          <w:lang w:val="en-GB"/>
        </w:rPr>
        <w:t xml:space="preserve"> subject to certain conditions being met</w:t>
      </w:r>
      <w:r w:rsidR="00D870E0">
        <w:rPr>
          <w:rFonts w:ascii="Avenir Next" w:hAnsi="Avenir Next" w:cs="Arial"/>
          <w:color w:val="7B7B7B" w:themeColor="accent3" w:themeShade="BF"/>
          <w:sz w:val="22"/>
          <w:szCs w:val="22"/>
          <w:lang w:val="en-GB"/>
        </w:rPr>
        <w:t xml:space="preserve">. </w:t>
      </w:r>
      <w:r w:rsidR="002B246A">
        <w:rPr>
          <w:rFonts w:ascii="Avenir Next" w:hAnsi="Avenir Next" w:cs="Arial"/>
          <w:color w:val="7B7B7B" w:themeColor="accent3" w:themeShade="BF"/>
          <w:sz w:val="22"/>
          <w:szCs w:val="22"/>
          <w:lang w:val="en-GB"/>
        </w:rPr>
        <w:t xml:space="preserve">This is provided for under the Insolvency Act 1986 as amended by the </w:t>
      </w:r>
      <w:r w:rsidR="002B246A" w:rsidRPr="002B246A">
        <w:rPr>
          <w:rFonts w:ascii="Avenir Next" w:hAnsi="Avenir Next" w:cs="Arial"/>
          <w:color w:val="7B7B7B" w:themeColor="accent3" w:themeShade="BF"/>
          <w:sz w:val="22"/>
          <w:szCs w:val="22"/>
          <w:lang w:val="en-GB"/>
        </w:rPr>
        <w:t>Enterprise Act 2002 and the Corporate Insolvency and Governance Act 2020.</w:t>
      </w:r>
      <w:r w:rsidR="002B246A">
        <w:rPr>
          <w:rFonts w:ascii="Avenir Next" w:hAnsi="Avenir Next" w:cs="Arial"/>
          <w:color w:val="7B7B7B" w:themeColor="accent3" w:themeShade="BF"/>
          <w:sz w:val="22"/>
          <w:szCs w:val="22"/>
          <w:lang w:val="en-GB"/>
        </w:rPr>
        <w:t xml:space="preserve"> </w:t>
      </w:r>
    </w:p>
    <w:p w14:paraId="4F3DB0CE" w14:textId="77777777" w:rsidR="00B2269D" w:rsidRDefault="00B2269D" w:rsidP="00197F24">
      <w:pPr>
        <w:jc w:val="both"/>
        <w:rPr>
          <w:rFonts w:ascii="Avenir Next" w:hAnsi="Avenir Next" w:cs="Arial"/>
          <w:color w:val="7B7B7B" w:themeColor="accent3" w:themeShade="BF"/>
          <w:sz w:val="22"/>
          <w:szCs w:val="22"/>
          <w:lang w:val="en-GB"/>
        </w:rPr>
      </w:pPr>
    </w:p>
    <w:p w14:paraId="127667B3" w14:textId="5E53C872" w:rsidR="00CB577B" w:rsidRDefault="00E0586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administrator’s appointment does not automatically terminate executory contracts and i</w:t>
      </w:r>
      <w:r w:rsidR="00437B89">
        <w:rPr>
          <w:rFonts w:ascii="Avenir Next" w:hAnsi="Avenir Next" w:cs="Arial"/>
          <w:color w:val="7B7B7B" w:themeColor="accent3" w:themeShade="BF"/>
          <w:sz w:val="22"/>
          <w:szCs w:val="22"/>
          <w:lang w:val="en-GB"/>
        </w:rPr>
        <w:t xml:space="preserve">pso facto clauses have been rendered void </w:t>
      </w:r>
      <w:r w:rsidR="00035AF8">
        <w:rPr>
          <w:rFonts w:ascii="Avenir Next" w:hAnsi="Avenir Next" w:cs="Arial"/>
          <w:color w:val="7B7B7B" w:themeColor="accent3" w:themeShade="BF"/>
          <w:sz w:val="22"/>
          <w:szCs w:val="22"/>
          <w:lang w:val="en-GB"/>
        </w:rPr>
        <w:t xml:space="preserve">based on the provisions of Section 233A which </w:t>
      </w:r>
      <w:r w:rsidR="007F479E">
        <w:rPr>
          <w:rFonts w:ascii="Avenir Next" w:hAnsi="Avenir Next" w:cs="Arial"/>
          <w:color w:val="7B7B7B" w:themeColor="accent3" w:themeShade="BF"/>
          <w:sz w:val="22"/>
          <w:szCs w:val="22"/>
          <w:lang w:val="en-GB"/>
        </w:rPr>
        <w:t xml:space="preserve">prohibits suppliers from relying on </w:t>
      </w:r>
      <w:r w:rsidR="00C33EF6">
        <w:rPr>
          <w:rFonts w:ascii="Avenir Next" w:hAnsi="Avenir Next" w:cs="Arial"/>
          <w:color w:val="7B7B7B" w:themeColor="accent3" w:themeShade="BF"/>
          <w:sz w:val="22"/>
          <w:szCs w:val="22"/>
          <w:lang w:val="en-GB"/>
        </w:rPr>
        <w:t xml:space="preserve">insolvency related terms to terminate the contracts for supply or require a </w:t>
      </w:r>
      <w:r w:rsidR="000E6179">
        <w:rPr>
          <w:rFonts w:ascii="Avenir Next" w:hAnsi="Avenir Next" w:cs="Arial"/>
          <w:color w:val="7B7B7B" w:themeColor="accent3" w:themeShade="BF"/>
          <w:sz w:val="22"/>
          <w:szCs w:val="22"/>
          <w:lang w:val="en-GB"/>
        </w:rPr>
        <w:t>higher pay for continued supply</w:t>
      </w:r>
      <w:r w:rsidR="003B3E2C">
        <w:rPr>
          <w:rFonts w:ascii="Avenir Next" w:hAnsi="Avenir Next" w:cs="Arial"/>
          <w:color w:val="7B7B7B" w:themeColor="accent3" w:themeShade="BF"/>
          <w:sz w:val="22"/>
          <w:szCs w:val="22"/>
          <w:lang w:val="en-GB"/>
        </w:rPr>
        <w:t xml:space="preserve"> and Section 233B </w:t>
      </w:r>
      <w:r w:rsidR="00F37A34">
        <w:rPr>
          <w:rFonts w:ascii="Avenir Next" w:hAnsi="Avenir Next" w:cs="Arial"/>
          <w:color w:val="7B7B7B" w:themeColor="accent3" w:themeShade="BF"/>
          <w:sz w:val="22"/>
          <w:szCs w:val="22"/>
          <w:lang w:val="en-GB"/>
        </w:rPr>
        <w:t>which expressly prohibits termination of supply contracts once a company enters formal insolvency proceedings. The administrat</w:t>
      </w:r>
      <w:r w:rsidR="000F4D9D">
        <w:rPr>
          <w:rFonts w:ascii="Avenir Next" w:hAnsi="Avenir Next" w:cs="Arial"/>
          <w:color w:val="7B7B7B" w:themeColor="accent3" w:themeShade="BF"/>
          <w:sz w:val="22"/>
          <w:szCs w:val="22"/>
          <w:lang w:val="en-GB"/>
        </w:rPr>
        <w:t xml:space="preserve">or should then rely on these provisions to require continued supply of goods. </w:t>
      </w:r>
    </w:p>
    <w:p w14:paraId="64A1C805" w14:textId="77777777" w:rsidR="00D870E0" w:rsidRDefault="00D870E0" w:rsidP="00197F24">
      <w:pPr>
        <w:jc w:val="both"/>
        <w:rPr>
          <w:rFonts w:ascii="Avenir Next" w:hAnsi="Avenir Next" w:cs="Arial"/>
          <w:color w:val="7B7B7B" w:themeColor="accent3" w:themeShade="BF"/>
          <w:sz w:val="22"/>
          <w:szCs w:val="22"/>
          <w:lang w:val="en-GB"/>
        </w:rPr>
      </w:pPr>
    </w:p>
    <w:p w14:paraId="4D5254EB" w14:textId="412B32CB" w:rsidR="00FE47CB" w:rsidRDefault="001E685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Act provides for </w:t>
      </w:r>
      <w:r w:rsidR="00DC6958">
        <w:rPr>
          <w:rFonts w:ascii="Avenir Next" w:hAnsi="Avenir Next" w:cs="Arial"/>
          <w:color w:val="7B7B7B" w:themeColor="accent3" w:themeShade="BF"/>
          <w:sz w:val="22"/>
          <w:szCs w:val="22"/>
          <w:lang w:val="en-GB"/>
        </w:rPr>
        <w:t>certain essential supplies as stipulated in section 233 which include gas, electricity,</w:t>
      </w:r>
      <w:r w:rsidR="009D4549">
        <w:rPr>
          <w:rFonts w:ascii="Avenir Next" w:hAnsi="Avenir Next" w:cs="Arial"/>
          <w:color w:val="7B7B7B" w:themeColor="accent3" w:themeShade="BF"/>
          <w:sz w:val="22"/>
          <w:szCs w:val="22"/>
          <w:lang w:val="en-GB"/>
        </w:rPr>
        <w:t xml:space="preserve"> </w:t>
      </w:r>
      <w:r w:rsidR="00990053">
        <w:rPr>
          <w:rFonts w:ascii="Avenir Next" w:hAnsi="Avenir Next" w:cs="Arial"/>
          <w:color w:val="7B7B7B" w:themeColor="accent3" w:themeShade="BF"/>
          <w:sz w:val="22"/>
          <w:szCs w:val="22"/>
          <w:lang w:val="en-GB"/>
        </w:rPr>
        <w:t>water,</w:t>
      </w:r>
      <w:r w:rsidR="009D4549">
        <w:rPr>
          <w:rFonts w:ascii="Avenir Next" w:hAnsi="Avenir Next" w:cs="Arial"/>
          <w:color w:val="7B7B7B" w:themeColor="accent3" w:themeShade="BF"/>
          <w:sz w:val="22"/>
          <w:szCs w:val="22"/>
          <w:lang w:val="en-GB"/>
        </w:rPr>
        <w:t xml:space="preserve"> and communication services. While the Act provides that such suppliers may not demand the payment of outstanding debts to continue supply, the Act allows the suppliers to require a personal guarantee from the administrator </w:t>
      </w:r>
      <w:r w:rsidR="00887A60">
        <w:rPr>
          <w:rFonts w:ascii="Avenir Next" w:hAnsi="Avenir Next" w:cs="Arial"/>
          <w:color w:val="7B7B7B" w:themeColor="accent3" w:themeShade="BF"/>
          <w:sz w:val="22"/>
          <w:szCs w:val="22"/>
          <w:lang w:val="en-GB"/>
        </w:rPr>
        <w:t>with respect to the new supply</w:t>
      </w:r>
      <w:r w:rsidR="005A2EB2">
        <w:rPr>
          <w:rFonts w:ascii="Avenir Next" w:hAnsi="Avenir Next" w:cs="Arial"/>
          <w:color w:val="7B7B7B" w:themeColor="accent3" w:themeShade="BF"/>
          <w:sz w:val="22"/>
          <w:szCs w:val="22"/>
          <w:lang w:val="en-GB"/>
        </w:rPr>
        <w:t>.</w:t>
      </w:r>
      <w:r w:rsidR="00F60617">
        <w:rPr>
          <w:rFonts w:ascii="Avenir Next" w:hAnsi="Avenir Next" w:cs="Arial"/>
          <w:color w:val="7B7B7B" w:themeColor="accent3" w:themeShade="BF"/>
          <w:sz w:val="22"/>
          <w:szCs w:val="22"/>
          <w:lang w:val="en-GB"/>
        </w:rPr>
        <w:t xml:space="preserve"> Such payments are made as an expense of the administration </w:t>
      </w:r>
      <w:r w:rsidR="00FE47CB">
        <w:rPr>
          <w:rFonts w:ascii="Avenir Next" w:hAnsi="Avenir Next" w:cs="Arial"/>
          <w:color w:val="7B7B7B" w:themeColor="accent3" w:themeShade="BF"/>
          <w:sz w:val="22"/>
          <w:szCs w:val="22"/>
          <w:lang w:val="en-GB"/>
        </w:rPr>
        <w:t>thus rank before all other debts</w:t>
      </w:r>
      <w:r w:rsidR="00C76F6E">
        <w:rPr>
          <w:rFonts w:ascii="Avenir Next" w:hAnsi="Avenir Next" w:cs="Arial"/>
          <w:color w:val="7B7B7B" w:themeColor="accent3" w:themeShade="BF"/>
          <w:sz w:val="22"/>
          <w:szCs w:val="22"/>
          <w:lang w:val="en-GB"/>
        </w:rPr>
        <w:t xml:space="preserve"> without affecting the ranking of the pre-administration debts owed to the suppliers. </w:t>
      </w:r>
      <w:r w:rsidR="00FE47CB">
        <w:rPr>
          <w:rFonts w:ascii="Avenir Next" w:hAnsi="Avenir Next" w:cs="Arial"/>
          <w:color w:val="7B7B7B" w:themeColor="accent3" w:themeShade="BF"/>
          <w:sz w:val="22"/>
          <w:szCs w:val="22"/>
          <w:lang w:val="en-GB"/>
        </w:rPr>
        <w:t xml:space="preserve"> </w:t>
      </w:r>
    </w:p>
    <w:p w14:paraId="1B898267" w14:textId="77777777" w:rsidR="00397AE6" w:rsidRDefault="00397AE6" w:rsidP="00197F24">
      <w:pPr>
        <w:jc w:val="both"/>
        <w:rPr>
          <w:rFonts w:ascii="Avenir Next" w:hAnsi="Avenir Next" w:cs="Arial"/>
          <w:color w:val="7B7B7B" w:themeColor="accent3" w:themeShade="BF"/>
          <w:sz w:val="22"/>
          <w:szCs w:val="22"/>
          <w:lang w:val="en-GB"/>
        </w:rPr>
      </w:pPr>
    </w:p>
    <w:p w14:paraId="467B0B4C" w14:textId="3B0EC6D5" w:rsidR="00397AE6" w:rsidRDefault="00397AE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a supplier may terminate the contract if the administrator consents to the same or consent of court is obtained. A supplier seeking what is normally referred to as a hardship exemption from court must satisfy the court that the continued supply is likely to cause the supplier undue hardship in their business. </w:t>
      </w:r>
    </w:p>
    <w:p w14:paraId="45B9614F" w14:textId="77777777" w:rsidR="00FE47CB" w:rsidRDefault="00FE47CB" w:rsidP="00197F24">
      <w:pPr>
        <w:jc w:val="both"/>
        <w:rPr>
          <w:rFonts w:ascii="Avenir Next" w:hAnsi="Avenir Next" w:cs="Arial"/>
          <w:color w:val="7B7B7B" w:themeColor="accent3" w:themeShade="BF"/>
          <w:sz w:val="22"/>
          <w:szCs w:val="22"/>
          <w:lang w:val="en-GB"/>
        </w:rPr>
      </w:pPr>
    </w:p>
    <w:p w14:paraId="1F695C7B" w14:textId="637EAAE6" w:rsidR="00D870E0" w:rsidRDefault="00FE47C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Comparatively, t</w:t>
      </w:r>
      <w:r w:rsidR="001B75CA">
        <w:rPr>
          <w:rFonts w:ascii="Avenir Next" w:hAnsi="Avenir Next" w:cs="Arial"/>
          <w:color w:val="7B7B7B" w:themeColor="accent3" w:themeShade="BF"/>
          <w:sz w:val="22"/>
          <w:szCs w:val="22"/>
          <w:lang w:val="en-GB"/>
        </w:rPr>
        <w:t xml:space="preserve">he Insolvency Act of Kenya, 2015, which largely borrows from the UK Act, provides under Section 689 </w:t>
      </w:r>
      <w:r w:rsidR="00E868D0">
        <w:rPr>
          <w:rFonts w:ascii="Avenir Next" w:hAnsi="Avenir Next" w:cs="Arial"/>
          <w:color w:val="7B7B7B" w:themeColor="accent3" w:themeShade="BF"/>
          <w:sz w:val="22"/>
          <w:szCs w:val="22"/>
          <w:lang w:val="en-GB"/>
        </w:rPr>
        <w:t>for the continued supply of essential services for companies in administration</w:t>
      </w:r>
      <w:r w:rsidR="00425F21">
        <w:rPr>
          <w:rFonts w:ascii="Avenir Next" w:hAnsi="Avenir Next" w:cs="Arial"/>
          <w:color w:val="7B7B7B" w:themeColor="accent3" w:themeShade="BF"/>
          <w:sz w:val="22"/>
          <w:szCs w:val="22"/>
          <w:lang w:val="en-GB"/>
        </w:rPr>
        <w:t xml:space="preserve"> </w:t>
      </w:r>
      <w:r w:rsidR="001E40AB">
        <w:rPr>
          <w:rFonts w:ascii="Avenir Next" w:hAnsi="Avenir Next" w:cs="Arial"/>
          <w:color w:val="7B7B7B" w:themeColor="accent3" w:themeShade="BF"/>
          <w:sz w:val="22"/>
          <w:szCs w:val="22"/>
          <w:lang w:val="en-GB"/>
        </w:rPr>
        <w:t>like</w:t>
      </w:r>
      <w:r w:rsidR="00425F21">
        <w:rPr>
          <w:rFonts w:ascii="Avenir Next" w:hAnsi="Avenir Next" w:cs="Arial"/>
          <w:color w:val="7B7B7B" w:themeColor="accent3" w:themeShade="BF"/>
          <w:sz w:val="22"/>
          <w:szCs w:val="22"/>
          <w:lang w:val="en-GB"/>
        </w:rPr>
        <w:t xml:space="preserve"> the services in the UK. From practice</w:t>
      </w:r>
      <w:r w:rsidR="00D97742">
        <w:rPr>
          <w:rFonts w:ascii="Avenir Next" w:hAnsi="Avenir Next" w:cs="Arial"/>
          <w:color w:val="7B7B7B" w:themeColor="accent3" w:themeShade="BF"/>
          <w:sz w:val="22"/>
          <w:szCs w:val="22"/>
          <w:lang w:val="en-GB"/>
        </w:rPr>
        <w:t xml:space="preserve">, such utility service providers, particularly government owned agencies like the power supplier have continued to blatantly disregard the law and </w:t>
      </w:r>
      <w:r w:rsidR="00FC5C35">
        <w:rPr>
          <w:rFonts w:ascii="Avenir Next" w:hAnsi="Avenir Next" w:cs="Arial"/>
          <w:color w:val="7B7B7B" w:themeColor="accent3" w:themeShade="BF"/>
          <w:sz w:val="22"/>
          <w:szCs w:val="22"/>
          <w:lang w:val="en-GB"/>
        </w:rPr>
        <w:t xml:space="preserve">discontinue power supply unless payment of all prior debts is made, which forces administrator to make out such payments as essential payments. </w:t>
      </w:r>
    </w:p>
    <w:p w14:paraId="4644DF09" w14:textId="77777777" w:rsidR="00F53C9A" w:rsidRDefault="00F53C9A" w:rsidP="00197F24">
      <w:pPr>
        <w:jc w:val="both"/>
        <w:rPr>
          <w:rFonts w:ascii="Avenir Next" w:hAnsi="Avenir Next" w:cs="Arial"/>
          <w:color w:val="7B7B7B" w:themeColor="accent3" w:themeShade="BF"/>
          <w:sz w:val="22"/>
          <w:szCs w:val="22"/>
          <w:lang w:val="en-GB"/>
        </w:rPr>
      </w:pPr>
    </w:p>
    <w:p w14:paraId="6DBE81A8" w14:textId="6C00CAA7" w:rsidR="00F53C9A" w:rsidRDefault="00F53C9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exceptions of suppliers under the Act which the administrator may not </w:t>
      </w:r>
      <w:r w:rsidR="00D44E98">
        <w:rPr>
          <w:rFonts w:ascii="Avenir Next" w:hAnsi="Avenir Next" w:cs="Arial"/>
          <w:color w:val="7B7B7B" w:themeColor="accent3" w:themeShade="BF"/>
          <w:sz w:val="22"/>
          <w:szCs w:val="22"/>
          <w:lang w:val="en-GB"/>
        </w:rPr>
        <w:t xml:space="preserve">require the suppliers to continue. This includes insurance services, banking services, </w:t>
      </w:r>
      <w:r w:rsidR="00220A58">
        <w:rPr>
          <w:rFonts w:ascii="Avenir Next" w:hAnsi="Avenir Next" w:cs="Arial"/>
          <w:color w:val="7B7B7B" w:themeColor="accent3" w:themeShade="BF"/>
          <w:sz w:val="22"/>
          <w:szCs w:val="22"/>
          <w:lang w:val="en-GB"/>
        </w:rPr>
        <w:t xml:space="preserve">electronic money services, recognised investment exchanges and </w:t>
      </w:r>
      <w:r w:rsidR="00137DAE">
        <w:rPr>
          <w:rFonts w:ascii="Avenir Next" w:hAnsi="Avenir Next" w:cs="Arial"/>
          <w:color w:val="7B7B7B" w:themeColor="accent3" w:themeShade="BF"/>
          <w:sz w:val="22"/>
          <w:szCs w:val="22"/>
          <w:lang w:val="en-GB"/>
        </w:rPr>
        <w:t xml:space="preserve">clearing houses and securitisation companies. </w:t>
      </w:r>
    </w:p>
    <w:p w14:paraId="7CEEADF3" w14:textId="77777777" w:rsidR="0040614A" w:rsidRDefault="0040614A" w:rsidP="00197F24">
      <w:pPr>
        <w:jc w:val="both"/>
        <w:rPr>
          <w:rFonts w:ascii="Avenir Next" w:hAnsi="Avenir Next" w:cs="Arial"/>
          <w:color w:val="7B7B7B" w:themeColor="accent3" w:themeShade="BF"/>
          <w:sz w:val="22"/>
          <w:szCs w:val="22"/>
          <w:lang w:val="en-GB"/>
        </w:rPr>
      </w:pPr>
    </w:p>
    <w:p w14:paraId="653960BC" w14:textId="4E7F18FE" w:rsidR="001E40AB" w:rsidRDefault="001E40A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conclusion, the Insolvency Act 1986 empowers the administrator to require continued supply to be able to maintain the business as a going concern </w:t>
      </w:r>
      <w:r w:rsidR="00DD05EB">
        <w:rPr>
          <w:rFonts w:ascii="Avenir Next" w:hAnsi="Avenir Next" w:cs="Arial"/>
          <w:color w:val="7B7B7B" w:themeColor="accent3" w:themeShade="BF"/>
          <w:sz w:val="22"/>
          <w:szCs w:val="22"/>
          <w:lang w:val="en-GB"/>
        </w:rPr>
        <w:t xml:space="preserve">provided that an undertaking to pay for supplies for the period of the administration is given by the administrator, with certain services in the financial services sector being exempt. </w:t>
      </w:r>
    </w:p>
    <w:p w14:paraId="6361575A" w14:textId="77777777" w:rsidR="001827DD" w:rsidRDefault="001827DD" w:rsidP="00197F24">
      <w:pPr>
        <w:jc w:val="both"/>
        <w:rPr>
          <w:rFonts w:ascii="Avenir Next" w:hAnsi="Avenir Next" w:cs="Arial"/>
          <w:color w:val="7B7B7B" w:themeColor="accent3" w:themeShade="BF"/>
          <w:sz w:val="22"/>
          <w:szCs w:val="22"/>
          <w:lang w:val="en-GB"/>
        </w:rPr>
      </w:pP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proofErr w:type="gramStart"/>
      <w:r w:rsidR="00FA417D" w:rsidRPr="0063381C">
        <w:rPr>
          <w:rFonts w:ascii="Avenir Next Demi Bold" w:hAnsi="Avenir Next Demi Bold" w:cs="Arial"/>
          <w:b/>
          <w:bCs/>
          <w:sz w:val="22"/>
          <w:szCs w:val="22"/>
          <w:lang w:val="en-GB"/>
        </w:rPr>
        <w:t>9</w:t>
      </w:r>
      <w:proofErr w:type="gramEnd"/>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637B2372" w14:textId="458C3B92" w:rsidR="003817B9" w:rsidRDefault="00BE6FF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 liquidation, once</w:t>
      </w:r>
      <w:r w:rsidR="009D1C2B">
        <w:rPr>
          <w:rFonts w:ascii="Avenir Next" w:hAnsi="Avenir Next" w:cs="Arial"/>
          <w:color w:val="7B7B7B" w:themeColor="accent3" w:themeShade="BF"/>
          <w:sz w:val="22"/>
          <w:szCs w:val="22"/>
          <w:lang w:val="en-GB"/>
        </w:rPr>
        <w:t xml:space="preserve"> a creditor has proven their debt by delivering a </w:t>
      </w:r>
      <w:r w:rsidR="003817B9">
        <w:rPr>
          <w:rFonts w:ascii="Avenir Next" w:hAnsi="Avenir Next" w:cs="Arial"/>
          <w:color w:val="7B7B7B" w:themeColor="accent3" w:themeShade="BF"/>
          <w:sz w:val="22"/>
          <w:szCs w:val="22"/>
          <w:lang w:val="en-GB"/>
        </w:rPr>
        <w:t>proof of debt to the liquidator, subject to availability of funds</w:t>
      </w:r>
      <w:r w:rsidR="005F27A1">
        <w:rPr>
          <w:rFonts w:ascii="Avenir Next" w:hAnsi="Avenir Next" w:cs="Arial"/>
          <w:color w:val="7B7B7B" w:themeColor="accent3" w:themeShade="BF"/>
          <w:sz w:val="22"/>
          <w:szCs w:val="22"/>
          <w:lang w:val="en-GB"/>
        </w:rPr>
        <w:t xml:space="preserve"> from the realisation of the company assets</w:t>
      </w:r>
      <w:r w:rsidR="003817B9">
        <w:rPr>
          <w:rFonts w:ascii="Avenir Next" w:hAnsi="Avenir Next" w:cs="Arial"/>
          <w:color w:val="7B7B7B" w:themeColor="accent3" w:themeShade="BF"/>
          <w:sz w:val="22"/>
          <w:szCs w:val="22"/>
          <w:lang w:val="en-GB"/>
        </w:rPr>
        <w:t xml:space="preserve">, payments are to be made by order of priority as discussed below. </w:t>
      </w:r>
    </w:p>
    <w:p w14:paraId="6C35D390" w14:textId="77777777" w:rsidR="004B35E6" w:rsidRDefault="004B35E6" w:rsidP="00197F24">
      <w:pPr>
        <w:jc w:val="both"/>
        <w:rPr>
          <w:rFonts w:ascii="Avenir Next" w:hAnsi="Avenir Next" w:cs="Arial"/>
          <w:color w:val="7B7B7B" w:themeColor="accent3" w:themeShade="BF"/>
          <w:sz w:val="22"/>
          <w:szCs w:val="22"/>
          <w:lang w:val="en-GB"/>
        </w:rPr>
      </w:pPr>
    </w:p>
    <w:p w14:paraId="533B7116" w14:textId="68CB1877" w:rsidR="004B35E6" w:rsidRDefault="004B35E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payment is towards the expenses </w:t>
      </w:r>
      <w:r w:rsidR="00985E7F">
        <w:rPr>
          <w:rFonts w:ascii="Avenir Next" w:hAnsi="Avenir Next" w:cs="Arial"/>
          <w:color w:val="7B7B7B" w:themeColor="accent3" w:themeShade="BF"/>
          <w:sz w:val="22"/>
          <w:szCs w:val="22"/>
          <w:lang w:val="en-GB"/>
        </w:rPr>
        <w:t>of winding up which include the liquidator’s remuneration. This is provided for under Section 115 of the Act and rules 6.42 and 7.108</w:t>
      </w:r>
      <w:r w:rsidR="00060632">
        <w:rPr>
          <w:rFonts w:ascii="Avenir Next" w:hAnsi="Avenir Next" w:cs="Arial"/>
          <w:color w:val="7B7B7B" w:themeColor="accent3" w:themeShade="BF"/>
          <w:sz w:val="22"/>
          <w:szCs w:val="22"/>
          <w:lang w:val="en-GB"/>
        </w:rPr>
        <w:t xml:space="preserve"> of the Rules. </w:t>
      </w:r>
      <w:r w:rsidR="00085C92">
        <w:rPr>
          <w:rFonts w:ascii="Avenir Next" w:hAnsi="Avenir Next" w:cs="Arial"/>
          <w:color w:val="7B7B7B" w:themeColor="accent3" w:themeShade="BF"/>
          <w:sz w:val="22"/>
          <w:szCs w:val="22"/>
          <w:lang w:val="en-GB"/>
        </w:rPr>
        <w:t xml:space="preserve">The expenses include, in order of priority: </w:t>
      </w:r>
    </w:p>
    <w:p w14:paraId="7B13C71E" w14:textId="77777777" w:rsidR="00A11869" w:rsidRDefault="00A11869" w:rsidP="00197F24">
      <w:pPr>
        <w:jc w:val="both"/>
        <w:rPr>
          <w:rFonts w:ascii="Avenir Next" w:hAnsi="Avenir Next" w:cs="Arial"/>
          <w:color w:val="7B7B7B" w:themeColor="accent3" w:themeShade="BF"/>
          <w:sz w:val="22"/>
          <w:szCs w:val="22"/>
          <w:lang w:val="en-GB"/>
        </w:rPr>
      </w:pPr>
    </w:p>
    <w:p w14:paraId="7561DC8D" w14:textId="3FD05298" w:rsidR="000E7069" w:rsidRDefault="00A11869" w:rsidP="00085C9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Cost of</w:t>
      </w:r>
      <w:r w:rsidR="009943AA">
        <w:rPr>
          <w:rFonts w:ascii="Avenir Next" w:hAnsi="Avenir Next" w:cs="Arial"/>
          <w:color w:val="7B7B7B" w:themeColor="accent3" w:themeShade="BF"/>
          <w:sz w:val="22"/>
          <w:szCs w:val="22"/>
          <w:lang w:val="en-GB"/>
        </w:rPr>
        <w:t xml:space="preserve"> preservation</w:t>
      </w:r>
      <w:r w:rsidR="00173B03">
        <w:rPr>
          <w:rFonts w:ascii="Avenir Next" w:hAnsi="Avenir Next" w:cs="Arial"/>
          <w:color w:val="7B7B7B" w:themeColor="accent3" w:themeShade="BF"/>
          <w:sz w:val="22"/>
          <w:szCs w:val="22"/>
          <w:lang w:val="en-GB"/>
        </w:rPr>
        <w:t xml:space="preserve">, realisation and </w:t>
      </w:r>
      <w:r w:rsidR="000E7069">
        <w:rPr>
          <w:rFonts w:ascii="Avenir Next" w:hAnsi="Avenir Next" w:cs="Arial"/>
          <w:color w:val="7B7B7B" w:themeColor="accent3" w:themeShade="BF"/>
          <w:sz w:val="22"/>
          <w:szCs w:val="22"/>
          <w:lang w:val="en-GB"/>
        </w:rPr>
        <w:t xml:space="preserve">getting in of the assets of the company </w:t>
      </w:r>
      <w:r>
        <w:rPr>
          <w:rFonts w:ascii="Avenir Next" w:hAnsi="Avenir Next" w:cs="Arial"/>
          <w:color w:val="7B7B7B" w:themeColor="accent3" w:themeShade="BF"/>
          <w:sz w:val="22"/>
          <w:szCs w:val="22"/>
          <w:lang w:val="en-GB"/>
        </w:rPr>
        <w:t xml:space="preserve">and </w:t>
      </w:r>
      <w:r w:rsidR="000E7069">
        <w:rPr>
          <w:rFonts w:ascii="Avenir Next" w:hAnsi="Avenir Next" w:cs="Arial"/>
          <w:color w:val="7B7B7B" w:themeColor="accent3" w:themeShade="BF"/>
          <w:sz w:val="22"/>
          <w:szCs w:val="22"/>
          <w:lang w:val="en-GB"/>
        </w:rPr>
        <w:t xml:space="preserve">legal fees. </w:t>
      </w:r>
    </w:p>
    <w:p w14:paraId="1A618E38" w14:textId="4656A85A" w:rsidR="000E7069" w:rsidRDefault="000E7069" w:rsidP="00085C9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Cost of security provided by the liquidator</w:t>
      </w:r>
      <w:r w:rsidR="00A736D9">
        <w:rPr>
          <w:rFonts w:ascii="Avenir Next" w:hAnsi="Avenir Next" w:cs="Arial"/>
          <w:color w:val="7B7B7B" w:themeColor="accent3" w:themeShade="BF"/>
          <w:sz w:val="22"/>
          <w:szCs w:val="22"/>
          <w:lang w:val="en-GB"/>
        </w:rPr>
        <w:t xml:space="preserve">. </w:t>
      </w:r>
    </w:p>
    <w:p w14:paraId="2BE9D631" w14:textId="670750C5" w:rsidR="00A736D9" w:rsidRDefault="00A736D9" w:rsidP="00085C9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Amounts payable towards the preparation of a statement of affairs. </w:t>
      </w:r>
    </w:p>
    <w:p w14:paraId="25A19517" w14:textId="692D4C04" w:rsidR="00085C92" w:rsidRDefault="00A11869" w:rsidP="00085C9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Necessary disbursements during liquidation including committee expenses. </w:t>
      </w:r>
    </w:p>
    <w:p w14:paraId="78E0B4E6" w14:textId="6B90F440" w:rsidR="008567CB" w:rsidRDefault="008567CB" w:rsidP="00085C9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Remuneration of any person employed by liquidator </w:t>
      </w:r>
      <w:r w:rsidR="0081374F">
        <w:rPr>
          <w:rFonts w:ascii="Avenir Next" w:hAnsi="Avenir Next" w:cs="Arial"/>
          <w:color w:val="7B7B7B" w:themeColor="accent3" w:themeShade="BF"/>
          <w:sz w:val="22"/>
          <w:szCs w:val="22"/>
          <w:lang w:val="en-GB"/>
        </w:rPr>
        <w:t xml:space="preserve">to offer services to the company. </w:t>
      </w:r>
    </w:p>
    <w:p w14:paraId="4FB3D9DA" w14:textId="7144BE1E" w:rsidR="0081374F" w:rsidRDefault="0081374F" w:rsidP="00085C9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Remuneration of the liquidator. </w:t>
      </w:r>
    </w:p>
    <w:p w14:paraId="76BF33A4" w14:textId="46A852B1" w:rsidR="0081374F" w:rsidRDefault="00D60C54" w:rsidP="00085C9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Corporation tax chargeable on gains accruing on realisation of the assets of the company. </w:t>
      </w:r>
    </w:p>
    <w:p w14:paraId="3EBCA875" w14:textId="5AFDDBF2" w:rsidR="00D60C54" w:rsidRDefault="002C3A0F" w:rsidP="00085C9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expense </w:t>
      </w:r>
      <w:r w:rsidR="00F1466B">
        <w:rPr>
          <w:rFonts w:ascii="Avenir Next" w:hAnsi="Avenir Next" w:cs="Arial"/>
          <w:color w:val="7B7B7B" w:themeColor="accent3" w:themeShade="BF"/>
          <w:sz w:val="22"/>
          <w:szCs w:val="22"/>
          <w:lang w:val="en-GB"/>
        </w:rPr>
        <w:t xml:space="preserve">properly </w:t>
      </w:r>
      <w:r>
        <w:rPr>
          <w:rFonts w:ascii="Avenir Next" w:hAnsi="Avenir Next" w:cs="Arial"/>
          <w:color w:val="7B7B7B" w:themeColor="accent3" w:themeShade="BF"/>
          <w:sz w:val="22"/>
          <w:szCs w:val="22"/>
          <w:lang w:val="en-GB"/>
        </w:rPr>
        <w:t xml:space="preserve">chargeable </w:t>
      </w:r>
      <w:r w:rsidR="00F1466B">
        <w:rPr>
          <w:rFonts w:ascii="Avenir Next" w:hAnsi="Avenir Next" w:cs="Arial"/>
          <w:color w:val="7B7B7B" w:themeColor="accent3" w:themeShade="BF"/>
          <w:sz w:val="22"/>
          <w:szCs w:val="22"/>
          <w:lang w:val="en-GB"/>
        </w:rPr>
        <w:t xml:space="preserve">by the liquidator in carrying out their functions. </w:t>
      </w:r>
    </w:p>
    <w:p w14:paraId="4838B6AE" w14:textId="77777777" w:rsidR="00E13368" w:rsidRDefault="00E13368" w:rsidP="00E13368">
      <w:pPr>
        <w:jc w:val="both"/>
        <w:rPr>
          <w:rFonts w:ascii="Avenir Next" w:hAnsi="Avenir Next" w:cs="Arial"/>
          <w:color w:val="7B7B7B" w:themeColor="accent3" w:themeShade="BF"/>
          <w:sz w:val="22"/>
          <w:szCs w:val="22"/>
          <w:lang w:val="en-GB"/>
        </w:rPr>
      </w:pPr>
    </w:p>
    <w:p w14:paraId="698CA8B8" w14:textId="270BD6EA" w:rsidR="004D137E" w:rsidRDefault="00E1336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in priority are the preferential creditors </w:t>
      </w:r>
      <w:r w:rsidR="00387524">
        <w:rPr>
          <w:rFonts w:ascii="Avenir Next" w:hAnsi="Avenir Next" w:cs="Arial"/>
          <w:color w:val="7B7B7B" w:themeColor="accent3" w:themeShade="BF"/>
          <w:sz w:val="22"/>
          <w:szCs w:val="22"/>
          <w:lang w:val="en-GB"/>
        </w:rPr>
        <w:t>whi</w:t>
      </w:r>
      <w:r w:rsidR="007259F0">
        <w:rPr>
          <w:rFonts w:ascii="Avenir Next" w:hAnsi="Avenir Next" w:cs="Arial"/>
          <w:color w:val="7B7B7B" w:themeColor="accent3" w:themeShade="BF"/>
          <w:sz w:val="22"/>
          <w:szCs w:val="22"/>
          <w:lang w:val="en-GB"/>
        </w:rPr>
        <w:t xml:space="preserve">ch comprises of limited claims of employees and some taxation liabilities </w:t>
      </w:r>
      <w:r w:rsidR="00E130E3">
        <w:rPr>
          <w:rFonts w:ascii="Avenir Next" w:hAnsi="Avenir Next" w:cs="Arial"/>
          <w:color w:val="7B7B7B" w:themeColor="accent3" w:themeShade="BF"/>
          <w:sz w:val="22"/>
          <w:szCs w:val="22"/>
          <w:lang w:val="en-GB"/>
        </w:rPr>
        <w:t xml:space="preserve">which rank </w:t>
      </w:r>
      <w:r w:rsidR="0096593F">
        <w:rPr>
          <w:rFonts w:ascii="Avenir Next" w:hAnsi="Avenir Next" w:cs="Arial"/>
          <w:color w:val="7B7B7B" w:themeColor="accent3" w:themeShade="BF"/>
          <w:sz w:val="22"/>
          <w:szCs w:val="22"/>
          <w:lang w:val="en-GB"/>
        </w:rPr>
        <w:t xml:space="preserve">equally and abate in equal proportion if the company assets are insufficient to settle all of them. </w:t>
      </w:r>
      <w:r w:rsidR="00401435">
        <w:rPr>
          <w:rFonts w:ascii="Avenir Next" w:hAnsi="Avenir Next" w:cs="Arial"/>
          <w:color w:val="7B7B7B" w:themeColor="accent3" w:themeShade="BF"/>
          <w:sz w:val="22"/>
          <w:szCs w:val="22"/>
          <w:lang w:val="en-GB"/>
        </w:rPr>
        <w:t>The preferential debts under Schedule 6 of the Act includ</w:t>
      </w:r>
      <w:r w:rsidR="004D137E">
        <w:rPr>
          <w:rFonts w:ascii="Avenir Next" w:hAnsi="Avenir Next" w:cs="Arial"/>
          <w:color w:val="7B7B7B" w:themeColor="accent3" w:themeShade="BF"/>
          <w:sz w:val="22"/>
          <w:szCs w:val="22"/>
          <w:lang w:val="en-GB"/>
        </w:rPr>
        <w:t>e but are not limited to:</w:t>
      </w:r>
    </w:p>
    <w:p w14:paraId="0523E77B" w14:textId="77777777" w:rsidR="002854C7" w:rsidRDefault="002854C7" w:rsidP="00197F24">
      <w:pPr>
        <w:jc w:val="both"/>
        <w:rPr>
          <w:rFonts w:ascii="Avenir Next" w:hAnsi="Avenir Next" w:cs="Arial"/>
          <w:color w:val="7B7B7B" w:themeColor="accent3" w:themeShade="BF"/>
          <w:sz w:val="22"/>
          <w:szCs w:val="22"/>
          <w:lang w:val="en-GB"/>
        </w:rPr>
      </w:pPr>
    </w:p>
    <w:p w14:paraId="2758587C" w14:textId="3A748239" w:rsidR="004D137E" w:rsidRDefault="004941F1" w:rsidP="00C13DED">
      <w:pPr>
        <w:pStyle w:val="ListParagraph"/>
        <w:numPr>
          <w:ilvl w:val="0"/>
          <w:numId w:val="22"/>
        </w:numPr>
        <w:jc w:val="both"/>
        <w:rPr>
          <w:rFonts w:ascii="Avenir Next" w:hAnsi="Avenir Next" w:cs="Arial"/>
          <w:color w:val="7B7B7B" w:themeColor="accent3" w:themeShade="BF"/>
          <w:sz w:val="22"/>
          <w:szCs w:val="22"/>
          <w:lang w:val="en-GB"/>
        </w:rPr>
      </w:pPr>
      <w:r w:rsidRPr="00C13DED">
        <w:rPr>
          <w:rFonts w:ascii="Avenir Next" w:hAnsi="Avenir Next" w:cs="Arial"/>
          <w:color w:val="7B7B7B" w:themeColor="accent3" w:themeShade="BF"/>
          <w:sz w:val="22"/>
          <w:szCs w:val="22"/>
          <w:lang w:val="en-GB"/>
        </w:rPr>
        <w:t xml:space="preserve">Remuneration owed to an employee </w:t>
      </w:r>
      <w:r w:rsidR="00C13DED" w:rsidRPr="00C13DED">
        <w:rPr>
          <w:rFonts w:ascii="Avenir Next" w:hAnsi="Avenir Next" w:cs="Arial"/>
          <w:color w:val="7B7B7B" w:themeColor="accent3" w:themeShade="BF"/>
          <w:sz w:val="22"/>
          <w:szCs w:val="22"/>
          <w:lang w:val="en-GB"/>
        </w:rPr>
        <w:t xml:space="preserve">for </w:t>
      </w:r>
      <w:r w:rsidR="00C13DED">
        <w:rPr>
          <w:rFonts w:ascii="Avenir Next" w:hAnsi="Avenir Next" w:cs="Arial"/>
          <w:color w:val="7B7B7B" w:themeColor="accent3" w:themeShade="BF"/>
          <w:sz w:val="22"/>
          <w:szCs w:val="22"/>
          <w:lang w:val="en-GB"/>
        </w:rPr>
        <w:t>four</w:t>
      </w:r>
      <w:r w:rsidR="00C13DED" w:rsidRPr="00C13DED">
        <w:rPr>
          <w:rFonts w:ascii="Avenir Next" w:hAnsi="Avenir Next" w:cs="Arial"/>
          <w:color w:val="7B7B7B" w:themeColor="accent3" w:themeShade="BF"/>
          <w:sz w:val="22"/>
          <w:szCs w:val="22"/>
          <w:lang w:val="en-GB"/>
        </w:rPr>
        <w:t xml:space="preserve"> months prior to </w:t>
      </w:r>
      <w:r w:rsidR="00C13DED">
        <w:rPr>
          <w:rFonts w:ascii="Avenir Next" w:hAnsi="Avenir Next" w:cs="Arial"/>
          <w:color w:val="7B7B7B" w:themeColor="accent3" w:themeShade="BF"/>
          <w:sz w:val="22"/>
          <w:szCs w:val="22"/>
          <w:lang w:val="en-GB"/>
        </w:rPr>
        <w:t xml:space="preserve">liquidation </w:t>
      </w:r>
      <w:r w:rsidR="00C13DED" w:rsidRPr="00C13DED">
        <w:rPr>
          <w:rFonts w:ascii="Avenir Next" w:hAnsi="Avenir Next" w:cs="Arial"/>
          <w:color w:val="7B7B7B" w:themeColor="accent3" w:themeShade="BF"/>
          <w:sz w:val="22"/>
          <w:szCs w:val="22"/>
          <w:lang w:val="en-GB"/>
        </w:rPr>
        <w:t>up to GBP 800</w:t>
      </w:r>
      <w:r w:rsidR="00C13DED">
        <w:rPr>
          <w:rFonts w:ascii="Avenir Next" w:hAnsi="Avenir Next" w:cs="Arial"/>
          <w:color w:val="7B7B7B" w:themeColor="accent3" w:themeShade="BF"/>
          <w:sz w:val="22"/>
          <w:szCs w:val="22"/>
          <w:lang w:val="en-GB"/>
        </w:rPr>
        <w:t xml:space="preserve">. </w:t>
      </w:r>
    </w:p>
    <w:p w14:paraId="05F3F561" w14:textId="53DAD47A" w:rsidR="00C13DED" w:rsidRDefault="003F6A3B" w:rsidP="00C13DED">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Claims for monies </w:t>
      </w:r>
      <w:r w:rsidR="00444F9C">
        <w:rPr>
          <w:rFonts w:ascii="Avenir Next" w:hAnsi="Avenir Next" w:cs="Arial"/>
          <w:color w:val="7B7B7B" w:themeColor="accent3" w:themeShade="BF"/>
          <w:sz w:val="22"/>
          <w:szCs w:val="22"/>
          <w:lang w:val="en-GB"/>
        </w:rPr>
        <w:t xml:space="preserve">advanced to </w:t>
      </w:r>
      <w:r w:rsidR="008B484B">
        <w:rPr>
          <w:rFonts w:ascii="Avenir Next" w:hAnsi="Avenir Next" w:cs="Arial"/>
          <w:color w:val="7B7B7B" w:themeColor="accent3" w:themeShade="BF"/>
          <w:sz w:val="22"/>
          <w:szCs w:val="22"/>
          <w:lang w:val="en-GB"/>
        </w:rPr>
        <w:t xml:space="preserve">pay wages or remuneration during liquidation. </w:t>
      </w:r>
    </w:p>
    <w:p w14:paraId="4C60F90C" w14:textId="4C5BEF92" w:rsidR="008B484B" w:rsidRDefault="005A77E9" w:rsidP="00C13DED">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Amounts owed by way of accrued holiday remuneration </w:t>
      </w:r>
      <w:r w:rsidR="00015023">
        <w:rPr>
          <w:rFonts w:ascii="Avenir Next" w:hAnsi="Avenir Next" w:cs="Arial"/>
          <w:color w:val="7B7B7B" w:themeColor="accent3" w:themeShade="BF"/>
          <w:sz w:val="22"/>
          <w:szCs w:val="22"/>
          <w:lang w:val="en-GB"/>
        </w:rPr>
        <w:t xml:space="preserve">for any period of employment before liquidation. </w:t>
      </w:r>
    </w:p>
    <w:p w14:paraId="11F985FD" w14:textId="03B6CF0D" w:rsidR="00015023" w:rsidRDefault="00757364" w:rsidP="00C13DED">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Amounts owed on account of </w:t>
      </w:r>
      <w:r w:rsidR="0023217C">
        <w:rPr>
          <w:rFonts w:ascii="Avenir Next" w:hAnsi="Avenir Next" w:cs="Arial"/>
          <w:color w:val="7B7B7B" w:themeColor="accent3" w:themeShade="BF"/>
          <w:sz w:val="22"/>
          <w:szCs w:val="22"/>
          <w:lang w:val="en-GB"/>
        </w:rPr>
        <w:t>an employee’s contribution to an occupational pension scheme</w:t>
      </w:r>
      <w:r w:rsidR="000423C2">
        <w:rPr>
          <w:rFonts w:ascii="Avenir Next" w:hAnsi="Avenir Next" w:cs="Arial"/>
          <w:color w:val="7B7B7B" w:themeColor="accent3" w:themeShade="BF"/>
          <w:sz w:val="22"/>
          <w:szCs w:val="22"/>
          <w:lang w:val="en-GB"/>
        </w:rPr>
        <w:t xml:space="preserve">, deducted from earnings but not remitted for the period of four months prior to liquidation. </w:t>
      </w:r>
    </w:p>
    <w:p w14:paraId="6FBC5A47" w14:textId="7B4C8717" w:rsidR="001F5CA5" w:rsidRDefault="001F5CA5" w:rsidP="00C13DED">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Amounts owed </w:t>
      </w:r>
      <w:r w:rsidR="00E4065D">
        <w:rPr>
          <w:rFonts w:ascii="Avenir Next" w:hAnsi="Avenir Next" w:cs="Arial"/>
          <w:color w:val="7B7B7B" w:themeColor="accent3" w:themeShade="BF"/>
          <w:sz w:val="22"/>
          <w:szCs w:val="22"/>
          <w:lang w:val="en-GB"/>
        </w:rPr>
        <w:t xml:space="preserve">by the company </w:t>
      </w:r>
      <w:r w:rsidR="00B66DE0">
        <w:rPr>
          <w:rFonts w:ascii="Avenir Next" w:hAnsi="Avenir Next" w:cs="Arial"/>
          <w:color w:val="7B7B7B" w:themeColor="accent3" w:themeShade="BF"/>
          <w:sz w:val="22"/>
          <w:szCs w:val="22"/>
          <w:lang w:val="en-GB"/>
        </w:rPr>
        <w:t>on account of an employer’s contribution to an occupational pension scheme</w:t>
      </w:r>
      <w:r w:rsidR="001443D8">
        <w:rPr>
          <w:rFonts w:ascii="Avenir Next" w:hAnsi="Avenir Next" w:cs="Arial"/>
          <w:color w:val="7B7B7B" w:themeColor="accent3" w:themeShade="BF"/>
          <w:sz w:val="22"/>
          <w:szCs w:val="22"/>
          <w:lang w:val="en-GB"/>
        </w:rPr>
        <w:t xml:space="preserve"> in a period of 12 months prior to the relevant date. </w:t>
      </w:r>
    </w:p>
    <w:p w14:paraId="1BF3B03C" w14:textId="6A4664FD" w:rsidR="000E479A" w:rsidRDefault="000E479A" w:rsidP="00C13DED">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PAYE income tax deductions, national </w:t>
      </w:r>
      <w:r w:rsidR="00BE38FF">
        <w:rPr>
          <w:rFonts w:ascii="Avenir Next" w:hAnsi="Avenir Next" w:cs="Arial"/>
          <w:color w:val="7B7B7B" w:themeColor="accent3" w:themeShade="BF"/>
          <w:sz w:val="22"/>
          <w:szCs w:val="22"/>
          <w:lang w:val="en-GB"/>
        </w:rPr>
        <w:t xml:space="preserve">insurance deductions, VAT Payments, Construction Industry Scheme deductions and student loan repayments. </w:t>
      </w:r>
    </w:p>
    <w:p w14:paraId="3468CB5A" w14:textId="77777777" w:rsidR="00C50E91" w:rsidRDefault="00C50E91" w:rsidP="00C50E91">
      <w:pPr>
        <w:jc w:val="both"/>
        <w:rPr>
          <w:rFonts w:ascii="Avenir Next" w:hAnsi="Avenir Next" w:cs="Arial"/>
          <w:color w:val="7B7B7B" w:themeColor="accent3" w:themeShade="BF"/>
          <w:sz w:val="22"/>
          <w:szCs w:val="22"/>
          <w:lang w:val="en-GB"/>
        </w:rPr>
      </w:pPr>
    </w:p>
    <w:p w14:paraId="6CC0285C" w14:textId="6148E245" w:rsidR="00C50E91" w:rsidRDefault="00C50E91" w:rsidP="00C50E9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 in priority is the </w:t>
      </w:r>
      <w:r w:rsidR="00D23A1A">
        <w:rPr>
          <w:rFonts w:ascii="Avenir Next" w:hAnsi="Avenir Next" w:cs="Arial"/>
          <w:color w:val="7B7B7B" w:themeColor="accent3" w:themeShade="BF"/>
          <w:sz w:val="22"/>
          <w:szCs w:val="22"/>
          <w:lang w:val="en-GB"/>
        </w:rPr>
        <w:t xml:space="preserve">floating charge holder. Where more than one floating charge exists then priority amongst them will be determined by the order in which the floating charges were created i.e., the </w:t>
      </w:r>
      <w:r w:rsidR="0025452C">
        <w:rPr>
          <w:rFonts w:ascii="Avenir Next" w:hAnsi="Avenir Next" w:cs="Arial"/>
          <w:color w:val="7B7B7B" w:themeColor="accent3" w:themeShade="BF"/>
          <w:sz w:val="22"/>
          <w:szCs w:val="22"/>
          <w:lang w:val="en-GB"/>
        </w:rPr>
        <w:t xml:space="preserve">charge that was created first will have priority. </w:t>
      </w:r>
      <w:r w:rsidR="00A8298D">
        <w:rPr>
          <w:rFonts w:ascii="Avenir Next" w:hAnsi="Avenir Next" w:cs="Arial"/>
          <w:color w:val="7B7B7B" w:themeColor="accent3" w:themeShade="BF"/>
          <w:sz w:val="22"/>
          <w:szCs w:val="22"/>
          <w:lang w:val="en-GB"/>
        </w:rPr>
        <w:t>Payment of floating charge creditors should be considered alongside the provisions of section 17</w:t>
      </w:r>
      <w:r w:rsidR="007C73E7">
        <w:rPr>
          <w:rFonts w:ascii="Avenir Next" w:hAnsi="Avenir Next" w:cs="Arial"/>
          <w:color w:val="7B7B7B" w:themeColor="accent3" w:themeShade="BF"/>
          <w:sz w:val="22"/>
          <w:szCs w:val="22"/>
          <w:lang w:val="en-GB"/>
        </w:rPr>
        <w:t xml:space="preserve">6A which </w:t>
      </w:r>
      <w:r w:rsidR="00B431D1">
        <w:rPr>
          <w:rFonts w:ascii="Avenir Next" w:hAnsi="Avenir Next" w:cs="Arial"/>
          <w:color w:val="7B7B7B" w:themeColor="accent3" w:themeShade="BF"/>
          <w:sz w:val="22"/>
          <w:szCs w:val="22"/>
          <w:lang w:val="en-GB"/>
        </w:rPr>
        <w:t xml:space="preserve">provides for a prescribed part to be set aside for </w:t>
      </w:r>
      <w:r w:rsidR="009C2B1F">
        <w:rPr>
          <w:rFonts w:ascii="Avenir Next" w:hAnsi="Avenir Next" w:cs="Arial"/>
          <w:color w:val="7B7B7B" w:themeColor="accent3" w:themeShade="BF"/>
          <w:sz w:val="22"/>
          <w:szCs w:val="22"/>
          <w:lang w:val="en-GB"/>
        </w:rPr>
        <w:t xml:space="preserve">unsecured creditors. </w:t>
      </w:r>
      <w:r w:rsidR="009E1932">
        <w:rPr>
          <w:rFonts w:ascii="Avenir Next" w:hAnsi="Avenir Next" w:cs="Arial"/>
          <w:color w:val="7B7B7B" w:themeColor="accent3" w:themeShade="BF"/>
          <w:sz w:val="22"/>
          <w:szCs w:val="22"/>
          <w:lang w:val="en-GB"/>
        </w:rPr>
        <w:t>The prescribed par</w:t>
      </w:r>
      <w:r w:rsidR="009414B9">
        <w:rPr>
          <w:rFonts w:ascii="Avenir Next" w:hAnsi="Avenir Next" w:cs="Arial"/>
          <w:color w:val="7B7B7B" w:themeColor="accent3" w:themeShade="BF"/>
          <w:sz w:val="22"/>
          <w:szCs w:val="22"/>
          <w:lang w:val="en-GB"/>
        </w:rPr>
        <w:t>t which is 50% of the company’s net property</w:t>
      </w:r>
      <w:r w:rsidR="009E1932">
        <w:rPr>
          <w:rFonts w:ascii="Avenir Next" w:hAnsi="Avenir Next" w:cs="Arial"/>
          <w:color w:val="7B7B7B" w:themeColor="accent3" w:themeShade="BF"/>
          <w:sz w:val="22"/>
          <w:szCs w:val="22"/>
          <w:lang w:val="en-GB"/>
        </w:rPr>
        <w:t xml:space="preserve"> applies </w:t>
      </w:r>
      <w:r w:rsidR="009E1932">
        <w:rPr>
          <w:rFonts w:ascii="Avenir Next" w:hAnsi="Avenir Next" w:cs="Arial"/>
          <w:color w:val="7B7B7B" w:themeColor="accent3" w:themeShade="BF"/>
          <w:sz w:val="22"/>
          <w:szCs w:val="22"/>
          <w:lang w:val="en-GB"/>
        </w:rPr>
        <w:lastRenderedPageBreak/>
        <w:t>where the net property of the company exceeds GBP 10,000</w:t>
      </w:r>
      <w:r w:rsidR="009414B9">
        <w:rPr>
          <w:rFonts w:ascii="Avenir Next" w:hAnsi="Avenir Next" w:cs="Arial"/>
          <w:color w:val="7B7B7B" w:themeColor="accent3" w:themeShade="BF"/>
          <w:sz w:val="22"/>
          <w:szCs w:val="22"/>
          <w:lang w:val="en-GB"/>
        </w:rPr>
        <w:t>. Where the net property does not exceed the figure, it is still 50% of the available net property</w:t>
      </w:r>
      <w:r w:rsidR="00FC77D4">
        <w:rPr>
          <w:rFonts w:ascii="Avenir Next" w:hAnsi="Avenir Next" w:cs="Arial"/>
          <w:color w:val="7B7B7B" w:themeColor="accent3" w:themeShade="BF"/>
          <w:sz w:val="22"/>
          <w:szCs w:val="22"/>
          <w:lang w:val="en-GB"/>
        </w:rPr>
        <w:t xml:space="preserve">. </w:t>
      </w:r>
      <w:r w:rsidR="009F19E9">
        <w:rPr>
          <w:rFonts w:ascii="Avenir Next" w:hAnsi="Avenir Next" w:cs="Arial"/>
          <w:color w:val="7B7B7B" w:themeColor="accent3" w:themeShade="BF"/>
          <w:sz w:val="22"/>
          <w:szCs w:val="22"/>
          <w:lang w:val="en-GB"/>
        </w:rPr>
        <w:t>However,</w:t>
      </w:r>
      <w:r w:rsidR="00FC77D4">
        <w:rPr>
          <w:rFonts w:ascii="Avenir Next" w:hAnsi="Avenir Next" w:cs="Arial"/>
          <w:color w:val="7B7B7B" w:themeColor="accent3" w:themeShade="BF"/>
          <w:sz w:val="22"/>
          <w:szCs w:val="22"/>
          <w:lang w:val="en-GB"/>
        </w:rPr>
        <w:t xml:space="preserve"> the duty to make a distribution of the prescribed part </w:t>
      </w:r>
      <w:r w:rsidR="009E1932">
        <w:rPr>
          <w:rFonts w:ascii="Avenir Next" w:hAnsi="Avenir Next" w:cs="Arial"/>
          <w:color w:val="7B7B7B" w:themeColor="accent3" w:themeShade="BF"/>
          <w:sz w:val="22"/>
          <w:szCs w:val="22"/>
          <w:lang w:val="en-GB"/>
        </w:rPr>
        <w:t xml:space="preserve">does not apply where </w:t>
      </w:r>
      <w:r w:rsidR="009414B9">
        <w:rPr>
          <w:rFonts w:ascii="Avenir Next" w:hAnsi="Avenir Next" w:cs="Arial"/>
          <w:color w:val="7B7B7B" w:themeColor="accent3" w:themeShade="BF"/>
          <w:sz w:val="22"/>
          <w:szCs w:val="22"/>
          <w:lang w:val="en-GB"/>
        </w:rPr>
        <w:t>the liquidator</w:t>
      </w:r>
      <w:r w:rsidR="00406531">
        <w:rPr>
          <w:rFonts w:ascii="Avenir Next" w:hAnsi="Avenir Next" w:cs="Arial"/>
          <w:color w:val="7B7B7B" w:themeColor="accent3" w:themeShade="BF"/>
          <w:sz w:val="22"/>
          <w:szCs w:val="22"/>
          <w:lang w:val="en-GB"/>
        </w:rPr>
        <w:t xml:space="preserve"> is satisfied that making a distribution to unsecured creditors </w:t>
      </w:r>
      <w:r w:rsidR="00A02BF2">
        <w:rPr>
          <w:rFonts w:ascii="Avenir Next" w:hAnsi="Avenir Next" w:cs="Arial"/>
          <w:color w:val="7B7B7B" w:themeColor="accent3" w:themeShade="BF"/>
          <w:sz w:val="22"/>
          <w:szCs w:val="22"/>
          <w:lang w:val="en-GB"/>
        </w:rPr>
        <w:t xml:space="preserve">would be disproportionate to the benefits. </w:t>
      </w:r>
    </w:p>
    <w:p w14:paraId="35E31485" w14:textId="77777777" w:rsidR="009F19E9" w:rsidRDefault="009F19E9" w:rsidP="00C50E91">
      <w:pPr>
        <w:jc w:val="both"/>
        <w:rPr>
          <w:rFonts w:ascii="Avenir Next" w:hAnsi="Avenir Next" w:cs="Arial"/>
          <w:color w:val="7B7B7B" w:themeColor="accent3" w:themeShade="BF"/>
          <w:sz w:val="22"/>
          <w:szCs w:val="22"/>
          <w:lang w:val="en-GB"/>
        </w:rPr>
      </w:pPr>
    </w:p>
    <w:p w14:paraId="322AC9B1" w14:textId="5F63F6F0" w:rsidR="009F19E9" w:rsidRDefault="009F19E9" w:rsidP="00C50E9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Fourth in priority are unsecured creditors, who </w:t>
      </w:r>
      <w:r w:rsidR="00444112">
        <w:rPr>
          <w:rFonts w:ascii="Avenir Next" w:hAnsi="Avenir Next" w:cs="Arial"/>
          <w:color w:val="7B7B7B" w:themeColor="accent3" w:themeShade="BF"/>
          <w:sz w:val="22"/>
          <w:szCs w:val="22"/>
          <w:lang w:val="en-GB"/>
        </w:rPr>
        <w:t>often</w:t>
      </w:r>
      <w:r>
        <w:rPr>
          <w:rFonts w:ascii="Avenir Next" w:hAnsi="Avenir Next" w:cs="Arial"/>
          <w:color w:val="7B7B7B" w:themeColor="accent3" w:themeShade="BF"/>
          <w:sz w:val="22"/>
          <w:szCs w:val="22"/>
          <w:lang w:val="en-GB"/>
        </w:rPr>
        <w:t xml:space="preserve"> in Kenya like in many jurisdictions received no dividend as realisations in liquidations are rarely enough to satisfy the first three priority classes of creditors. </w:t>
      </w:r>
    </w:p>
    <w:p w14:paraId="4BE98D30" w14:textId="77777777" w:rsidR="00EB4D72" w:rsidRDefault="00EB4D72" w:rsidP="00C50E91">
      <w:pPr>
        <w:jc w:val="both"/>
        <w:rPr>
          <w:rFonts w:ascii="Avenir Next" w:hAnsi="Avenir Next" w:cs="Arial"/>
          <w:color w:val="7B7B7B" w:themeColor="accent3" w:themeShade="BF"/>
          <w:sz w:val="22"/>
          <w:szCs w:val="22"/>
          <w:lang w:val="en-GB"/>
        </w:rPr>
      </w:pPr>
    </w:p>
    <w:p w14:paraId="25D90533" w14:textId="2F2F37EB" w:rsidR="00EB4D72" w:rsidRPr="00C50E91" w:rsidRDefault="00EB4D72" w:rsidP="00C50E9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where sufficient funds are available to pay creditors and </w:t>
      </w:r>
      <w:r w:rsidR="00D735A7">
        <w:rPr>
          <w:rFonts w:ascii="Avenir Next" w:hAnsi="Avenir Next" w:cs="Arial"/>
          <w:color w:val="7B7B7B" w:themeColor="accent3" w:themeShade="BF"/>
          <w:sz w:val="22"/>
          <w:szCs w:val="22"/>
          <w:lang w:val="en-GB"/>
        </w:rPr>
        <w:t xml:space="preserve">interest on their debts, surplus is distributed amongst shareholders as per the constitution of the company. </w:t>
      </w:r>
    </w:p>
    <w:p w14:paraId="1466CFE0" w14:textId="77777777" w:rsidR="00C13DED" w:rsidRDefault="00C13DED" w:rsidP="00197F24">
      <w:pPr>
        <w:jc w:val="both"/>
        <w:rPr>
          <w:rFonts w:ascii="Avenir Next" w:hAnsi="Avenir Next" w:cs="Arial"/>
          <w:color w:val="7B7B7B" w:themeColor="accent3" w:themeShade="BF"/>
          <w:sz w:val="22"/>
          <w:szCs w:val="22"/>
          <w:lang w:val="en-GB"/>
        </w:rPr>
      </w:pPr>
    </w:p>
    <w:p w14:paraId="6B3787FF" w14:textId="12145A98" w:rsidR="00635F0A" w:rsidRDefault="006D556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Concerning t</w:t>
      </w:r>
      <w:r w:rsidR="00760056" w:rsidRPr="00E30B90">
        <w:rPr>
          <w:rFonts w:ascii="Avenir Next" w:hAnsi="Avenir Next" w:cs="Arial"/>
          <w:color w:val="7B7B7B" w:themeColor="accent3" w:themeShade="BF"/>
          <w:sz w:val="22"/>
          <w:szCs w:val="22"/>
          <w:lang w:val="en-GB"/>
        </w:rPr>
        <w:t>he nature of rights enjoyed by each class of creditor or expense</w:t>
      </w:r>
      <w:r>
        <w:rPr>
          <w:rFonts w:ascii="Avenir Next" w:hAnsi="Avenir Next" w:cs="Arial"/>
          <w:color w:val="7B7B7B" w:themeColor="accent3" w:themeShade="BF"/>
          <w:sz w:val="22"/>
          <w:szCs w:val="22"/>
          <w:lang w:val="en-GB"/>
        </w:rPr>
        <w:t xml:space="preserve">, </w:t>
      </w:r>
      <w:r w:rsidR="00C16DF5" w:rsidRPr="00691160">
        <w:rPr>
          <w:rFonts w:ascii="Avenir Next" w:hAnsi="Avenir Next" w:cs="Arial"/>
          <w:color w:val="7B7B7B" w:themeColor="accent3" w:themeShade="BF"/>
          <w:sz w:val="22"/>
          <w:szCs w:val="22"/>
        </w:rPr>
        <w:t>Sections 175(2)(b) and 176A</w:t>
      </w:r>
      <w:r w:rsidR="00C16DF5">
        <w:rPr>
          <w:rFonts w:ascii="Avenir Next" w:hAnsi="Avenir Next" w:cs="Arial"/>
          <w:color w:val="7B7B7B" w:themeColor="accent3" w:themeShade="BF"/>
          <w:sz w:val="22"/>
          <w:szCs w:val="22"/>
        </w:rPr>
        <w:t xml:space="preserve"> provide for certain rights. </w:t>
      </w:r>
      <w:r w:rsidR="00C16DF5">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ecured creditors have security interest rights and will often </w:t>
      </w:r>
      <w:r w:rsidR="004E4C85">
        <w:rPr>
          <w:rFonts w:ascii="Avenir Next" w:hAnsi="Avenir Next" w:cs="Arial"/>
          <w:color w:val="7B7B7B" w:themeColor="accent3" w:themeShade="BF"/>
          <w:sz w:val="22"/>
          <w:szCs w:val="22"/>
          <w:lang w:val="en-GB"/>
        </w:rPr>
        <w:t>have the right to be paid from the proceeds of the sale of their security subject to the waterfal</w:t>
      </w:r>
      <w:r w:rsidR="00691160">
        <w:rPr>
          <w:rFonts w:ascii="Avenir Next" w:hAnsi="Avenir Next" w:cs="Arial"/>
          <w:color w:val="7B7B7B" w:themeColor="accent3" w:themeShade="BF"/>
          <w:sz w:val="22"/>
          <w:szCs w:val="22"/>
          <w:lang w:val="en-GB"/>
        </w:rPr>
        <w:t xml:space="preserve">l. </w:t>
      </w:r>
      <w:r w:rsidR="00064564">
        <w:rPr>
          <w:rFonts w:ascii="Avenir Next" w:hAnsi="Avenir Next" w:cs="Arial"/>
          <w:color w:val="7B7B7B" w:themeColor="accent3" w:themeShade="BF"/>
          <w:sz w:val="22"/>
          <w:szCs w:val="22"/>
          <w:lang w:val="en-GB"/>
        </w:rPr>
        <w:t>Secured creditors with floating charge</w:t>
      </w:r>
      <w:r w:rsidR="002959AF">
        <w:rPr>
          <w:rFonts w:ascii="Avenir Next" w:hAnsi="Avenir Next" w:cs="Arial"/>
          <w:color w:val="7B7B7B" w:themeColor="accent3" w:themeShade="BF"/>
          <w:sz w:val="22"/>
          <w:szCs w:val="22"/>
          <w:lang w:val="en-GB"/>
        </w:rPr>
        <w:t>s benefit from</w:t>
      </w:r>
      <w:r w:rsidR="002959AF" w:rsidRPr="002959AF">
        <w:rPr>
          <w:rFonts w:ascii="Segoe UI" w:hAnsi="Segoe UI" w:cs="Segoe UI"/>
          <w:color w:val="0D0D0D"/>
          <w:shd w:val="clear" w:color="auto" w:fill="FFFFFF"/>
        </w:rPr>
        <w:t xml:space="preserve"> </w:t>
      </w:r>
      <w:r w:rsidR="002959AF" w:rsidRPr="002959AF">
        <w:rPr>
          <w:rFonts w:ascii="Avenir Next" w:hAnsi="Avenir Next" w:cs="Arial"/>
          <w:color w:val="7B7B7B" w:themeColor="accent3" w:themeShade="BF"/>
          <w:sz w:val="22"/>
          <w:szCs w:val="22"/>
        </w:rPr>
        <w:t xml:space="preserve">proceeds from </w:t>
      </w:r>
      <w:r w:rsidR="002959AF">
        <w:rPr>
          <w:rFonts w:ascii="Avenir Next" w:hAnsi="Avenir Next" w:cs="Arial"/>
          <w:color w:val="7B7B7B" w:themeColor="accent3" w:themeShade="BF"/>
          <w:sz w:val="22"/>
          <w:szCs w:val="22"/>
        </w:rPr>
        <w:t>floating charge</w:t>
      </w:r>
      <w:r w:rsidR="002959AF" w:rsidRPr="002959AF">
        <w:rPr>
          <w:rFonts w:ascii="Avenir Next" w:hAnsi="Avenir Next" w:cs="Arial"/>
          <w:color w:val="7B7B7B" w:themeColor="accent3" w:themeShade="BF"/>
          <w:sz w:val="22"/>
          <w:szCs w:val="22"/>
        </w:rPr>
        <w:t xml:space="preserve"> assets, after pay</w:t>
      </w:r>
      <w:r w:rsidR="002959AF">
        <w:rPr>
          <w:rFonts w:ascii="Avenir Next" w:hAnsi="Avenir Next" w:cs="Arial"/>
          <w:color w:val="7B7B7B" w:themeColor="accent3" w:themeShade="BF"/>
          <w:sz w:val="22"/>
          <w:szCs w:val="22"/>
        </w:rPr>
        <w:t>ment of</w:t>
      </w:r>
      <w:r w:rsidR="002959AF" w:rsidRPr="002959AF">
        <w:rPr>
          <w:rFonts w:ascii="Avenir Next" w:hAnsi="Avenir Next" w:cs="Arial"/>
          <w:color w:val="7B7B7B" w:themeColor="accent3" w:themeShade="BF"/>
          <w:sz w:val="22"/>
          <w:szCs w:val="22"/>
        </w:rPr>
        <w:t xml:space="preserve"> the liquidation expenses and preferential creditors</w:t>
      </w:r>
      <w:r w:rsidR="002959AF">
        <w:rPr>
          <w:rFonts w:ascii="Avenir Next" w:hAnsi="Avenir Next" w:cs="Arial"/>
          <w:color w:val="7B7B7B" w:themeColor="accent3" w:themeShade="BF"/>
          <w:sz w:val="22"/>
          <w:szCs w:val="22"/>
        </w:rPr>
        <w:t xml:space="preserve">. </w:t>
      </w:r>
      <w:r w:rsidR="00691160">
        <w:rPr>
          <w:rFonts w:ascii="Avenir Next" w:hAnsi="Avenir Next" w:cs="Arial"/>
          <w:color w:val="7B7B7B" w:themeColor="accent3" w:themeShade="BF"/>
          <w:sz w:val="22"/>
          <w:szCs w:val="22"/>
          <w:lang w:val="en-GB"/>
        </w:rPr>
        <w:t xml:space="preserve"> </w:t>
      </w:r>
    </w:p>
    <w:p w14:paraId="1636226D" w14:textId="087E6DBC" w:rsidR="00760056" w:rsidRDefault="00760056" w:rsidP="00197F24">
      <w:pPr>
        <w:jc w:val="both"/>
        <w:rPr>
          <w:rFonts w:ascii="Avenir Next" w:hAnsi="Avenir Next" w:cs="Arial"/>
          <w:color w:val="7B7B7B" w:themeColor="accent3" w:themeShade="BF"/>
          <w:sz w:val="22"/>
          <w:szCs w:val="22"/>
          <w:lang w:val="en-GB"/>
        </w:rPr>
      </w:pPr>
    </w:p>
    <w:p w14:paraId="5F588FE9" w14:textId="3A767CC7" w:rsidR="00760056" w:rsidRDefault="0076005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company is subject to a moratorium </w:t>
      </w:r>
      <w:r w:rsidR="00C30866">
        <w:rPr>
          <w:rFonts w:ascii="Avenir Next" w:hAnsi="Avenir Next" w:cs="Arial"/>
          <w:color w:val="7B7B7B" w:themeColor="accent3" w:themeShade="BF"/>
          <w:sz w:val="22"/>
          <w:szCs w:val="22"/>
          <w:lang w:val="en-GB"/>
        </w:rPr>
        <w:t>under part A1 during the 12 week</w:t>
      </w:r>
      <w:r w:rsidR="004267B1">
        <w:rPr>
          <w:rFonts w:ascii="Avenir Next" w:hAnsi="Avenir Next" w:cs="Arial"/>
          <w:color w:val="7B7B7B" w:themeColor="accent3" w:themeShade="BF"/>
          <w:sz w:val="22"/>
          <w:szCs w:val="22"/>
          <w:lang w:val="en-GB"/>
        </w:rPr>
        <w:t>s</w:t>
      </w:r>
      <w:r w:rsidR="00C30866">
        <w:rPr>
          <w:rFonts w:ascii="Avenir Next" w:hAnsi="Avenir Next" w:cs="Arial"/>
          <w:color w:val="7B7B7B" w:themeColor="accent3" w:themeShade="BF"/>
          <w:sz w:val="22"/>
          <w:szCs w:val="22"/>
          <w:lang w:val="en-GB"/>
        </w:rPr>
        <w:t xml:space="preserve"> prior to commencement of the liquidation, </w:t>
      </w:r>
      <w:r w:rsidR="004F0E1C">
        <w:rPr>
          <w:rFonts w:ascii="Avenir Next" w:hAnsi="Avenir Next" w:cs="Arial"/>
          <w:color w:val="7B7B7B" w:themeColor="accent3" w:themeShade="BF"/>
          <w:sz w:val="22"/>
          <w:szCs w:val="22"/>
          <w:lang w:val="en-GB"/>
        </w:rPr>
        <w:t xml:space="preserve">the priority of claims changes as certain debts </w:t>
      </w:r>
      <w:r w:rsidR="001D4146">
        <w:rPr>
          <w:rFonts w:ascii="Avenir Next" w:hAnsi="Avenir Next" w:cs="Arial"/>
          <w:color w:val="7B7B7B" w:themeColor="accent3" w:themeShade="BF"/>
          <w:sz w:val="22"/>
          <w:szCs w:val="22"/>
          <w:lang w:val="en-GB"/>
        </w:rPr>
        <w:t>gains</w:t>
      </w:r>
      <w:r w:rsidR="004F0E1C">
        <w:rPr>
          <w:rFonts w:ascii="Avenir Next" w:hAnsi="Avenir Next" w:cs="Arial"/>
          <w:color w:val="7B7B7B" w:themeColor="accent3" w:themeShade="BF"/>
          <w:sz w:val="22"/>
          <w:szCs w:val="22"/>
          <w:lang w:val="en-GB"/>
        </w:rPr>
        <w:t xml:space="preserve"> super priority </w:t>
      </w:r>
      <w:r w:rsidR="00700BEC">
        <w:rPr>
          <w:rFonts w:ascii="Avenir Next" w:hAnsi="Avenir Next" w:cs="Arial"/>
          <w:color w:val="7B7B7B" w:themeColor="accent3" w:themeShade="BF"/>
          <w:sz w:val="22"/>
          <w:szCs w:val="22"/>
          <w:lang w:val="en-GB"/>
        </w:rPr>
        <w:t xml:space="preserve">above the </w:t>
      </w:r>
      <w:proofErr w:type="gramStart"/>
      <w:r w:rsidR="00700BEC">
        <w:rPr>
          <w:rFonts w:ascii="Avenir Next" w:hAnsi="Avenir Next" w:cs="Arial"/>
          <w:color w:val="7B7B7B" w:themeColor="accent3" w:themeShade="BF"/>
          <w:sz w:val="22"/>
          <w:szCs w:val="22"/>
          <w:lang w:val="en-GB"/>
        </w:rPr>
        <w:t>first priority</w:t>
      </w:r>
      <w:proofErr w:type="gramEnd"/>
      <w:r w:rsidR="00700BEC">
        <w:rPr>
          <w:rFonts w:ascii="Avenir Next" w:hAnsi="Avenir Next" w:cs="Arial"/>
          <w:color w:val="7B7B7B" w:themeColor="accent3" w:themeShade="BF"/>
          <w:sz w:val="22"/>
          <w:szCs w:val="22"/>
          <w:lang w:val="en-GB"/>
        </w:rPr>
        <w:t xml:space="preserve"> debts </w:t>
      </w:r>
      <w:r w:rsidR="004A335C">
        <w:rPr>
          <w:rFonts w:ascii="Avenir Next" w:hAnsi="Avenir Next" w:cs="Arial"/>
          <w:color w:val="7B7B7B" w:themeColor="accent3" w:themeShade="BF"/>
          <w:sz w:val="22"/>
          <w:szCs w:val="22"/>
          <w:lang w:val="en-GB"/>
        </w:rPr>
        <w:t xml:space="preserve">i.e., </w:t>
      </w:r>
      <w:r w:rsidR="00700BEC">
        <w:rPr>
          <w:rFonts w:ascii="Avenir Next" w:hAnsi="Avenir Next" w:cs="Arial"/>
          <w:color w:val="7B7B7B" w:themeColor="accent3" w:themeShade="BF"/>
          <w:sz w:val="22"/>
          <w:szCs w:val="22"/>
          <w:lang w:val="en-GB"/>
        </w:rPr>
        <w:t xml:space="preserve">expenses of winding up. </w:t>
      </w:r>
      <w:r w:rsidR="00161E14">
        <w:rPr>
          <w:rFonts w:ascii="Avenir Next" w:hAnsi="Avenir Next" w:cs="Arial"/>
          <w:color w:val="7B7B7B" w:themeColor="accent3" w:themeShade="BF"/>
          <w:sz w:val="22"/>
          <w:szCs w:val="22"/>
          <w:lang w:val="en-GB"/>
        </w:rPr>
        <w:t xml:space="preserve">This safeguard under Section 174A of the Act protects </w:t>
      </w:r>
      <w:r w:rsidR="00341DBB">
        <w:rPr>
          <w:rFonts w:ascii="Avenir Next" w:hAnsi="Avenir Next" w:cs="Arial"/>
          <w:color w:val="7B7B7B" w:themeColor="accent3" w:themeShade="BF"/>
          <w:sz w:val="22"/>
          <w:szCs w:val="22"/>
          <w:lang w:val="en-GB"/>
        </w:rPr>
        <w:t xml:space="preserve">certain unpaid pre-moratorium and moratorium debts which are </w:t>
      </w:r>
      <w:r w:rsidR="00BF1F54">
        <w:rPr>
          <w:rFonts w:ascii="Avenir Next" w:hAnsi="Avenir Next" w:cs="Arial"/>
          <w:color w:val="7B7B7B" w:themeColor="accent3" w:themeShade="BF"/>
          <w:sz w:val="22"/>
          <w:szCs w:val="22"/>
          <w:lang w:val="en-GB"/>
        </w:rPr>
        <w:t xml:space="preserve">not part of the payment holiday to ensure they are paid first in a liquidation. Such debts </w:t>
      </w:r>
      <w:r w:rsidR="00832C64">
        <w:rPr>
          <w:rFonts w:ascii="Avenir Next" w:hAnsi="Avenir Next" w:cs="Arial"/>
          <w:color w:val="7B7B7B" w:themeColor="accent3" w:themeShade="BF"/>
          <w:sz w:val="22"/>
          <w:szCs w:val="22"/>
          <w:lang w:val="en-GB"/>
        </w:rPr>
        <w:t xml:space="preserve">include </w:t>
      </w:r>
      <w:r w:rsidR="002114D3">
        <w:rPr>
          <w:rFonts w:ascii="Avenir Next" w:hAnsi="Avenir Next" w:cs="Arial"/>
          <w:color w:val="7B7B7B" w:themeColor="accent3" w:themeShade="BF"/>
          <w:sz w:val="22"/>
          <w:szCs w:val="22"/>
          <w:lang w:val="en-GB"/>
        </w:rPr>
        <w:t xml:space="preserve">debts owed to employees or financial services debts. </w:t>
      </w:r>
      <w:r w:rsidR="00530D34">
        <w:rPr>
          <w:rFonts w:ascii="Avenir Next" w:hAnsi="Avenir Next" w:cs="Arial"/>
          <w:color w:val="7B7B7B" w:themeColor="accent3" w:themeShade="BF"/>
          <w:sz w:val="22"/>
          <w:szCs w:val="22"/>
          <w:lang w:val="en-GB"/>
        </w:rPr>
        <w:t xml:space="preserve">An exception however exists that excludes </w:t>
      </w:r>
      <w:r w:rsidR="004A335C">
        <w:rPr>
          <w:rFonts w:ascii="Avenir Next" w:hAnsi="Avenir Next" w:cs="Arial"/>
          <w:color w:val="7B7B7B" w:themeColor="accent3" w:themeShade="BF"/>
          <w:sz w:val="22"/>
          <w:szCs w:val="22"/>
          <w:lang w:val="en-GB"/>
        </w:rPr>
        <w:t xml:space="preserve">accelerated debts from gaining super priority. Accelerated debts are </w:t>
      </w:r>
      <w:r w:rsidR="00E965E1">
        <w:rPr>
          <w:rFonts w:ascii="Avenir Next" w:hAnsi="Avenir Next" w:cs="Arial"/>
          <w:color w:val="7B7B7B" w:themeColor="accent3" w:themeShade="BF"/>
          <w:sz w:val="22"/>
          <w:szCs w:val="22"/>
          <w:lang w:val="en-GB"/>
        </w:rPr>
        <w:t xml:space="preserve">pre-moratorium financial services debt which </w:t>
      </w:r>
      <w:r w:rsidR="00100DA7">
        <w:rPr>
          <w:rFonts w:ascii="Avenir Next" w:hAnsi="Avenir Next" w:cs="Arial"/>
          <w:color w:val="7B7B7B" w:themeColor="accent3" w:themeShade="BF"/>
          <w:sz w:val="22"/>
          <w:szCs w:val="22"/>
          <w:lang w:val="en-GB"/>
        </w:rPr>
        <w:t xml:space="preserve">fell due by reason of early termination </w:t>
      </w:r>
      <w:r w:rsidR="006D4F1B">
        <w:rPr>
          <w:rFonts w:ascii="Avenir Next" w:hAnsi="Avenir Next" w:cs="Arial"/>
          <w:color w:val="7B7B7B" w:themeColor="accent3" w:themeShade="BF"/>
          <w:sz w:val="22"/>
          <w:szCs w:val="22"/>
          <w:lang w:val="en-GB"/>
        </w:rPr>
        <w:t xml:space="preserve">provision in the financial services contract. </w:t>
      </w:r>
    </w:p>
    <w:p w14:paraId="4215DC3F" w14:textId="77777777" w:rsidR="00C30866" w:rsidRPr="00197F24" w:rsidRDefault="00C30866" w:rsidP="00197F24">
      <w:pPr>
        <w:jc w:val="both"/>
        <w:rPr>
          <w:rFonts w:ascii="Avenir Next" w:hAnsi="Avenir Next" w:cs="Arial"/>
          <w:color w:val="7B7B7B" w:themeColor="accent3" w:themeShade="BF"/>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4.1 [maximum </w:t>
      </w:r>
      <w:proofErr w:type="gramStart"/>
      <w:r w:rsidRPr="006039EB">
        <w:rPr>
          <w:rFonts w:ascii="Avenir Next Demi Bold" w:hAnsi="Avenir Next Demi Bold" w:cs="Arial"/>
          <w:b/>
          <w:bCs/>
          <w:sz w:val="22"/>
          <w:szCs w:val="22"/>
        </w:rPr>
        <w:t>5</w:t>
      </w:r>
      <w:proofErr w:type="gramEnd"/>
      <w:r w:rsidRPr="006039EB">
        <w:rPr>
          <w:rFonts w:ascii="Avenir Next Demi Bold" w:hAnsi="Avenir Next Demi Bold" w:cs="Arial"/>
          <w:b/>
          <w:bCs/>
          <w:sz w:val="22"/>
          <w:szCs w:val="22"/>
        </w:rPr>
        <w:t xml:space="preserve">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4C366AC" w14:textId="31057CD4" w:rsidR="007E2919" w:rsidRDefault="00A27C29" w:rsidP="00163E7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relevant issues in relation to the floating charge</w:t>
      </w:r>
      <w:r w:rsidR="0052737D">
        <w:rPr>
          <w:rFonts w:ascii="Avenir Next" w:hAnsi="Avenir Next" w:cs="Arial"/>
          <w:color w:val="7B7B7B" w:themeColor="accent3" w:themeShade="BF"/>
          <w:sz w:val="22"/>
          <w:szCs w:val="22"/>
          <w:lang w:val="en-GB"/>
        </w:rPr>
        <w:t xml:space="preserve"> in favour of Ambitus Bank plc</w:t>
      </w:r>
      <w:r w:rsidR="00CF6B7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created </w:t>
      </w:r>
      <w:r w:rsidR="000E38E6">
        <w:rPr>
          <w:rFonts w:ascii="Avenir Next" w:hAnsi="Avenir Next" w:cs="Arial"/>
          <w:color w:val="7B7B7B" w:themeColor="accent3" w:themeShade="BF"/>
          <w:sz w:val="22"/>
          <w:szCs w:val="22"/>
          <w:lang w:val="en-GB"/>
        </w:rPr>
        <w:t>6 six</w:t>
      </w:r>
      <w:r w:rsidR="002D3F8B">
        <w:rPr>
          <w:rFonts w:ascii="Avenir Next" w:hAnsi="Avenir Next" w:cs="Arial"/>
          <w:color w:val="7B7B7B" w:themeColor="accent3" w:themeShade="BF"/>
          <w:sz w:val="22"/>
          <w:szCs w:val="22"/>
          <w:lang w:val="en-GB"/>
        </w:rPr>
        <w:t xml:space="preserve"> months before the winding up petition</w:t>
      </w:r>
      <w:r w:rsidR="0052737D">
        <w:rPr>
          <w:rFonts w:ascii="Avenir Next" w:hAnsi="Avenir Next" w:cs="Arial"/>
          <w:color w:val="7B7B7B" w:themeColor="accent3" w:themeShade="BF"/>
          <w:sz w:val="22"/>
          <w:szCs w:val="22"/>
          <w:lang w:val="en-GB"/>
        </w:rPr>
        <w:t xml:space="preserve">, over </w:t>
      </w:r>
      <w:r w:rsidR="000338C4">
        <w:rPr>
          <w:rFonts w:ascii="Avenir Next" w:hAnsi="Avenir Next" w:cs="Arial"/>
          <w:color w:val="7B7B7B" w:themeColor="accent3" w:themeShade="BF"/>
          <w:sz w:val="22"/>
          <w:szCs w:val="22"/>
          <w:lang w:val="en-GB"/>
        </w:rPr>
        <w:t>the whole of the Company’s undertaking</w:t>
      </w:r>
      <w:r w:rsidR="002D3F8B">
        <w:rPr>
          <w:rFonts w:ascii="Avenir Next" w:hAnsi="Avenir Next" w:cs="Arial"/>
          <w:color w:val="7B7B7B" w:themeColor="accent3" w:themeShade="BF"/>
          <w:sz w:val="22"/>
          <w:szCs w:val="22"/>
          <w:lang w:val="en-GB"/>
        </w:rPr>
        <w:t xml:space="preserve"> </w:t>
      </w:r>
      <w:r w:rsidR="00CF6B76">
        <w:rPr>
          <w:rFonts w:ascii="Avenir Next" w:hAnsi="Avenir Next" w:cs="Arial"/>
          <w:color w:val="7B7B7B" w:themeColor="accent3" w:themeShade="BF"/>
          <w:sz w:val="22"/>
          <w:szCs w:val="22"/>
          <w:lang w:val="en-GB"/>
        </w:rPr>
        <w:t xml:space="preserve">would be to consider </w:t>
      </w:r>
      <w:r w:rsidR="00CF7637">
        <w:rPr>
          <w:rFonts w:ascii="Avenir Next" w:hAnsi="Avenir Next" w:cs="Arial"/>
          <w:color w:val="7B7B7B" w:themeColor="accent3" w:themeShade="BF"/>
          <w:sz w:val="22"/>
          <w:szCs w:val="22"/>
          <w:lang w:val="en-GB"/>
        </w:rPr>
        <w:t xml:space="preserve">whether </w:t>
      </w:r>
      <w:r w:rsidR="00CF6B76">
        <w:rPr>
          <w:rFonts w:ascii="Avenir Next" w:hAnsi="Avenir Next" w:cs="Arial"/>
          <w:color w:val="7B7B7B" w:themeColor="accent3" w:themeShade="BF"/>
          <w:sz w:val="22"/>
          <w:szCs w:val="22"/>
          <w:lang w:val="en-GB"/>
        </w:rPr>
        <w:t xml:space="preserve">the creation of the floating charge </w:t>
      </w:r>
      <w:r w:rsidR="00CF7637">
        <w:rPr>
          <w:rFonts w:ascii="Avenir Next" w:hAnsi="Avenir Next" w:cs="Arial"/>
          <w:color w:val="7B7B7B" w:themeColor="accent3" w:themeShade="BF"/>
          <w:sz w:val="22"/>
          <w:szCs w:val="22"/>
          <w:lang w:val="en-GB"/>
        </w:rPr>
        <w:t xml:space="preserve">is caught </w:t>
      </w:r>
      <w:r w:rsidR="008618BE">
        <w:rPr>
          <w:rFonts w:ascii="Avenir Next" w:hAnsi="Avenir Next" w:cs="Arial"/>
          <w:color w:val="7B7B7B" w:themeColor="accent3" w:themeShade="BF"/>
          <w:sz w:val="22"/>
          <w:szCs w:val="22"/>
          <w:lang w:val="en-GB"/>
        </w:rPr>
        <w:t xml:space="preserve">under Section 245 of the Act or a preference under Section </w:t>
      </w:r>
      <w:r w:rsidR="007077DC">
        <w:rPr>
          <w:rFonts w:ascii="Avenir Next" w:hAnsi="Avenir Next" w:cs="Arial"/>
          <w:color w:val="7B7B7B" w:themeColor="accent3" w:themeShade="BF"/>
          <w:sz w:val="22"/>
          <w:szCs w:val="22"/>
          <w:lang w:val="en-GB"/>
        </w:rPr>
        <w:t xml:space="preserve">239 of the Act. Whichever case it may be, the liquidator may take action to invalidate the same </w:t>
      </w:r>
      <w:r w:rsidR="00AA08E9">
        <w:rPr>
          <w:rFonts w:ascii="Avenir Next" w:hAnsi="Avenir Next" w:cs="Arial"/>
          <w:color w:val="7B7B7B" w:themeColor="accent3" w:themeShade="BF"/>
          <w:sz w:val="22"/>
          <w:szCs w:val="22"/>
          <w:lang w:val="en-GB"/>
        </w:rPr>
        <w:t xml:space="preserve">under the relevant transaction avoidance provisions of the Act as discussed below. </w:t>
      </w:r>
    </w:p>
    <w:p w14:paraId="1687FC97" w14:textId="77777777" w:rsidR="00CF7637" w:rsidRDefault="00CF7637" w:rsidP="007E2919">
      <w:pPr>
        <w:rPr>
          <w:rFonts w:ascii="Avenir Next" w:hAnsi="Avenir Next" w:cs="Arial"/>
          <w:color w:val="7B7B7B" w:themeColor="accent3" w:themeShade="BF"/>
          <w:sz w:val="22"/>
          <w:szCs w:val="22"/>
          <w:lang w:val="en-GB"/>
        </w:rPr>
      </w:pPr>
    </w:p>
    <w:p w14:paraId="4247D3FA" w14:textId="77777777" w:rsidR="007D7DEB" w:rsidRDefault="00A33A09" w:rsidP="00BD2E1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of the Act prevents pre-existing </w:t>
      </w:r>
      <w:r w:rsidR="004B314C">
        <w:rPr>
          <w:rFonts w:ascii="Avenir Next" w:hAnsi="Avenir Next" w:cs="Arial"/>
          <w:color w:val="7B7B7B" w:themeColor="accent3" w:themeShade="BF"/>
          <w:sz w:val="22"/>
          <w:szCs w:val="22"/>
          <w:lang w:val="en-GB"/>
        </w:rPr>
        <w:t>un</w:t>
      </w:r>
      <w:r>
        <w:rPr>
          <w:rFonts w:ascii="Avenir Next" w:hAnsi="Avenir Next" w:cs="Arial"/>
          <w:color w:val="7B7B7B" w:themeColor="accent3" w:themeShade="BF"/>
          <w:sz w:val="22"/>
          <w:szCs w:val="22"/>
          <w:lang w:val="en-GB"/>
        </w:rPr>
        <w:t>secured creditors from</w:t>
      </w:r>
      <w:r w:rsidR="004B314C">
        <w:rPr>
          <w:rFonts w:ascii="Avenir Next" w:hAnsi="Avenir Next" w:cs="Arial"/>
          <w:color w:val="7B7B7B" w:themeColor="accent3" w:themeShade="BF"/>
          <w:sz w:val="22"/>
          <w:szCs w:val="22"/>
          <w:lang w:val="en-GB"/>
        </w:rPr>
        <w:t xml:space="preserve"> obtaining security of a floating charge shortly before a company </w:t>
      </w:r>
      <w:r w:rsidR="007A74F4">
        <w:rPr>
          <w:rFonts w:ascii="Avenir Next" w:hAnsi="Avenir Next" w:cs="Arial"/>
          <w:color w:val="7B7B7B" w:themeColor="accent3" w:themeShade="BF"/>
          <w:sz w:val="22"/>
          <w:szCs w:val="22"/>
          <w:lang w:val="en-GB"/>
        </w:rPr>
        <w:t xml:space="preserve">enters a formal insolvency procedure such as a liquidation. </w:t>
      </w:r>
      <w:r w:rsidR="00395EA3">
        <w:rPr>
          <w:rFonts w:ascii="Avenir Next" w:hAnsi="Avenir Next" w:cs="Arial"/>
          <w:color w:val="7B7B7B" w:themeColor="accent3" w:themeShade="BF"/>
          <w:sz w:val="22"/>
          <w:szCs w:val="22"/>
          <w:lang w:val="en-GB"/>
        </w:rPr>
        <w:t xml:space="preserve">The presumption that Ambitus Bank plc was a pre-existing unsecured creditor emanates from the fact that </w:t>
      </w:r>
      <w:r w:rsidR="00B00C80">
        <w:rPr>
          <w:rFonts w:ascii="Avenir Next" w:hAnsi="Avenir Next" w:cs="Arial"/>
          <w:color w:val="7B7B7B" w:themeColor="accent3" w:themeShade="BF"/>
          <w:sz w:val="22"/>
          <w:szCs w:val="22"/>
          <w:lang w:val="en-GB"/>
        </w:rPr>
        <w:t xml:space="preserve">the creation of the floating charge was to prevent it from demanding repayment of the company’s loans. </w:t>
      </w:r>
      <w:r w:rsidR="00EE3BF1">
        <w:rPr>
          <w:rFonts w:ascii="Avenir Next" w:hAnsi="Avenir Next" w:cs="Arial"/>
          <w:color w:val="7B7B7B" w:themeColor="accent3" w:themeShade="BF"/>
          <w:sz w:val="22"/>
          <w:szCs w:val="22"/>
          <w:lang w:val="en-GB"/>
        </w:rPr>
        <w:t xml:space="preserve">For a floating charge to be invalidated under this section, the liquidator </w:t>
      </w:r>
      <w:r w:rsidR="007D7DEB">
        <w:rPr>
          <w:rFonts w:ascii="Avenir Next" w:hAnsi="Avenir Next" w:cs="Arial"/>
          <w:color w:val="7B7B7B" w:themeColor="accent3" w:themeShade="BF"/>
          <w:sz w:val="22"/>
          <w:szCs w:val="22"/>
          <w:lang w:val="en-GB"/>
        </w:rPr>
        <w:t>must prove the following:</w:t>
      </w:r>
    </w:p>
    <w:p w14:paraId="70CF7334" w14:textId="77777777" w:rsidR="007D7DEB" w:rsidRDefault="007D7DEB" w:rsidP="00BD2E14">
      <w:pPr>
        <w:jc w:val="both"/>
        <w:rPr>
          <w:rFonts w:ascii="Avenir Next" w:hAnsi="Avenir Next" w:cs="Arial"/>
          <w:color w:val="7B7B7B" w:themeColor="accent3" w:themeShade="BF"/>
          <w:sz w:val="22"/>
          <w:szCs w:val="22"/>
          <w:lang w:val="en-GB"/>
        </w:rPr>
      </w:pPr>
    </w:p>
    <w:p w14:paraId="533D0040" w14:textId="5333B571" w:rsidR="00CF7637" w:rsidRDefault="007D7DEB" w:rsidP="00BD2E14">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the </w:t>
      </w:r>
      <w:r w:rsidR="00B04444">
        <w:rPr>
          <w:rFonts w:ascii="Avenir Next" w:hAnsi="Avenir Next" w:cs="Arial"/>
          <w:color w:val="7B7B7B" w:themeColor="accent3" w:themeShade="BF"/>
          <w:sz w:val="22"/>
          <w:szCs w:val="22"/>
          <w:lang w:val="en-GB"/>
        </w:rPr>
        <w:t xml:space="preserve">floating charge was </w:t>
      </w:r>
      <w:r w:rsidR="00AF4D0F" w:rsidRPr="007D7DEB">
        <w:rPr>
          <w:rFonts w:ascii="Avenir Next" w:hAnsi="Avenir Next" w:cs="Arial"/>
          <w:color w:val="7B7B7B" w:themeColor="accent3" w:themeShade="BF"/>
          <w:sz w:val="22"/>
          <w:szCs w:val="22"/>
          <w:lang w:val="en-GB"/>
        </w:rPr>
        <w:t>given at the relevant time</w:t>
      </w:r>
      <w:r w:rsidR="006F7DDF" w:rsidRPr="007D7DEB">
        <w:rPr>
          <w:rFonts w:ascii="Avenir Next" w:hAnsi="Avenir Next" w:cs="Arial"/>
          <w:color w:val="7B7B7B" w:themeColor="accent3" w:themeShade="BF"/>
          <w:sz w:val="22"/>
          <w:szCs w:val="22"/>
          <w:lang w:val="en-GB"/>
        </w:rPr>
        <w:t xml:space="preserve">, which is in 12 months </w:t>
      </w:r>
      <w:r w:rsidR="000E38E6" w:rsidRPr="007D7DEB">
        <w:rPr>
          <w:rFonts w:ascii="Avenir Next" w:hAnsi="Avenir Next" w:cs="Arial"/>
          <w:color w:val="7B7B7B" w:themeColor="accent3" w:themeShade="BF"/>
          <w:sz w:val="22"/>
          <w:szCs w:val="22"/>
          <w:lang w:val="en-GB"/>
        </w:rPr>
        <w:t>prior to the onset of insolvency</w:t>
      </w:r>
      <w:r w:rsidR="005C17BD">
        <w:rPr>
          <w:rFonts w:ascii="Avenir Next" w:hAnsi="Avenir Next" w:cs="Arial"/>
          <w:color w:val="7B7B7B" w:themeColor="accent3" w:themeShade="BF"/>
          <w:sz w:val="22"/>
          <w:szCs w:val="22"/>
          <w:lang w:val="en-GB"/>
        </w:rPr>
        <w:t xml:space="preserve"> where the floating charge is in favour of </w:t>
      </w:r>
      <w:r w:rsidR="00D5023B">
        <w:rPr>
          <w:rFonts w:ascii="Avenir Next" w:hAnsi="Avenir Next" w:cs="Arial"/>
          <w:color w:val="7B7B7B" w:themeColor="accent3" w:themeShade="BF"/>
          <w:sz w:val="22"/>
          <w:szCs w:val="22"/>
          <w:lang w:val="en-GB"/>
        </w:rPr>
        <w:t>a person not connected to the company such as an unsecured creditor i.e., Ambitus Bank plc</w:t>
      </w:r>
      <w:r w:rsidR="000E38E6" w:rsidRPr="007D7DEB">
        <w:rPr>
          <w:rFonts w:ascii="Avenir Next" w:hAnsi="Avenir Next" w:cs="Arial"/>
          <w:color w:val="7B7B7B" w:themeColor="accent3" w:themeShade="BF"/>
          <w:sz w:val="22"/>
          <w:szCs w:val="22"/>
          <w:lang w:val="en-GB"/>
        </w:rPr>
        <w:t xml:space="preserve">. The onset of insolvency in the </w:t>
      </w:r>
      <w:r w:rsidR="00BC028D" w:rsidRPr="007D7DEB">
        <w:rPr>
          <w:rFonts w:ascii="Avenir Next" w:hAnsi="Avenir Next" w:cs="Arial"/>
          <w:color w:val="7B7B7B" w:themeColor="accent3" w:themeShade="BF"/>
          <w:sz w:val="22"/>
          <w:szCs w:val="22"/>
          <w:lang w:val="en-GB"/>
        </w:rPr>
        <w:t xml:space="preserve">case of Blazer Laser, is </w:t>
      </w:r>
      <w:r w:rsidR="002613DB" w:rsidRPr="007D7DEB">
        <w:rPr>
          <w:rFonts w:ascii="Avenir Next" w:hAnsi="Avenir Next" w:cs="Arial"/>
          <w:color w:val="7B7B7B" w:themeColor="accent3" w:themeShade="BF"/>
          <w:sz w:val="22"/>
          <w:szCs w:val="22"/>
          <w:lang w:val="en-GB"/>
        </w:rPr>
        <w:t xml:space="preserve">the date of the </w:t>
      </w:r>
      <w:r w:rsidR="007D1044" w:rsidRPr="007D7DEB">
        <w:rPr>
          <w:rFonts w:ascii="Avenir Next" w:hAnsi="Avenir Next" w:cs="Arial"/>
          <w:color w:val="7B7B7B" w:themeColor="accent3" w:themeShade="BF"/>
          <w:sz w:val="22"/>
          <w:szCs w:val="22"/>
          <w:lang w:val="en-GB"/>
        </w:rPr>
        <w:t>creditors winding up petition i.e., 13 January 2024. The floating charge created in June 2023 is thus caught within the relevant time.</w:t>
      </w:r>
    </w:p>
    <w:p w14:paraId="141F1E6E" w14:textId="02755F97" w:rsidR="00B04444" w:rsidRDefault="001A4E11" w:rsidP="00BD2E14">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at the time of creation of the floating charge the company was </w:t>
      </w:r>
      <w:r w:rsidR="00621226">
        <w:rPr>
          <w:rFonts w:ascii="Avenir Next" w:hAnsi="Avenir Next" w:cs="Arial"/>
          <w:color w:val="7B7B7B" w:themeColor="accent3" w:themeShade="BF"/>
          <w:sz w:val="22"/>
          <w:szCs w:val="22"/>
          <w:lang w:val="en-GB"/>
        </w:rPr>
        <w:t xml:space="preserve">unable to pay it debts as defined under Section 123. It is evident that Blazer Laser </w:t>
      </w:r>
      <w:r w:rsidR="005C17BD">
        <w:rPr>
          <w:rFonts w:ascii="Avenir Next" w:hAnsi="Avenir Next" w:cs="Arial"/>
          <w:color w:val="7B7B7B" w:themeColor="accent3" w:themeShade="BF"/>
          <w:sz w:val="22"/>
          <w:szCs w:val="22"/>
          <w:lang w:val="en-GB"/>
        </w:rPr>
        <w:t xml:space="preserve">continued to suffer </w:t>
      </w:r>
      <w:r w:rsidR="00BD2E14">
        <w:rPr>
          <w:rFonts w:ascii="Avenir Next" w:hAnsi="Avenir Next" w:cs="Arial"/>
          <w:color w:val="7B7B7B" w:themeColor="accent3" w:themeShade="BF"/>
          <w:sz w:val="22"/>
          <w:szCs w:val="22"/>
          <w:lang w:val="en-GB"/>
        </w:rPr>
        <w:t xml:space="preserve">cash flow problems as early as January 2023 which would have eventually rendered it cashflow insolvent. </w:t>
      </w:r>
    </w:p>
    <w:p w14:paraId="7BB522EC" w14:textId="5F3DAA50" w:rsidR="00A155E5" w:rsidRDefault="00A155E5" w:rsidP="00BD2E14">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the company has subsequently </w:t>
      </w:r>
      <w:r w:rsidR="000776BD">
        <w:rPr>
          <w:rFonts w:ascii="Avenir Next" w:hAnsi="Avenir Next" w:cs="Arial"/>
          <w:color w:val="7B7B7B" w:themeColor="accent3" w:themeShade="BF"/>
          <w:sz w:val="22"/>
          <w:szCs w:val="22"/>
          <w:lang w:val="en-GB"/>
        </w:rPr>
        <w:t>entered</w:t>
      </w:r>
      <w:r>
        <w:rPr>
          <w:rFonts w:ascii="Avenir Next" w:hAnsi="Avenir Next" w:cs="Arial"/>
          <w:color w:val="7B7B7B" w:themeColor="accent3" w:themeShade="BF"/>
          <w:sz w:val="22"/>
          <w:szCs w:val="22"/>
          <w:lang w:val="en-GB"/>
        </w:rPr>
        <w:t xml:space="preserve"> liquidation, which is the case following the </w:t>
      </w:r>
      <w:r w:rsidR="008B096C">
        <w:rPr>
          <w:rFonts w:ascii="Avenir Next" w:hAnsi="Avenir Next" w:cs="Arial"/>
          <w:color w:val="7B7B7B" w:themeColor="accent3" w:themeShade="BF"/>
          <w:sz w:val="22"/>
          <w:szCs w:val="22"/>
          <w:lang w:val="en-GB"/>
        </w:rPr>
        <w:t xml:space="preserve">winding up order. </w:t>
      </w:r>
    </w:p>
    <w:p w14:paraId="72639912" w14:textId="77777777" w:rsidR="009905A5" w:rsidRDefault="009905A5" w:rsidP="009905A5">
      <w:pPr>
        <w:jc w:val="both"/>
        <w:rPr>
          <w:rFonts w:ascii="Avenir Next" w:hAnsi="Avenir Next" w:cs="Arial"/>
          <w:color w:val="7B7B7B" w:themeColor="accent3" w:themeShade="BF"/>
          <w:sz w:val="22"/>
          <w:szCs w:val="22"/>
          <w:lang w:val="en-GB"/>
        </w:rPr>
      </w:pPr>
    </w:p>
    <w:p w14:paraId="762B13D2" w14:textId="5CA20903" w:rsidR="009905A5" w:rsidRDefault="009905A5" w:rsidP="009905A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exception to the above is where new consideration is </w:t>
      </w:r>
      <w:r w:rsidR="00051295">
        <w:rPr>
          <w:rFonts w:ascii="Avenir Next" w:hAnsi="Avenir Next" w:cs="Arial"/>
          <w:color w:val="7B7B7B" w:themeColor="accent3" w:themeShade="BF"/>
          <w:sz w:val="22"/>
          <w:szCs w:val="22"/>
          <w:lang w:val="en-GB"/>
        </w:rPr>
        <w:t xml:space="preserve">issued. In the present case, however, there is no new consideration that Ambitus Bank plc issued to the Blazer Laser thus the </w:t>
      </w:r>
      <w:r w:rsidR="00393611">
        <w:rPr>
          <w:rFonts w:ascii="Avenir Next" w:hAnsi="Avenir Next" w:cs="Arial"/>
          <w:color w:val="7B7B7B" w:themeColor="accent3" w:themeShade="BF"/>
          <w:sz w:val="22"/>
          <w:szCs w:val="22"/>
          <w:lang w:val="en-GB"/>
        </w:rPr>
        <w:t xml:space="preserve">floating charge is caught by section 245 and the Liquidator may bring action to </w:t>
      </w:r>
      <w:r w:rsidR="00A155E5">
        <w:rPr>
          <w:rFonts w:ascii="Avenir Next" w:hAnsi="Avenir Next" w:cs="Arial"/>
          <w:color w:val="7B7B7B" w:themeColor="accent3" w:themeShade="BF"/>
          <w:sz w:val="22"/>
          <w:szCs w:val="22"/>
          <w:lang w:val="en-GB"/>
        </w:rPr>
        <w:t xml:space="preserve">invalidate the floating charge since the company is already in liquidation. </w:t>
      </w:r>
    </w:p>
    <w:p w14:paraId="6B67C35A" w14:textId="77777777" w:rsidR="00B813AF" w:rsidRDefault="00B813AF" w:rsidP="009905A5">
      <w:pPr>
        <w:jc w:val="both"/>
        <w:rPr>
          <w:rFonts w:ascii="Avenir Next" w:hAnsi="Avenir Next" w:cs="Arial"/>
          <w:color w:val="7B7B7B" w:themeColor="accent3" w:themeShade="BF"/>
          <w:sz w:val="22"/>
          <w:szCs w:val="22"/>
          <w:lang w:val="en-GB"/>
        </w:rPr>
      </w:pPr>
    </w:p>
    <w:p w14:paraId="4BE80FDB" w14:textId="266F5D65" w:rsidR="00B813AF" w:rsidRPr="009905A5" w:rsidRDefault="00B813AF" w:rsidP="009905A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invalidation of the floating charge does not </w:t>
      </w:r>
      <w:r w:rsidR="000776BD">
        <w:rPr>
          <w:rFonts w:ascii="Avenir Next" w:hAnsi="Avenir Next" w:cs="Arial"/>
          <w:color w:val="7B7B7B" w:themeColor="accent3" w:themeShade="BF"/>
          <w:sz w:val="22"/>
          <w:szCs w:val="22"/>
          <w:lang w:val="en-GB"/>
        </w:rPr>
        <w:t xml:space="preserve">invalidate the underlying debt. It however enables the liquidator to bring </w:t>
      </w:r>
      <w:r w:rsidR="004A5917">
        <w:rPr>
          <w:rFonts w:ascii="Avenir Next" w:hAnsi="Avenir Next" w:cs="Arial"/>
          <w:color w:val="7B7B7B" w:themeColor="accent3" w:themeShade="BF"/>
          <w:sz w:val="22"/>
          <w:szCs w:val="22"/>
          <w:lang w:val="en-GB"/>
        </w:rPr>
        <w:t xml:space="preserve">the assets of the company under his control and to be able to realise the assets for the benefit of </w:t>
      </w:r>
      <w:r w:rsidR="00BE6AC7">
        <w:rPr>
          <w:rFonts w:ascii="Avenir Next" w:hAnsi="Avenir Next" w:cs="Arial"/>
          <w:color w:val="7B7B7B" w:themeColor="accent3" w:themeShade="BF"/>
          <w:sz w:val="22"/>
          <w:szCs w:val="22"/>
          <w:lang w:val="en-GB"/>
        </w:rPr>
        <w:t xml:space="preserve">all creditors as per the order of priority of payments under the Act. </w:t>
      </w:r>
      <w:r w:rsidR="004E691C">
        <w:rPr>
          <w:rFonts w:ascii="Avenir Next" w:hAnsi="Avenir Next" w:cs="Arial"/>
          <w:color w:val="7B7B7B" w:themeColor="accent3" w:themeShade="BF"/>
          <w:sz w:val="22"/>
          <w:szCs w:val="22"/>
          <w:lang w:val="en-GB"/>
        </w:rPr>
        <w:t xml:space="preserve"> </w:t>
      </w:r>
    </w:p>
    <w:p w14:paraId="2C818880" w14:textId="77777777" w:rsidR="007077DC" w:rsidRPr="006925C1" w:rsidRDefault="007077DC"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proofErr w:type="gramStart"/>
      <w:r w:rsidR="00311816" w:rsidRPr="006039EB">
        <w:rPr>
          <w:rFonts w:ascii="Avenir Next Demi Bold" w:hAnsi="Avenir Next Demi Bold" w:cs="Arial"/>
          <w:b/>
          <w:bCs/>
          <w:sz w:val="22"/>
          <w:szCs w:val="22"/>
        </w:rPr>
        <w:t>6</w:t>
      </w:r>
      <w:proofErr w:type="gramEnd"/>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4E7310A" w14:textId="2562620E" w:rsidR="001F4140" w:rsidRDefault="00B45BD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sale of the laser cutting machines is caught under</w:t>
      </w:r>
      <w:r w:rsidR="00392A36">
        <w:rPr>
          <w:rFonts w:ascii="Avenir Next" w:hAnsi="Avenir Next" w:cs="Arial"/>
          <w:color w:val="7B7B7B" w:themeColor="accent3" w:themeShade="BF"/>
          <w:sz w:val="22"/>
          <w:szCs w:val="22"/>
          <w:lang w:val="en-GB"/>
        </w:rPr>
        <w:t xml:space="preserve"> </w:t>
      </w:r>
      <w:r w:rsidR="00D15566">
        <w:rPr>
          <w:rFonts w:ascii="Avenir Next" w:hAnsi="Avenir Next" w:cs="Arial"/>
          <w:color w:val="7B7B7B" w:themeColor="accent3" w:themeShade="BF"/>
          <w:sz w:val="22"/>
          <w:szCs w:val="22"/>
          <w:lang w:val="en-GB"/>
        </w:rPr>
        <w:t xml:space="preserve">Section 238 </w:t>
      </w:r>
      <w:r w:rsidR="001F4140">
        <w:rPr>
          <w:rFonts w:ascii="Avenir Next" w:hAnsi="Avenir Next" w:cs="Arial"/>
          <w:color w:val="7B7B7B" w:themeColor="accent3" w:themeShade="BF"/>
          <w:sz w:val="22"/>
          <w:szCs w:val="22"/>
          <w:lang w:val="en-GB"/>
        </w:rPr>
        <w:t xml:space="preserve">which addresses transactions at an undervalue. </w:t>
      </w:r>
      <w:r w:rsidR="003F7616">
        <w:rPr>
          <w:rFonts w:ascii="Avenir Next" w:hAnsi="Avenir Next" w:cs="Arial"/>
          <w:color w:val="7B7B7B" w:themeColor="accent3" w:themeShade="BF"/>
          <w:sz w:val="22"/>
          <w:szCs w:val="22"/>
          <w:lang w:val="en-GB"/>
        </w:rPr>
        <w:t xml:space="preserve">The liquidator is enabled by the Act to bring action to attack such transactions as a </w:t>
      </w:r>
      <w:r w:rsidR="003F7616">
        <w:rPr>
          <w:rFonts w:ascii="Avenir Next" w:hAnsi="Avenir Next" w:cs="Arial"/>
          <w:color w:val="7B7B7B" w:themeColor="accent3" w:themeShade="BF"/>
          <w:sz w:val="22"/>
          <w:szCs w:val="22"/>
          <w:lang w:val="en-GB"/>
        </w:rPr>
        <w:lastRenderedPageBreak/>
        <w:t>mechanism to ensure that all unsecured creditors are treated</w:t>
      </w:r>
      <w:r w:rsidR="008434C4">
        <w:rPr>
          <w:rFonts w:ascii="Avenir Next" w:hAnsi="Avenir Next" w:cs="Arial"/>
          <w:color w:val="7B7B7B" w:themeColor="accent3" w:themeShade="BF"/>
          <w:sz w:val="22"/>
          <w:szCs w:val="22"/>
          <w:lang w:val="en-GB"/>
        </w:rPr>
        <w:t xml:space="preserve"> fairly and</w:t>
      </w:r>
      <w:r w:rsidR="003F7616">
        <w:rPr>
          <w:rFonts w:ascii="Avenir Next" w:hAnsi="Avenir Next" w:cs="Arial"/>
          <w:color w:val="7B7B7B" w:themeColor="accent3" w:themeShade="BF"/>
          <w:sz w:val="22"/>
          <w:szCs w:val="22"/>
          <w:lang w:val="en-GB"/>
        </w:rPr>
        <w:t xml:space="preserve"> equally. </w:t>
      </w:r>
      <w:r w:rsidR="007D7FAB">
        <w:rPr>
          <w:rFonts w:ascii="Avenir Next" w:hAnsi="Avenir Next" w:cs="Arial"/>
          <w:color w:val="7B7B7B" w:themeColor="accent3" w:themeShade="BF"/>
          <w:sz w:val="22"/>
          <w:szCs w:val="22"/>
          <w:lang w:val="en-GB"/>
        </w:rPr>
        <w:t>For such action to succeed, the liquidator must prove the following:</w:t>
      </w:r>
    </w:p>
    <w:p w14:paraId="3EB2C19F" w14:textId="77777777" w:rsidR="007D7FAB" w:rsidRDefault="007D7FAB" w:rsidP="00197F24">
      <w:pPr>
        <w:jc w:val="both"/>
        <w:rPr>
          <w:rFonts w:ascii="Avenir Next" w:hAnsi="Avenir Next" w:cs="Arial"/>
          <w:color w:val="7B7B7B" w:themeColor="accent3" w:themeShade="BF"/>
          <w:sz w:val="22"/>
          <w:szCs w:val="22"/>
          <w:lang w:val="en-GB"/>
        </w:rPr>
      </w:pPr>
    </w:p>
    <w:p w14:paraId="1BA7BFDC" w14:textId="474298BF" w:rsidR="007D7FAB" w:rsidRDefault="00C34733" w:rsidP="007D7FAB">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transaction was entered into at a relevant time</w:t>
      </w:r>
      <w:r w:rsidR="004511AE">
        <w:rPr>
          <w:rFonts w:ascii="Avenir Next" w:hAnsi="Avenir Next" w:cs="Arial"/>
          <w:color w:val="7B7B7B" w:themeColor="accent3" w:themeShade="BF"/>
          <w:sz w:val="22"/>
          <w:szCs w:val="22"/>
          <w:lang w:val="en-GB"/>
        </w:rPr>
        <w:t xml:space="preserve"> i.e., the period of two years prior to commencement of liquidation. </w:t>
      </w:r>
      <w:r w:rsidR="00AC40C0">
        <w:rPr>
          <w:rFonts w:ascii="Avenir Next" w:hAnsi="Avenir Next" w:cs="Arial"/>
          <w:color w:val="7B7B7B" w:themeColor="accent3" w:themeShade="BF"/>
          <w:sz w:val="22"/>
          <w:szCs w:val="22"/>
          <w:lang w:val="en-GB"/>
        </w:rPr>
        <w:t xml:space="preserve">The sale </w:t>
      </w:r>
      <w:r w:rsidR="000D5DD6">
        <w:rPr>
          <w:rFonts w:ascii="Avenir Next" w:hAnsi="Avenir Next" w:cs="Arial"/>
          <w:color w:val="7B7B7B" w:themeColor="accent3" w:themeShade="BF"/>
          <w:sz w:val="22"/>
          <w:szCs w:val="22"/>
          <w:lang w:val="en-GB"/>
        </w:rPr>
        <w:t xml:space="preserve">of the two laser machines was approved and made in January 2023, </w:t>
      </w:r>
      <w:r w:rsidR="00E431CC">
        <w:rPr>
          <w:rFonts w:ascii="Avenir Next" w:hAnsi="Avenir Next" w:cs="Arial"/>
          <w:color w:val="7B7B7B" w:themeColor="accent3" w:themeShade="BF"/>
          <w:sz w:val="22"/>
          <w:szCs w:val="22"/>
          <w:lang w:val="en-GB"/>
        </w:rPr>
        <w:t xml:space="preserve">one year before the winding up petition thus falls within the relevant time. </w:t>
      </w:r>
    </w:p>
    <w:p w14:paraId="407A37D7" w14:textId="5A09E9A3" w:rsidR="001103DE" w:rsidRDefault="00C34733" w:rsidP="001103DE">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w:t>
      </w:r>
      <w:r w:rsidR="005F4E54">
        <w:rPr>
          <w:rFonts w:ascii="Avenir Next" w:hAnsi="Avenir Next" w:cs="Arial"/>
          <w:color w:val="7B7B7B" w:themeColor="accent3" w:themeShade="BF"/>
          <w:sz w:val="22"/>
          <w:szCs w:val="22"/>
          <w:lang w:val="en-GB"/>
        </w:rPr>
        <w:t xml:space="preserve">onsideration for the transaction was </w:t>
      </w:r>
      <w:r w:rsidR="00101E89">
        <w:rPr>
          <w:rFonts w:ascii="Avenir Next" w:hAnsi="Avenir Next" w:cs="Arial"/>
          <w:color w:val="7B7B7B" w:themeColor="accent3" w:themeShade="BF"/>
          <w:sz w:val="22"/>
          <w:szCs w:val="22"/>
          <w:lang w:val="en-GB"/>
        </w:rPr>
        <w:t xml:space="preserve">at the date of the transaction </w:t>
      </w:r>
      <w:r w:rsidR="005F4E54">
        <w:rPr>
          <w:rFonts w:ascii="Avenir Next" w:hAnsi="Avenir Next" w:cs="Arial"/>
          <w:color w:val="7B7B7B" w:themeColor="accent3" w:themeShade="BF"/>
          <w:sz w:val="22"/>
          <w:szCs w:val="22"/>
          <w:lang w:val="en-GB"/>
        </w:rPr>
        <w:t xml:space="preserve">significantly less </w:t>
      </w:r>
      <w:r w:rsidR="00101E89">
        <w:rPr>
          <w:rFonts w:ascii="Avenir Next" w:hAnsi="Avenir Next" w:cs="Arial"/>
          <w:color w:val="7B7B7B" w:themeColor="accent3" w:themeShade="BF"/>
          <w:sz w:val="22"/>
          <w:szCs w:val="22"/>
          <w:lang w:val="en-GB"/>
        </w:rPr>
        <w:t xml:space="preserve">than the value </w:t>
      </w:r>
      <w:r w:rsidR="00BD3B24">
        <w:rPr>
          <w:rFonts w:ascii="Avenir Next" w:hAnsi="Avenir Next" w:cs="Arial"/>
          <w:color w:val="7B7B7B" w:themeColor="accent3" w:themeShade="BF"/>
          <w:sz w:val="22"/>
          <w:szCs w:val="22"/>
          <w:lang w:val="en-GB"/>
        </w:rPr>
        <w:t xml:space="preserve">of the consideration provided by the company for the asset. </w:t>
      </w:r>
      <w:r w:rsidR="007070F6">
        <w:rPr>
          <w:rFonts w:ascii="Avenir Next" w:hAnsi="Avenir Next" w:cs="Arial"/>
          <w:color w:val="7B7B7B" w:themeColor="accent3" w:themeShade="BF"/>
          <w:sz w:val="22"/>
          <w:szCs w:val="22"/>
          <w:lang w:val="en-GB"/>
        </w:rPr>
        <w:t xml:space="preserve">The laser cutting machines were sold for </w:t>
      </w:r>
      <w:r w:rsidR="00396CB1">
        <w:rPr>
          <w:rFonts w:ascii="Avenir Next" w:hAnsi="Avenir Next" w:cs="Arial"/>
          <w:color w:val="7B7B7B" w:themeColor="accent3" w:themeShade="BF"/>
          <w:sz w:val="22"/>
          <w:szCs w:val="22"/>
          <w:lang w:val="en-GB"/>
        </w:rPr>
        <w:t xml:space="preserve">GBP 40,000 while the same had been bought for GBP 100,000 a year before. The sale at </w:t>
      </w:r>
      <w:r w:rsidR="00A007FC">
        <w:rPr>
          <w:rFonts w:ascii="Avenir Next" w:hAnsi="Avenir Next" w:cs="Arial"/>
          <w:color w:val="7B7B7B" w:themeColor="accent3" w:themeShade="BF"/>
          <w:sz w:val="22"/>
          <w:szCs w:val="22"/>
          <w:lang w:val="en-GB"/>
        </w:rPr>
        <w:t xml:space="preserve">60% loss within a period of one year is evidently </w:t>
      </w:r>
      <w:r w:rsidR="00D71915">
        <w:rPr>
          <w:rFonts w:ascii="Avenir Next" w:hAnsi="Avenir Next" w:cs="Arial"/>
          <w:color w:val="7B7B7B" w:themeColor="accent3" w:themeShade="BF"/>
          <w:sz w:val="22"/>
          <w:szCs w:val="22"/>
          <w:lang w:val="en-GB"/>
        </w:rPr>
        <w:t>significantly less than what the company had paid for the machines. Even with consideration being made for depreciation and c</w:t>
      </w:r>
      <w:r w:rsidR="00336396">
        <w:rPr>
          <w:rFonts w:ascii="Avenir Next" w:hAnsi="Avenir Next" w:cs="Arial"/>
          <w:color w:val="7B7B7B" w:themeColor="accent3" w:themeShade="BF"/>
          <w:sz w:val="22"/>
          <w:szCs w:val="22"/>
          <w:lang w:val="en-GB"/>
        </w:rPr>
        <w:t xml:space="preserve">hange in the macroeconomics, the difference would still be significantly less. </w:t>
      </w:r>
    </w:p>
    <w:p w14:paraId="58603223" w14:textId="65437088" w:rsidR="00F0677B" w:rsidRPr="00E10A39" w:rsidRDefault="00F0677B" w:rsidP="00E10A39">
      <w:pPr>
        <w:pStyle w:val="ListParagraph"/>
        <w:numPr>
          <w:ilvl w:val="0"/>
          <w:numId w:val="25"/>
        </w:numPr>
        <w:jc w:val="both"/>
        <w:rPr>
          <w:rFonts w:ascii="Avenir Next" w:hAnsi="Avenir Next" w:cs="Arial"/>
          <w:color w:val="7B7B7B" w:themeColor="accent3" w:themeShade="BF"/>
          <w:sz w:val="22"/>
          <w:szCs w:val="22"/>
          <w:lang w:val="en-GB"/>
        </w:rPr>
      </w:pPr>
      <w:r w:rsidRPr="001103DE">
        <w:rPr>
          <w:rFonts w:ascii="Avenir Next" w:hAnsi="Avenir Next" w:cs="Arial"/>
          <w:color w:val="7B7B7B" w:themeColor="accent3" w:themeShade="BF"/>
          <w:sz w:val="22"/>
          <w:szCs w:val="22"/>
          <w:lang w:val="en-GB"/>
        </w:rPr>
        <w:t xml:space="preserve">That at the time of </w:t>
      </w:r>
      <w:r w:rsidRPr="001103DE">
        <w:rPr>
          <w:rFonts w:ascii="Avenir Next" w:hAnsi="Avenir Next" w:cs="Arial"/>
          <w:color w:val="7B7B7B" w:themeColor="accent3" w:themeShade="BF"/>
          <w:sz w:val="22"/>
          <w:szCs w:val="22"/>
          <w:lang w:val="en-GB"/>
        </w:rPr>
        <w:t xml:space="preserve">transaction </w:t>
      </w:r>
      <w:r w:rsidRPr="001103DE">
        <w:rPr>
          <w:rFonts w:ascii="Avenir Next" w:hAnsi="Avenir Next" w:cs="Arial"/>
          <w:color w:val="7B7B7B" w:themeColor="accent3" w:themeShade="BF"/>
          <w:sz w:val="22"/>
          <w:szCs w:val="22"/>
          <w:lang w:val="en-GB"/>
        </w:rPr>
        <w:t xml:space="preserve">the company was unable to pay </w:t>
      </w:r>
      <w:r w:rsidR="00116F6E" w:rsidRPr="001103DE">
        <w:rPr>
          <w:rFonts w:ascii="Avenir Next" w:hAnsi="Avenir Next" w:cs="Arial"/>
          <w:color w:val="7B7B7B" w:themeColor="accent3" w:themeShade="BF"/>
          <w:sz w:val="22"/>
          <w:szCs w:val="22"/>
          <w:lang w:val="en-GB"/>
        </w:rPr>
        <w:t>its</w:t>
      </w:r>
      <w:r w:rsidRPr="001103DE">
        <w:rPr>
          <w:rFonts w:ascii="Avenir Next" w:hAnsi="Avenir Next" w:cs="Arial"/>
          <w:color w:val="7B7B7B" w:themeColor="accent3" w:themeShade="BF"/>
          <w:sz w:val="22"/>
          <w:szCs w:val="22"/>
          <w:lang w:val="en-GB"/>
        </w:rPr>
        <w:t xml:space="preserve"> debts as defined under Section 123</w:t>
      </w:r>
      <w:r w:rsidR="00116F6E">
        <w:rPr>
          <w:rFonts w:ascii="Avenir Next" w:hAnsi="Avenir Next" w:cs="Arial"/>
          <w:color w:val="7B7B7B" w:themeColor="accent3" w:themeShade="BF"/>
          <w:sz w:val="22"/>
          <w:szCs w:val="22"/>
          <w:lang w:val="en-GB"/>
        </w:rPr>
        <w:t xml:space="preserve"> or became unable to pay its debts </w:t>
      </w:r>
      <w:proofErr w:type="gramStart"/>
      <w:r w:rsidR="00116F6E">
        <w:rPr>
          <w:rFonts w:ascii="Avenir Next" w:hAnsi="Avenir Next" w:cs="Arial"/>
          <w:color w:val="7B7B7B" w:themeColor="accent3" w:themeShade="BF"/>
          <w:sz w:val="22"/>
          <w:szCs w:val="22"/>
          <w:lang w:val="en-GB"/>
        </w:rPr>
        <w:t>as a result of</w:t>
      </w:r>
      <w:proofErr w:type="gramEnd"/>
      <w:r w:rsidR="00116F6E">
        <w:rPr>
          <w:rFonts w:ascii="Avenir Next" w:hAnsi="Avenir Next" w:cs="Arial"/>
          <w:color w:val="7B7B7B" w:themeColor="accent3" w:themeShade="BF"/>
          <w:sz w:val="22"/>
          <w:szCs w:val="22"/>
          <w:lang w:val="en-GB"/>
        </w:rPr>
        <w:t xml:space="preserve"> the transaction</w:t>
      </w:r>
      <w:r w:rsidRPr="001103DE">
        <w:rPr>
          <w:rFonts w:ascii="Avenir Next" w:hAnsi="Avenir Next" w:cs="Arial"/>
          <w:color w:val="7B7B7B" w:themeColor="accent3" w:themeShade="BF"/>
          <w:sz w:val="22"/>
          <w:szCs w:val="22"/>
          <w:lang w:val="en-GB"/>
        </w:rPr>
        <w:t xml:space="preserve">. </w:t>
      </w:r>
      <w:r w:rsidR="001103DE" w:rsidRPr="001103DE">
        <w:rPr>
          <w:rFonts w:ascii="Avenir Next" w:hAnsi="Avenir Next" w:cs="Arial"/>
          <w:color w:val="7B7B7B" w:themeColor="accent3" w:themeShade="BF"/>
          <w:sz w:val="22"/>
          <w:szCs w:val="22"/>
          <w:lang w:val="en-GB"/>
        </w:rPr>
        <w:t xml:space="preserve">The transaction with a connected person creates a rebuttable presumption that the company was insolvent or became insolvent </w:t>
      </w:r>
      <w:r w:rsidR="00116F6E" w:rsidRPr="001103DE">
        <w:rPr>
          <w:rFonts w:ascii="Avenir Next" w:hAnsi="Avenir Next" w:cs="Arial"/>
          <w:color w:val="7B7B7B" w:themeColor="accent3" w:themeShade="BF"/>
          <w:sz w:val="22"/>
          <w:szCs w:val="22"/>
          <w:lang w:val="en-GB"/>
        </w:rPr>
        <w:t>because of</w:t>
      </w:r>
      <w:r w:rsidR="001103DE" w:rsidRPr="001103DE">
        <w:rPr>
          <w:rFonts w:ascii="Avenir Next" w:hAnsi="Avenir Next" w:cs="Arial"/>
          <w:color w:val="7B7B7B" w:themeColor="accent3" w:themeShade="BF"/>
          <w:sz w:val="22"/>
          <w:szCs w:val="22"/>
          <w:lang w:val="en-GB"/>
        </w:rPr>
        <w:t xml:space="preserve"> the transaction. </w:t>
      </w:r>
      <w:r w:rsidR="00C7680B">
        <w:rPr>
          <w:rFonts w:ascii="Avenir Next" w:hAnsi="Avenir Next" w:cs="Arial"/>
          <w:color w:val="7B7B7B" w:themeColor="accent3" w:themeShade="BF"/>
          <w:sz w:val="22"/>
          <w:szCs w:val="22"/>
          <w:lang w:val="en-GB"/>
        </w:rPr>
        <w:t xml:space="preserve">The liquidator may then only be required to adduce evidence to prove that Angela was a director of the </w:t>
      </w:r>
      <w:r w:rsidR="00871DD6">
        <w:rPr>
          <w:rFonts w:ascii="Avenir Next" w:hAnsi="Avenir Next" w:cs="Arial"/>
          <w:color w:val="7B7B7B" w:themeColor="accent3" w:themeShade="BF"/>
          <w:sz w:val="22"/>
          <w:szCs w:val="22"/>
          <w:lang w:val="en-GB"/>
        </w:rPr>
        <w:t xml:space="preserve">Blazer Laser. </w:t>
      </w:r>
    </w:p>
    <w:p w14:paraId="6DA1199B" w14:textId="77777777" w:rsidR="00F0677B" w:rsidRDefault="00F0677B" w:rsidP="00F0677B">
      <w:pPr>
        <w:ind w:left="360"/>
        <w:jc w:val="both"/>
        <w:rPr>
          <w:rFonts w:ascii="Avenir Next" w:hAnsi="Avenir Next" w:cs="Arial"/>
          <w:color w:val="7B7B7B" w:themeColor="accent3" w:themeShade="BF"/>
          <w:sz w:val="22"/>
          <w:szCs w:val="22"/>
          <w:lang w:val="en-GB"/>
        </w:rPr>
      </w:pPr>
    </w:p>
    <w:p w14:paraId="5931E9FC" w14:textId="5380E18B" w:rsidR="00F0677B" w:rsidRPr="00F0677B" w:rsidRDefault="00F0677B" w:rsidP="00E10A3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While it is evident and important to note that the transaction was </w:t>
      </w:r>
      <w:r w:rsidR="00B41328">
        <w:rPr>
          <w:rFonts w:ascii="Avenir Next" w:hAnsi="Avenir Next" w:cs="Arial"/>
          <w:color w:val="7B7B7B" w:themeColor="accent3" w:themeShade="BF"/>
          <w:sz w:val="22"/>
          <w:szCs w:val="22"/>
          <w:lang w:val="en-GB"/>
        </w:rPr>
        <w:t xml:space="preserve">with a connected person, this is not a prerequisite of liability under the Act. </w:t>
      </w:r>
    </w:p>
    <w:p w14:paraId="5D1ED05C" w14:textId="77777777" w:rsidR="007D7FAB" w:rsidRDefault="007D7FAB" w:rsidP="00197F24">
      <w:pPr>
        <w:jc w:val="both"/>
        <w:rPr>
          <w:rFonts w:ascii="Avenir Next" w:hAnsi="Avenir Next" w:cs="Arial"/>
          <w:color w:val="7B7B7B" w:themeColor="accent3" w:themeShade="BF"/>
          <w:sz w:val="22"/>
          <w:szCs w:val="22"/>
          <w:lang w:val="en-GB"/>
        </w:rPr>
      </w:pPr>
    </w:p>
    <w:p w14:paraId="4286A375" w14:textId="78462D90" w:rsidR="001F4140" w:rsidRDefault="00E10A3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protection under Section 238 </w:t>
      </w:r>
      <w:r w:rsidR="006C2499">
        <w:rPr>
          <w:rFonts w:ascii="Avenir Next" w:hAnsi="Avenir Next" w:cs="Arial"/>
          <w:color w:val="7B7B7B" w:themeColor="accent3" w:themeShade="BF"/>
          <w:sz w:val="22"/>
          <w:szCs w:val="22"/>
          <w:lang w:val="en-GB"/>
        </w:rPr>
        <w:t xml:space="preserve">is aimed at restoring the position of the company to what it would have been if </w:t>
      </w:r>
      <w:r w:rsidR="008E5554">
        <w:rPr>
          <w:rFonts w:ascii="Avenir Next" w:hAnsi="Avenir Next" w:cs="Arial"/>
          <w:color w:val="7B7B7B" w:themeColor="accent3" w:themeShade="BF"/>
          <w:sz w:val="22"/>
          <w:szCs w:val="22"/>
          <w:lang w:val="en-GB"/>
        </w:rPr>
        <w:t xml:space="preserve">the transaction </w:t>
      </w:r>
      <w:r w:rsidR="00B86854">
        <w:rPr>
          <w:rFonts w:ascii="Avenir Next" w:hAnsi="Avenir Next" w:cs="Arial"/>
          <w:color w:val="7B7B7B" w:themeColor="accent3" w:themeShade="BF"/>
          <w:sz w:val="22"/>
          <w:szCs w:val="22"/>
          <w:lang w:val="en-GB"/>
        </w:rPr>
        <w:t xml:space="preserve">had not been </w:t>
      </w:r>
      <w:r w:rsidR="00552E5F">
        <w:rPr>
          <w:rFonts w:ascii="Avenir Next" w:hAnsi="Avenir Next" w:cs="Arial"/>
          <w:color w:val="7B7B7B" w:themeColor="accent3" w:themeShade="BF"/>
          <w:sz w:val="22"/>
          <w:szCs w:val="22"/>
          <w:lang w:val="en-GB"/>
        </w:rPr>
        <w:t>entered</w:t>
      </w:r>
      <w:r w:rsidR="008E5554">
        <w:rPr>
          <w:rFonts w:ascii="Avenir Next" w:hAnsi="Avenir Next" w:cs="Arial"/>
          <w:color w:val="7B7B7B" w:themeColor="accent3" w:themeShade="BF"/>
          <w:sz w:val="22"/>
          <w:szCs w:val="22"/>
          <w:lang w:val="en-GB"/>
        </w:rPr>
        <w:t xml:space="preserve">.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proofErr w:type="gramStart"/>
      <w:r w:rsidR="00311816" w:rsidRPr="0004444C">
        <w:rPr>
          <w:rFonts w:ascii="Avenir Next Demi Bold" w:hAnsi="Avenir Next Demi Bold" w:cs="Arial"/>
          <w:b/>
          <w:bCs/>
          <w:sz w:val="22"/>
          <w:szCs w:val="22"/>
        </w:rPr>
        <w:t>4</w:t>
      </w:r>
      <w:proofErr w:type="gramEnd"/>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372D6306" w14:textId="77777777" w:rsidR="00442327" w:rsidRDefault="00442327" w:rsidP="00B04033">
      <w:pPr>
        <w:rPr>
          <w:rFonts w:ascii="Avenir Next" w:hAnsi="Avenir Next" w:cs="Arial"/>
          <w:b/>
          <w:sz w:val="22"/>
          <w:szCs w:val="22"/>
        </w:rPr>
      </w:pPr>
    </w:p>
    <w:p w14:paraId="72C79D7A" w14:textId="76C68D82" w:rsidR="00B04033" w:rsidRPr="007C2389" w:rsidRDefault="00442327" w:rsidP="00DF0687">
      <w:pPr>
        <w:jc w:val="both"/>
        <w:rPr>
          <w:rFonts w:ascii="Avenir Next" w:hAnsi="Avenir Next" w:cs="Arial"/>
          <w:color w:val="7B7B7B" w:themeColor="accent3" w:themeShade="BF"/>
          <w:sz w:val="22"/>
          <w:szCs w:val="22"/>
          <w:lang w:val="en-GB"/>
        </w:rPr>
      </w:pPr>
      <w:r w:rsidRPr="007C2389">
        <w:rPr>
          <w:rFonts w:ascii="Avenir Next" w:hAnsi="Avenir Next" w:cs="Arial"/>
          <w:color w:val="7B7B7B" w:themeColor="accent3" w:themeShade="BF"/>
          <w:sz w:val="22"/>
          <w:szCs w:val="22"/>
          <w:lang w:val="en-GB"/>
        </w:rPr>
        <w:t xml:space="preserve">While the Liquidator may bring action </w:t>
      </w:r>
      <w:r w:rsidR="007C2389" w:rsidRPr="007C2389">
        <w:rPr>
          <w:rFonts w:ascii="Avenir Next" w:hAnsi="Avenir Next" w:cs="Arial"/>
          <w:color w:val="7B7B7B" w:themeColor="accent3" w:themeShade="BF"/>
          <w:sz w:val="22"/>
          <w:szCs w:val="22"/>
          <w:lang w:val="en-GB"/>
        </w:rPr>
        <w:t>to void the payments made to Aluminium Alumini Limited</w:t>
      </w:r>
      <w:r w:rsidR="00F83A58">
        <w:rPr>
          <w:rFonts w:ascii="Avenir Next" w:hAnsi="Avenir Next" w:cs="Arial"/>
          <w:color w:val="7B7B7B" w:themeColor="accent3" w:themeShade="BF"/>
          <w:sz w:val="22"/>
          <w:szCs w:val="22"/>
          <w:lang w:val="en-GB"/>
        </w:rPr>
        <w:t xml:space="preserve"> (Alumini)</w:t>
      </w:r>
      <w:r w:rsidR="007C2389">
        <w:rPr>
          <w:rFonts w:ascii="Avenir Next" w:hAnsi="Avenir Next" w:cs="Arial"/>
          <w:color w:val="7B7B7B" w:themeColor="accent3" w:themeShade="BF"/>
          <w:sz w:val="22"/>
          <w:szCs w:val="22"/>
          <w:lang w:val="en-GB"/>
        </w:rPr>
        <w:t xml:space="preserve"> under the provisions of Sections </w:t>
      </w:r>
      <w:r w:rsidR="0083021C">
        <w:rPr>
          <w:rFonts w:ascii="Avenir Next" w:hAnsi="Avenir Next" w:cs="Arial"/>
          <w:color w:val="7B7B7B" w:themeColor="accent3" w:themeShade="BF"/>
          <w:sz w:val="22"/>
          <w:szCs w:val="22"/>
          <w:lang w:val="en-GB"/>
        </w:rPr>
        <w:t xml:space="preserve">127 and </w:t>
      </w:r>
      <w:r w:rsidR="00C8501B">
        <w:rPr>
          <w:rFonts w:ascii="Avenir Next" w:hAnsi="Avenir Next" w:cs="Arial"/>
          <w:color w:val="7B7B7B" w:themeColor="accent3" w:themeShade="BF"/>
          <w:sz w:val="22"/>
          <w:szCs w:val="22"/>
          <w:lang w:val="en-GB"/>
        </w:rPr>
        <w:t>239 of the Act. However, the evidentiary burden</w:t>
      </w:r>
      <w:r w:rsidR="00861AE6">
        <w:rPr>
          <w:rFonts w:ascii="Avenir Next" w:hAnsi="Avenir Next" w:cs="Arial"/>
          <w:color w:val="7B7B7B" w:themeColor="accent3" w:themeShade="BF"/>
          <w:sz w:val="22"/>
          <w:szCs w:val="22"/>
          <w:lang w:val="en-GB"/>
        </w:rPr>
        <w:t xml:space="preserve"> and </w:t>
      </w:r>
      <w:r w:rsidR="003204D8">
        <w:rPr>
          <w:rFonts w:ascii="Avenir Next" w:hAnsi="Avenir Next" w:cs="Arial"/>
          <w:color w:val="7B7B7B" w:themeColor="accent3" w:themeShade="BF"/>
          <w:sz w:val="22"/>
          <w:szCs w:val="22"/>
          <w:lang w:val="en-GB"/>
        </w:rPr>
        <w:t>exceptions to the application</w:t>
      </w:r>
      <w:r w:rsidR="00C8501B">
        <w:rPr>
          <w:rFonts w:ascii="Avenir Next" w:hAnsi="Avenir Next" w:cs="Arial"/>
          <w:color w:val="7B7B7B" w:themeColor="accent3" w:themeShade="BF"/>
          <w:sz w:val="22"/>
          <w:szCs w:val="22"/>
          <w:lang w:val="en-GB"/>
        </w:rPr>
        <w:t xml:space="preserve"> of the </w:t>
      </w:r>
      <w:r w:rsidR="00861AE6">
        <w:rPr>
          <w:rFonts w:ascii="Avenir Next" w:hAnsi="Avenir Next" w:cs="Arial"/>
          <w:color w:val="7B7B7B" w:themeColor="accent3" w:themeShade="BF"/>
          <w:sz w:val="22"/>
          <w:szCs w:val="22"/>
          <w:lang w:val="en-GB"/>
        </w:rPr>
        <w:t xml:space="preserve">provisions may reduce the chances of success the liquidator’s case as discussed below.  </w:t>
      </w:r>
    </w:p>
    <w:p w14:paraId="3FE029A2" w14:textId="77777777" w:rsidR="00442327" w:rsidRDefault="00442327" w:rsidP="00DF0687">
      <w:pPr>
        <w:jc w:val="both"/>
        <w:rPr>
          <w:rFonts w:ascii="Avenir Next" w:hAnsi="Avenir Next" w:cs="Arial"/>
          <w:color w:val="7B7B7B" w:themeColor="accent3" w:themeShade="BF"/>
          <w:sz w:val="22"/>
          <w:szCs w:val="22"/>
          <w:lang w:val="en-GB"/>
        </w:rPr>
      </w:pPr>
    </w:p>
    <w:p w14:paraId="5AB3225B" w14:textId="2041B2D9" w:rsidR="00CF3708" w:rsidRDefault="0070606F" w:rsidP="00DF068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payment to Alumini</w:t>
      </w:r>
      <w:r w:rsidR="009054D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could be caught under </w:t>
      </w:r>
      <w:r>
        <w:rPr>
          <w:rFonts w:ascii="Avenir Next" w:hAnsi="Avenir Next" w:cs="Arial"/>
          <w:color w:val="7B7B7B" w:themeColor="accent3" w:themeShade="BF"/>
          <w:sz w:val="22"/>
          <w:szCs w:val="22"/>
          <w:lang w:val="en-GB"/>
        </w:rPr>
        <w:t xml:space="preserve">Section 127 which allows the liquidator to retrieve assets disposed of during the period between the application for winding up and the issuance of the winding up order </w:t>
      </w:r>
      <w:r w:rsidR="004D0C51">
        <w:rPr>
          <w:rFonts w:ascii="Avenir Next" w:hAnsi="Avenir Next" w:cs="Arial"/>
          <w:color w:val="7B7B7B" w:themeColor="accent3" w:themeShade="BF"/>
          <w:sz w:val="22"/>
          <w:szCs w:val="22"/>
          <w:lang w:val="en-GB"/>
        </w:rPr>
        <w:t xml:space="preserve">since the payment was made </w:t>
      </w:r>
      <w:r w:rsidR="005C0421">
        <w:rPr>
          <w:rFonts w:ascii="Avenir Next" w:hAnsi="Avenir Next" w:cs="Arial"/>
          <w:color w:val="7B7B7B" w:themeColor="accent3" w:themeShade="BF"/>
          <w:sz w:val="22"/>
          <w:szCs w:val="22"/>
          <w:lang w:val="en-GB"/>
        </w:rPr>
        <w:t xml:space="preserve">just a month before the winding up order. Section 127 includes both disposal of assets and payments of money as is the case with the payment made to Alumini. </w:t>
      </w:r>
      <w:r w:rsidR="00207EDD">
        <w:rPr>
          <w:rFonts w:ascii="Avenir Next" w:hAnsi="Avenir Next" w:cs="Arial"/>
          <w:color w:val="7B7B7B" w:themeColor="accent3" w:themeShade="BF"/>
          <w:sz w:val="22"/>
          <w:szCs w:val="22"/>
          <w:lang w:val="en-GB"/>
        </w:rPr>
        <w:t xml:space="preserve">However, when placing reliance on this position, the liquidator should prepare for a scenario where Alumini seeks a validation order </w:t>
      </w:r>
      <w:r w:rsidR="008D64C1">
        <w:rPr>
          <w:rFonts w:ascii="Avenir Next" w:hAnsi="Avenir Next" w:cs="Arial"/>
          <w:color w:val="7B7B7B" w:themeColor="accent3" w:themeShade="BF"/>
          <w:sz w:val="22"/>
          <w:szCs w:val="22"/>
          <w:lang w:val="en-GB"/>
        </w:rPr>
        <w:t xml:space="preserve">on grounds that the payment made to them was to enable the company to keep trading and for the wider benefit of the general body of unsecured creditors. </w:t>
      </w:r>
      <w:r w:rsidR="00442327">
        <w:rPr>
          <w:rFonts w:ascii="Avenir Next" w:hAnsi="Avenir Next" w:cs="Arial"/>
          <w:color w:val="7B7B7B" w:themeColor="accent3" w:themeShade="BF"/>
          <w:sz w:val="22"/>
          <w:szCs w:val="22"/>
          <w:lang w:val="en-GB"/>
        </w:rPr>
        <w:t>If Alumini can satisfy the court that the</w:t>
      </w:r>
      <w:r>
        <w:rPr>
          <w:rFonts w:ascii="Avenir Next" w:hAnsi="Avenir Next" w:cs="Arial"/>
          <w:color w:val="7B7B7B" w:themeColor="accent3" w:themeShade="BF"/>
          <w:sz w:val="22"/>
          <w:szCs w:val="22"/>
          <w:lang w:val="en-GB"/>
        </w:rPr>
        <w:t xml:space="preserve"> </w:t>
      </w:r>
      <w:r w:rsidR="0083021C">
        <w:rPr>
          <w:rFonts w:ascii="Avenir Next" w:hAnsi="Avenir Next" w:cs="Arial"/>
          <w:color w:val="7B7B7B" w:themeColor="accent3" w:themeShade="BF"/>
          <w:sz w:val="22"/>
          <w:szCs w:val="22"/>
          <w:lang w:val="en-GB"/>
        </w:rPr>
        <w:t xml:space="preserve">payment was to allow the company to continue to trade, it may be validated. </w:t>
      </w:r>
    </w:p>
    <w:p w14:paraId="78684154" w14:textId="77777777" w:rsidR="0083021C" w:rsidRDefault="0083021C" w:rsidP="00DF0687">
      <w:pPr>
        <w:jc w:val="both"/>
        <w:rPr>
          <w:rFonts w:ascii="Avenir Next" w:hAnsi="Avenir Next" w:cs="Arial"/>
          <w:color w:val="7B7B7B" w:themeColor="accent3" w:themeShade="BF"/>
          <w:sz w:val="22"/>
          <w:szCs w:val="22"/>
          <w:lang w:val="en-GB"/>
        </w:rPr>
      </w:pPr>
    </w:p>
    <w:p w14:paraId="46DE0510" w14:textId="2F5654F8" w:rsidR="00B257E9" w:rsidRDefault="0083021C" w:rsidP="00DF068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provision that the liquidator may rely on to bring action under </w:t>
      </w:r>
      <w:r w:rsidR="00C8501B">
        <w:rPr>
          <w:rFonts w:ascii="Avenir Next" w:hAnsi="Avenir Next" w:cs="Arial"/>
          <w:color w:val="7B7B7B" w:themeColor="accent3" w:themeShade="BF"/>
          <w:sz w:val="22"/>
          <w:szCs w:val="22"/>
          <w:lang w:val="en-GB"/>
        </w:rPr>
        <w:t xml:space="preserve">section 239 of the Act </w:t>
      </w:r>
      <w:r w:rsidR="00865031">
        <w:rPr>
          <w:rFonts w:ascii="Avenir Next" w:hAnsi="Avenir Next" w:cs="Arial"/>
          <w:color w:val="7B7B7B" w:themeColor="accent3" w:themeShade="BF"/>
          <w:sz w:val="22"/>
          <w:szCs w:val="22"/>
          <w:lang w:val="en-GB"/>
        </w:rPr>
        <w:t xml:space="preserve">which </w:t>
      </w:r>
      <w:r w:rsidR="00C168C2">
        <w:rPr>
          <w:rFonts w:ascii="Avenir Next" w:hAnsi="Avenir Next" w:cs="Arial"/>
          <w:color w:val="7B7B7B" w:themeColor="accent3" w:themeShade="BF"/>
          <w:sz w:val="22"/>
          <w:szCs w:val="22"/>
          <w:lang w:val="en-GB"/>
        </w:rPr>
        <w:t xml:space="preserve">prevents the company from placing one of its creditors in a better position shortly before entering insolvency proceedings. </w:t>
      </w:r>
      <w:r w:rsidR="009F093E">
        <w:rPr>
          <w:rFonts w:ascii="Avenir Next" w:hAnsi="Avenir Next" w:cs="Arial"/>
          <w:color w:val="7B7B7B" w:themeColor="accent3" w:themeShade="BF"/>
          <w:sz w:val="22"/>
          <w:szCs w:val="22"/>
          <w:lang w:val="en-GB"/>
        </w:rPr>
        <w:t xml:space="preserve">Alumini demanded payment of all sums owing to it and the company made payment of GBP 20,000 </w:t>
      </w:r>
      <w:r w:rsidR="00D1012F">
        <w:rPr>
          <w:rFonts w:ascii="Avenir Next" w:hAnsi="Avenir Next" w:cs="Arial"/>
          <w:color w:val="7B7B7B" w:themeColor="accent3" w:themeShade="BF"/>
          <w:sz w:val="22"/>
          <w:szCs w:val="22"/>
          <w:lang w:val="en-GB"/>
        </w:rPr>
        <w:t xml:space="preserve">to cover existing liabilities, just a month before the </w:t>
      </w:r>
      <w:r w:rsidR="00416C4C">
        <w:rPr>
          <w:rFonts w:ascii="Avenir Next" w:hAnsi="Avenir Next" w:cs="Arial"/>
          <w:color w:val="7B7B7B" w:themeColor="accent3" w:themeShade="BF"/>
          <w:sz w:val="22"/>
          <w:szCs w:val="22"/>
          <w:lang w:val="en-GB"/>
        </w:rPr>
        <w:t xml:space="preserve">winding up order was </w:t>
      </w:r>
      <w:r w:rsidR="00416C4C">
        <w:rPr>
          <w:rFonts w:ascii="Avenir Next" w:hAnsi="Avenir Next" w:cs="Arial"/>
          <w:color w:val="7B7B7B" w:themeColor="accent3" w:themeShade="BF"/>
          <w:sz w:val="22"/>
          <w:szCs w:val="22"/>
          <w:lang w:val="en-GB"/>
        </w:rPr>
        <w:lastRenderedPageBreak/>
        <w:t>made. This i</w:t>
      </w:r>
      <w:r w:rsidR="00B45708">
        <w:rPr>
          <w:rFonts w:ascii="Avenir Next" w:hAnsi="Avenir Next" w:cs="Arial"/>
          <w:color w:val="7B7B7B" w:themeColor="accent3" w:themeShade="BF"/>
          <w:sz w:val="22"/>
          <w:szCs w:val="22"/>
          <w:lang w:val="en-GB"/>
        </w:rPr>
        <w:t>n</w:t>
      </w:r>
      <w:r w:rsidR="00416C4C">
        <w:rPr>
          <w:rFonts w:ascii="Avenir Next" w:hAnsi="Avenir Next" w:cs="Arial"/>
          <w:color w:val="7B7B7B" w:themeColor="accent3" w:themeShade="BF"/>
          <w:sz w:val="22"/>
          <w:szCs w:val="22"/>
          <w:lang w:val="en-GB"/>
        </w:rPr>
        <w:t xml:space="preserve"> essence </w:t>
      </w:r>
      <w:r w:rsidR="00EF6A16">
        <w:rPr>
          <w:rFonts w:ascii="Avenir Next" w:hAnsi="Avenir Next" w:cs="Arial"/>
          <w:color w:val="7B7B7B" w:themeColor="accent3" w:themeShade="BF"/>
          <w:sz w:val="22"/>
          <w:szCs w:val="22"/>
          <w:lang w:val="en-GB"/>
        </w:rPr>
        <w:t>availed company assets in the form of cash to an unsecured creditor, giving them</w:t>
      </w:r>
      <w:r w:rsidR="00E63E2D">
        <w:rPr>
          <w:rFonts w:ascii="Avenir Next" w:hAnsi="Avenir Next" w:cs="Arial"/>
          <w:color w:val="7B7B7B" w:themeColor="accent3" w:themeShade="BF"/>
          <w:sz w:val="22"/>
          <w:szCs w:val="22"/>
          <w:lang w:val="en-GB"/>
        </w:rPr>
        <w:t xml:space="preserve"> priority. </w:t>
      </w:r>
      <w:r w:rsidR="00B257E9">
        <w:rPr>
          <w:rFonts w:ascii="Avenir Next" w:hAnsi="Avenir Next" w:cs="Arial"/>
          <w:color w:val="7B7B7B" w:themeColor="accent3" w:themeShade="BF"/>
          <w:sz w:val="22"/>
          <w:szCs w:val="22"/>
          <w:lang w:val="en-GB"/>
        </w:rPr>
        <w:t>Under Section 239, the liquidator must satisfy the court that:</w:t>
      </w:r>
    </w:p>
    <w:p w14:paraId="773B7FCD" w14:textId="521506F0" w:rsidR="00B257E9" w:rsidRDefault="00B257E9" w:rsidP="00B257E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That the person alleged to have been preferred was a creditor of the company</w:t>
      </w:r>
      <w:r w:rsidR="007113DE">
        <w:rPr>
          <w:rFonts w:ascii="Avenir Next" w:hAnsi="Avenir Next" w:cs="Arial"/>
          <w:color w:val="7B7B7B" w:themeColor="accent3" w:themeShade="BF"/>
          <w:sz w:val="22"/>
          <w:szCs w:val="22"/>
          <w:lang w:val="en-GB"/>
        </w:rPr>
        <w:t xml:space="preserve"> at the time of the transaction. </w:t>
      </w:r>
      <w:r w:rsidR="00416402">
        <w:rPr>
          <w:rFonts w:ascii="Avenir Next" w:hAnsi="Avenir Next" w:cs="Arial"/>
          <w:color w:val="7B7B7B" w:themeColor="accent3" w:themeShade="BF"/>
          <w:sz w:val="22"/>
          <w:szCs w:val="22"/>
          <w:lang w:val="en-GB"/>
        </w:rPr>
        <w:t>Alumini</w:t>
      </w:r>
      <w:r w:rsidR="007113DE">
        <w:rPr>
          <w:rFonts w:ascii="Avenir Next" w:hAnsi="Avenir Next" w:cs="Arial"/>
          <w:color w:val="7B7B7B" w:themeColor="accent3" w:themeShade="BF"/>
          <w:sz w:val="22"/>
          <w:szCs w:val="22"/>
          <w:lang w:val="en-GB"/>
        </w:rPr>
        <w:t xml:space="preserve"> was owed monies by the company as evidenced by its demand for payment and subsequent payments made. </w:t>
      </w:r>
    </w:p>
    <w:p w14:paraId="3DA79054" w14:textId="1D531B4D" w:rsidR="007113DE" w:rsidRDefault="0087350C" w:rsidP="00B257E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something was done which had the effect of putting that person in a better position in the event of the company going into insolvent liquidation. The payment made to Alumini </w:t>
      </w:r>
      <w:r w:rsidR="005505E5">
        <w:rPr>
          <w:rFonts w:ascii="Avenir Next" w:hAnsi="Avenir Next" w:cs="Arial"/>
          <w:color w:val="7B7B7B" w:themeColor="accent3" w:themeShade="BF"/>
          <w:sz w:val="22"/>
          <w:szCs w:val="22"/>
          <w:lang w:val="en-GB"/>
        </w:rPr>
        <w:t xml:space="preserve">as </w:t>
      </w:r>
      <w:r w:rsidR="00C25B0C">
        <w:rPr>
          <w:rFonts w:ascii="Avenir Next" w:hAnsi="Avenir Next" w:cs="Arial"/>
          <w:color w:val="7B7B7B" w:themeColor="accent3" w:themeShade="BF"/>
          <w:sz w:val="22"/>
          <w:szCs w:val="22"/>
          <w:lang w:val="en-GB"/>
        </w:rPr>
        <w:t>an unsecured creditor</w:t>
      </w:r>
      <w:r w:rsidR="004C1A0A">
        <w:rPr>
          <w:rFonts w:ascii="Avenir Next" w:hAnsi="Avenir Next" w:cs="Arial"/>
          <w:color w:val="7B7B7B" w:themeColor="accent3" w:themeShade="BF"/>
          <w:sz w:val="22"/>
          <w:szCs w:val="22"/>
          <w:lang w:val="en-GB"/>
        </w:rPr>
        <w:t xml:space="preserve"> had the effect of settling its debt in full thus putting it </w:t>
      </w:r>
      <w:r w:rsidR="00E30B90">
        <w:rPr>
          <w:rFonts w:ascii="Avenir Next" w:hAnsi="Avenir Next" w:cs="Arial"/>
          <w:color w:val="7B7B7B" w:themeColor="accent3" w:themeShade="BF"/>
          <w:sz w:val="22"/>
          <w:szCs w:val="22"/>
          <w:lang w:val="en-GB"/>
        </w:rPr>
        <w:t>in a</w:t>
      </w:r>
      <w:r w:rsidR="004C1A0A">
        <w:rPr>
          <w:rFonts w:ascii="Avenir Next" w:hAnsi="Avenir Next" w:cs="Arial"/>
          <w:color w:val="7B7B7B" w:themeColor="accent3" w:themeShade="BF"/>
          <w:sz w:val="22"/>
          <w:szCs w:val="22"/>
          <w:lang w:val="en-GB"/>
        </w:rPr>
        <w:t xml:space="preserve"> better position</w:t>
      </w:r>
      <w:r w:rsidR="00523EB0">
        <w:rPr>
          <w:rFonts w:ascii="Avenir Next" w:hAnsi="Avenir Next" w:cs="Arial"/>
          <w:color w:val="7B7B7B" w:themeColor="accent3" w:themeShade="BF"/>
          <w:sz w:val="22"/>
          <w:szCs w:val="22"/>
          <w:lang w:val="en-GB"/>
        </w:rPr>
        <w:t xml:space="preserve"> in the liquidation as its exposure is wiped out. </w:t>
      </w:r>
    </w:p>
    <w:p w14:paraId="6925F5AD" w14:textId="5D60DC0E" w:rsidR="001E762F" w:rsidRDefault="001E762F" w:rsidP="00B257E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was influenced by the desire </w:t>
      </w:r>
      <w:r w:rsidR="00C14526">
        <w:rPr>
          <w:rFonts w:ascii="Avenir Next" w:hAnsi="Avenir Next" w:cs="Arial"/>
          <w:color w:val="7B7B7B" w:themeColor="accent3" w:themeShade="BF"/>
          <w:sz w:val="22"/>
          <w:szCs w:val="22"/>
          <w:lang w:val="en-GB"/>
        </w:rPr>
        <w:t xml:space="preserve">to prefer. </w:t>
      </w:r>
      <w:r w:rsidR="00EC4197">
        <w:rPr>
          <w:rFonts w:ascii="Avenir Next" w:hAnsi="Avenir Next" w:cs="Arial"/>
          <w:color w:val="7B7B7B" w:themeColor="accent3" w:themeShade="BF"/>
          <w:sz w:val="22"/>
          <w:szCs w:val="22"/>
          <w:lang w:val="en-GB"/>
        </w:rPr>
        <w:t xml:space="preserve">The pressure by Alumini in </w:t>
      </w:r>
      <w:r w:rsidR="00D65862">
        <w:rPr>
          <w:rFonts w:ascii="Avenir Next" w:hAnsi="Avenir Next" w:cs="Arial"/>
          <w:color w:val="7B7B7B" w:themeColor="accent3" w:themeShade="BF"/>
          <w:sz w:val="22"/>
          <w:szCs w:val="22"/>
          <w:lang w:val="en-GB"/>
        </w:rPr>
        <w:t>demand</w:t>
      </w:r>
      <w:r w:rsidR="00EC4197">
        <w:rPr>
          <w:rFonts w:ascii="Avenir Next" w:hAnsi="Avenir Next" w:cs="Arial"/>
          <w:color w:val="7B7B7B" w:themeColor="accent3" w:themeShade="BF"/>
          <w:sz w:val="22"/>
          <w:szCs w:val="22"/>
          <w:lang w:val="en-GB"/>
        </w:rPr>
        <w:t xml:space="preserve">ing </w:t>
      </w:r>
      <w:r w:rsidR="00D65862">
        <w:rPr>
          <w:rFonts w:ascii="Avenir Next" w:hAnsi="Avenir Next" w:cs="Arial"/>
          <w:color w:val="7B7B7B" w:themeColor="accent3" w:themeShade="BF"/>
          <w:sz w:val="22"/>
          <w:szCs w:val="22"/>
          <w:lang w:val="en-GB"/>
        </w:rPr>
        <w:t>payment</w:t>
      </w:r>
      <w:r w:rsidR="00EC4197">
        <w:rPr>
          <w:rFonts w:ascii="Avenir Next" w:hAnsi="Avenir Next" w:cs="Arial"/>
          <w:color w:val="7B7B7B" w:themeColor="accent3" w:themeShade="BF"/>
          <w:sz w:val="22"/>
          <w:szCs w:val="22"/>
          <w:lang w:val="en-GB"/>
        </w:rPr>
        <w:t xml:space="preserve"> in full,</w:t>
      </w:r>
      <w:r w:rsidR="00D65862">
        <w:rPr>
          <w:rFonts w:ascii="Avenir Next" w:hAnsi="Avenir Next" w:cs="Arial"/>
          <w:color w:val="7B7B7B" w:themeColor="accent3" w:themeShade="BF"/>
          <w:sz w:val="22"/>
          <w:szCs w:val="22"/>
          <w:lang w:val="en-GB"/>
        </w:rPr>
        <w:t xml:space="preserve"> requiring the company to do something </w:t>
      </w:r>
      <w:r w:rsidR="003B6AC3">
        <w:rPr>
          <w:rFonts w:ascii="Avenir Next" w:hAnsi="Avenir Next" w:cs="Arial"/>
          <w:color w:val="7B7B7B" w:themeColor="accent3" w:themeShade="BF"/>
          <w:sz w:val="22"/>
          <w:szCs w:val="22"/>
          <w:lang w:val="en-GB"/>
        </w:rPr>
        <w:t xml:space="preserve">may be considered relevant in determining requisite desire. </w:t>
      </w:r>
      <w:r w:rsidR="00E139B0">
        <w:rPr>
          <w:rFonts w:ascii="Avenir Next" w:hAnsi="Avenir Next" w:cs="Arial"/>
          <w:color w:val="7B7B7B" w:themeColor="accent3" w:themeShade="BF"/>
          <w:sz w:val="22"/>
          <w:szCs w:val="22"/>
          <w:lang w:val="en-GB"/>
        </w:rPr>
        <w:t xml:space="preserve">Since the desire to prefer is presumed unless the contrary is shown, Alumini may oppose the </w:t>
      </w:r>
      <w:r w:rsidR="00D20E0F">
        <w:rPr>
          <w:rFonts w:ascii="Avenir Next" w:hAnsi="Avenir Next" w:cs="Arial"/>
          <w:color w:val="7B7B7B" w:themeColor="accent3" w:themeShade="BF"/>
          <w:sz w:val="22"/>
          <w:szCs w:val="22"/>
          <w:lang w:val="en-GB"/>
        </w:rPr>
        <w:t>liquidator’s</w:t>
      </w:r>
      <w:r w:rsidR="00E139B0">
        <w:rPr>
          <w:rFonts w:ascii="Avenir Next" w:hAnsi="Avenir Next" w:cs="Arial"/>
          <w:color w:val="7B7B7B" w:themeColor="accent3" w:themeShade="BF"/>
          <w:sz w:val="22"/>
          <w:szCs w:val="22"/>
          <w:lang w:val="en-GB"/>
        </w:rPr>
        <w:t xml:space="preserve"> application to challenge this ground. </w:t>
      </w:r>
    </w:p>
    <w:p w14:paraId="2BF28F68" w14:textId="4F818C75" w:rsidR="00C14526" w:rsidRDefault="00C14526" w:rsidP="00B257E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preference was given to at a re</w:t>
      </w:r>
      <w:r w:rsidR="009D6190">
        <w:rPr>
          <w:rFonts w:ascii="Avenir Next" w:hAnsi="Avenir Next" w:cs="Arial"/>
          <w:color w:val="7B7B7B" w:themeColor="accent3" w:themeShade="BF"/>
          <w:sz w:val="22"/>
          <w:szCs w:val="22"/>
          <w:lang w:val="en-GB"/>
        </w:rPr>
        <w:t xml:space="preserve">levant time. The fact that the preference was given just one month before the winding up order </w:t>
      </w:r>
      <w:r w:rsidR="00821BD8">
        <w:rPr>
          <w:rFonts w:ascii="Avenir Next" w:hAnsi="Avenir Next" w:cs="Arial"/>
          <w:color w:val="7B7B7B" w:themeColor="accent3" w:themeShade="BF"/>
          <w:sz w:val="22"/>
          <w:szCs w:val="22"/>
          <w:lang w:val="en-GB"/>
        </w:rPr>
        <w:t>qualifies</w:t>
      </w:r>
      <w:r w:rsidR="009D6190">
        <w:rPr>
          <w:rFonts w:ascii="Avenir Next" w:hAnsi="Avenir Next" w:cs="Arial"/>
          <w:color w:val="7B7B7B" w:themeColor="accent3" w:themeShade="BF"/>
          <w:sz w:val="22"/>
          <w:szCs w:val="22"/>
          <w:lang w:val="en-GB"/>
        </w:rPr>
        <w:t xml:space="preserve"> for the preference to have been given at the relevant time</w:t>
      </w:r>
      <w:r w:rsidR="004B77F0">
        <w:rPr>
          <w:rFonts w:ascii="Avenir Next" w:hAnsi="Avenir Next" w:cs="Arial"/>
          <w:color w:val="7B7B7B" w:themeColor="accent3" w:themeShade="BF"/>
          <w:sz w:val="22"/>
          <w:szCs w:val="22"/>
          <w:lang w:val="en-GB"/>
        </w:rPr>
        <w:t xml:space="preserve"> as the relevant time is 6 months prior to the onset of insolvency </w:t>
      </w:r>
      <w:r w:rsidR="00D636A3">
        <w:rPr>
          <w:rFonts w:ascii="Avenir Next" w:hAnsi="Avenir Next" w:cs="Arial"/>
          <w:color w:val="7B7B7B" w:themeColor="accent3" w:themeShade="BF"/>
          <w:sz w:val="22"/>
          <w:szCs w:val="22"/>
          <w:lang w:val="en-GB"/>
        </w:rPr>
        <w:t>if in favour of a person not connected to the co</w:t>
      </w:r>
      <w:r w:rsidR="00821BD8">
        <w:rPr>
          <w:rFonts w:ascii="Avenir Next" w:hAnsi="Avenir Next" w:cs="Arial"/>
          <w:color w:val="7B7B7B" w:themeColor="accent3" w:themeShade="BF"/>
          <w:sz w:val="22"/>
          <w:szCs w:val="22"/>
          <w:lang w:val="en-GB"/>
        </w:rPr>
        <w:t xml:space="preserve">mpany. </w:t>
      </w:r>
    </w:p>
    <w:p w14:paraId="4A98AF6A" w14:textId="4B519B61" w:rsidR="008D2D1C" w:rsidRPr="00B257E9" w:rsidRDefault="008D2D1C" w:rsidP="00B257E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at the time the preference was given the company was unable to pay its debts. The insolvency status of Blazer Laser is not in dispute. </w:t>
      </w:r>
    </w:p>
    <w:p w14:paraId="1B5E2F08" w14:textId="43AA2127" w:rsidR="002D3473" w:rsidRPr="006925C1" w:rsidRDefault="002D3473" w:rsidP="00DF0687">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DF582C">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62BA" w14:textId="77777777" w:rsidR="00DF582C" w:rsidRDefault="00DF582C" w:rsidP="00241B44">
      <w:r>
        <w:separator/>
      </w:r>
    </w:p>
  </w:endnote>
  <w:endnote w:type="continuationSeparator" w:id="0">
    <w:p w14:paraId="0A4E25B5" w14:textId="77777777" w:rsidR="00DF582C" w:rsidRDefault="00DF582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3B0FFDC" w:rsidR="00241FA3" w:rsidRPr="00A84235" w:rsidRDefault="00E45354" w:rsidP="009B4976">
    <w:pPr>
      <w:pStyle w:val="Footer"/>
      <w:ind w:right="360"/>
      <w:rPr>
        <w:rFonts w:ascii="Avenir Next" w:hAnsi="Avenir Next" w:cs="Arial"/>
        <w:sz w:val="22"/>
        <w:szCs w:val="22"/>
        <w:lang w:val="en-GB"/>
      </w:rPr>
    </w:pPr>
    <w:r>
      <w:rPr>
        <w:rFonts w:ascii="Avenir Next" w:hAnsi="Avenir Next" w:cs="Arial"/>
        <w:sz w:val="22"/>
        <w:szCs w:val="22"/>
        <w:lang w:val="en-GB"/>
      </w:rPr>
      <w:t>202223-778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4C3C" w14:textId="77777777" w:rsidR="00DF582C" w:rsidRDefault="00DF582C" w:rsidP="00241B44">
      <w:r>
        <w:separator/>
      </w:r>
    </w:p>
  </w:footnote>
  <w:footnote w:type="continuationSeparator" w:id="0">
    <w:p w14:paraId="1C50D20C" w14:textId="77777777" w:rsidR="00DF582C" w:rsidRDefault="00DF582C" w:rsidP="00241B44">
      <w:r>
        <w:continuationSeparator/>
      </w:r>
    </w:p>
  </w:footnote>
  <w:footnote w:id="1">
    <w:p w14:paraId="3EE6574B" w14:textId="1D43B0DF" w:rsidR="00AD664C" w:rsidRDefault="008167AA" w:rsidP="00AD664C">
      <w:pPr>
        <w:pStyle w:val="legclearfix"/>
        <w:shd w:val="clear" w:color="auto" w:fill="FFFFFF"/>
        <w:spacing w:before="0" w:beforeAutospacing="0" w:after="120" w:afterAutospacing="0" w:line="360" w:lineRule="atLeast"/>
        <w:rPr>
          <w:rFonts w:ascii="Arial" w:hAnsi="Arial" w:cs="Arial"/>
          <w:color w:val="1E1E1E"/>
        </w:rPr>
      </w:pPr>
      <w:r>
        <w:rPr>
          <w:rStyle w:val="FootnoteReference"/>
        </w:rPr>
        <w:footnoteRef/>
      </w:r>
      <w:r>
        <w:t xml:space="preserve"> </w:t>
      </w:r>
      <w:r w:rsidR="00AD664C" w:rsidRPr="00AD664C">
        <w:rPr>
          <w:rStyle w:val="legaddition"/>
          <w:rFonts w:asciiTheme="minorHAnsi" w:hAnsiTheme="minorHAnsi" w:cstheme="minorHAnsi"/>
          <w:color w:val="1E1E1E"/>
          <w:sz w:val="20"/>
          <w:szCs w:val="20"/>
        </w:rPr>
        <w:t>This subsection applies in relation to a person if—</w:t>
      </w:r>
      <w:r w:rsidR="00AD664C" w:rsidRPr="00AD664C">
        <w:rPr>
          <w:rFonts w:asciiTheme="minorHAnsi" w:hAnsiTheme="minorHAnsi" w:cstheme="minorHAnsi"/>
          <w:color w:val="1E1E1E"/>
          <w:sz w:val="20"/>
          <w:szCs w:val="20"/>
        </w:rPr>
        <w:t xml:space="preserve"> </w:t>
      </w:r>
      <w:r w:rsidR="00AD664C" w:rsidRPr="00AD664C">
        <w:rPr>
          <w:rStyle w:val="legaddition"/>
          <w:rFonts w:asciiTheme="minorHAnsi" w:hAnsiTheme="minorHAnsi" w:cstheme="minorHAnsi"/>
          <w:color w:val="1E1E1E"/>
          <w:sz w:val="20"/>
          <w:szCs w:val="20"/>
        </w:rPr>
        <w:t xml:space="preserve">(b) at some time before the company entered administration, that person knew or ought to have concluded that there was no reasonable prospect that the company would avoid entering insolvent administration or going into insolvent </w:t>
      </w:r>
      <w:r w:rsidR="00AD664C" w:rsidRPr="00AD664C">
        <w:rPr>
          <w:rStyle w:val="legaddition"/>
          <w:rFonts w:asciiTheme="minorHAnsi" w:hAnsiTheme="minorHAnsi" w:cstheme="minorHAnsi"/>
          <w:b/>
          <w:bCs/>
          <w:color w:val="1E1E1E"/>
          <w:sz w:val="20"/>
          <w:szCs w:val="20"/>
        </w:rPr>
        <w:t>liquidation</w:t>
      </w:r>
      <w:r w:rsidR="00AD664C">
        <w:rPr>
          <w:rStyle w:val="legaddition"/>
          <w:rFonts w:asciiTheme="minorHAnsi" w:hAnsiTheme="minorHAnsi" w:cstheme="minorHAnsi"/>
          <w:b/>
          <w:bCs/>
          <w:color w:val="1E1E1E"/>
          <w:sz w:val="20"/>
          <w:szCs w:val="20"/>
        </w:rPr>
        <w:t xml:space="preserve"> </w:t>
      </w:r>
      <w:r w:rsidR="00AD664C" w:rsidRPr="00AD664C">
        <w:rPr>
          <w:rStyle w:val="legaddition"/>
          <w:rFonts w:asciiTheme="minorHAnsi" w:hAnsiTheme="minorHAnsi" w:cstheme="minorHAnsi"/>
          <w:i/>
          <w:iCs/>
          <w:color w:val="1E1E1E"/>
          <w:sz w:val="20"/>
          <w:szCs w:val="20"/>
        </w:rPr>
        <w:t>(emphasis mine).</w:t>
      </w:r>
      <w:r w:rsidR="00AD664C">
        <w:rPr>
          <w:rStyle w:val="legaddition"/>
          <w:rFonts w:asciiTheme="minorHAnsi" w:hAnsiTheme="minorHAnsi" w:cstheme="minorHAnsi"/>
          <w:color w:val="1E1E1E"/>
          <w:sz w:val="20"/>
          <w:szCs w:val="20"/>
        </w:rPr>
        <w:t xml:space="preserve"> </w:t>
      </w:r>
    </w:p>
    <w:p w14:paraId="6EC373FD" w14:textId="25AFAD4B" w:rsidR="008167AA" w:rsidRPr="008167AA" w:rsidRDefault="008167AA">
      <w:pPr>
        <w:pStyle w:val="FootnoteText"/>
        <w:rPr>
          <w:lang w:val="en-GB"/>
        </w:rPr>
      </w:pPr>
    </w:p>
  </w:footnote>
  <w:footnote w:id="2">
    <w:p w14:paraId="6A9DF0DD" w14:textId="2A0E844E" w:rsidR="00090BFD" w:rsidRPr="00090BFD" w:rsidRDefault="00090BFD">
      <w:pPr>
        <w:pStyle w:val="FootnoteText"/>
        <w:rPr>
          <w:lang w:val="en-GB"/>
        </w:rPr>
      </w:pPr>
      <w:r>
        <w:rPr>
          <w:rStyle w:val="FootnoteReference"/>
        </w:rPr>
        <w:footnoteRef/>
      </w:r>
      <w:r>
        <w:t xml:space="preserve"> </w:t>
      </w:r>
      <w:hyperlink r:id="rId1" w:anchor="section-1-1" w:history="1">
        <w:r w:rsidRPr="00D46489">
          <w:rPr>
            <w:rStyle w:val="Hyperlink"/>
          </w:rPr>
          <w:t>https://www.legislation.gov.uk/ukpga/2020/12/section/1#section-1-1</w:t>
        </w:r>
      </w:hyperlink>
      <w:r>
        <w:t xml:space="preserve"> accessed on </w:t>
      </w:r>
      <w:r w:rsidR="00CF1D7E">
        <w:t>27 February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66C4B16"/>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D1689"/>
    <w:multiLevelType w:val="hybridMultilevel"/>
    <w:tmpl w:val="8F986138"/>
    <w:lvl w:ilvl="0" w:tplc="34527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43A5D"/>
    <w:multiLevelType w:val="hybridMultilevel"/>
    <w:tmpl w:val="68C610A4"/>
    <w:lvl w:ilvl="0" w:tplc="B4C45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A01C5"/>
    <w:multiLevelType w:val="hybridMultilevel"/>
    <w:tmpl w:val="47A86D2E"/>
    <w:lvl w:ilvl="0" w:tplc="1E808D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B92D02"/>
    <w:multiLevelType w:val="hybridMultilevel"/>
    <w:tmpl w:val="735AE2AC"/>
    <w:lvl w:ilvl="0" w:tplc="CCBE1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E71D4"/>
    <w:multiLevelType w:val="hybridMultilevel"/>
    <w:tmpl w:val="C7A6A93E"/>
    <w:lvl w:ilvl="0" w:tplc="FFDE83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301240"/>
    <w:multiLevelType w:val="hybridMultilevel"/>
    <w:tmpl w:val="B8AE9AC4"/>
    <w:lvl w:ilvl="0" w:tplc="345276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064C2"/>
    <w:multiLevelType w:val="hybridMultilevel"/>
    <w:tmpl w:val="6B3C5FA8"/>
    <w:lvl w:ilvl="0" w:tplc="84A2A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B40C2"/>
    <w:multiLevelType w:val="hybridMultilevel"/>
    <w:tmpl w:val="6E54FF5A"/>
    <w:lvl w:ilvl="0" w:tplc="F710A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F66AF"/>
    <w:multiLevelType w:val="hybridMultilevel"/>
    <w:tmpl w:val="0F1C16C4"/>
    <w:lvl w:ilvl="0" w:tplc="1D3012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5"/>
  </w:num>
  <w:num w:numId="2" w16cid:durableId="1279876417">
    <w:abstractNumId w:val="2"/>
  </w:num>
  <w:num w:numId="3" w16cid:durableId="100541089">
    <w:abstractNumId w:val="0"/>
  </w:num>
  <w:num w:numId="4" w16cid:durableId="14042412">
    <w:abstractNumId w:val="13"/>
  </w:num>
  <w:num w:numId="5" w16cid:durableId="1338728706">
    <w:abstractNumId w:val="17"/>
  </w:num>
  <w:num w:numId="6" w16cid:durableId="376245857">
    <w:abstractNumId w:val="3"/>
  </w:num>
  <w:num w:numId="7" w16cid:durableId="1396392877">
    <w:abstractNumId w:val="18"/>
  </w:num>
  <w:num w:numId="8" w16cid:durableId="1599950421">
    <w:abstractNumId w:val="23"/>
  </w:num>
  <w:num w:numId="9" w16cid:durableId="858857530">
    <w:abstractNumId w:val="14"/>
  </w:num>
  <w:num w:numId="10" w16cid:durableId="619802517">
    <w:abstractNumId w:val="25"/>
  </w:num>
  <w:num w:numId="11" w16cid:durableId="1831171333">
    <w:abstractNumId w:val="7"/>
  </w:num>
  <w:num w:numId="12" w16cid:durableId="84155222">
    <w:abstractNumId w:val="20"/>
  </w:num>
  <w:num w:numId="13" w16cid:durableId="1163352382">
    <w:abstractNumId w:val="15"/>
  </w:num>
  <w:num w:numId="14" w16cid:durableId="19356955">
    <w:abstractNumId w:val="6"/>
  </w:num>
  <w:num w:numId="15" w16cid:durableId="439304345">
    <w:abstractNumId w:val="19"/>
  </w:num>
  <w:num w:numId="16" w16cid:durableId="1126969584">
    <w:abstractNumId w:val="22"/>
  </w:num>
  <w:num w:numId="17" w16cid:durableId="1710716489">
    <w:abstractNumId w:val="11"/>
  </w:num>
  <w:num w:numId="18" w16cid:durableId="298271735">
    <w:abstractNumId w:val="1"/>
  </w:num>
  <w:num w:numId="19" w16cid:durableId="2049716969">
    <w:abstractNumId w:val="12"/>
  </w:num>
  <w:num w:numId="20" w16cid:durableId="1852603587">
    <w:abstractNumId w:val="8"/>
  </w:num>
  <w:num w:numId="21" w16cid:durableId="580674734">
    <w:abstractNumId w:val="16"/>
  </w:num>
  <w:num w:numId="22" w16cid:durableId="1493256140">
    <w:abstractNumId w:val="24"/>
  </w:num>
  <w:num w:numId="23" w16cid:durableId="1706562103">
    <w:abstractNumId w:val="21"/>
  </w:num>
  <w:num w:numId="24" w16cid:durableId="356005773">
    <w:abstractNumId w:val="9"/>
  </w:num>
  <w:num w:numId="25" w16cid:durableId="1882209933">
    <w:abstractNumId w:val="4"/>
  </w:num>
  <w:num w:numId="26" w16cid:durableId="93116554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901"/>
    <w:rsid w:val="00010BA0"/>
    <w:rsid w:val="00015023"/>
    <w:rsid w:val="000202EE"/>
    <w:rsid w:val="00020557"/>
    <w:rsid w:val="00021FC2"/>
    <w:rsid w:val="0002443E"/>
    <w:rsid w:val="000250C7"/>
    <w:rsid w:val="00026F16"/>
    <w:rsid w:val="000338C4"/>
    <w:rsid w:val="00035AF8"/>
    <w:rsid w:val="00037621"/>
    <w:rsid w:val="000423C2"/>
    <w:rsid w:val="0004444C"/>
    <w:rsid w:val="00044D46"/>
    <w:rsid w:val="00045088"/>
    <w:rsid w:val="00045904"/>
    <w:rsid w:val="00047DDF"/>
    <w:rsid w:val="000502FD"/>
    <w:rsid w:val="00051295"/>
    <w:rsid w:val="000546AE"/>
    <w:rsid w:val="00060632"/>
    <w:rsid w:val="00064564"/>
    <w:rsid w:val="00065166"/>
    <w:rsid w:val="00076A74"/>
    <w:rsid w:val="000776BD"/>
    <w:rsid w:val="00082609"/>
    <w:rsid w:val="000851CC"/>
    <w:rsid w:val="00085C92"/>
    <w:rsid w:val="00086C55"/>
    <w:rsid w:val="00087F21"/>
    <w:rsid w:val="00090BFD"/>
    <w:rsid w:val="00093BE8"/>
    <w:rsid w:val="000A407B"/>
    <w:rsid w:val="000A68ED"/>
    <w:rsid w:val="000B5FF1"/>
    <w:rsid w:val="000B609F"/>
    <w:rsid w:val="000C2CDB"/>
    <w:rsid w:val="000D10C6"/>
    <w:rsid w:val="000D4CFA"/>
    <w:rsid w:val="000D55A8"/>
    <w:rsid w:val="000D5DD6"/>
    <w:rsid w:val="000E38E6"/>
    <w:rsid w:val="000E479A"/>
    <w:rsid w:val="000E4841"/>
    <w:rsid w:val="000E6179"/>
    <w:rsid w:val="000E7069"/>
    <w:rsid w:val="000F1677"/>
    <w:rsid w:val="000F1C69"/>
    <w:rsid w:val="000F3D6C"/>
    <w:rsid w:val="000F4D9D"/>
    <w:rsid w:val="000F7A47"/>
    <w:rsid w:val="00100DA7"/>
    <w:rsid w:val="00101694"/>
    <w:rsid w:val="00101707"/>
    <w:rsid w:val="00101E89"/>
    <w:rsid w:val="00102CC9"/>
    <w:rsid w:val="0010593A"/>
    <w:rsid w:val="001103DE"/>
    <w:rsid w:val="0011473D"/>
    <w:rsid w:val="00115C85"/>
    <w:rsid w:val="00115FCB"/>
    <w:rsid w:val="00116F6E"/>
    <w:rsid w:val="00123855"/>
    <w:rsid w:val="00126A4D"/>
    <w:rsid w:val="00137DAE"/>
    <w:rsid w:val="0014171F"/>
    <w:rsid w:val="001443D8"/>
    <w:rsid w:val="0014622C"/>
    <w:rsid w:val="00152348"/>
    <w:rsid w:val="0015456D"/>
    <w:rsid w:val="00155FA2"/>
    <w:rsid w:val="00161E14"/>
    <w:rsid w:val="00161F1B"/>
    <w:rsid w:val="00162745"/>
    <w:rsid w:val="00162829"/>
    <w:rsid w:val="00163E77"/>
    <w:rsid w:val="00171490"/>
    <w:rsid w:val="00173B03"/>
    <w:rsid w:val="00174DB5"/>
    <w:rsid w:val="00180548"/>
    <w:rsid w:val="00180AC4"/>
    <w:rsid w:val="00180CCE"/>
    <w:rsid w:val="00181B88"/>
    <w:rsid w:val="0018267A"/>
    <w:rsid w:val="00182779"/>
    <w:rsid w:val="00182788"/>
    <w:rsid w:val="001827DD"/>
    <w:rsid w:val="001830DF"/>
    <w:rsid w:val="001966D9"/>
    <w:rsid w:val="00197F24"/>
    <w:rsid w:val="001A007A"/>
    <w:rsid w:val="001A4E11"/>
    <w:rsid w:val="001A7E9A"/>
    <w:rsid w:val="001B0F70"/>
    <w:rsid w:val="001B5016"/>
    <w:rsid w:val="001B75CA"/>
    <w:rsid w:val="001C45FC"/>
    <w:rsid w:val="001D0469"/>
    <w:rsid w:val="001D29C0"/>
    <w:rsid w:val="001D4146"/>
    <w:rsid w:val="001D4862"/>
    <w:rsid w:val="001E25B9"/>
    <w:rsid w:val="001E40AB"/>
    <w:rsid w:val="001E49E0"/>
    <w:rsid w:val="001E685E"/>
    <w:rsid w:val="001E762F"/>
    <w:rsid w:val="001E7B5A"/>
    <w:rsid w:val="001F3C98"/>
    <w:rsid w:val="001F4140"/>
    <w:rsid w:val="001F5CA5"/>
    <w:rsid w:val="001F7412"/>
    <w:rsid w:val="0020090A"/>
    <w:rsid w:val="0020204E"/>
    <w:rsid w:val="00202DFE"/>
    <w:rsid w:val="00203960"/>
    <w:rsid w:val="0020725B"/>
    <w:rsid w:val="00207EDD"/>
    <w:rsid w:val="00210057"/>
    <w:rsid w:val="002110F1"/>
    <w:rsid w:val="002114D3"/>
    <w:rsid w:val="00220A58"/>
    <w:rsid w:val="00221444"/>
    <w:rsid w:val="0023217C"/>
    <w:rsid w:val="002356EA"/>
    <w:rsid w:val="00237A00"/>
    <w:rsid w:val="0024116D"/>
    <w:rsid w:val="00241B44"/>
    <w:rsid w:val="00241FA3"/>
    <w:rsid w:val="00245EFB"/>
    <w:rsid w:val="0025386E"/>
    <w:rsid w:val="0025452C"/>
    <w:rsid w:val="002613DB"/>
    <w:rsid w:val="00262D7E"/>
    <w:rsid w:val="002638B0"/>
    <w:rsid w:val="0026647A"/>
    <w:rsid w:val="002668D3"/>
    <w:rsid w:val="0027299F"/>
    <w:rsid w:val="0027641D"/>
    <w:rsid w:val="00284EBE"/>
    <w:rsid w:val="002854C7"/>
    <w:rsid w:val="002903A7"/>
    <w:rsid w:val="0029433F"/>
    <w:rsid w:val="00294829"/>
    <w:rsid w:val="002959AF"/>
    <w:rsid w:val="0029690F"/>
    <w:rsid w:val="00297C8A"/>
    <w:rsid w:val="002A2A60"/>
    <w:rsid w:val="002A37BB"/>
    <w:rsid w:val="002A7387"/>
    <w:rsid w:val="002B1C45"/>
    <w:rsid w:val="002B246A"/>
    <w:rsid w:val="002C13C8"/>
    <w:rsid w:val="002C3547"/>
    <w:rsid w:val="002C3A0F"/>
    <w:rsid w:val="002C46CB"/>
    <w:rsid w:val="002D0021"/>
    <w:rsid w:val="002D245F"/>
    <w:rsid w:val="002D299D"/>
    <w:rsid w:val="002D3473"/>
    <w:rsid w:val="002D3F8B"/>
    <w:rsid w:val="002E7E4A"/>
    <w:rsid w:val="002F060F"/>
    <w:rsid w:val="002F1956"/>
    <w:rsid w:val="002F3440"/>
    <w:rsid w:val="002F75A3"/>
    <w:rsid w:val="002F77D6"/>
    <w:rsid w:val="00303C2F"/>
    <w:rsid w:val="00311816"/>
    <w:rsid w:val="003144EF"/>
    <w:rsid w:val="00314F32"/>
    <w:rsid w:val="003204D8"/>
    <w:rsid w:val="003205B3"/>
    <w:rsid w:val="00326292"/>
    <w:rsid w:val="00326415"/>
    <w:rsid w:val="00330937"/>
    <w:rsid w:val="00330F31"/>
    <w:rsid w:val="00334648"/>
    <w:rsid w:val="00336396"/>
    <w:rsid w:val="0033768C"/>
    <w:rsid w:val="00337938"/>
    <w:rsid w:val="00337C60"/>
    <w:rsid w:val="00340769"/>
    <w:rsid w:val="00341AA6"/>
    <w:rsid w:val="00341DBB"/>
    <w:rsid w:val="00361A0A"/>
    <w:rsid w:val="00364836"/>
    <w:rsid w:val="0036565C"/>
    <w:rsid w:val="0036625E"/>
    <w:rsid w:val="00370779"/>
    <w:rsid w:val="0037285F"/>
    <w:rsid w:val="0037465A"/>
    <w:rsid w:val="003817B9"/>
    <w:rsid w:val="00382C98"/>
    <w:rsid w:val="0038410E"/>
    <w:rsid w:val="0038533C"/>
    <w:rsid w:val="00386568"/>
    <w:rsid w:val="00387524"/>
    <w:rsid w:val="00390B57"/>
    <w:rsid w:val="00392A36"/>
    <w:rsid w:val="00393611"/>
    <w:rsid w:val="003948D5"/>
    <w:rsid w:val="00395EA3"/>
    <w:rsid w:val="00396821"/>
    <w:rsid w:val="00396CB1"/>
    <w:rsid w:val="00397AE6"/>
    <w:rsid w:val="00397D3A"/>
    <w:rsid w:val="003A051E"/>
    <w:rsid w:val="003A4482"/>
    <w:rsid w:val="003A736B"/>
    <w:rsid w:val="003B170F"/>
    <w:rsid w:val="003B3C5F"/>
    <w:rsid w:val="003B3E2C"/>
    <w:rsid w:val="003B6AC3"/>
    <w:rsid w:val="003C4471"/>
    <w:rsid w:val="003D0A6D"/>
    <w:rsid w:val="003E0B16"/>
    <w:rsid w:val="003E1BBF"/>
    <w:rsid w:val="003E67D1"/>
    <w:rsid w:val="003F171F"/>
    <w:rsid w:val="003F28BF"/>
    <w:rsid w:val="003F6A3B"/>
    <w:rsid w:val="003F7616"/>
    <w:rsid w:val="00401435"/>
    <w:rsid w:val="00404329"/>
    <w:rsid w:val="00405DC1"/>
    <w:rsid w:val="0040614A"/>
    <w:rsid w:val="00406531"/>
    <w:rsid w:val="00415F1F"/>
    <w:rsid w:val="00416402"/>
    <w:rsid w:val="00416C4C"/>
    <w:rsid w:val="0042108F"/>
    <w:rsid w:val="00425F21"/>
    <w:rsid w:val="004267B1"/>
    <w:rsid w:val="00430FED"/>
    <w:rsid w:val="00434A8C"/>
    <w:rsid w:val="00435114"/>
    <w:rsid w:val="00437297"/>
    <w:rsid w:val="00437B89"/>
    <w:rsid w:val="00442327"/>
    <w:rsid w:val="00444112"/>
    <w:rsid w:val="00444284"/>
    <w:rsid w:val="00444F9C"/>
    <w:rsid w:val="00445CE6"/>
    <w:rsid w:val="00450393"/>
    <w:rsid w:val="004511AE"/>
    <w:rsid w:val="004534C2"/>
    <w:rsid w:val="0045446F"/>
    <w:rsid w:val="0045683E"/>
    <w:rsid w:val="004617FC"/>
    <w:rsid w:val="00461F95"/>
    <w:rsid w:val="00467004"/>
    <w:rsid w:val="00474C2B"/>
    <w:rsid w:val="00477C72"/>
    <w:rsid w:val="00491675"/>
    <w:rsid w:val="00493855"/>
    <w:rsid w:val="004941F1"/>
    <w:rsid w:val="00495E79"/>
    <w:rsid w:val="004A2D83"/>
    <w:rsid w:val="004A335C"/>
    <w:rsid w:val="004A57DD"/>
    <w:rsid w:val="004A5917"/>
    <w:rsid w:val="004A7B51"/>
    <w:rsid w:val="004A7D71"/>
    <w:rsid w:val="004A7EF3"/>
    <w:rsid w:val="004B11FD"/>
    <w:rsid w:val="004B23A2"/>
    <w:rsid w:val="004B314C"/>
    <w:rsid w:val="004B35E6"/>
    <w:rsid w:val="004B77F0"/>
    <w:rsid w:val="004C1A0A"/>
    <w:rsid w:val="004C7A8F"/>
    <w:rsid w:val="004D0C51"/>
    <w:rsid w:val="004D137E"/>
    <w:rsid w:val="004D1A5A"/>
    <w:rsid w:val="004D1DDC"/>
    <w:rsid w:val="004D2FFF"/>
    <w:rsid w:val="004D3721"/>
    <w:rsid w:val="004D64F9"/>
    <w:rsid w:val="004E3A6B"/>
    <w:rsid w:val="004E4C85"/>
    <w:rsid w:val="004E4CAE"/>
    <w:rsid w:val="004E622C"/>
    <w:rsid w:val="004E691C"/>
    <w:rsid w:val="004F0E1C"/>
    <w:rsid w:val="004F5FDF"/>
    <w:rsid w:val="005038A9"/>
    <w:rsid w:val="005141F0"/>
    <w:rsid w:val="005177FE"/>
    <w:rsid w:val="00520242"/>
    <w:rsid w:val="0052263B"/>
    <w:rsid w:val="00523EB0"/>
    <w:rsid w:val="00524728"/>
    <w:rsid w:val="00524E91"/>
    <w:rsid w:val="00525A21"/>
    <w:rsid w:val="0052737D"/>
    <w:rsid w:val="005279AE"/>
    <w:rsid w:val="00530D34"/>
    <w:rsid w:val="005331CA"/>
    <w:rsid w:val="00537970"/>
    <w:rsid w:val="00540E3A"/>
    <w:rsid w:val="00544127"/>
    <w:rsid w:val="005463A9"/>
    <w:rsid w:val="005505E5"/>
    <w:rsid w:val="00552E5F"/>
    <w:rsid w:val="00553EB2"/>
    <w:rsid w:val="00560534"/>
    <w:rsid w:val="005633D9"/>
    <w:rsid w:val="0056391B"/>
    <w:rsid w:val="005650E2"/>
    <w:rsid w:val="00567AD7"/>
    <w:rsid w:val="0057319A"/>
    <w:rsid w:val="00575B2D"/>
    <w:rsid w:val="0058224A"/>
    <w:rsid w:val="005833D0"/>
    <w:rsid w:val="005842C9"/>
    <w:rsid w:val="005846F3"/>
    <w:rsid w:val="0058622F"/>
    <w:rsid w:val="005925B5"/>
    <w:rsid w:val="00592F82"/>
    <w:rsid w:val="005A0CCA"/>
    <w:rsid w:val="005A1083"/>
    <w:rsid w:val="005A2EB2"/>
    <w:rsid w:val="005A6FF2"/>
    <w:rsid w:val="005A726D"/>
    <w:rsid w:val="005A77E9"/>
    <w:rsid w:val="005B67AC"/>
    <w:rsid w:val="005B79F4"/>
    <w:rsid w:val="005C0421"/>
    <w:rsid w:val="005C17BD"/>
    <w:rsid w:val="005D09BD"/>
    <w:rsid w:val="005D16DD"/>
    <w:rsid w:val="005D32FF"/>
    <w:rsid w:val="005D43E0"/>
    <w:rsid w:val="005D58A3"/>
    <w:rsid w:val="005E1B79"/>
    <w:rsid w:val="005E21A2"/>
    <w:rsid w:val="005E6076"/>
    <w:rsid w:val="005E7008"/>
    <w:rsid w:val="005F026D"/>
    <w:rsid w:val="005F27A1"/>
    <w:rsid w:val="005F2AEA"/>
    <w:rsid w:val="005F2D0B"/>
    <w:rsid w:val="005F2DD3"/>
    <w:rsid w:val="005F4B31"/>
    <w:rsid w:val="005F4E54"/>
    <w:rsid w:val="006039EB"/>
    <w:rsid w:val="00607737"/>
    <w:rsid w:val="00610388"/>
    <w:rsid w:val="00610AC7"/>
    <w:rsid w:val="00612CA5"/>
    <w:rsid w:val="006153EC"/>
    <w:rsid w:val="00621226"/>
    <w:rsid w:val="00621A17"/>
    <w:rsid w:val="00627CC9"/>
    <w:rsid w:val="00627E7B"/>
    <w:rsid w:val="00630542"/>
    <w:rsid w:val="00632E44"/>
    <w:rsid w:val="0063381C"/>
    <w:rsid w:val="00634622"/>
    <w:rsid w:val="00635F0A"/>
    <w:rsid w:val="00636808"/>
    <w:rsid w:val="00640A95"/>
    <w:rsid w:val="00641515"/>
    <w:rsid w:val="00654C2F"/>
    <w:rsid w:val="006569CA"/>
    <w:rsid w:val="00657087"/>
    <w:rsid w:val="00657F61"/>
    <w:rsid w:val="00661849"/>
    <w:rsid w:val="006624AB"/>
    <w:rsid w:val="006639DB"/>
    <w:rsid w:val="006661EF"/>
    <w:rsid w:val="00677AEB"/>
    <w:rsid w:val="00680EF2"/>
    <w:rsid w:val="006862A7"/>
    <w:rsid w:val="00687A1D"/>
    <w:rsid w:val="00691160"/>
    <w:rsid w:val="006925C1"/>
    <w:rsid w:val="00694DE4"/>
    <w:rsid w:val="00697EA1"/>
    <w:rsid w:val="006A2646"/>
    <w:rsid w:val="006A6530"/>
    <w:rsid w:val="006B31CE"/>
    <w:rsid w:val="006B435A"/>
    <w:rsid w:val="006B4C64"/>
    <w:rsid w:val="006C2499"/>
    <w:rsid w:val="006D282B"/>
    <w:rsid w:val="006D4F1B"/>
    <w:rsid w:val="006D5568"/>
    <w:rsid w:val="006D65FD"/>
    <w:rsid w:val="006D6BD5"/>
    <w:rsid w:val="006E0D3B"/>
    <w:rsid w:val="006E1045"/>
    <w:rsid w:val="006E3CA9"/>
    <w:rsid w:val="006E481A"/>
    <w:rsid w:val="006E51D1"/>
    <w:rsid w:val="006E5298"/>
    <w:rsid w:val="006F0317"/>
    <w:rsid w:val="006F4A78"/>
    <w:rsid w:val="006F6ECF"/>
    <w:rsid w:val="006F734A"/>
    <w:rsid w:val="006F7BE2"/>
    <w:rsid w:val="006F7DDF"/>
    <w:rsid w:val="00700BEC"/>
    <w:rsid w:val="00700D83"/>
    <w:rsid w:val="00703AF9"/>
    <w:rsid w:val="00704852"/>
    <w:rsid w:val="0070524B"/>
    <w:rsid w:val="007052BB"/>
    <w:rsid w:val="0070606F"/>
    <w:rsid w:val="007070F6"/>
    <w:rsid w:val="007074E9"/>
    <w:rsid w:val="007077DC"/>
    <w:rsid w:val="007113DE"/>
    <w:rsid w:val="00713DA4"/>
    <w:rsid w:val="00714BF1"/>
    <w:rsid w:val="00721383"/>
    <w:rsid w:val="007259F0"/>
    <w:rsid w:val="0073158B"/>
    <w:rsid w:val="007333CC"/>
    <w:rsid w:val="0073399A"/>
    <w:rsid w:val="00733A34"/>
    <w:rsid w:val="00740DAD"/>
    <w:rsid w:val="00741E85"/>
    <w:rsid w:val="00742AF3"/>
    <w:rsid w:val="00757364"/>
    <w:rsid w:val="00760056"/>
    <w:rsid w:val="007603F5"/>
    <w:rsid w:val="007614C2"/>
    <w:rsid w:val="00763348"/>
    <w:rsid w:val="00764DB0"/>
    <w:rsid w:val="00766D86"/>
    <w:rsid w:val="0076764D"/>
    <w:rsid w:val="00772506"/>
    <w:rsid w:val="0077498C"/>
    <w:rsid w:val="00774AD3"/>
    <w:rsid w:val="007809BC"/>
    <w:rsid w:val="00784128"/>
    <w:rsid w:val="00787BCC"/>
    <w:rsid w:val="00793173"/>
    <w:rsid w:val="007A2A33"/>
    <w:rsid w:val="007A44DC"/>
    <w:rsid w:val="007A5171"/>
    <w:rsid w:val="007A74F4"/>
    <w:rsid w:val="007B5C89"/>
    <w:rsid w:val="007B7F14"/>
    <w:rsid w:val="007C1FCC"/>
    <w:rsid w:val="007C2389"/>
    <w:rsid w:val="007C6201"/>
    <w:rsid w:val="007C73E7"/>
    <w:rsid w:val="007C7653"/>
    <w:rsid w:val="007D1044"/>
    <w:rsid w:val="007D291E"/>
    <w:rsid w:val="007D7C92"/>
    <w:rsid w:val="007D7DEB"/>
    <w:rsid w:val="007D7FAB"/>
    <w:rsid w:val="007E1154"/>
    <w:rsid w:val="007E2919"/>
    <w:rsid w:val="007E46A8"/>
    <w:rsid w:val="007E6BA4"/>
    <w:rsid w:val="007E6BD0"/>
    <w:rsid w:val="007F321C"/>
    <w:rsid w:val="007F41F8"/>
    <w:rsid w:val="007F479E"/>
    <w:rsid w:val="007F5810"/>
    <w:rsid w:val="007F659B"/>
    <w:rsid w:val="0080441E"/>
    <w:rsid w:val="0080454E"/>
    <w:rsid w:val="00804C32"/>
    <w:rsid w:val="00806302"/>
    <w:rsid w:val="00807119"/>
    <w:rsid w:val="0081374F"/>
    <w:rsid w:val="008167AA"/>
    <w:rsid w:val="00821BD8"/>
    <w:rsid w:val="0082483F"/>
    <w:rsid w:val="008258F8"/>
    <w:rsid w:val="008279C0"/>
    <w:rsid w:val="0083021C"/>
    <w:rsid w:val="00831550"/>
    <w:rsid w:val="00832C64"/>
    <w:rsid w:val="00834313"/>
    <w:rsid w:val="00841D05"/>
    <w:rsid w:val="008434C4"/>
    <w:rsid w:val="00853D7B"/>
    <w:rsid w:val="008567CB"/>
    <w:rsid w:val="008605A7"/>
    <w:rsid w:val="008618BE"/>
    <w:rsid w:val="00861AE6"/>
    <w:rsid w:val="0086299B"/>
    <w:rsid w:val="00865031"/>
    <w:rsid w:val="00867701"/>
    <w:rsid w:val="00871C74"/>
    <w:rsid w:val="00871DD6"/>
    <w:rsid w:val="008723F3"/>
    <w:rsid w:val="0087350C"/>
    <w:rsid w:val="00876F56"/>
    <w:rsid w:val="00880059"/>
    <w:rsid w:val="00881DE6"/>
    <w:rsid w:val="008837A6"/>
    <w:rsid w:val="00887A60"/>
    <w:rsid w:val="0089145D"/>
    <w:rsid w:val="00891690"/>
    <w:rsid w:val="008A3421"/>
    <w:rsid w:val="008A4DF2"/>
    <w:rsid w:val="008A635D"/>
    <w:rsid w:val="008A6CFE"/>
    <w:rsid w:val="008B096C"/>
    <w:rsid w:val="008B484B"/>
    <w:rsid w:val="008B5333"/>
    <w:rsid w:val="008B58D5"/>
    <w:rsid w:val="008B6223"/>
    <w:rsid w:val="008B72B8"/>
    <w:rsid w:val="008C66E0"/>
    <w:rsid w:val="008D1616"/>
    <w:rsid w:val="008D2D1C"/>
    <w:rsid w:val="008D64C1"/>
    <w:rsid w:val="008E3339"/>
    <w:rsid w:val="008E5554"/>
    <w:rsid w:val="008F20FC"/>
    <w:rsid w:val="008F5FFE"/>
    <w:rsid w:val="009054DE"/>
    <w:rsid w:val="00905A43"/>
    <w:rsid w:val="00912C79"/>
    <w:rsid w:val="00921B8C"/>
    <w:rsid w:val="00924DAF"/>
    <w:rsid w:val="00931D14"/>
    <w:rsid w:val="009414B9"/>
    <w:rsid w:val="00942123"/>
    <w:rsid w:val="00951AA8"/>
    <w:rsid w:val="0095207B"/>
    <w:rsid w:val="00962045"/>
    <w:rsid w:val="0096593F"/>
    <w:rsid w:val="00976806"/>
    <w:rsid w:val="009778E7"/>
    <w:rsid w:val="00980E61"/>
    <w:rsid w:val="00985E7F"/>
    <w:rsid w:val="00990053"/>
    <w:rsid w:val="009905A5"/>
    <w:rsid w:val="00991428"/>
    <w:rsid w:val="00992676"/>
    <w:rsid w:val="009943AA"/>
    <w:rsid w:val="009954B2"/>
    <w:rsid w:val="00996691"/>
    <w:rsid w:val="009A3AB7"/>
    <w:rsid w:val="009A652D"/>
    <w:rsid w:val="009B0723"/>
    <w:rsid w:val="009B07AD"/>
    <w:rsid w:val="009B0883"/>
    <w:rsid w:val="009B15E2"/>
    <w:rsid w:val="009B4976"/>
    <w:rsid w:val="009C0B8E"/>
    <w:rsid w:val="009C1BC8"/>
    <w:rsid w:val="009C2442"/>
    <w:rsid w:val="009C2B1F"/>
    <w:rsid w:val="009D0811"/>
    <w:rsid w:val="009D0EE1"/>
    <w:rsid w:val="009D1087"/>
    <w:rsid w:val="009D1C2B"/>
    <w:rsid w:val="009D3AF0"/>
    <w:rsid w:val="009D4549"/>
    <w:rsid w:val="009D6190"/>
    <w:rsid w:val="009E1932"/>
    <w:rsid w:val="009E2AEB"/>
    <w:rsid w:val="009E2E27"/>
    <w:rsid w:val="009E45DF"/>
    <w:rsid w:val="009E4DE3"/>
    <w:rsid w:val="009F093E"/>
    <w:rsid w:val="009F19E9"/>
    <w:rsid w:val="009F275E"/>
    <w:rsid w:val="00A007FC"/>
    <w:rsid w:val="00A02BF2"/>
    <w:rsid w:val="00A047EE"/>
    <w:rsid w:val="00A0656F"/>
    <w:rsid w:val="00A11869"/>
    <w:rsid w:val="00A14496"/>
    <w:rsid w:val="00A155E5"/>
    <w:rsid w:val="00A2274A"/>
    <w:rsid w:val="00A235B7"/>
    <w:rsid w:val="00A27A7A"/>
    <w:rsid w:val="00A27C29"/>
    <w:rsid w:val="00A33A09"/>
    <w:rsid w:val="00A34ABE"/>
    <w:rsid w:val="00A34C11"/>
    <w:rsid w:val="00A4036E"/>
    <w:rsid w:val="00A407EF"/>
    <w:rsid w:val="00A46B4C"/>
    <w:rsid w:val="00A5117B"/>
    <w:rsid w:val="00A56D34"/>
    <w:rsid w:val="00A60074"/>
    <w:rsid w:val="00A6627C"/>
    <w:rsid w:val="00A71019"/>
    <w:rsid w:val="00A736D9"/>
    <w:rsid w:val="00A81029"/>
    <w:rsid w:val="00A8298D"/>
    <w:rsid w:val="00A84235"/>
    <w:rsid w:val="00A845F5"/>
    <w:rsid w:val="00A96489"/>
    <w:rsid w:val="00AA08E9"/>
    <w:rsid w:val="00AA2435"/>
    <w:rsid w:val="00AB2425"/>
    <w:rsid w:val="00AB685C"/>
    <w:rsid w:val="00AB6C2D"/>
    <w:rsid w:val="00AC08F7"/>
    <w:rsid w:val="00AC317D"/>
    <w:rsid w:val="00AC3839"/>
    <w:rsid w:val="00AC40C0"/>
    <w:rsid w:val="00AC7082"/>
    <w:rsid w:val="00AD4BE8"/>
    <w:rsid w:val="00AD664C"/>
    <w:rsid w:val="00AE5B6F"/>
    <w:rsid w:val="00AF228E"/>
    <w:rsid w:val="00AF4D0F"/>
    <w:rsid w:val="00AF61F6"/>
    <w:rsid w:val="00B00C80"/>
    <w:rsid w:val="00B016A8"/>
    <w:rsid w:val="00B04033"/>
    <w:rsid w:val="00B04444"/>
    <w:rsid w:val="00B14819"/>
    <w:rsid w:val="00B15E2F"/>
    <w:rsid w:val="00B17AA9"/>
    <w:rsid w:val="00B2269D"/>
    <w:rsid w:val="00B257E9"/>
    <w:rsid w:val="00B41328"/>
    <w:rsid w:val="00B431D1"/>
    <w:rsid w:val="00B44713"/>
    <w:rsid w:val="00B455E5"/>
    <w:rsid w:val="00B45708"/>
    <w:rsid w:val="00B45BDF"/>
    <w:rsid w:val="00B51B95"/>
    <w:rsid w:val="00B54DC7"/>
    <w:rsid w:val="00B56103"/>
    <w:rsid w:val="00B64929"/>
    <w:rsid w:val="00B66DE0"/>
    <w:rsid w:val="00B736DF"/>
    <w:rsid w:val="00B743D6"/>
    <w:rsid w:val="00B74FBD"/>
    <w:rsid w:val="00B77F46"/>
    <w:rsid w:val="00B813AF"/>
    <w:rsid w:val="00B82586"/>
    <w:rsid w:val="00B829A3"/>
    <w:rsid w:val="00B86854"/>
    <w:rsid w:val="00B86DB1"/>
    <w:rsid w:val="00B87869"/>
    <w:rsid w:val="00B9639B"/>
    <w:rsid w:val="00BA1CFD"/>
    <w:rsid w:val="00BB0F2B"/>
    <w:rsid w:val="00BC028D"/>
    <w:rsid w:val="00BC231B"/>
    <w:rsid w:val="00BD2E14"/>
    <w:rsid w:val="00BD3B24"/>
    <w:rsid w:val="00BE1F8F"/>
    <w:rsid w:val="00BE38FF"/>
    <w:rsid w:val="00BE4093"/>
    <w:rsid w:val="00BE4FF3"/>
    <w:rsid w:val="00BE6AC7"/>
    <w:rsid w:val="00BE6FF2"/>
    <w:rsid w:val="00BF1F54"/>
    <w:rsid w:val="00BF2C93"/>
    <w:rsid w:val="00BF3C3A"/>
    <w:rsid w:val="00BF50F7"/>
    <w:rsid w:val="00BF6641"/>
    <w:rsid w:val="00C02F29"/>
    <w:rsid w:val="00C0524A"/>
    <w:rsid w:val="00C13DED"/>
    <w:rsid w:val="00C14526"/>
    <w:rsid w:val="00C168C2"/>
    <w:rsid w:val="00C16DF5"/>
    <w:rsid w:val="00C17718"/>
    <w:rsid w:val="00C20AFE"/>
    <w:rsid w:val="00C22A25"/>
    <w:rsid w:val="00C25B0C"/>
    <w:rsid w:val="00C305F5"/>
    <w:rsid w:val="00C30866"/>
    <w:rsid w:val="00C309B7"/>
    <w:rsid w:val="00C33EF6"/>
    <w:rsid w:val="00C34733"/>
    <w:rsid w:val="00C35671"/>
    <w:rsid w:val="00C35B77"/>
    <w:rsid w:val="00C376EB"/>
    <w:rsid w:val="00C46A92"/>
    <w:rsid w:val="00C46EC1"/>
    <w:rsid w:val="00C5012C"/>
    <w:rsid w:val="00C50E91"/>
    <w:rsid w:val="00C52796"/>
    <w:rsid w:val="00C53E2C"/>
    <w:rsid w:val="00C550C8"/>
    <w:rsid w:val="00C55824"/>
    <w:rsid w:val="00C56B61"/>
    <w:rsid w:val="00C606C3"/>
    <w:rsid w:val="00C620F4"/>
    <w:rsid w:val="00C71305"/>
    <w:rsid w:val="00C72848"/>
    <w:rsid w:val="00C7680B"/>
    <w:rsid w:val="00C76F6E"/>
    <w:rsid w:val="00C7736C"/>
    <w:rsid w:val="00C82D87"/>
    <w:rsid w:val="00C8501B"/>
    <w:rsid w:val="00C8712A"/>
    <w:rsid w:val="00C902C8"/>
    <w:rsid w:val="00C91062"/>
    <w:rsid w:val="00C919D1"/>
    <w:rsid w:val="00C9330B"/>
    <w:rsid w:val="00C963D3"/>
    <w:rsid w:val="00CB09F0"/>
    <w:rsid w:val="00CB1983"/>
    <w:rsid w:val="00CB2CBB"/>
    <w:rsid w:val="00CB371C"/>
    <w:rsid w:val="00CB577B"/>
    <w:rsid w:val="00CB7CAC"/>
    <w:rsid w:val="00CC5335"/>
    <w:rsid w:val="00CC5BA4"/>
    <w:rsid w:val="00CD4998"/>
    <w:rsid w:val="00CD67EF"/>
    <w:rsid w:val="00CE1035"/>
    <w:rsid w:val="00CE6E50"/>
    <w:rsid w:val="00CF1D7E"/>
    <w:rsid w:val="00CF2819"/>
    <w:rsid w:val="00CF3708"/>
    <w:rsid w:val="00CF4F9D"/>
    <w:rsid w:val="00CF6B76"/>
    <w:rsid w:val="00CF70DC"/>
    <w:rsid w:val="00CF7637"/>
    <w:rsid w:val="00D01697"/>
    <w:rsid w:val="00D1012F"/>
    <w:rsid w:val="00D148DC"/>
    <w:rsid w:val="00D15566"/>
    <w:rsid w:val="00D17FDC"/>
    <w:rsid w:val="00D20E0F"/>
    <w:rsid w:val="00D21D8C"/>
    <w:rsid w:val="00D23A1A"/>
    <w:rsid w:val="00D261EC"/>
    <w:rsid w:val="00D44E98"/>
    <w:rsid w:val="00D47988"/>
    <w:rsid w:val="00D5023B"/>
    <w:rsid w:val="00D536FD"/>
    <w:rsid w:val="00D53719"/>
    <w:rsid w:val="00D57975"/>
    <w:rsid w:val="00D60C54"/>
    <w:rsid w:val="00D62A2A"/>
    <w:rsid w:val="00D636A3"/>
    <w:rsid w:val="00D63EFD"/>
    <w:rsid w:val="00D65862"/>
    <w:rsid w:val="00D71915"/>
    <w:rsid w:val="00D735A7"/>
    <w:rsid w:val="00D84752"/>
    <w:rsid w:val="00D86B3B"/>
    <w:rsid w:val="00D870E0"/>
    <w:rsid w:val="00D8748A"/>
    <w:rsid w:val="00D93196"/>
    <w:rsid w:val="00D97742"/>
    <w:rsid w:val="00DA0DC0"/>
    <w:rsid w:val="00DB243C"/>
    <w:rsid w:val="00DB482A"/>
    <w:rsid w:val="00DB50FB"/>
    <w:rsid w:val="00DB56F2"/>
    <w:rsid w:val="00DB6EF5"/>
    <w:rsid w:val="00DC3089"/>
    <w:rsid w:val="00DC4420"/>
    <w:rsid w:val="00DC6958"/>
    <w:rsid w:val="00DD05EB"/>
    <w:rsid w:val="00DD0802"/>
    <w:rsid w:val="00DD2E11"/>
    <w:rsid w:val="00DE03AF"/>
    <w:rsid w:val="00DE121C"/>
    <w:rsid w:val="00DE3A4F"/>
    <w:rsid w:val="00DE6633"/>
    <w:rsid w:val="00DF0687"/>
    <w:rsid w:val="00DF582C"/>
    <w:rsid w:val="00DF75F8"/>
    <w:rsid w:val="00DF7A3A"/>
    <w:rsid w:val="00E00C00"/>
    <w:rsid w:val="00E022C3"/>
    <w:rsid w:val="00E05869"/>
    <w:rsid w:val="00E06A98"/>
    <w:rsid w:val="00E07C5A"/>
    <w:rsid w:val="00E10A39"/>
    <w:rsid w:val="00E130E3"/>
    <w:rsid w:val="00E13368"/>
    <w:rsid w:val="00E139B0"/>
    <w:rsid w:val="00E15BA9"/>
    <w:rsid w:val="00E26E19"/>
    <w:rsid w:val="00E30B90"/>
    <w:rsid w:val="00E311B9"/>
    <w:rsid w:val="00E31DF3"/>
    <w:rsid w:val="00E33B4E"/>
    <w:rsid w:val="00E4065D"/>
    <w:rsid w:val="00E431CC"/>
    <w:rsid w:val="00E443D7"/>
    <w:rsid w:val="00E450A4"/>
    <w:rsid w:val="00E45354"/>
    <w:rsid w:val="00E506BE"/>
    <w:rsid w:val="00E51AF2"/>
    <w:rsid w:val="00E55547"/>
    <w:rsid w:val="00E56312"/>
    <w:rsid w:val="00E6302B"/>
    <w:rsid w:val="00E63E2D"/>
    <w:rsid w:val="00E6452F"/>
    <w:rsid w:val="00E64F45"/>
    <w:rsid w:val="00E6742D"/>
    <w:rsid w:val="00E71CB0"/>
    <w:rsid w:val="00E76DCE"/>
    <w:rsid w:val="00E77C3D"/>
    <w:rsid w:val="00E833F4"/>
    <w:rsid w:val="00E868D0"/>
    <w:rsid w:val="00E90991"/>
    <w:rsid w:val="00E909F0"/>
    <w:rsid w:val="00E90D47"/>
    <w:rsid w:val="00E93993"/>
    <w:rsid w:val="00E94797"/>
    <w:rsid w:val="00E9597C"/>
    <w:rsid w:val="00E965E1"/>
    <w:rsid w:val="00EA0913"/>
    <w:rsid w:val="00EA5B00"/>
    <w:rsid w:val="00EB146B"/>
    <w:rsid w:val="00EB45AC"/>
    <w:rsid w:val="00EB4D72"/>
    <w:rsid w:val="00EC4197"/>
    <w:rsid w:val="00EC441F"/>
    <w:rsid w:val="00EC4755"/>
    <w:rsid w:val="00ED0BC4"/>
    <w:rsid w:val="00ED1E98"/>
    <w:rsid w:val="00ED2B48"/>
    <w:rsid w:val="00ED447D"/>
    <w:rsid w:val="00EE3BF1"/>
    <w:rsid w:val="00EE44BB"/>
    <w:rsid w:val="00EE4971"/>
    <w:rsid w:val="00EE50EC"/>
    <w:rsid w:val="00EE6CB0"/>
    <w:rsid w:val="00EF090E"/>
    <w:rsid w:val="00EF5572"/>
    <w:rsid w:val="00EF6A16"/>
    <w:rsid w:val="00F01D7D"/>
    <w:rsid w:val="00F033DA"/>
    <w:rsid w:val="00F0677B"/>
    <w:rsid w:val="00F07A22"/>
    <w:rsid w:val="00F13691"/>
    <w:rsid w:val="00F13FB1"/>
    <w:rsid w:val="00F1466B"/>
    <w:rsid w:val="00F17F23"/>
    <w:rsid w:val="00F27CD8"/>
    <w:rsid w:val="00F30351"/>
    <w:rsid w:val="00F31AB0"/>
    <w:rsid w:val="00F3323E"/>
    <w:rsid w:val="00F341F4"/>
    <w:rsid w:val="00F34F9D"/>
    <w:rsid w:val="00F35CCE"/>
    <w:rsid w:val="00F37A34"/>
    <w:rsid w:val="00F41146"/>
    <w:rsid w:val="00F422E3"/>
    <w:rsid w:val="00F53C9A"/>
    <w:rsid w:val="00F5524B"/>
    <w:rsid w:val="00F60538"/>
    <w:rsid w:val="00F60617"/>
    <w:rsid w:val="00F61DD2"/>
    <w:rsid w:val="00F62E7A"/>
    <w:rsid w:val="00F66AFF"/>
    <w:rsid w:val="00F70126"/>
    <w:rsid w:val="00F71433"/>
    <w:rsid w:val="00F83A58"/>
    <w:rsid w:val="00F87B04"/>
    <w:rsid w:val="00F97C5B"/>
    <w:rsid w:val="00FA12B9"/>
    <w:rsid w:val="00FA3D50"/>
    <w:rsid w:val="00FA417D"/>
    <w:rsid w:val="00FA4344"/>
    <w:rsid w:val="00FA727B"/>
    <w:rsid w:val="00FB31D6"/>
    <w:rsid w:val="00FB7FBD"/>
    <w:rsid w:val="00FC374A"/>
    <w:rsid w:val="00FC5C35"/>
    <w:rsid w:val="00FC74C8"/>
    <w:rsid w:val="00FC77D4"/>
    <w:rsid w:val="00FC7B47"/>
    <w:rsid w:val="00FD035C"/>
    <w:rsid w:val="00FD1A35"/>
    <w:rsid w:val="00FD2D70"/>
    <w:rsid w:val="00FD2EA4"/>
    <w:rsid w:val="00FD36C5"/>
    <w:rsid w:val="00FD457B"/>
    <w:rsid w:val="00FD6310"/>
    <w:rsid w:val="00FD7C7B"/>
    <w:rsid w:val="00FE1D12"/>
    <w:rsid w:val="00FE2122"/>
    <w:rsid w:val="00FE2A86"/>
    <w:rsid w:val="00FE2DE2"/>
    <w:rsid w:val="00FE47C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AD664C"/>
    <w:pPr>
      <w:spacing w:before="100" w:beforeAutospacing="1" w:after="100" w:afterAutospacing="1"/>
    </w:pPr>
    <w:rPr>
      <w:rFonts w:ascii="Times New Roman" w:hAnsi="Times New Roman" w:cs="Times New Roman"/>
      <w:sz w:val="24"/>
      <w:lang w:val="en-GB" w:eastAsia="en-GB"/>
    </w:rPr>
  </w:style>
  <w:style w:type="character" w:customStyle="1" w:styleId="legaddition">
    <w:name w:val="legaddition"/>
    <w:basedOn w:val="DefaultParagraphFont"/>
    <w:rsid w:val="00AD664C"/>
  </w:style>
  <w:style w:type="character" w:customStyle="1" w:styleId="legamendingtext">
    <w:name w:val="legamendingtext"/>
    <w:basedOn w:val="DefaultParagraphFont"/>
    <w:rsid w:val="008A3421"/>
  </w:style>
  <w:style w:type="character" w:styleId="UnresolvedMention">
    <w:name w:val="Unresolved Mention"/>
    <w:basedOn w:val="DefaultParagraphFont"/>
    <w:uiPriority w:val="99"/>
    <w:semiHidden/>
    <w:unhideWhenUsed/>
    <w:rsid w:val="0009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101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1030300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0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2020/12/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4277</Words>
  <Characters>24382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Onyango</cp:lastModifiedBy>
  <cp:revision>2</cp:revision>
  <cp:lastPrinted>2019-08-27T05:42:00Z</cp:lastPrinted>
  <dcterms:created xsi:type="dcterms:W3CDTF">2024-03-01T06:28:00Z</dcterms:created>
  <dcterms:modified xsi:type="dcterms:W3CDTF">2024-03-01T06:28:00Z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