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r>
      <w:r w:rsidRPr="00501090">
        <w:rPr>
          <w:rFonts w:ascii="Avenir Next" w:hAnsi="Avenir Next"/>
          <w:highlight w:val="yellow"/>
        </w:rPr>
        <w:t>No, because Parts Inc does</w:t>
      </w:r>
      <w:r w:rsidR="00A81F08" w:rsidRPr="00501090">
        <w:rPr>
          <w:rFonts w:ascii="Avenir Next" w:hAnsi="Avenir Next"/>
          <w:highlight w:val="yellow"/>
        </w:rPr>
        <w:t xml:space="preserve"> not</w:t>
      </w:r>
      <w:r w:rsidRPr="00501090">
        <w:rPr>
          <w:rFonts w:ascii="Avenir Next" w:hAnsi="Avenir Next"/>
          <w:highlight w:val="yellow"/>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501090">
        <w:rPr>
          <w:rFonts w:ascii="Avenir Next" w:hAnsi="Avenir Next"/>
          <w:highlight w:val="yellow"/>
        </w:rPr>
        <w:t>A retired employee of Car Corp who receives payments from the company’s pension plan</w:t>
      </w:r>
      <w:r w:rsidR="00631394" w:rsidRPr="00501090">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501090">
        <w:rPr>
          <w:rFonts w:ascii="Avenir Next" w:hAnsi="Avenir Next"/>
          <w:highlight w:val="yellow"/>
        </w:rPr>
        <w:t xml:space="preserve">Options (a) to (c) </w:t>
      </w:r>
      <w:r w:rsidRPr="00501090">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r>
      <w:r w:rsidRPr="00501090">
        <w:rPr>
          <w:rFonts w:ascii="Avenir Next" w:hAnsi="Avenir Next"/>
          <w:highlight w:val="yellow"/>
        </w:rPr>
        <w:t>An insolvency professional appointed by the court overseeing the foreign proceeding</w:t>
      </w:r>
      <w:r w:rsidR="0036662D" w:rsidRPr="00501090">
        <w:rPr>
          <w:rFonts w:ascii="Avenir Next" w:hAnsi="Avenir Next"/>
          <w:highlight w:val="yellow"/>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501090">
        <w:rPr>
          <w:rFonts w:ascii="Avenir Next" w:hAnsi="Avenir Next"/>
          <w:highlight w:val="yellow"/>
        </w:rPr>
        <w:t xml:space="preserve">Executory contracts are clearly defined by the </w:t>
      </w:r>
      <w:r w:rsidR="00ED7BF3" w:rsidRPr="00501090">
        <w:rPr>
          <w:rFonts w:ascii="Avenir Next" w:hAnsi="Avenir Next"/>
          <w:highlight w:val="yellow"/>
        </w:rPr>
        <w:t>B</w:t>
      </w:r>
      <w:r w:rsidRPr="00501090">
        <w:rPr>
          <w:rFonts w:ascii="Avenir Next" w:hAnsi="Avenir Next"/>
          <w:highlight w:val="yellow"/>
        </w:rPr>
        <w:t xml:space="preserve">ankruptcy </w:t>
      </w:r>
      <w:r w:rsidR="00ED7BF3" w:rsidRPr="00501090">
        <w:rPr>
          <w:rFonts w:ascii="Avenir Next" w:hAnsi="Avenir Next"/>
          <w:highlight w:val="yellow"/>
        </w:rPr>
        <w:t>C</w:t>
      </w:r>
      <w:r w:rsidRPr="00501090">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501090">
        <w:rPr>
          <w:rFonts w:ascii="Avenir Next" w:hAnsi="Avenir Next"/>
          <w:highlight w:val="yellow"/>
        </w:rPr>
        <w:t>Acceptance of the plan by all classes of secured creditors</w:t>
      </w:r>
      <w:r w:rsidR="006844A8" w:rsidRPr="00501090">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501090">
        <w:rPr>
          <w:rFonts w:ascii="Avenir Next" w:hAnsi="Avenir Next"/>
          <w:highlight w:val="yellow"/>
        </w:rPr>
        <w:t>A pre-pack cannot be used if the debtor wishes to reject executory contracts.</w:t>
      </w:r>
      <w:r w:rsidRPr="00352E16">
        <w:rPr>
          <w:rFonts w:ascii="Avenir Next" w:hAnsi="Avenir Next"/>
        </w:rPr>
        <w:t xml:space="preserve">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501090">
        <w:rPr>
          <w:rFonts w:ascii="Avenir Next" w:hAnsi="Avenir Next"/>
          <w:highlight w:val="yellow"/>
        </w:rPr>
        <w:t>Both</w:t>
      </w:r>
      <w:r w:rsidR="0072569E" w:rsidRPr="00501090">
        <w:rPr>
          <w:rFonts w:ascii="Avenir Next" w:hAnsi="Avenir Next"/>
          <w:highlight w:val="yellow"/>
        </w:rPr>
        <w:t xml:space="preserve"> options</w:t>
      </w:r>
      <w:r w:rsidRPr="00501090">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501090">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D3BAA" w:rsidRDefault="00740655" w:rsidP="00DF5F7C">
      <w:pPr>
        <w:pStyle w:val="AODocTxt"/>
        <w:keepNext/>
        <w:numPr>
          <w:ilvl w:val="0"/>
          <w:numId w:val="35"/>
        </w:numPr>
        <w:spacing w:before="0" w:line="240" w:lineRule="auto"/>
        <w:ind w:left="426" w:hanging="426"/>
        <w:rPr>
          <w:rFonts w:ascii="Avenir Next" w:hAnsi="Avenir Next"/>
        </w:rPr>
      </w:pPr>
      <w:r w:rsidRPr="00501090">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56031226" w14:textId="5384FC64" w:rsidR="00033EFE" w:rsidRDefault="00501090" w:rsidP="00033EFE">
      <w:pPr>
        <w:pStyle w:val="AODocTxt"/>
        <w:numPr>
          <w:ilvl w:val="0"/>
          <w:numId w:val="38"/>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Set off allows a creditor who has a claim against the debtor, and which creditor also owes a debt to the debtor, </w:t>
      </w:r>
      <w:r w:rsidR="000B4835">
        <w:rPr>
          <w:rFonts w:ascii="Avenir Next" w:hAnsi="Avenir Next"/>
          <w:color w:val="808080" w:themeColor="background1" w:themeShade="80"/>
        </w:rPr>
        <w:t xml:space="preserve">to </w:t>
      </w:r>
      <w:r>
        <w:rPr>
          <w:rFonts w:ascii="Avenir Next" w:hAnsi="Avenir Next"/>
          <w:color w:val="808080" w:themeColor="background1" w:themeShade="80"/>
        </w:rPr>
        <w:t>net out or square off the two or more obligations</w:t>
      </w:r>
      <w:r w:rsidR="000B4835">
        <w:rPr>
          <w:rFonts w:ascii="Avenir Next" w:hAnsi="Avenir Next"/>
          <w:color w:val="808080" w:themeColor="background1" w:themeShade="80"/>
        </w:rPr>
        <w:t>, such that only a net debt or liability (if any) is claimable against the debtor</w:t>
      </w:r>
      <w:r>
        <w:rPr>
          <w:rFonts w:ascii="Avenir Next" w:hAnsi="Avenir Next"/>
          <w:color w:val="808080" w:themeColor="background1" w:themeShade="80"/>
        </w:rPr>
        <w:t xml:space="preserve">. </w:t>
      </w:r>
    </w:p>
    <w:p w14:paraId="2B7FA02E"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2EFB5850" w14:textId="206D0FA8" w:rsidR="00323167" w:rsidRPr="002B5D64" w:rsidRDefault="00501090" w:rsidP="00033EFE">
      <w:pPr>
        <w:pStyle w:val="AODocTxt"/>
        <w:numPr>
          <w:ilvl w:val="0"/>
          <w:numId w:val="38"/>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Set off is not permitted in </w:t>
      </w:r>
      <w:r w:rsidR="000B4835">
        <w:rPr>
          <w:rFonts w:ascii="Avenir Next" w:hAnsi="Avenir Next"/>
          <w:color w:val="808080" w:themeColor="background1" w:themeShade="80"/>
        </w:rPr>
        <w:t>the US</w:t>
      </w:r>
      <w:r>
        <w:rPr>
          <w:rFonts w:ascii="Avenir Next" w:hAnsi="Avenir Next"/>
          <w:color w:val="808080" w:themeColor="background1" w:themeShade="80"/>
        </w:rPr>
        <w:t xml:space="preserve"> as it improves the position of the creditor who seeks a set off </w:t>
      </w:r>
      <w:r w:rsidRPr="00501090">
        <w:rPr>
          <w:rFonts w:ascii="Avenir Next" w:hAnsi="Avenir Next"/>
          <w:i/>
          <w:iCs/>
          <w:color w:val="808080" w:themeColor="background1" w:themeShade="80"/>
        </w:rPr>
        <w:t>vis a vis</w:t>
      </w:r>
      <w:r>
        <w:rPr>
          <w:rFonts w:ascii="Avenir Next" w:hAnsi="Avenir Next"/>
          <w:color w:val="808080" w:themeColor="background1" w:themeShade="80"/>
        </w:rPr>
        <w:t xml:space="preserve"> the other unsecured creditors. This is because </w:t>
      </w:r>
      <w:r w:rsidR="00033EFE">
        <w:rPr>
          <w:rFonts w:ascii="Avenir Next" w:hAnsi="Avenir Next"/>
          <w:color w:val="808080" w:themeColor="background1" w:themeShade="80"/>
        </w:rPr>
        <w:t xml:space="preserve">the creditor enjoying the set off would obtain the benefit of decreasing its obligation to the estate by the full amount owed by the debtor, rather than </w:t>
      </w:r>
      <w:r w:rsidR="000B4835">
        <w:rPr>
          <w:rFonts w:ascii="Avenir Next" w:hAnsi="Avenir Next"/>
          <w:color w:val="808080" w:themeColor="background1" w:themeShade="80"/>
        </w:rPr>
        <w:t>obtaining a</w:t>
      </w:r>
      <w:r w:rsidR="00033EFE">
        <w:rPr>
          <w:rFonts w:ascii="Avenir Next" w:hAnsi="Avenir Next"/>
          <w:color w:val="808080" w:themeColor="background1" w:themeShade="80"/>
        </w:rPr>
        <w:t xml:space="preserve"> lesser amount/dividend that the debtor would pay to all unsecured creditors on a </w:t>
      </w:r>
      <w:r w:rsidR="00033EFE" w:rsidRPr="00033EFE">
        <w:rPr>
          <w:rFonts w:ascii="Avenir Next" w:hAnsi="Avenir Next"/>
          <w:i/>
          <w:iCs/>
          <w:color w:val="808080" w:themeColor="background1" w:themeShade="80"/>
        </w:rPr>
        <w:t>pari passu</w:t>
      </w:r>
      <w:r w:rsidR="00033EFE">
        <w:rPr>
          <w:rFonts w:ascii="Avenir Next" w:hAnsi="Avenir Next"/>
          <w:color w:val="808080" w:themeColor="background1" w:themeShade="80"/>
        </w:rPr>
        <w:t xml:space="preserve"> basis.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185E7AB7" w14:textId="61E3F3F6" w:rsidR="00033EFE" w:rsidRDefault="00033EFE" w:rsidP="00033EFE">
      <w:pPr>
        <w:pStyle w:val="AODocTxt"/>
        <w:numPr>
          <w:ilvl w:val="0"/>
          <w:numId w:val="39"/>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 “priming lien” is a form of post-petition financing that is a senior or equal to pre-petition lien on the insolvent debtor’s property. </w:t>
      </w:r>
    </w:p>
    <w:p w14:paraId="1F1321B1"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3FD924BB" w14:textId="12FE7514" w:rsidR="001D3BAA" w:rsidRPr="002B5D64" w:rsidRDefault="00033EFE" w:rsidP="00033EFE">
      <w:pPr>
        <w:pStyle w:val="AODocTxt"/>
        <w:numPr>
          <w:ilvl w:val="0"/>
          <w:numId w:val="39"/>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The debtor must show that</w:t>
      </w:r>
      <w:r w:rsidR="000B4835">
        <w:rPr>
          <w:rFonts w:ascii="Avenir Next" w:hAnsi="Avenir Next"/>
          <w:color w:val="808080" w:themeColor="background1" w:themeShade="80"/>
        </w:rPr>
        <w:t>:</w:t>
      </w:r>
      <w:r>
        <w:rPr>
          <w:rFonts w:ascii="Avenir Next" w:hAnsi="Avenir Next"/>
          <w:color w:val="808080" w:themeColor="background1" w:themeShade="80"/>
        </w:rPr>
        <w:t xml:space="preserve"> (a) the financing could not have been obtained on any other methods, and (b) the secured creditor (whose security is primed), is adequately protected.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566266F6" w:rsidR="001D3BAA" w:rsidRPr="003401D9" w:rsidRDefault="008A7718" w:rsidP="008A7718">
      <w:pPr>
        <w:pStyle w:val="AODocTxt"/>
        <w:numPr>
          <w:ilvl w:val="0"/>
          <w:numId w:val="40"/>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One potential consequence of an act taken in violation of the automatic stay is that it constitutes </w:t>
      </w:r>
      <w:r w:rsidR="000B4835">
        <w:rPr>
          <w:rFonts w:ascii="Avenir Next" w:hAnsi="Avenir Next"/>
          <w:color w:val="808080" w:themeColor="background1" w:themeShade="80"/>
        </w:rPr>
        <w:t xml:space="preserve">a </w:t>
      </w:r>
      <w:r w:rsidRPr="008A7718">
        <w:rPr>
          <w:rFonts w:ascii="Avenir Next" w:hAnsi="Avenir Next"/>
          <w:b/>
          <w:bCs/>
          <w:color w:val="808080" w:themeColor="background1" w:themeShade="80"/>
          <w:u w:val="single"/>
        </w:rPr>
        <w:t>contempt of court</w:t>
      </w:r>
      <w:r>
        <w:rPr>
          <w:rFonts w:ascii="Avenir Next" w:hAnsi="Avenir Next"/>
          <w:b/>
          <w:bCs/>
          <w:color w:val="808080" w:themeColor="background1" w:themeShade="80"/>
          <w:u w:val="single"/>
        </w:rPr>
        <w:t>:</w:t>
      </w:r>
    </w:p>
    <w:p w14:paraId="70F16E90" w14:textId="77777777" w:rsidR="003401D9" w:rsidRPr="008A7718" w:rsidRDefault="003401D9" w:rsidP="003401D9">
      <w:pPr>
        <w:pStyle w:val="AODocTxt"/>
        <w:spacing w:before="0" w:line="240" w:lineRule="auto"/>
        <w:ind w:left="284"/>
        <w:rPr>
          <w:rFonts w:ascii="Avenir Next" w:hAnsi="Avenir Next"/>
          <w:color w:val="808080" w:themeColor="background1" w:themeShade="80"/>
        </w:rPr>
      </w:pPr>
    </w:p>
    <w:p w14:paraId="4BC1B9A8" w14:textId="755376E9" w:rsidR="008A7718" w:rsidRDefault="008A7718" w:rsidP="008A7718">
      <w:pPr>
        <w:pStyle w:val="AODocTxt"/>
        <w:numPr>
          <w:ilvl w:val="1"/>
          <w:numId w:val="40"/>
        </w:numPr>
        <w:spacing w:before="0" w:line="240" w:lineRule="auto"/>
        <w:ind w:left="567" w:hanging="283"/>
        <w:rPr>
          <w:rFonts w:ascii="Avenir Next" w:hAnsi="Avenir Next"/>
          <w:color w:val="808080" w:themeColor="background1" w:themeShade="80"/>
        </w:rPr>
      </w:pPr>
      <w:r w:rsidRPr="008A7718">
        <w:rPr>
          <w:rFonts w:ascii="Avenir Next" w:hAnsi="Avenir Next"/>
          <w:color w:val="808080" w:themeColor="background1" w:themeShade="80"/>
        </w:rPr>
        <w:lastRenderedPageBreak/>
        <w:t>The court</w:t>
      </w:r>
      <w:r>
        <w:rPr>
          <w:rFonts w:ascii="Avenir Next" w:hAnsi="Avenir Next"/>
          <w:color w:val="808080" w:themeColor="background1" w:themeShade="80"/>
        </w:rPr>
        <w:t xml:space="preserve"> may impose contempt sanctions such as payment of the debtors’ attorney’s fees, or requiring the violator to take action to undo the effect(s) of the violation, or if the violator does not act promptly, impose a daily fine to be paid to the court until the violation has been undone. </w:t>
      </w:r>
    </w:p>
    <w:p w14:paraId="15B5C3FB" w14:textId="77777777" w:rsidR="003401D9" w:rsidRDefault="003401D9" w:rsidP="003401D9">
      <w:pPr>
        <w:pStyle w:val="AODocTxt"/>
        <w:spacing w:before="0" w:line="240" w:lineRule="auto"/>
        <w:ind w:left="567"/>
        <w:rPr>
          <w:rFonts w:ascii="Avenir Next" w:hAnsi="Avenir Next"/>
          <w:color w:val="808080" w:themeColor="background1" w:themeShade="80"/>
        </w:rPr>
      </w:pPr>
    </w:p>
    <w:p w14:paraId="5C731B8C" w14:textId="0D210230" w:rsidR="008A7718" w:rsidRPr="008A7718" w:rsidRDefault="008A7718" w:rsidP="008A7718">
      <w:pPr>
        <w:pStyle w:val="AODocTxt"/>
        <w:numPr>
          <w:ilvl w:val="0"/>
          <w:numId w:val="40"/>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Another potential consequence is that act may be rendered </w:t>
      </w:r>
      <w:r w:rsidRPr="008A7718">
        <w:rPr>
          <w:rFonts w:ascii="Avenir Next" w:hAnsi="Avenir Next"/>
          <w:b/>
          <w:bCs/>
          <w:color w:val="808080" w:themeColor="background1" w:themeShade="80"/>
          <w:u w:val="single"/>
        </w:rPr>
        <w:t xml:space="preserve">void </w:t>
      </w:r>
      <w:r w:rsidRPr="008A7718">
        <w:rPr>
          <w:rFonts w:ascii="Avenir Next" w:hAnsi="Avenir Next"/>
          <w:color w:val="808080" w:themeColor="background1" w:themeShade="80"/>
        </w:rPr>
        <w:t xml:space="preserve">(i.e. invalid from the outset) </w:t>
      </w:r>
      <w:r w:rsidRPr="008A7718">
        <w:rPr>
          <w:rFonts w:ascii="Avenir Next" w:hAnsi="Avenir Next"/>
          <w:b/>
          <w:bCs/>
          <w:color w:val="808080" w:themeColor="background1" w:themeShade="80"/>
          <w:u w:val="single"/>
        </w:rPr>
        <w:t>or voidable</w:t>
      </w:r>
      <w:r>
        <w:rPr>
          <w:rFonts w:ascii="Avenir Next" w:hAnsi="Avenir Next"/>
          <w:b/>
          <w:bCs/>
          <w:color w:val="808080" w:themeColor="background1" w:themeShade="80"/>
          <w:u w:val="single"/>
        </w:rPr>
        <w:t xml:space="preserve"> </w:t>
      </w:r>
      <w:r w:rsidRPr="008A7718">
        <w:rPr>
          <w:rFonts w:ascii="Avenir Next" w:hAnsi="Avenir Next"/>
          <w:color w:val="808080" w:themeColor="background1" w:themeShade="80"/>
        </w:rPr>
        <w:t>(i.e. declared invalid by the court on application by the debtor)</w:t>
      </w:r>
      <w:r>
        <w:rPr>
          <w:rFonts w:ascii="Avenir Next" w:hAnsi="Avenir Next"/>
          <w:color w:val="808080" w:themeColor="background1" w:themeShade="80"/>
        </w:rPr>
        <w:t xml:space="preserve">, depending on the circuit in which the bankruptcy matter is heard, as the circuit courts are divided on this issue.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134EE74F" w14:textId="085DEBAE" w:rsidR="00F92C46" w:rsidRDefault="00F92C46" w:rsidP="00F92C46">
      <w:pPr>
        <w:pStyle w:val="AODocTxt"/>
        <w:numPr>
          <w:ilvl w:val="0"/>
          <w:numId w:val="41"/>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An </w:t>
      </w:r>
      <w:r w:rsidRPr="00F92C46">
        <w:rPr>
          <w:rFonts w:ascii="Avenir Next" w:hAnsi="Avenir Next"/>
          <w:b/>
          <w:bCs/>
          <w:color w:val="808080" w:themeColor="background1" w:themeShade="80"/>
          <w:u w:val="single"/>
        </w:rPr>
        <w:t>unimpaired class</w:t>
      </w:r>
      <w:r>
        <w:rPr>
          <w:rFonts w:ascii="Avenir Next" w:hAnsi="Avenir Next"/>
          <w:b/>
          <w:bCs/>
          <w:color w:val="808080" w:themeColor="background1" w:themeShade="80"/>
          <w:u w:val="single"/>
        </w:rPr>
        <w:t xml:space="preserve"> of creditors</w:t>
      </w:r>
      <w:r>
        <w:rPr>
          <w:rFonts w:ascii="Avenir Next" w:hAnsi="Avenir Next"/>
          <w:color w:val="808080" w:themeColor="background1" w:themeShade="80"/>
        </w:rPr>
        <w:t xml:space="preserve"> i.e. paid in full, (including creditors’ whose acceleration of debts which have been reversed) is </w:t>
      </w:r>
      <w:r w:rsidRPr="00F92C46">
        <w:rPr>
          <w:rFonts w:ascii="Avenir Next" w:hAnsi="Avenir Next"/>
          <w:b/>
          <w:bCs/>
          <w:color w:val="808080" w:themeColor="background1" w:themeShade="80"/>
          <w:u w:val="single"/>
        </w:rPr>
        <w:t>deemed to accept the plan</w:t>
      </w:r>
      <w:r>
        <w:rPr>
          <w:rFonts w:ascii="Avenir Next" w:hAnsi="Avenir Next"/>
          <w:color w:val="808080" w:themeColor="background1" w:themeShade="80"/>
        </w:rPr>
        <w:t>: ss1126(c) and (d) of the Bankruptcy Code (“</w:t>
      </w:r>
      <w:r w:rsidRPr="00F92C46">
        <w:rPr>
          <w:rFonts w:ascii="Avenir Next" w:hAnsi="Avenir Next"/>
          <w:b/>
          <w:bCs/>
          <w:color w:val="808080" w:themeColor="background1" w:themeShade="80"/>
        </w:rPr>
        <w:t>BC</w:t>
      </w:r>
      <w:r>
        <w:rPr>
          <w:rFonts w:ascii="Avenir Next" w:hAnsi="Avenir Next"/>
          <w:color w:val="808080" w:themeColor="background1" w:themeShade="80"/>
        </w:rPr>
        <w:t>”).</w:t>
      </w:r>
    </w:p>
    <w:p w14:paraId="2E3F4CF7" w14:textId="77777777" w:rsidR="003401D9" w:rsidRPr="00F92C46" w:rsidRDefault="003401D9" w:rsidP="003401D9">
      <w:pPr>
        <w:pStyle w:val="AODocTxt"/>
        <w:spacing w:before="0" w:line="240" w:lineRule="auto"/>
        <w:ind w:left="284"/>
        <w:rPr>
          <w:rFonts w:ascii="Avenir Next" w:hAnsi="Avenir Next"/>
          <w:color w:val="808080" w:themeColor="background1" w:themeShade="80"/>
        </w:rPr>
      </w:pPr>
    </w:p>
    <w:p w14:paraId="5EE96CA2" w14:textId="2BEA66FD" w:rsidR="00F92C46" w:rsidRDefault="00F92C46" w:rsidP="00F92C46">
      <w:pPr>
        <w:pStyle w:val="AODocTxt"/>
        <w:numPr>
          <w:ilvl w:val="0"/>
          <w:numId w:val="41"/>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 </w:t>
      </w:r>
      <w:r w:rsidRPr="00F92C46">
        <w:rPr>
          <w:rFonts w:ascii="Avenir Next" w:hAnsi="Avenir Next"/>
          <w:b/>
          <w:bCs/>
          <w:color w:val="808080" w:themeColor="background1" w:themeShade="80"/>
          <w:u w:val="single"/>
        </w:rPr>
        <w:t xml:space="preserve">class </w:t>
      </w:r>
      <w:r>
        <w:rPr>
          <w:rFonts w:ascii="Avenir Next" w:hAnsi="Avenir Next"/>
          <w:b/>
          <w:bCs/>
          <w:color w:val="808080" w:themeColor="background1" w:themeShade="80"/>
          <w:u w:val="single"/>
        </w:rPr>
        <w:t xml:space="preserve">of creditors </w:t>
      </w:r>
      <w:r w:rsidRPr="00F92C46">
        <w:rPr>
          <w:rFonts w:ascii="Avenir Next" w:hAnsi="Avenir Next"/>
          <w:b/>
          <w:bCs/>
          <w:color w:val="808080" w:themeColor="background1" w:themeShade="80"/>
          <w:u w:val="single"/>
        </w:rPr>
        <w:t>that will receive nothing</w:t>
      </w:r>
      <w:r>
        <w:rPr>
          <w:rFonts w:ascii="Avenir Next" w:hAnsi="Avenir Next"/>
          <w:color w:val="808080" w:themeColor="background1" w:themeShade="80"/>
        </w:rPr>
        <w:t xml:space="preserve"> is </w:t>
      </w:r>
      <w:r w:rsidRPr="00F92C46">
        <w:rPr>
          <w:rFonts w:ascii="Avenir Next" w:hAnsi="Avenir Next"/>
          <w:b/>
          <w:bCs/>
          <w:color w:val="808080" w:themeColor="background1" w:themeShade="80"/>
          <w:u w:val="single"/>
        </w:rPr>
        <w:t>deemed to reject the plan</w:t>
      </w:r>
      <w:r>
        <w:rPr>
          <w:rFonts w:ascii="Avenir Next" w:hAnsi="Avenir Next"/>
          <w:color w:val="808080" w:themeColor="background1" w:themeShade="80"/>
        </w:rPr>
        <w:t>: ss 1126(f) and (g) of the BC.</w:t>
      </w:r>
    </w:p>
    <w:p w14:paraId="1E7E4E83"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480B2087" w14:textId="5B30843F" w:rsidR="00F92C46" w:rsidRDefault="00F92C46" w:rsidP="00F92C46">
      <w:pPr>
        <w:pStyle w:val="AODocTxt"/>
        <w:numPr>
          <w:ilvl w:val="0"/>
          <w:numId w:val="41"/>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An </w:t>
      </w:r>
      <w:r w:rsidRPr="00F92C46">
        <w:rPr>
          <w:rFonts w:ascii="Avenir Next" w:hAnsi="Avenir Next"/>
          <w:b/>
          <w:bCs/>
          <w:color w:val="808080" w:themeColor="background1" w:themeShade="80"/>
          <w:u w:val="single"/>
        </w:rPr>
        <w:t>impaired class</w:t>
      </w:r>
      <w:r>
        <w:rPr>
          <w:rFonts w:ascii="Avenir Next" w:hAnsi="Avenir Next"/>
          <w:b/>
          <w:bCs/>
          <w:color w:val="808080" w:themeColor="background1" w:themeShade="80"/>
          <w:u w:val="single"/>
        </w:rPr>
        <w:t xml:space="preserve"> of creditors</w:t>
      </w:r>
      <w:r>
        <w:rPr>
          <w:rFonts w:ascii="Avenir Next" w:hAnsi="Avenir Next"/>
          <w:color w:val="808080" w:themeColor="background1" w:themeShade="80"/>
        </w:rPr>
        <w:t xml:space="preserve"> i.e. whose debts would not be paid in full, will be permitted to vote on the plan.</w:t>
      </w:r>
    </w:p>
    <w:p w14:paraId="3F5CEA32"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5A1258CB" w14:textId="64FB4B46" w:rsidR="00F92C46" w:rsidRPr="00F92C46" w:rsidRDefault="00F92C46" w:rsidP="00F92C46">
      <w:pPr>
        <w:pStyle w:val="AODocTxt"/>
        <w:numPr>
          <w:ilvl w:val="0"/>
          <w:numId w:val="41"/>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 class of creditors accepts a plan if a </w:t>
      </w:r>
      <w:r w:rsidRPr="00F92C46">
        <w:rPr>
          <w:rFonts w:ascii="Avenir Next" w:hAnsi="Avenir Next"/>
          <w:b/>
          <w:bCs/>
          <w:color w:val="808080" w:themeColor="background1" w:themeShade="80"/>
          <w:u w:val="single"/>
        </w:rPr>
        <w:t>simple majority (in number)</w:t>
      </w:r>
      <w:r>
        <w:rPr>
          <w:rFonts w:ascii="Avenir Next" w:hAnsi="Avenir Next"/>
          <w:color w:val="808080" w:themeColor="background1" w:themeShade="80"/>
        </w:rPr>
        <w:t xml:space="preserve"> of the creditors in the class, holding at least </w:t>
      </w:r>
      <w:r w:rsidRPr="00F92C46">
        <w:rPr>
          <w:rFonts w:ascii="Avenir Next" w:hAnsi="Avenir Next"/>
          <w:b/>
          <w:bCs/>
          <w:color w:val="808080" w:themeColor="background1" w:themeShade="80"/>
          <w:u w:val="single"/>
        </w:rPr>
        <w:t>two-thirds (in value)</w:t>
      </w:r>
      <w:r>
        <w:rPr>
          <w:rFonts w:ascii="Avenir Next" w:hAnsi="Avenir Next"/>
          <w:color w:val="808080" w:themeColor="background1" w:themeShade="80"/>
        </w:rPr>
        <w:t xml:space="preserve"> of the total value of the claims in the class vote in favour: ss 1126(c) and (d) of the BC.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1B34D884" w14:textId="1F6A6F59" w:rsidR="002E68BF" w:rsidRDefault="002E68BF" w:rsidP="002E68BF">
      <w:pPr>
        <w:pStyle w:val="AODocTxt"/>
        <w:numPr>
          <w:ilvl w:val="0"/>
          <w:numId w:val="42"/>
        </w:numPr>
        <w:spacing w:before="0" w:line="240" w:lineRule="auto"/>
        <w:ind w:left="284" w:hanging="284"/>
        <w:rPr>
          <w:rFonts w:ascii="Avenir Next" w:hAnsi="Avenir Next"/>
          <w:color w:val="808080" w:themeColor="background1" w:themeShade="80"/>
        </w:rPr>
      </w:pPr>
      <w:r w:rsidRPr="002E68BF">
        <w:rPr>
          <w:rFonts w:ascii="Avenir Next" w:hAnsi="Avenir Next"/>
          <w:b/>
          <w:bCs/>
          <w:color w:val="808080" w:themeColor="background1" w:themeShade="80"/>
          <w:u w:val="single"/>
        </w:rPr>
        <w:t>Preference action</w:t>
      </w:r>
      <w:r>
        <w:rPr>
          <w:rFonts w:ascii="Avenir Next" w:hAnsi="Avenir Next"/>
          <w:color w:val="808080" w:themeColor="background1" w:themeShade="80"/>
        </w:rPr>
        <w:t xml:space="preserve"> applies only to transfer made on account of a pre-existing debt. </w:t>
      </w:r>
    </w:p>
    <w:p w14:paraId="6924C861" w14:textId="77777777" w:rsidR="002E68BF" w:rsidRDefault="002E68BF" w:rsidP="002E68BF">
      <w:pPr>
        <w:pStyle w:val="AODocTxt"/>
        <w:spacing w:before="0" w:line="240" w:lineRule="auto"/>
        <w:ind w:left="284"/>
        <w:rPr>
          <w:rFonts w:ascii="Avenir Next" w:hAnsi="Avenir Next"/>
          <w:color w:val="808080" w:themeColor="background1" w:themeShade="80"/>
        </w:rPr>
      </w:pPr>
    </w:p>
    <w:p w14:paraId="029F5644" w14:textId="77777777" w:rsidR="002E68BF" w:rsidRDefault="002E68BF" w:rsidP="002E68BF">
      <w:pPr>
        <w:pStyle w:val="AODocTxt"/>
        <w:numPr>
          <w:ilvl w:val="0"/>
          <w:numId w:val="42"/>
        </w:numPr>
        <w:spacing w:before="0" w:line="240" w:lineRule="auto"/>
        <w:ind w:left="284" w:hanging="284"/>
        <w:rPr>
          <w:rFonts w:ascii="Avenir Next" w:hAnsi="Avenir Next"/>
          <w:color w:val="808080" w:themeColor="background1" w:themeShade="80"/>
        </w:rPr>
      </w:pPr>
      <w:r w:rsidRPr="002E68BF">
        <w:rPr>
          <w:rFonts w:ascii="Avenir Next" w:hAnsi="Avenir Next"/>
          <w:b/>
          <w:bCs/>
          <w:color w:val="808080" w:themeColor="background1" w:themeShade="80"/>
          <w:u w:val="single"/>
        </w:rPr>
        <w:t>Preference and fraudulent conveyances (whether actual or constructive)</w:t>
      </w:r>
      <w:r>
        <w:rPr>
          <w:rFonts w:ascii="Avenir Next" w:hAnsi="Avenir Next"/>
          <w:color w:val="808080" w:themeColor="background1" w:themeShade="80"/>
        </w:rPr>
        <w:t xml:space="preserve"> require that the debtor be presumed or proven to have been insolvent at the time of the transfer/transaction. </w:t>
      </w:r>
    </w:p>
    <w:p w14:paraId="35BD22DB" w14:textId="77777777" w:rsidR="002E68BF" w:rsidRDefault="002E68BF" w:rsidP="002E68BF">
      <w:pPr>
        <w:pStyle w:val="ListParagraph"/>
        <w:rPr>
          <w:rFonts w:ascii="Avenir Next" w:hAnsi="Avenir Next"/>
          <w:color w:val="808080" w:themeColor="background1" w:themeShade="80"/>
        </w:rPr>
      </w:pPr>
    </w:p>
    <w:p w14:paraId="66393F27" w14:textId="10A72771" w:rsidR="00E239B8" w:rsidRDefault="002E68BF" w:rsidP="002E68BF">
      <w:pPr>
        <w:pStyle w:val="AODocTxt"/>
        <w:numPr>
          <w:ilvl w:val="0"/>
          <w:numId w:val="42"/>
        </w:numPr>
        <w:spacing w:before="0" w:line="240" w:lineRule="auto"/>
        <w:ind w:left="284" w:hanging="284"/>
        <w:rPr>
          <w:rFonts w:ascii="Avenir Next" w:hAnsi="Avenir Next"/>
          <w:color w:val="808080" w:themeColor="background1" w:themeShade="80"/>
        </w:rPr>
      </w:pPr>
      <w:r w:rsidRPr="002E68BF">
        <w:rPr>
          <w:rFonts w:ascii="Avenir Next" w:hAnsi="Avenir Next"/>
          <w:b/>
          <w:bCs/>
          <w:color w:val="808080" w:themeColor="background1" w:themeShade="80"/>
          <w:u w:val="single"/>
        </w:rPr>
        <w:t>Actual fraudulent conveyance</w:t>
      </w:r>
      <w:r>
        <w:rPr>
          <w:rFonts w:ascii="Avenir Next" w:hAnsi="Avenir Next"/>
          <w:color w:val="808080" w:themeColor="background1" w:themeShade="80"/>
        </w:rPr>
        <w:t xml:space="preserve"> requires that the debtor be proven to have intended to frustrate creditors’ recoveries.  </w:t>
      </w:r>
      <w:r>
        <w:rPr>
          <w:rFonts w:ascii="Avenir Next" w:hAnsi="Avenir Next"/>
          <w:color w:val="808080" w:themeColor="background1" w:themeShade="80"/>
        </w:rPr>
        <w:br/>
      </w: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38B72E11" w:rsidR="001D3BAA" w:rsidRDefault="00F37E18" w:rsidP="00F37E18">
      <w:pPr>
        <w:pStyle w:val="AODocTxt"/>
        <w:numPr>
          <w:ilvl w:val="0"/>
          <w:numId w:val="43"/>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 bankruptcy court is created by the Bankruptcy Code rather than created by Article III of the US Constitution, and a bankruptcy judge is appointed by the courts of appeal rather than the president. The </w:t>
      </w:r>
      <w:r w:rsidRPr="00F37E18">
        <w:rPr>
          <w:rFonts w:ascii="Avenir Next" w:hAnsi="Avenir Next"/>
          <w:b/>
          <w:bCs/>
          <w:color w:val="808080" w:themeColor="background1" w:themeShade="80"/>
          <w:u w:val="single"/>
        </w:rPr>
        <w:t>bankruptcy court may only enter final judgment on core bankruptcy issues</w:t>
      </w:r>
      <w:r>
        <w:rPr>
          <w:rFonts w:ascii="Avenir Next" w:hAnsi="Avenir Next"/>
          <w:color w:val="808080" w:themeColor="background1" w:themeShade="80"/>
        </w:rPr>
        <w:t>, consistent with the US Constitution.</w:t>
      </w:r>
    </w:p>
    <w:p w14:paraId="16F78F74"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4BB2E3BE" w14:textId="4EE51839" w:rsidR="00F37E18" w:rsidRDefault="00F37E18" w:rsidP="00F37E18">
      <w:pPr>
        <w:pStyle w:val="AODocTxt"/>
        <w:numPr>
          <w:ilvl w:val="0"/>
          <w:numId w:val="43"/>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The </w:t>
      </w:r>
      <w:r w:rsidRPr="00517681">
        <w:rPr>
          <w:rFonts w:ascii="Avenir Next" w:hAnsi="Avenir Next"/>
          <w:b/>
          <w:bCs/>
          <w:color w:val="808080" w:themeColor="background1" w:themeShade="80"/>
          <w:u w:val="single"/>
        </w:rPr>
        <w:t>district court</w:t>
      </w:r>
      <w:r>
        <w:rPr>
          <w:rFonts w:ascii="Avenir Next" w:hAnsi="Avenir Next"/>
          <w:color w:val="808080" w:themeColor="background1" w:themeShade="80"/>
        </w:rPr>
        <w:t xml:space="preserve"> for the district in which they sit in, hears appeals from bankruptcy court decisions. In certain circuits, a </w:t>
      </w:r>
      <w:r w:rsidRPr="00517681">
        <w:rPr>
          <w:rFonts w:ascii="Avenir Next" w:hAnsi="Avenir Next"/>
          <w:b/>
          <w:bCs/>
          <w:color w:val="808080" w:themeColor="background1" w:themeShade="80"/>
          <w:u w:val="single"/>
        </w:rPr>
        <w:t>Bankruptcy Appellate Panel</w:t>
      </w:r>
      <w:r w:rsidR="001B6D86">
        <w:rPr>
          <w:rFonts w:ascii="Avenir Next" w:hAnsi="Avenir Next"/>
          <w:color w:val="808080" w:themeColor="background1" w:themeShade="80"/>
        </w:rPr>
        <w:t xml:space="preserve"> (“</w:t>
      </w:r>
      <w:r w:rsidR="001B6D86" w:rsidRPr="001B6D86">
        <w:rPr>
          <w:rFonts w:ascii="Avenir Next" w:hAnsi="Avenir Next"/>
          <w:b/>
          <w:bCs/>
          <w:color w:val="808080" w:themeColor="background1" w:themeShade="80"/>
        </w:rPr>
        <w:t>BAP</w:t>
      </w:r>
      <w:r w:rsidR="001B6D86">
        <w:rPr>
          <w:rFonts w:ascii="Avenir Next" w:hAnsi="Avenir Next"/>
          <w:color w:val="808080" w:themeColor="background1" w:themeShade="80"/>
        </w:rPr>
        <w:t>”)</w:t>
      </w:r>
      <w:r>
        <w:rPr>
          <w:rFonts w:ascii="Avenir Next" w:hAnsi="Avenir Next"/>
          <w:color w:val="808080" w:themeColor="background1" w:themeShade="80"/>
        </w:rPr>
        <w:t>, convened from judges of the bankruptcy courts within the circuit, hears the bankruptcy appeals.</w:t>
      </w:r>
    </w:p>
    <w:p w14:paraId="6D52C257"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78819A3D" w14:textId="7048AF23" w:rsidR="00F37E18" w:rsidRPr="002B5D64" w:rsidRDefault="001B6D86" w:rsidP="00F37E18">
      <w:pPr>
        <w:pStyle w:val="AODocTxt"/>
        <w:numPr>
          <w:ilvl w:val="0"/>
          <w:numId w:val="43"/>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If the bankruptcy court order is not constitutional</w:t>
      </w:r>
      <w:r w:rsidR="000B4835">
        <w:rPr>
          <w:rFonts w:ascii="Avenir Next" w:hAnsi="Avenir Next"/>
          <w:color w:val="808080" w:themeColor="background1" w:themeShade="80"/>
        </w:rPr>
        <w:t>ly</w:t>
      </w:r>
      <w:r>
        <w:rPr>
          <w:rFonts w:ascii="Avenir Next" w:hAnsi="Avenir Next"/>
          <w:color w:val="808080" w:themeColor="background1" w:themeShade="80"/>
        </w:rPr>
        <w:t xml:space="preserve"> final, the district court or BAP </w:t>
      </w:r>
      <w:r w:rsidRPr="000B4835">
        <w:rPr>
          <w:rFonts w:ascii="Avenir Next" w:hAnsi="Avenir Next"/>
          <w:b/>
          <w:bCs/>
          <w:color w:val="808080" w:themeColor="background1" w:themeShade="80"/>
          <w:u w:val="single"/>
        </w:rPr>
        <w:t xml:space="preserve">reviews </w:t>
      </w:r>
      <w:r w:rsidRPr="000B4835">
        <w:rPr>
          <w:rFonts w:ascii="Avenir Next" w:hAnsi="Avenir Next"/>
          <w:b/>
          <w:bCs/>
          <w:i/>
          <w:iCs/>
          <w:color w:val="808080" w:themeColor="background1" w:themeShade="80"/>
          <w:u w:val="single"/>
        </w:rPr>
        <w:t>de novo</w:t>
      </w:r>
      <w:r w:rsidRPr="000B4835">
        <w:rPr>
          <w:rFonts w:ascii="Avenir Next" w:hAnsi="Avenir Next"/>
          <w:b/>
          <w:bCs/>
          <w:color w:val="808080" w:themeColor="background1" w:themeShade="80"/>
          <w:u w:val="single"/>
        </w:rPr>
        <w:t>, all findings of fa</w:t>
      </w:r>
      <w:r w:rsidR="009772B6" w:rsidRPr="000B4835">
        <w:rPr>
          <w:rFonts w:ascii="Avenir Next" w:hAnsi="Avenir Next"/>
          <w:b/>
          <w:bCs/>
          <w:color w:val="808080" w:themeColor="background1" w:themeShade="80"/>
          <w:u w:val="single"/>
        </w:rPr>
        <w:t>c</w:t>
      </w:r>
      <w:r w:rsidRPr="000B4835">
        <w:rPr>
          <w:rFonts w:ascii="Avenir Next" w:hAnsi="Avenir Next"/>
          <w:b/>
          <w:bCs/>
          <w:color w:val="808080" w:themeColor="background1" w:themeShade="80"/>
          <w:u w:val="single"/>
        </w:rPr>
        <w:t>t and conclusions of law which a party has objected</w:t>
      </w:r>
      <w:r>
        <w:rPr>
          <w:rFonts w:ascii="Avenir Next" w:hAnsi="Avenir Next"/>
          <w:color w:val="808080" w:themeColor="background1" w:themeShade="80"/>
        </w:rPr>
        <w:t xml:space="preserve">.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1225B428" w:rsidR="001D3BAA" w:rsidRDefault="009772B6" w:rsidP="0027169C">
      <w:pPr>
        <w:pStyle w:val="AODocTxt"/>
        <w:numPr>
          <w:ilvl w:val="0"/>
          <w:numId w:val="45"/>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 foreign representative </w:t>
      </w:r>
      <w:r w:rsidRPr="0027169C">
        <w:rPr>
          <w:rFonts w:ascii="Avenir Next" w:hAnsi="Avenir Next"/>
          <w:b/>
          <w:bCs/>
          <w:color w:val="808080" w:themeColor="background1" w:themeShade="80"/>
          <w:u w:val="single"/>
        </w:rPr>
        <w:t>may not invoke the use of avoidance powers</w:t>
      </w:r>
      <w:r>
        <w:rPr>
          <w:rFonts w:ascii="Avenir Next" w:hAnsi="Avenir Next"/>
          <w:color w:val="808080" w:themeColor="background1" w:themeShade="80"/>
        </w:rPr>
        <w:t xml:space="preserve"> provided by the Bankruptcy Code. </w:t>
      </w:r>
    </w:p>
    <w:p w14:paraId="4DFBB65B"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3150F653" w14:textId="75BA54C1" w:rsidR="0027169C" w:rsidRPr="0027169C" w:rsidRDefault="0027169C" w:rsidP="0027169C">
      <w:pPr>
        <w:pStyle w:val="AODocTxt"/>
        <w:numPr>
          <w:ilvl w:val="0"/>
          <w:numId w:val="45"/>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 foreign representative may invoke the Bankruptcy Code avoidance powers: (a) </w:t>
      </w:r>
      <w:r w:rsidRPr="0027169C">
        <w:rPr>
          <w:rFonts w:ascii="Avenir Next" w:hAnsi="Avenir Next"/>
          <w:b/>
          <w:bCs/>
          <w:color w:val="808080" w:themeColor="background1" w:themeShade="80"/>
          <w:u w:val="single"/>
        </w:rPr>
        <w:t>when the debtor is already in Chapter 7 or 11 commenced by the debtor or its creditors</w:t>
      </w:r>
      <w:r>
        <w:rPr>
          <w:rFonts w:ascii="Avenir Next" w:hAnsi="Avenir Next"/>
          <w:color w:val="808080" w:themeColor="background1" w:themeShade="80"/>
        </w:rPr>
        <w:t xml:space="preserve"> before the foreign representative’s involvement; or (b) </w:t>
      </w:r>
      <w:r w:rsidRPr="0027169C">
        <w:rPr>
          <w:rFonts w:ascii="Avenir Next" w:hAnsi="Avenir Next"/>
          <w:b/>
          <w:bCs/>
          <w:color w:val="808080" w:themeColor="background1" w:themeShade="80"/>
          <w:u w:val="single"/>
        </w:rPr>
        <w:t>upon the foreign representative’s commencement of a plenary proceeding after recognition of the foreign proceedings under Chapter 15</w:t>
      </w:r>
      <w:r>
        <w:rPr>
          <w:rFonts w:ascii="Avenir Next" w:hAnsi="Avenir Next"/>
          <w:color w:val="808080" w:themeColor="background1" w:themeShade="80"/>
        </w:rPr>
        <w:t xml:space="preserve">. In the latter situation, the ambit of the plenary proceedings will be limited to the debtor’s assets located within the US and coordinated with the foreign proceeding.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3E8763EC" w:rsidR="001D3BAA" w:rsidRDefault="00FE045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One should refer to the following rules when preparing a filing for a bankruptcy court:</w:t>
      </w:r>
    </w:p>
    <w:p w14:paraId="0D097104" w14:textId="2F73D271" w:rsidR="00FE045D" w:rsidRPr="003401D9" w:rsidRDefault="00FE045D" w:rsidP="00FE045D">
      <w:pPr>
        <w:pStyle w:val="AODocTxt"/>
        <w:numPr>
          <w:ilvl w:val="0"/>
          <w:numId w:val="44"/>
        </w:numPr>
        <w:spacing w:before="0" w:line="240" w:lineRule="auto"/>
        <w:ind w:left="284" w:hanging="284"/>
        <w:rPr>
          <w:rFonts w:ascii="Avenir Next" w:hAnsi="Avenir Next"/>
          <w:b/>
          <w:bCs/>
          <w:color w:val="808080" w:themeColor="background1" w:themeShade="80"/>
          <w:u w:val="single"/>
        </w:rPr>
      </w:pPr>
      <w:r w:rsidRPr="004225BC">
        <w:rPr>
          <w:rFonts w:ascii="Avenir Next" w:hAnsi="Avenir Next"/>
          <w:b/>
          <w:bCs/>
          <w:color w:val="808080" w:themeColor="background1" w:themeShade="80"/>
          <w:u w:val="single"/>
        </w:rPr>
        <w:t>Bankruptcy Code</w:t>
      </w:r>
      <w:r w:rsidR="000B4835" w:rsidRPr="000B4835">
        <w:rPr>
          <w:rFonts w:ascii="Avenir Next" w:hAnsi="Avenir Next"/>
          <w:color w:val="808080" w:themeColor="background1" w:themeShade="80"/>
        </w:rPr>
        <w:t>;</w:t>
      </w:r>
    </w:p>
    <w:p w14:paraId="3C2ABBBF" w14:textId="77777777" w:rsidR="003401D9" w:rsidRPr="004225BC" w:rsidRDefault="003401D9" w:rsidP="003401D9">
      <w:pPr>
        <w:pStyle w:val="AODocTxt"/>
        <w:spacing w:before="0" w:line="240" w:lineRule="auto"/>
        <w:ind w:left="284"/>
        <w:rPr>
          <w:rFonts w:ascii="Avenir Next" w:hAnsi="Avenir Next"/>
          <w:b/>
          <w:bCs/>
          <w:color w:val="808080" w:themeColor="background1" w:themeShade="80"/>
          <w:u w:val="single"/>
        </w:rPr>
      </w:pPr>
    </w:p>
    <w:p w14:paraId="715AA605" w14:textId="2A263F17" w:rsidR="00FE045D" w:rsidRDefault="00FE045D" w:rsidP="00FE045D">
      <w:pPr>
        <w:pStyle w:val="AODocTxt"/>
        <w:numPr>
          <w:ilvl w:val="0"/>
          <w:numId w:val="44"/>
        </w:numPr>
        <w:spacing w:before="0" w:line="240" w:lineRule="auto"/>
        <w:ind w:left="284" w:hanging="284"/>
        <w:rPr>
          <w:rFonts w:ascii="Avenir Next" w:hAnsi="Avenir Next"/>
          <w:color w:val="808080" w:themeColor="background1" w:themeShade="80"/>
        </w:rPr>
      </w:pPr>
      <w:r w:rsidRPr="004225BC">
        <w:rPr>
          <w:rFonts w:ascii="Avenir Next" w:hAnsi="Avenir Next"/>
          <w:b/>
          <w:bCs/>
          <w:color w:val="808080" w:themeColor="background1" w:themeShade="80"/>
          <w:u w:val="single"/>
        </w:rPr>
        <w:t>Federal Rules of Bankruptcy Procedure</w:t>
      </w:r>
      <w:r>
        <w:rPr>
          <w:rFonts w:ascii="Avenir Next" w:hAnsi="Avenir Next"/>
          <w:color w:val="808080" w:themeColor="background1" w:themeShade="80"/>
        </w:rPr>
        <w:t>: which governs procedures in bankruptcy proceedings</w:t>
      </w:r>
      <w:r w:rsidR="000B4835">
        <w:rPr>
          <w:rFonts w:ascii="Avenir Next" w:hAnsi="Avenir Next"/>
          <w:color w:val="808080" w:themeColor="background1" w:themeShade="80"/>
        </w:rPr>
        <w:t>;</w:t>
      </w:r>
    </w:p>
    <w:p w14:paraId="6C5FB147"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31D7D3F8" w14:textId="03CDAF77" w:rsidR="00FE045D" w:rsidRPr="003401D9" w:rsidRDefault="00FE045D" w:rsidP="00FE045D">
      <w:pPr>
        <w:pStyle w:val="AODocTxt"/>
        <w:numPr>
          <w:ilvl w:val="0"/>
          <w:numId w:val="44"/>
        </w:numPr>
        <w:spacing w:before="0" w:line="240" w:lineRule="auto"/>
        <w:ind w:left="284" w:hanging="284"/>
        <w:rPr>
          <w:rFonts w:ascii="Avenir Next" w:hAnsi="Avenir Next"/>
          <w:b/>
          <w:bCs/>
          <w:color w:val="808080" w:themeColor="background1" w:themeShade="80"/>
          <w:u w:val="single"/>
        </w:rPr>
      </w:pPr>
      <w:r w:rsidRPr="004225BC">
        <w:rPr>
          <w:rFonts w:ascii="Avenir Next" w:hAnsi="Avenir Next"/>
          <w:b/>
          <w:bCs/>
          <w:color w:val="808080" w:themeColor="background1" w:themeShade="80"/>
          <w:u w:val="single"/>
        </w:rPr>
        <w:t>Federal Rules of Civil Procedure, local rules of procedure, and judges’ personal practices</w:t>
      </w:r>
      <w:r w:rsidR="000B4835">
        <w:rPr>
          <w:rFonts w:ascii="Avenir Next" w:hAnsi="Avenir Next"/>
          <w:color w:val="808080" w:themeColor="background1" w:themeShade="80"/>
        </w:rPr>
        <w:t xml:space="preserve">; </w:t>
      </w:r>
    </w:p>
    <w:p w14:paraId="28E1E7F6" w14:textId="77777777" w:rsidR="003401D9" w:rsidRPr="004225BC" w:rsidRDefault="003401D9" w:rsidP="003401D9">
      <w:pPr>
        <w:pStyle w:val="AODocTxt"/>
        <w:spacing w:before="0" w:line="240" w:lineRule="auto"/>
        <w:ind w:left="284"/>
        <w:rPr>
          <w:rFonts w:ascii="Avenir Next" w:hAnsi="Avenir Next"/>
          <w:b/>
          <w:bCs/>
          <w:color w:val="808080" w:themeColor="background1" w:themeShade="80"/>
          <w:u w:val="single"/>
        </w:rPr>
      </w:pPr>
    </w:p>
    <w:p w14:paraId="34E386CA" w14:textId="5F91FE36" w:rsidR="00FE045D" w:rsidRDefault="00FE045D" w:rsidP="00FE045D">
      <w:pPr>
        <w:pStyle w:val="AODocTxt"/>
        <w:numPr>
          <w:ilvl w:val="0"/>
          <w:numId w:val="44"/>
        </w:numPr>
        <w:spacing w:before="0" w:line="240" w:lineRule="auto"/>
        <w:ind w:left="284" w:hanging="284"/>
        <w:rPr>
          <w:rFonts w:ascii="Avenir Next" w:hAnsi="Avenir Next"/>
          <w:color w:val="808080" w:themeColor="background1" w:themeShade="80"/>
        </w:rPr>
      </w:pPr>
      <w:r w:rsidRPr="004225BC">
        <w:rPr>
          <w:rFonts w:ascii="Avenir Next" w:hAnsi="Avenir Next"/>
          <w:b/>
          <w:bCs/>
          <w:color w:val="808080" w:themeColor="background1" w:themeShade="80"/>
          <w:u w:val="single"/>
        </w:rPr>
        <w:t>Case law</w:t>
      </w:r>
      <w:r>
        <w:rPr>
          <w:rFonts w:ascii="Avenir Next" w:hAnsi="Avenir Next"/>
          <w:color w:val="808080" w:themeColor="background1" w:themeShade="80"/>
        </w:rPr>
        <w:t xml:space="preserve"> on the Bankruptcy Code and operation of non-bankruptcy law in bankruptcy proceedings</w:t>
      </w:r>
      <w:r w:rsidR="003401D9">
        <w:rPr>
          <w:rFonts w:ascii="Avenir Next" w:hAnsi="Avenir Next"/>
          <w:color w:val="808080" w:themeColor="background1" w:themeShade="80"/>
        </w:rPr>
        <w:t>; and</w:t>
      </w:r>
      <w:r w:rsidR="003401D9">
        <w:rPr>
          <w:rFonts w:ascii="Avenir Next" w:hAnsi="Avenir Next"/>
          <w:color w:val="808080" w:themeColor="background1" w:themeShade="80"/>
        </w:rPr>
        <w:br/>
      </w:r>
    </w:p>
    <w:p w14:paraId="30C67A55" w14:textId="146B3DA3" w:rsidR="004B2578" w:rsidRPr="002B5D64" w:rsidRDefault="004B2578" w:rsidP="00FE045D">
      <w:pPr>
        <w:pStyle w:val="AODocTxt"/>
        <w:numPr>
          <w:ilvl w:val="0"/>
          <w:numId w:val="44"/>
        </w:numPr>
        <w:spacing w:before="0" w:line="240" w:lineRule="auto"/>
        <w:ind w:left="284" w:hanging="284"/>
        <w:rPr>
          <w:rFonts w:ascii="Avenir Next" w:hAnsi="Avenir Next"/>
          <w:color w:val="808080" w:themeColor="background1" w:themeShade="80"/>
        </w:rPr>
      </w:pPr>
      <w:r>
        <w:rPr>
          <w:rFonts w:ascii="Avenir Next" w:hAnsi="Avenir Next"/>
          <w:b/>
          <w:bCs/>
          <w:color w:val="808080" w:themeColor="background1" w:themeShade="80"/>
          <w:u w:val="single"/>
        </w:rPr>
        <w:t xml:space="preserve">If one does not practice regularly in a jurisdiction, one should consult with a local practitioner for guidance on unwritten local practices.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lastRenderedPageBreak/>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BF5EA48" w14:textId="77777777" w:rsidR="004225BC" w:rsidRDefault="004225BC" w:rsidP="004225BC">
      <w:pPr>
        <w:pStyle w:val="AODocTxt"/>
        <w:numPr>
          <w:ilvl w:val="0"/>
          <w:numId w:val="46"/>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Directors of Delaware corporations owe a </w:t>
      </w:r>
      <w:r w:rsidRPr="004225BC">
        <w:rPr>
          <w:rFonts w:ascii="Avenir Next" w:hAnsi="Avenir Next"/>
          <w:b/>
          <w:bCs/>
          <w:color w:val="808080" w:themeColor="background1" w:themeShade="80"/>
          <w:u w:val="single"/>
        </w:rPr>
        <w:t xml:space="preserve">fiduciary duty of loyalty to </w:t>
      </w:r>
      <w:r>
        <w:rPr>
          <w:rFonts w:ascii="Avenir Next" w:hAnsi="Avenir Next"/>
          <w:b/>
          <w:bCs/>
          <w:color w:val="808080" w:themeColor="background1" w:themeShade="80"/>
          <w:u w:val="single"/>
        </w:rPr>
        <w:t xml:space="preserve">act in </w:t>
      </w:r>
      <w:r w:rsidRPr="004225BC">
        <w:rPr>
          <w:rFonts w:ascii="Avenir Next" w:hAnsi="Avenir Next"/>
          <w:b/>
          <w:bCs/>
          <w:color w:val="808080" w:themeColor="background1" w:themeShade="80"/>
          <w:u w:val="single"/>
        </w:rPr>
        <w:t>the corporation’s best interest</w:t>
      </w:r>
      <w:r>
        <w:rPr>
          <w:rFonts w:ascii="Avenir Next" w:hAnsi="Avenir Next"/>
          <w:color w:val="808080" w:themeColor="background1" w:themeShade="80"/>
        </w:rPr>
        <w:t xml:space="preserve"> and a </w:t>
      </w:r>
      <w:r w:rsidRPr="004225BC">
        <w:rPr>
          <w:rFonts w:ascii="Avenir Next" w:hAnsi="Avenir Next"/>
          <w:b/>
          <w:bCs/>
          <w:color w:val="808080" w:themeColor="background1" w:themeShade="80"/>
          <w:u w:val="single"/>
        </w:rPr>
        <w:t>duty of care in decision-making</w:t>
      </w:r>
      <w:r>
        <w:rPr>
          <w:rFonts w:ascii="Avenir Next" w:hAnsi="Avenir Next"/>
          <w:b/>
          <w:bCs/>
          <w:color w:val="808080" w:themeColor="background1" w:themeShade="80"/>
          <w:u w:val="single"/>
        </w:rPr>
        <w:t xml:space="preserve"> on behalf of the corporation.</w:t>
      </w:r>
      <w:r>
        <w:rPr>
          <w:rFonts w:ascii="Avenir Next" w:hAnsi="Avenir Next"/>
          <w:color w:val="808080" w:themeColor="background1" w:themeShade="80"/>
        </w:rPr>
        <w:t xml:space="preserve"> However, the </w:t>
      </w:r>
      <w:r w:rsidRPr="004225BC">
        <w:rPr>
          <w:rFonts w:ascii="Avenir Next" w:hAnsi="Avenir Next"/>
          <w:b/>
          <w:bCs/>
          <w:color w:val="808080" w:themeColor="background1" w:themeShade="80"/>
          <w:u w:val="single"/>
        </w:rPr>
        <w:t>business judgment rule</w:t>
      </w:r>
      <w:r>
        <w:rPr>
          <w:rFonts w:ascii="Avenir Next" w:hAnsi="Avenir Next"/>
          <w:color w:val="808080" w:themeColor="background1" w:themeShade="80"/>
        </w:rPr>
        <w:t xml:space="preserve"> protects directors from liability arising from errors of judgment.</w:t>
      </w:r>
    </w:p>
    <w:p w14:paraId="62DEFA6B"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02C1D27B" w14:textId="77777777" w:rsidR="004225BC" w:rsidRPr="003401D9" w:rsidRDefault="004225BC" w:rsidP="004225BC">
      <w:pPr>
        <w:pStyle w:val="AODocTxt"/>
        <w:numPr>
          <w:ilvl w:val="0"/>
          <w:numId w:val="46"/>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Directors’ duties are </w:t>
      </w:r>
      <w:r w:rsidRPr="004225BC">
        <w:rPr>
          <w:rFonts w:ascii="Avenir Next" w:hAnsi="Avenir Next"/>
          <w:b/>
          <w:bCs/>
          <w:color w:val="808080" w:themeColor="background1" w:themeShade="80"/>
          <w:u w:val="single"/>
        </w:rPr>
        <w:t>owed to the corporation and its shareholders in the ordinary course of business</w:t>
      </w:r>
      <w:r>
        <w:rPr>
          <w:rFonts w:ascii="Avenir Next" w:hAnsi="Avenir Next"/>
          <w:color w:val="808080" w:themeColor="background1" w:themeShade="80"/>
        </w:rPr>
        <w:t xml:space="preserve">. In situations </w:t>
      </w:r>
      <w:r w:rsidRPr="004225BC">
        <w:rPr>
          <w:rFonts w:ascii="Avenir Next" w:hAnsi="Avenir Next"/>
          <w:b/>
          <w:bCs/>
          <w:color w:val="808080" w:themeColor="background1" w:themeShade="80"/>
          <w:u w:val="single"/>
        </w:rPr>
        <w:t>where the corporation is potentially or actually insolvent</w:t>
      </w:r>
      <w:r>
        <w:rPr>
          <w:rFonts w:ascii="Avenir Next" w:hAnsi="Avenir Next"/>
          <w:color w:val="808080" w:themeColor="background1" w:themeShade="80"/>
        </w:rPr>
        <w:t xml:space="preserve">, </w:t>
      </w:r>
      <w:r w:rsidRPr="004225BC">
        <w:rPr>
          <w:rFonts w:ascii="Avenir Next" w:hAnsi="Avenir Next"/>
          <w:b/>
          <w:bCs/>
          <w:color w:val="808080" w:themeColor="background1" w:themeShade="80"/>
          <w:u w:val="single"/>
        </w:rPr>
        <w:t xml:space="preserve">directors do not owe any duties directly to creditors. </w:t>
      </w:r>
    </w:p>
    <w:p w14:paraId="072C3562"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7A03B5A2" w14:textId="1064CB90" w:rsidR="001D3BAA" w:rsidRDefault="004225BC" w:rsidP="004225BC">
      <w:pPr>
        <w:pStyle w:val="AODocTxt"/>
        <w:numPr>
          <w:ilvl w:val="0"/>
          <w:numId w:val="46"/>
        </w:numPr>
        <w:spacing w:before="0" w:line="240" w:lineRule="auto"/>
        <w:ind w:left="284" w:hanging="284"/>
        <w:rPr>
          <w:rFonts w:ascii="Avenir Next" w:hAnsi="Avenir Next"/>
          <w:color w:val="808080" w:themeColor="background1" w:themeShade="80"/>
        </w:rPr>
      </w:pPr>
      <w:r w:rsidRPr="004225BC">
        <w:rPr>
          <w:rFonts w:ascii="Avenir Next" w:hAnsi="Avenir Next"/>
          <w:b/>
          <w:bCs/>
          <w:color w:val="808080" w:themeColor="background1" w:themeShade="80"/>
          <w:u w:val="single"/>
        </w:rPr>
        <w:t>A decision of the Delaware Supreme Court</w:t>
      </w:r>
      <w:r>
        <w:rPr>
          <w:rFonts w:ascii="Avenir Next" w:hAnsi="Avenir Next"/>
          <w:color w:val="808080" w:themeColor="background1" w:themeShade="80"/>
        </w:rPr>
        <w:t xml:space="preserve"> has clarified that the directors do not owe duties to creditors when a corporation is operating “in the zone of insolvency” or is actually insolvent. There is </w:t>
      </w:r>
      <w:r w:rsidRPr="004225BC">
        <w:rPr>
          <w:rFonts w:ascii="Avenir Next" w:hAnsi="Avenir Next"/>
          <w:b/>
          <w:bCs/>
          <w:color w:val="808080" w:themeColor="background1" w:themeShade="80"/>
          <w:u w:val="single"/>
        </w:rPr>
        <w:t>no concept of “wrongful trading” or deepening insolvency under US law</w:t>
      </w:r>
      <w:r>
        <w:rPr>
          <w:rFonts w:ascii="Avenir Next" w:hAnsi="Avenir Next"/>
          <w:color w:val="808080" w:themeColor="background1" w:themeShade="80"/>
        </w:rPr>
        <w:t xml:space="preserve">.     </w:t>
      </w:r>
    </w:p>
    <w:p w14:paraId="4B8A2776" w14:textId="05E20EE2" w:rsidR="00CF12B2" w:rsidRPr="00E01803" w:rsidRDefault="004225BC" w:rsidP="004225BC">
      <w:pPr>
        <w:pStyle w:val="AODocTxt"/>
        <w:tabs>
          <w:tab w:val="left" w:pos="8134"/>
        </w:tabs>
        <w:spacing w:before="0" w:line="240" w:lineRule="auto"/>
        <w:rPr>
          <w:rFonts w:ascii="Avenir Next" w:hAnsi="Avenir Next"/>
        </w:rPr>
      </w:pPr>
      <w:r>
        <w:rPr>
          <w:rFonts w:ascii="Avenir Next" w:hAnsi="Avenir Next"/>
          <w:color w:val="808080" w:themeColor="background1" w:themeShade="80"/>
        </w:rPr>
        <w:tab/>
      </w: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68789C70" w:rsidR="001D3BAA" w:rsidRDefault="00FC0957" w:rsidP="00FC0957">
      <w:pPr>
        <w:pStyle w:val="AODocTxt"/>
        <w:numPr>
          <w:ilvl w:val="0"/>
          <w:numId w:val="48"/>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In the event that iWork Ltd (‘</w:t>
      </w:r>
      <w:r w:rsidRPr="00FC0957">
        <w:rPr>
          <w:rFonts w:ascii="Avenir Next" w:hAnsi="Avenir Next"/>
          <w:b/>
          <w:bCs/>
          <w:color w:val="808080" w:themeColor="background1" w:themeShade="80"/>
        </w:rPr>
        <w:t>iWork</w:t>
      </w:r>
      <w:r>
        <w:rPr>
          <w:rFonts w:ascii="Avenir Next" w:hAnsi="Avenir Next"/>
          <w:color w:val="808080" w:themeColor="background1" w:themeShade="80"/>
        </w:rPr>
        <w:t xml:space="preserve">”) enters into Chapter 7 </w:t>
      </w:r>
      <w:r w:rsidR="001A4A74">
        <w:rPr>
          <w:rFonts w:ascii="Avenir Next" w:hAnsi="Avenir Next"/>
          <w:color w:val="808080" w:themeColor="background1" w:themeShade="80"/>
        </w:rPr>
        <w:t xml:space="preserve">or 11 </w:t>
      </w:r>
      <w:r>
        <w:rPr>
          <w:rFonts w:ascii="Avenir Next" w:hAnsi="Avenir Next"/>
          <w:color w:val="808080" w:themeColor="background1" w:themeShade="80"/>
        </w:rPr>
        <w:t>under the Bankruptcy Code, the lessors of office space to iWork enjoy the following protection/benefits under the Bankruptcy Code:</w:t>
      </w:r>
    </w:p>
    <w:p w14:paraId="087FEDE1"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0B1BD870" w14:textId="21A8DD91" w:rsidR="001A4A74" w:rsidRDefault="001A4A74" w:rsidP="00FC0957">
      <w:pPr>
        <w:pStyle w:val="AODocTxt"/>
        <w:numPr>
          <w:ilvl w:val="0"/>
          <w:numId w:val="47"/>
        </w:numPr>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In a </w:t>
      </w:r>
      <w:r w:rsidRPr="001A4A74">
        <w:rPr>
          <w:rFonts w:ascii="Avenir Next" w:hAnsi="Avenir Next"/>
          <w:b/>
          <w:bCs/>
          <w:color w:val="808080" w:themeColor="background1" w:themeShade="80"/>
          <w:u w:val="single"/>
        </w:rPr>
        <w:t>chapter 7</w:t>
      </w:r>
      <w:r>
        <w:rPr>
          <w:rFonts w:ascii="Avenir Next" w:hAnsi="Avenir Next"/>
          <w:color w:val="808080" w:themeColor="background1" w:themeShade="80"/>
        </w:rPr>
        <w:t xml:space="preserve"> case, </w:t>
      </w:r>
      <w:r w:rsidRPr="001A4A74">
        <w:rPr>
          <w:rFonts w:ascii="Avenir Next" w:hAnsi="Avenir Next"/>
          <w:b/>
          <w:bCs/>
          <w:color w:val="808080" w:themeColor="background1" w:themeShade="80"/>
          <w:u w:val="single"/>
        </w:rPr>
        <w:t>the lessor will know whether the trustee assumes, assigns or rejects the lease within 60 days of the petitions date</w:t>
      </w:r>
      <w:r>
        <w:rPr>
          <w:rFonts w:ascii="Avenir Next" w:hAnsi="Avenir Next"/>
          <w:color w:val="808080" w:themeColor="background1" w:themeShade="80"/>
        </w:rPr>
        <w:t>;</w:t>
      </w:r>
    </w:p>
    <w:p w14:paraId="50EA7BE4" w14:textId="77777777" w:rsidR="003401D9" w:rsidRDefault="003401D9" w:rsidP="003401D9">
      <w:pPr>
        <w:pStyle w:val="AODocTxt"/>
        <w:spacing w:before="0" w:line="240" w:lineRule="auto"/>
        <w:ind w:left="207"/>
        <w:rPr>
          <w:rFonts w:ascii="Avenir Next" w:hAnsi="Avenir Next"/>
          <w:color w:val="808080" w:themeColor="background1" w:themeShade="80"/>
        </w:rPr>
      </w:pPr>
    </w:p>
    <w:p w14:paraId="12A676CE" w14:textId="2EBFF9FD" w:rsidR="001A4A74" w:rsidRPr="003401D9" w:rsidRDefault="001A4A74" w:rsidP="00FC0957">
      <w:pPr>
        <w:pStyle w:val="AODocTxt"/>
        <w:numPr>
          <w:ilvl w:val="0"/>
          <w:numId w:val="47"/>
        </w:numPr>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In a </w:t>
      </w:r>
      <w:r w:rsidRPr="001A4A74">
        <w:rPr>
          <w:rFonts w:ascii="Avenir Next" w:hAnsi="Avenir Next"/>
          <w:b/>
          <w:bCs/>
          <w:color w:val="808080" w:themeColor="background1" w:themeShade="80"/>
          <w:u w:val="single"/>
        </w:rPr>
        <w:t>chapter 11</w:t>
      </w:r>
      <w:r>
        <w:rPr>
          <w:rFonts w:ascii="Avenir Next" w:hAnsi="Avenir Next"/>
          <w:color w:val="808080" w:themeColor="background1" w:themeShade="80"/>
        </w:rPr>
        <w:t xml:space="preserve"> case, the lessor will know </w:t>
      </w:r>
      <w:r w:rsidRPr="001A4A74">
        <w:rPr>
          <w:rFonts w:ascii="Avenir Next" w:hAnsi="Avenir Next"/>
          <w:b/>
          <w:bCs/>
          <w:color w:val="808080" w:themeColor="background1" w:themeShade="80"/>
          <w:u w:val="single"/>
        </w:rPr>
        <w:t xml:space="preserve">whether the trustee assumes, assigns or rejects the </w:t>
      </w:r>
      <w:r>
        <w:rPr>
          <w:rFonts w:ascii="Avenir Next" w:hAnsi="Avenir Next"/>
          <w:b/>
          <w:bCs/>
          <w:color w:val="808080" w:themeColor="background1" w:themeShade="80"/>
          <w:u w:val="single"/>
        </w:rPr>
        <w:t xml:space="preserve">non-residential </w:t>
      </w:r>
      <w:r w:rsidRPr="001A4A74">
        <w:rPr>
          <w:rFonts w:ascii="Avenir Next" w:hAnsi="Avenir Next"/>
          <w:b/>
          <w:bCs/>
          <w:color w:val="808080" w:themeColor="background1" w:themeShade="80"/>
          <w:u w:val="single"/>
        </w:rPr>
        <w:t>lease within 60 days of the petitions date</w:t>
      </w:r>
      <w:r>
        <w:rPr>
          <w:rFonts w:ascii="Avenir Next" w:hAnsi="Avenir Next"/>
          <w:b/>
          <w:bCs/>
          <w:color w:val="808080" w:themeColor="background1" w:themeShade="80"/>
          <w:u w:val="single"/>
        </w:rPr>
        <w:t xml:space="preserve"> within 120 days of the order of </w:t>
      </w:r>
      <w:r w:rsidR="003401D9">
        <w:rPr>
          <w:rFonts w:ascii="Avenir Next" w:hAnsi="Avenir Next"/>
          <w:b/>
          <w:bCs/>
          <w:color w:val="808080" w:themeColor="background1" w:themeShade="80"/>
          <w:u w:val="single"/>
        </w:rPr>
        <w:t>relief.</w:t>
      </w:r>
    </w:p>
    <w:p w14:paraId="62DB94D7" w14:textId="77777777" w:rsidR="003401D9" w:rsidRDefault="003401D9" w:rsidP="003401D9">
      <w:pPr>
        <w:pStyle w:val="AODocTxt"/>
        <w:spacing w:before="0" w:line="240" w:lineRule="auto"/>
        <w:ind w:left="567"/>
        <w:rPr>
          <w:rFonts w:ascii="Avenir Next" w:hAnsi="Avenir Next"/>
          <w:color w:val="808080" w:themeColor="background1" w:themeShade="80"/>
        </w:rPr>
      </w:pPr>
    </w:p>
    <w:p w14:paraId="538CF9C3" w14:textId="6C142E81" w:rsidR="00FC0957" w:rsidRDefault="004F3C5A" w:rsidP="00FC0957">
      <w:pPr>
        <w:pStyle w:val="AODocTxt"/>
        <w:numPr>
          <w:ilvl w:val="0"/>
          <w:numId w:val="47"/>
        </w:numPr>
        <w:spacing w:before="0" w:line="240" w:lineRule="auto"/>
        <w:ind w:left="567"/>
        <w:rPr>
          <w:rFonts w:ascii="Avenir Next" w:hAnsi="Avenir Next"/>
          <w:color w:val="808080" w:themeColor="background1" w:themeShade="80"/>
        </w:rPr>
      </w:pPr>
      <w:r>
        <w:rPr>
          <w:rFonts w:ascii="Avenir Next" w:hAnsi="Avenir Next"/>
          <w:color w:val="808080" w:themeColor="background1" w:themeShade="80"/>
        </w:rPr>
        <w:t xml:space="preserve">If the </w:t>
      </w:r>
      <w:r w:rsidRPr="004F3C5A">
        <w:rPr>
          <w:rFonts w:ascii="Avenir Next" w:hAnsi="Avenir Next"/>
          <w:b/>
          <w:bCs/>
          <w:color w:val="808080" w:themeColor="background1" w:themeShade="80"/>
          <w:u w:val="single"/>
        </w:rPr>
        <w:t xml:space="preserve">debtor </w:t>
      </w:r>
      <w:r w:rsidR="00F80208">
        <w:rPr>
          <w:rFonts w:ascii="Avenir Next" w:hAnsi="Avenir Next"/>
          <w:b/>
          <w:bCs/>
          <w:color w:val="808080" w:themeColor="background1" w:themeShade="80"/>
          <w:u w:val="single"/>
        </w:rPr>
        <w:t xml:space="preserve">assumes the lease and </w:t>
      </w:r>
      <w:r w:rsidRPr="004F3C5A">
        <w:rPr>
          <w:rFonts w:ascii="Avenir Next" w:hAnsi="Avenir Next"/>
          <w:b/>
          <w:bCs/>
          <w:color w:val="808080" w:themeColor="background1" w:themeShade="80"/>
          <w:u w:val="single"/>
        </w:rPr>
        <w:t>continues to occupy real property, rent on the property</w:t>
      </w:r>
      <w:r>
        <w:rPr>
          <w:rFonts w:ascii="Avenir Next" w:hAnsi="Avenir Next"/>
          <w:color w:val="808080" w:themeColor="background1" w:themeShade="80"/>
        </w:rPr>
        <w:t xml:space="preserve"> is usually paid on an ongoing basis after the petition and </w:t>
      </w:r>
      <w:r w:rsidRPr="004F3C5A">
        <w:rPr>
          <w:rFonts w:ascii="Avenir Next" w:hAnsi="Avenir Next"/>
          <w:b/>
          <w:bCs/>
          <w:color w:val="808080" w:themeColor="background1" w:themeShade="80"/>
          <w:u w:val="single"/>
        </w:rPr>
        <w:t xml:space="preserve">charged as part of the trustee’s administrative expense </w:t>
      </w:r>
      <w:r>
        <w:rPr>
          <w:rFonts w:ascii="Avenir Next" w:hAnsi="Avenir Next"/>
          <w:b/>
          <w:bCs/>
          <w:color w:val="808080" w:themeColor="background1" w:themeShade="80"/>
          <w:u w:val="single"/>
        </w:rPr>
        <w:t xml:space="preserve">to be paid </w:t>
      </w:r>
      <w:r w:rsidRPr="004F3C5A">
        <w:rPr>
          <w:rFonts w:ascii="Avenir Next" w:hAnsi="Avenir Next"/>
          <w:b/>
          <w:bCs/>
          <w:color w:val="808080" w:themeColor="background1" w:themeShade="80"/>
          <w:u w:val="single"/>
        </w:rPr>
        <w:t>above all other unsecured claims</w:t>
      </w:r>
      <w:r>
        <w:rPr>
          <w:rFonts w:ascii="Avenir Next" w:hAnsi="Avenir Next"/>
          <w:color w:val="808080" w:themeColor="background1" w:themeShade="80"/>
        </w:rPr>
        <w:t xml:space="preserve">. </w:t>
      </w:r>
    </w:p>
    <w:p w14:paraId="1789AAE3" w14:textId="77777777" w:rsidR="003401D9" w:rsidRPr="002B5D64" w:rsidRDefault="003401D9" w:rsidP="003401D9">
      <w:pPr>
        <w:pStyle w:val="AODocTxt"/>
        <w:spacing w:before="0" w:line="240" w:lineRule="auto"/>
        <w:ind w:left="567"/>
        <w:rPr>
          <w:rFonts w:ascii="Avenir Next" w:hAnsi="Avenir Next"/>
          <w:color w:val="808080" w:themeColor="background1" w:themeShade="80"/>
        </w:rPr>
      </w:pPr>
    </w:p>
    <w:p w14:paraId="55BBE29D" w14:textId="77777777" w:rsidR="00F80208" w:rsidRDefault="00F80208" w:rsidP="00F80208">
      <w:pPr>
        <w:pStyle w:val="AODocTxt"/>
        <w:numPr>
          <w:ilvl w:val="0"/>
          <w:numId w:val="47"/>
        </w:numPr>
        <w:spacing w:before="0" w:line="240" w:lineRule="auto"/>
        <w:ind w:left="567"/>
        <w:rPr>
          <w:rFonts w:ascii="Avenir Next" w:hAnsi="Avenir Next"/>
          <w:color w:val="808080" w:themeColor="background1" w:themeShade="80"/>
        </w:rPr>
      </w:pPr>
      <w:r w:rsidRPr="00FC0957">
        <w:rPr>
          <w:rFonts w:ascii="Avenir Next" w:hAnsi="Avenir Next"/>
          <w:b/>
          <w:bCs/>
          <w:color w:val="808080" w:themeColor="background1" w:themeShade="80"/>
          <w:u w:val="single"/>
        </w:rPr>
        <w:t>Two years of lease payment from the date of rejection of the ease or turnover of the property as priority unsecured claim</w:t>
      </w:r>
      <w:r>
        <w:rPr>
          <w:rFonts w:ascii="Avenir Next" w:hAnsi="Avenir Next"/>
          <w:color w:val="808080" w:themeColor="background1" w:themeShade="80"/>
        </w:rPr>
        <w:t>, if the lease of non-residential real property was assumed then rejected.</w:t>
      </w:r>
    </w:p>
    <w:p w14:paraId="7D0BD596" w14:textId="77777777" w:rsidR="00884643" w:rsidRDefault="00884643" w:rsidP="00FC0957">
      <w:pPr>
        <w:pStyle w:val="AODocTxt"/>
        <w:spacing w:before="0" w:line="240" w:lineRule="auto"/>
        <w:ind w:left="567"/>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6FE48B80" w:rsidR="001D3BAA" w:rsidRDefault="00986023" w:rsidP="00986023">
      <w:pPr>
        <w:pStyle w:val="AODocTxt"/>
        <w:numPr>
          <w:ilvl w:val="0"/>
          <w:numId w:val="48"/>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In order to </w:t>
      </w:r>
      <w:r w:rsidRPr="00986023">
        <w:rPr>
          <w:rFonts w:ascii="Avenir Next" w:hAnsi="Avenir Next"/>
          <w:b/>
          <w:bCs/>
          <w:color w:val="808080" w:themeColor="background1" w:themeShade="80"/>
          <w:u w:val="single"/>
        </w:rPr>
        <w:t>obtain recognition of the English scheme of arrangement (“SOA”)</w:t>
      </w:r>
      <w:r>
        <w:rPr>
          <w:rFonts w:ascii="Avenir Next" w:hAnsi="Avenir Next"/>
          <w:b/>
          <w:bCs/>
          <w:color w:val="808080" w:themeColor="background1" w:themeShade="80"/>
          <w:u w:val="single"/>
        </w:rPr>
        <w:t xml:space="preserve"> under Chapter 15, </w:t>
      </w:r>
      <w:r>
        <w:rPr>
          <w:rFonts w:ascii="Avenir Next" w:hAnsi="Avenir Next"/>
          <w:color w:val="808080" w:themeColor="background1" w:themeShade="80"/>
        </w:rPr>
        <w:t xml:space="preserve">the English representative </w:t>
      </w:r>
      <w:r w:rsidRPr="00986023">
        <w:rPr>
          <w:rFonts w:ascii="Avenir Next" w:hAnsi="Avenir Next"/>
          <w:b/>
          <w:bCs/>
          <w:color w:val="808080" w:themeColor="background1" w:themeShade="80"/>
          <w:u w:val="single"/>
        </w:rPr>
        <w:t xml:space="preserve">must establish that the </w:t>
      </w:r>
      <w:r>
        <w:rPr>
          <w:rFonts w:ascii="Avenir Next" w:hAnsi="Avenir Next"/>
          <w:b/>
          <w:bCs/>
          <w:color w:val="808080" w:themeColor="background1" w:themeShade="80"/>
          <w:u w:val="single"/>
        </w:rPr>
        <w:t xml:space="preserve">foreign proceeding </w:t>
      </w:r>
      <w:r w:rsidRPr="00986023">
        <w:rPr>
          <w:rFonts w:ascii="Avenir Next" w:hAnsi="Avenir Next"/>
          <w:b/>
          <w:bCs/>
          <w:color w:val="808080" w:themeColor="background1" w:themeShade="80"/>
          <w:u w:val="single"/>
        </w:rPr>
        <w:t>with respect to Skin Luxe is pending</w:t>
      </w:r>
      <w:r>
        <w:rPr>
          <w:rFonts w:ascii="Avenir Next" w:hAnsi="Avenir Next"/>
          <w:color w:val="808080" w:themeColor="background1" w:themeShade="80"/>
        </w:rPr>
        <w:t xml:space="preserve">, and that the </w:t>
      </w:r>
      <w:r w:rsidRPr="00986023">
        <w:rPr>
          <w:rFonts w:ascii="Avenir Next" w:hAnsi="Avenir Next"/>
          <w:b/>
          <w:bCs/>
          <w:color w:val="808080" w:themeColor="background1" w:themeShade="80"/>
          <w:u w:val="single"/>
        </w:rPr>
        <w:t xml:space="preserve">English representative is empowered to act by the </w:t>
      </w:r>
      <w:r>
        <w:rPr>
          <w:rFonts w:ascii="Avenir Next" w:hAnsi="Avenir Next"/>
          <w:b/>
          <w:bCs/>
          <w:color w:val="808080" w:themeColor="background1" w:themeShade="80"/>
          <w:u w:val="single"/>
        </w:rPr>
        <w:t>foreign proceeding</w:t>
      </w:r>
      <w:r>
        <w:rPr>
          <w:rFonts w:ascii="Avenir Next" w:hAnsi="Avenir Next"/>
          <w:color w:val="808080" w:themeColor="background1" w:themeShade="80"/>
        </w:rPr>
        <w:t>.</w:t>
      </w:r>
    </w:p>
    <w:p w14:paraId="5101780E"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44E321CE" w14:textId="786CCE89" w:rsidR="00986023" w:rsidRDefault="00986023" w:rsidP="00986023">
      <w:pPr>
        <w:pStyle w:val="AODocTxt"/>
        <w:numPr>
          <w:ilvl w:val="0"/>
          <w:numId w:val="48"/>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Under the Bankruptcy Code, a foreign proceeding is a </w:t>
      </w:r>
      <w:r w:rsidRPr="00986023">
        <w:rPr>
          <w:rFonts w:ascii="Avenir Next" w:hAnsi="Avenir Next"/>
          <w:b/>
          <w:bCs/>
          <w:color w:val="808080" w:themeColor="background1" w:themeShade="80"/>
          <w:u w:val="single"/>
        </w:rPr>
        <w:t>collective judicial</w:t>
      </w:r>
      <w:r>
        <w:rPr>
          <w:rFonts w:ascii="Avenir Next" w:hAnsi="Avenir Next"/>
          <w:color w:val="808080" w:themeColor="background1" w:themeShade="80"/>
        </w:rPr>
        <w:t xml:space="preserve"> or administrative </w:t>
      </w:r>
      <w:r w:rsidRPr="00986023">
        <w:rPr>
          <w:rFonts w:ascii="Avenir Next" w:hAnsi="Avenir Next"/>
          <w:b/>
          <w:bCs/>
          <w:color w:val="808080" w:themeColor="background1" w:themeShade="80"/>
          <w:u w:val="single"/>
        </w:rPr>
        <w:t>proceeding in a foreign country</w:t>
      </w:r>
      <w:r>
        <w:rPr>
          <w:rFonts w:ascii="Avenir Next" w:hAnsi="Avenir Next"/>
          <w:color w:val="808080" w:themeColor="background1" w:themeShade="80"/>
        </w:rPr>
        <w:t xml:space="preserve"> “</w:t>
      </w:r>
      <w:r w:rsidRPr="00986023">
        <w:rPr>
          <w:rFonts w:ascii="Avenir Next" w:hAnsi="Avenir Next"/>
          <w:i/>
          <w:iCs/>
          <w:color w:val="808080" w:themeColor="background1" w:themeShade="80"/>
        </w:rPr>
        <w:t xml:space="preserve">under a law relating to insolvency or </w:t>
      </w:r>
      <w:r w:rsidRPr="00986023">
        <w:rPr>
          <w:rFonts w:ascii="Avenir Next" w:hAnsi="Avenir Next"/>
          <w:b/>
          <w:bCs/>
          <w:i/>
          <w:iCs/>
          <w:color w:val="808080" w:themeColor="background1" w:themeShade="80"/>
          <w:u w:val="single"/>
        </w:rPr>
        <w:t>adjustment of debt</w:t>
      </w:r>
      <w:r w:rsidRPr="00986023">
        <w:rPr>
          <w:rFonts w:ascii="Avenir Next" w:hAnsi="Avenir Next"/>
          <w:i/>
          <w:iCs/>
          <w:color w:val="808080" w:themeColor="background1" w:themeShade="80"/>
        </w:rPr>
        <w:t xml:space="preserve"> in which proceeding the assets and affairs of the debtor are subject to control or supervision by a foreign court for the purpose of reorganization or liquidation</w:t>
      </w:r>
      <w:r>
        <w:rPr>
          <w:rFonts w:ascii="Avenir Next" w:hAnsi="Avenir Next"/>
          <w:color w:val="808080" w:themeColor="background1" w:themeShade="80"/>
        </w:rPr>
        <w:t xml:space="preserve">”. </w:t>
      </w:r>
    </w:p>
    <w:p w14:paraId="610FA356"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39D5921D" w14:textId="2165260A" w:rsidR="00986023" w:rsidRDefault="00986023" w:rsidP="00986023">
      <w:pPr>
        <w:pStyle w:val="AODocTxt"/>
        <w:numPr>
          <w:ilvl w:val="0"/>
          <w:numId w:val="48"/>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An </w:t>
      </w:r>
      <w:r w:rsidRPr="00986023">
        <w:rPr>
          <w:rFonts w:ascii="Avenir Next" w:hAnsi="Avenir Next"/>
          <w:b/>
          <w:bCs/>
          <w:color w:val="808080" w:themeColor="background1" w:themeShade="80"/>
          <w:u w:val="single"/>
        </w:rPr>
        <w:t>English SOA is a foreign proceeding under Chapter 15</w:t>
      </w:r>
      <w:r>
        <w:rPr>
          <w:rFonts w:ascii="Avenir Next" w:hAnsi="Avenir Next"/>
          <w:color w:val="808080" w:themeColor="background1" w:themeShade="80"/>
        </w:rPr>
        <w:t xml:space="preserve"> as it is a collective judicial proceeding in the UK for the adjustment of the debtor’s debt under the control and supervision of the UK Court for the purpose of reorganisation. </w:t>
      </w:r>
    </w:p>
    <w:p w14:paraId="0127017E"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374FAC8F" w14:textId="7789B53F" w:rsidR="00986023" w:rsidRDefault="00986023" w:rsidP="00986023">
      <w:pPr>
        <w:pStyle w:val="AODocTxt"/>
        <w:numPr>
          <w:ilvl w:val="0"/>
          <w:numId w:val="48"/>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The English SOA may be recognized as a </w:t>
      </w:r>
      <w:r w:rsidRPr="00B12239">
        <w:rPr>
          <w:rFonts w:ascii="Avenir Next" w:hAnsi="Avenir Next"/>
          <w:b/>
          <w:bCs/>
          <w:color w:val="808080" w:themeColor="background1" w:themeShade="80"/>
          <w:u w:val="single"/>
        </w:rPr>
        <w:t>foreign main proceeding (“FMP”)</w:t>
      </w:r>
      <w:r>
        <w:rPr>
          <w:rFonts w:ascii="Avenir Next" w:hAnsi="Avenir Next"/>
          <w:color w:val="808080" w:themeColor="background1" w:themeShade="80"/>
        </w:rPr>
        <w:t xml:space="preserve"> or a foreign non-main proceeding (“</w:t>
      </w:r>
      <w:r w:rsidRPr="00986023">
        <w:rPr>
          <w:rFonts w:ascii="Avenir Next" w:hAnsi="Avenir Next"/>
          <w:b/>
          <w:bCs/>
          <w:color w:val="808080" w:themeColor="background1" w:themeShade="80"/>
        </w:rPr>
        <w:t>FNMP</w:t>
      </w:r>
      <w:r>
        <w:rPr>
          <w:rFonts w:ascii="Avenir Next" w:hAnsi="Avenir Next"/>
          <w:color w:val="808080" w:themeColor="background1" w:themeShade="80"/>
        </w:rPr>
        <w:t>”)</w:t>
      </w:r>
      <w:r w:rsidR="00B12239">
        <w:rPr>
          <w:rFonts w:ascii="Avenir Next" w:hAnsi="Avenir Next"/>
          <w:color w:val="808080" w:themeColor="background1" w:themeShade="80"/>
        </w:rPr>
        <w:t xml:space="preserve">. </w:t>
      </w:r>
      <w:r w:rsidR="00B12239" w:rsidRPr="00B12239">
        <w:rPr>
          <w:rFonts w:ascii="Avenir Next" w:hAnsi="Avenir Next"/>
          <w:b/>
          <w:bCs/>
          <w:color w:val="808080" w:themeColor="background1" w:themeShade="80"/>
          <w:u w:val="single"/>
        </w:rPr>
        <w:t>A FMP is commenced in the debtor’s centre of main interests (“COMI”)</w:t>
      </w:r>
      <w:r w:rsidR="00B12239">
        <w:rPr>
          <w:rFonts w:ascii="Avenir Next" w:hAnsi="Avenir Next"/>
          <w:color w:val="808080" w:themeColor="background1" w:themeShade="80"/>
        </w:rPr>
        <w:t xml:space="preserve">. A debtor’s </w:t>
      </w:r>
      <w:r w:rsidR="00B12239" w:rsidRPr="00B12239">
        <w:rPr>
          <w:rFonts w:ascii="Avenir Next" w:hAnsi="Avenir Next"/>
          <w:b/>
          <w:bCs/>
          <w:color w:val="808080" w:themeColor="background1" w:themeShade="80"/>
          <w:u w:val="single"/>
        </w:rPr>
        <w:t>place of incorporation is presumed to be the COMI</w:t>
      </w:r>
      <w:r w:rsidR="00B12239">
        <w:rPr>
          <w:rFonts w:ascii="Avenir Next" w:hAnsi="Avenir Next"/>
          <w:color w:val="808080" w:themeColor="background1" w:themeShade="80"/>
        </w:rPr>
        <w:t xml:space="preserve">, but this is a </w:t>
      </w:r>
      <w:r w:rsidR="00B12239" w:rsidRPr="00B12239">
        <w:rPr>
          <w:rFonts w:ascii="Avenir Next" w:hAnsi="Avenir Next"/>
          <w:b/>
          <w:bCs/>
          <w:color w:val="808080" w:themeColor="background1" w:themeShade="80"/>
          <w:u w:val="single"/>
        </w:rPr>
        <w:t>rebuttable presumption</w:t>
      </w:r>
      <w:r w:rsidR="00B12239">
        <w:rPr>
          <w:rFonts w:ascii="Avenir Next" w:hAnsi="Avenir Next"/>
          <w:color w:val="808080" w:themeColor="background1" w:themeShade="80"/>
        </w:rPr>
        <w:t xml:space="preserve"> on the facts. Factors taken into account to determine the COMI include: (a) location of the debtor’s (i) headquarters; (ii) management; (iii) primary assets; (iv) majority of creditors or a majority</w:t>
      </w:r>
      <w:r w:rsidR="003401D9">
        <w:rPr>
          <w:rFonts w:ascii="Avenir Next" w:hAnsi="Avenir Next"/>
          <w:color w:val="808080" w:themeColor="background1" w:themeShade="80"/>
        </w:rPr>
        <w:t xml:space="preserve"> </w:t>
      </w:r>
      <w:r w:rsidR="00B12239">
        <w:rPr>
          <w:rFonts w:ascii="Avenir Next" w:hAnsi="Avenir Next"/>
          <w:color w:val="808080" w:themeColor="background1" w:themeShade="80"/>
        </w:rPr>
        <w:t>of creditors that will be affected by the relief requested by the foreign representative; and (b) jurisdiction whose law will apply to most disputes.</w:t>
      </w:r>
    </w:p>
    <w:p w14:paraId="557A7B29"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5FCF7158" w14:textId="19E444C2" w:rsidR="00B12239" w:rsidRDefault="00B12239" w:rsidP="00986023">
      <w:pPr>
        <w:pStyle w:val="AODocTxt"/>
        <w:numPr>
          <w:ilvl w:val="0"/>
          <w:numId w:val="48"/>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 debtor’s COMI ought to be </w:t>
      </w:r>
      <w:r w:rsidRPr="00B12239">
        <w:rPr>
          <w:rFonts w:ascii="Avenir Next" w:hAnsi="Avenir Next"/>
          <w:b/>
          <w:bCs/>
          <w:color w:val="808080" w:themeColor="background1" w:themeShade="80"/>
          <w:u w:val="single"/>
        </w:rPr>
        <w:t>ascertainable objectively by its creditors or third parties</w:t>
      </w:r>
      <w:r>
        <w:rPr>
          <w:rFonts w:ascii="Avenir Next" w:hAnsi="Avenir Next"/>
          <w:color w:val="808080" w:themeColor="background1" w:themeShade="80"/>
        </w:rPr>
        <w:t xml:space="preserve"> and that the </w:t>
      </w:r>
      <w:r w:rsidRPr="00B12239">
        <w:rPr>
          <w:rFonts w:ascii="Avenir Next" w:hAnsi="Avenir Next"/>
          <w:b/>
          <w:bCs/>
          <w:color w:val="808080" w:themeColor="background1" w:themeShade="80"/>
          <w:u w:val="single"/>
        </w:rPr>
        <w:t>COMI would be assessed as of the date of the US petition</w:t>
      </w:r>
      <w:r>
        <w:rPr>
          <w:rFonts w:ascii="Avenir Next" w:hAnsi="Avenir Next"/>
          <w:color w:val="808080" w:themeColor="background1" w:themeShade="80"/>
        </w:rPr>
        <w:t xml:space="preserve"> rather than the date of the commencement of foreign recognition proceedings. </w:t>
      </w:r>
    </w:p>
    <w:p w14:paraId="21FF1B0A"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46926789" w14:textId="185A66DC" w:rsidR="008C45A7" w:rsidRDefault="00B12239" w:rsidP="000778B1">
      <w:pPr>
        <w:pStyle w:val="AODocTxt"/>
        <w:numPr>
          <w:ilvl w:val="0"/>
          <w:numId w:val="48"/>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A </w:t>
      </w:r>
      <w:r w:rsidRPr="00AD2F2B">
        <w:rPr>
          <w:rFonts w:ascii="Avenir Next" w:hAnsi="Avenir Next"/>
          <w:b/>
          <w:bCs/>
          <w:color w:val="808080" w:themeColor="background1" w:themeShade="80"/>
          <w:u w:val="single"/>
        </w:rPr>
        <w:t>proceeding would be recognized as FNMP if it has an establishment</w:t>
      </w:r>
      <w:r>
        <w:rPr>
          <w:rFonts w:ascii="Avenir Next" w:hAnsi="Avenir Next"/>
          <w:color w:val="808080" w:themeColor="background1" w:themeShade="80"/>
        </w:rPr>
        <w:t xml:space="preserve"> i.e. a </w:t>
      </w:r>
      <w:r w:rsidRPr="00AD2F2B">
        <w:rPr>
          <w:rFonts w:ascii="Avenir Next" w:hAnsi="Avenir Next"/>
          <w:b/>
          <w:bCs/>
          <w:color w:val="808080" w:themeColor="background1" w:themeShade="80"/>
          <w:u w:val="single"/>
        </w:rPr>
        <w:t>place where it carries out non-transitory economic activity</w:t>
      </w:r>
      <w:r>
        <w:rPr>
          <w:rFonts w:ascii="Avenir Next" w:hAnsi="Avenir Next"/>
          <w:color w:val="808080" w:themeColor="background1" w:themeShade="80"/>
        </w:rPr>
        <w:t xml:space="preserve">, prior to the commencement of Chapter 15 proceedings. </w:t>
      </w:r>
    </w:p>
    <w:p w14:paraId="6764BB8E"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4ABA79A6" w14:textId="77777777" w:rsidR="00AD2F2B" w:rsidRPr="003401D9" w:rsidRDefault="00AD2F2B" w:rsidP="000778B1">
      <w:pPr>
        <w:pStyle w:val="AODocTxt"/>
        <w:numPr>
          <w:ilvl w:val="0"/>
          <w:numId w:val="48"/>
        </w:numPr>
        <w:spacing w:before="0" w:line="240" w:lineRule="auto"/>
        <w:ind w:left="284" w:hanging="284"/>
        <w:rPr>
          <w:rFonts w:ascii="Avenir Next" w:hAnsi="Avenir Next"/>
          <w:b/>
          <w:bCs/>
          <w:color w:val="808080" w:themeColor="background1" w:themeShade="80"/>
          <w:u w:val="single"/>
        </w:rPr>
      </w:pPr>
      <w:r>
        <w:rPr>
          <w:rFonts w:ascii="Avenir Next" w:hAnsi="Avenir Next"/>
          <w:b/>
          <w:bCs/>
          <w:color w:val="808080" w:themeColor="background1" w:themeShade="80"/>
          <w:u w:val="single"/>
        </w:rPr>
        <w:t>The English SOA is likely to be recognized as a FNMP.</w:t>
      </w:r>
      <w:r>
        <w:rPr>
          <w:rFonts w:ascii="Avenir Next" w:hAnsi="Avenir Next"/>
          <w:color w:val="808080" w:themeColor="background1" w:themeShade="80"/>
        </w:rPr>
        <w:t xml:space="preserve"> This is because:</w:t>
      </w:r>
    </w:p>
    <w:p w14:paraId="19F983DB" w14:textId="77777777" w:rsidR="003401D9" w:rsidRPr="00AD2F2B" w:rsidRDefault="003401D9" w:rsidP="003401D9">
      <w:pPr>
        <w:pStyle w:val="AODocTxt"/>
        <w:spacing w:before="0" w:line="240" w:lineRule="auto"/>
        <w:ind w:left="284"/>
        <w:rPr>
          <w:rFonts w:ascii="Avenir Next" w:hAnsi="Avenir Next"/>
          <w:b/>
          <w:bCs/>
          <w:color w:val="808080" w:themeColor="background1" w:themeShade="80"/>
          <w:u w:val="single"/>
        </w:rPr>
      </w:pPr>
    </w:p>
    <w:p w14:paraId="6CE8E175" w14:textId="77777777" w:rsidR="00AD2F2B" w:rsidRPr="003401D9" w:rsidRDefault="00AD2F2B" w:rsidP="00AD2F2B">
      <w:pPr>
        <w:pStyle w:val="AODocTxt"/>
        <w:numPr>
          <w:ilvl w:val="1"/>
          <w:numId w:val="48"/>
        </w:numPr>
        <w:spacing w:before="0" w:line="240" w:lineRule="auto"/>
        <w:ind w:left="709" w:hanging="425"/>
        <w:rPr>
          <w:rFonts w:ascii="Avenir Next" w:hAnsi="Avenir Next"/>
          <w:b/>
          <w:bCs/>
          <w:color w:val="808080" w:themeColor="background1" w:themeShade="80"/>
          <w:u w:val="single"/>
        </w:rPr>
      </w:pPr>
      <w:r w:rsidRPr="00AD2F2B">
        <w:rPr>
          <w:rFonts w:ascii="Avenir Next" w:hAnsi="Avenir Next"/>
          <w:b/>
          <w:bCs/>
          <w:color w:val="808080" w:themeColor="background1" w:themeShade="80"/>
          <w:u w:val="single"/>
        </w:rPr>
        <w:t>Skin Luxe’s COMI is likely to be France</w:t>
      </w:r>
      <w:r>
        <w:rPr>
          <w:rFonts w:ascii="Avenir Next" w:hAnsi="Avenir Next"/>
          <w:b/>
          <w:bCs/>
          <w:color w:val="808080" w:themeColor="background1" w:themeShade="80"/>
          <w:u w:val="single"/>
        </w:rPr>
        <w:t>.</w:t>
      </w:r>
      <w:r>
        <w:rPr>
          <w:rFonts w:ascii="Avenir Next" w:hAnsi="Avenir Next"/>
          <w:b/>
          <w:bCs/>
          <w:color w:val="808080" w:themeColor="background1" w:themeShade="80"/>
        </w:rPr>
        <w:t xml:space="preserve"> </w:t>
      </w:r>
      <w:r>
        <w:rPr>
          <w:rFonts w:ascii="Avenir Next" w:hAnsi="Avenir Next"/>
          <w:color w:val="808080" w:themeColor="background1" w:themeShade="80"/>
        </w:rPr>
        <w:t xml:space="preserve">This is because Skin Luxe’s place of incorporation and principal place of business is in France. </w:t>
      </w:r>
    </w:p>
    <w:p w14:paraId="11AD49DB" w14:textId="77777777" w:rsidR="003401D9" w:rsidRDefault="003401D9" w:rsidP="003401D9">
      <w:pPr>
        <w:pStyle w:val="AODocTxt"/>
        <w:spacing w:before="0" w:line="240" w:lineRule="auto"/>
        <w:ind w:left="709"/>
        <w:rPr>
          <w:rFonts w:ascii="Avenir Next" w:hAnsi="Avenir Next"/>
          <w:b/>
          <w:bCs/>
          <w:color w:val="808080" w:themeColor="background1" w:themeShade="80"/>
          <w:u w:val="single"/>
        </w:rPr>
      </w:pPr>
    </w:p>
    <w:p w14:paraId="096034D0" w14:textId="3D1E451B" w:rsidR="00AD2F2B" w:rsidRPr="00AD2F2B" w:rsidRDefault="00AD2F2B" w:rsidP="00AD2F2B">
      <w:pPr>
        <w:pStyle w:val="AODocTxt"/>
        <w:numPr>
          <w:ilvl w:val="1"/>
          <w:numId w:val="48"/>
        </w:numPr>
        <w:spacing w:before="0" w:line="240" w:lineRule="auto"/>
        <w:ind w:left="709" w:hanging="425"/>
        <w:rPr>
          <w:rFonts w:ascii="Avenir Next" w:hAnsi="Avenir Next"/>
          <w:b/>
          <w:bCs/>
          <w:color w:val="808080" w:themeColor="background1" w:themeShade="80"/>
          <w:u w:val="single"/>
        </w:rPr>
      </w:pPr>
      <w:r w:rsidRPr="00AD2F2B">
        <w:rPr>
          <w:rFonts w:ascii="Avenir Next" w:hAnsi="Avenir Next"/>
          <w:b/>
          <w:bCs/>
          <w:color w:val="808080" w:themeColor="background1" w:themeShade="80"/>
          <w:u w:val="single"/>
        </w:rPr>
        <w:t>Skin Luxe has an establishment in the UK</w:t>
      </w:r>
      <w:r w:rsidRPr="00AD2F2B">
        <w:rPr>
          <w:rFonts w:ascii="Avenir Next" w:hAnsi="Avenir Next"/>
          <w:color w:val="808080" w:themeColor="background1" w:themeShade="80"/>
        </w:rPr>
        <w:t xml:space="preserve"> by having English law-governed bonds due to mature in one year. </w:t>
      </w:r>
    </w:p>
    <w:p w14:paraId="6A441E5F" w14:textId="77777777" w:rsidR="00B12239" w:rsidRPr="00B12239" w:rsidRDefault="00B12239" w:rsidP="00B12239">
      <w:pPr>
        <w:pStyle w:val="AODocTxt"/>
        <w:spacing w:before="0" w:line="240" w:lineRule="auto"/>
        <w:ind w:left="284"/>
        <w:rPr>
          <w:rFonts w:ascii="Avenir Next" w:hAnsi="Avenir Next"/>
          <w:color w:val="808080" w:themeColor="background1" w:themeShade="80"/>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lastRenderedPageBreak/>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6B880D33" w:rsidR="001D3BAA" w:rsidRDefault="0044041D" w:rsidP="0044041D">
      <w:pPr>
        <w:pStyle w:val="AODocTxt"/>
        <w:numPr>
          <w:ilvl w:val="0"/>
          <w:numId w:val="49"/>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Upon filing of chapter 11 petition by Speculation Inc, an </w:t>
      </w:r>
      <w:r w:rsidRPr="0044041D">
        <w:rPr>
          <w:rFonts w:ascii="Avenir Next" w:hAnsi="Avenir Next"/>
          <w:b/>
          <w:bCs/>
          <w:color w:val="808080" w:themeColor="background1" w:themeShade="80"/>
          <w:u w:val="single"/>
        </w:rPr>
        <w:t>automatic stay</w:t>
      </w:r>
      <w:r>
        <w:rPr>
          <w:rFonts w:ascii="Avenir Next" w:hAnsi="Avenir Next"/>
          <w:color w:val="808080" w:themeColor="background1" w:themeShade="80"/>
        </w:rPr>
        <w:t xml:space="preserve"> comes into effect to protect the Speculation Inc’s estate against individual creditor enforcement actions for pre-petition claims. </w:t>
      </w:r>
    </w:p>
    <w:p w14:paraId="038AE9F9"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36DF4089" w14:textId="416084FF" w:rsidR="0044041D" w:rsidRDefault="0044041D" w:rsidP="0044041D">
      <w:pPr>
        <w:pStyle w:val="AODocTxt"/>
        <w:numPr>
          <w:ilvl w:val="0"/>
          <w:numId w:val="49"/>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The </w:t>
      </w:r>
      <w:r w:rsidRPr="0044041D">
        <w:rPr>
          <w:rFonts w:ascii="Avenir Next" w:hAnsi="Avenir Next"/>
          <w:b/>
          <w:bCs/>
          <w:color w:val="808080" w:themeColor="background1" w:themeShade="80"/>
          <w:u w:val="single"/>
        </w:rPr>
        <w:t>DOJ investigation is not subject to the automatic stay</w:t>
      </w:r>
      <w:r>
        <w:rPr>
          <w:rFonts w:ascii="Avenir Next" w:hAnsi="Avenir Next"/>
          <w:b/>
          <w:bCs/>
          <w:color w:val="808080" w:themeColor="background1" w:themeShade="80"/>
          <w:u w:val="single"/>
        </w:rPr>
        <w:t>:</w:t>
      </w:r>
      <w:r>
        <w:rPr>
          <w:rFonts w:ascii="Avenir Next" w:hAnsi="Avenir Next"/>
          <w:color w:val="808080" w:themeColor="background1" w:themeShade="80"/>
        </w:rPr>
        <w:t xml:space="preserve"> this is because the DOJ investigation is part of regulatory investigation and it is not subject to the automatic stay: s 362(b), Bankruptcy Code. </w:t>
      </w:r>
    </w:p>
    <w:p w14:paraId="131DAA71" w14:textId="77777777" w:rsidR="003401D9" w:rsidRDefault="003401D9" w:rsidP="003401D9">
      <w:pPr>
        <w:pStyle w:val="AODocTxt"/>
        <w:spacing w:before="0" w:line="240" w:lineRule="auto"/>
        <w:ind w:left="284"/>
        <w:rPr>
          <w:rFonts w:ascii="Avenir Next" w:hAnsi="Avenir Next"/>
          <w:color w:val="808080" w:themeColor="background1" w:themeShade="80"/>
        </w:rPr>
      </w:pPr>
    </w:p>
    <w:p w14:paraId="20BB0B5A" w14:textId="15691B0D" w:rsidR="0044041D" w:rsidRDefault="0040247A" w:rsidP="0044041D">
      <w:pPr>
        <w:pStyle w:val="AODocTxt"/>
        <w:numPr>
          <w:ilvl w:val="0"/>
          <w:numId w:val="49"/>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The</w:t>
      </w:r>
      <w:r w:rsidR="0044041D">
        <w:rPr>
          <w:rFonts w:ascii="Avenir Next" w:hAnsi="Avenir Next"/>
          <w:color w:val="808080" w:themeColor="background1" w:themeShade="80"/>
        </w:rPr>
        <w:t xml:space="preserve"> </w:t>
      </w:r>
      <w:r w:rsidR="0044041D" w:rsidRPr="0040247A">
        <w:rPr>
          <w:rFonts w:ascii="Avenir Next" w:hAnsi="Avenir Next"/>
          <w:b/>
          <w:bCs/>
          <w:color w:val="808080" w:themeColor="background1" w:themeShade="80"/>
          <w:u w:val="single"/>
        </w:rPr>
        <w:t>broker’s claim on the margin loan default</w:t>
      </w:r>
      <w:r>
        <w:rPr>
          <w:rFonts w:ascii="Avenir Next" w:hAnsi="Avenir Next"/>
          <w:color w:val="808080" w:themeColor="background1" w:themeShade="80"/>
        </w:rPr>
        <w:t xml:space="preserve"> against Speculation Inc is </w:t>
      </w:r>
      <w:r w:rsidRPr="0040247A">
        <w:rPr>
          <w:rFonts w:ascii="Avenir Next" w:hAnsi="Avenir Next"/>
          <w:b/>
          <w:bCs/>
          <w:color w:val="808080" w:themeColor="background1" w:themeShade="80"/>
          <w:u w:val="single"/>
        </w:rPr>
        <w:t xml:space="preserve">automatically </w:t>
      </w:r>
      <w:r w:rsidR="003401D9" w:rsidRPr="0040247A">
        <w:rPr>
          <w:rFonts w:ascii="Avenir Next" w:hAnsi="Avenir Next"/>
          <w:b/>
          <w:bCs/>
          <w:color w:val="808080" w:themeColor="background1" w:themeShade="80"/>
          <w:u w:val="single"/>
        </w:rPr>
        <w:t>stayed</w:t>
      </w:r>
      <w:r w:rsidR="003401D9">
        <w:rPr>
          <w:rFonts w:ascii="Avenir Next" w:hAnsi="Avenir Next"/>
          <w:b/>
          <w:bCs/>
          <w:color w:val="808080" w:themeColor="background1" w:themeShade="80"/>
          <w:u w:val="single"/>
        </w:rPr>
        <w:t>.</w:t>
      </w:r>
      <w:r w:rsidR="003401D9">
        <w:rPr>
          <w:rFonts w:ascii="Avenir Next" w:hAnsi="Avenir Next"/>
          <w:color w:val="808080" w:themeColor="background1" w:themeShade="80"/>
        </w:rPr>
        <w:t xml:space="preserve"> This</w:t>
      </w:r>
      <w:r>
        <w:rPr>
          <w:rFonts w:ascii="Avenir Next" w:hAnsi="Avenir Next"/>
          <w:color w:val="808080" w:themeColor="background1" w:themeShade="80"/>
        </w:rPr>
        <w:t xml:space="preserve"> is because the broker’s claim is a </w:t>
      </w:r>
      <w:r w:rsidRPr="0040247A">
        <w:rPr>
          <w:rFonts w:ascii="Avenir Next" w:hAnsi="Avenir Next"/>
          <w:b/>
          <w:bCs/>
          <w:color w:val="808080" w:themeColor="background1" w:themeShade="80"/>
          <w:u w:val="single"/>
        </w:rPr>
        <w:t>pre-petition claim</w:t>
      </w:r>
      <w:r>
        <w:rPr>
          <w:rFonts w:ascii="Avenir Next" w:hAnsi="Avenir Next"/>
          <w:color w:val="808080" w:themeColor="background1" w:themeShade="80"/>
        </w:rPr>
        <w:t xml:space="preserve"> and the Bankruptcy Code specifically prohibits such an action. </w:t>
      </w:r>
    </w:p>
    <w:p w14:paraId="47A64CCF" w14:textId="77777777" w:rsidR="003401D9" w:rsidRDefault="003401D9" w:rsidP="003401D9">
      <w:pPr>
        <w:pStyle w:val="ListParagraph"/>
        <w:rPr>
          <w:rFonts w:ascii="Avenir Next" w:hAnsi="Avenir Next"/>
          <w:color w:val="808080" w:themeColor="background1" w:themeShade="80"/>
        </w:rPr>
      </w:pPr>
    </w:p>
    <w:p w14:paraId="68555A55" w14:textId="0114D845" w:rsidR="0040247A" w:rsidRDefault="0040247A" w:rsidP="0044041D">
      <w:pPr>
        <w:pStyle w:val="AODocTxt"/>
        <w:numPr>
          <w:ilvl w:val="0"/>
          <w:numId w:val="49"/>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The lessor’s claim on the </w:t>
      </w:r>
      <w:r w:rsidRPr="0040247A">
        <w:rPr>
          <w:rFonts w:ascii="Avenir Next" w:hAnsi="Avenir Next"/>
          <w:b/>
          <w:bCs/>
          <w:color w:val="808080" w:themeColor="background1" w:themeShade="80"/>
          <w:u w:val="single"/>
        </w:rPr>
        <w:t>delinquent lease</w:t>
      </w:r>
      <w:r>
        <w:rPr>
          <w:rFonts w:ascii="Avenir Next" w:hAnsi="Avenir Next"/>
          <w:color w:val="808080" w:themeColor="background1" w:themeShade="80"/>
        </w:rPr>
        <w:t xml:space="preserve"> is also </w:t>
      </w:r>
      <w:r w:rsidRPr="0040247A">
        <w:rPr>
          <w:rFonts w:ascii="Avenir Next" w:hAnsi="Avenir Next"/>
          <w:b/>
          <w:bCs/>
          <w:color w:val="808080" w:themeColor="background1" w:themeShade="80"/>
          <w:u w:val="single"/>
        </w:rPr>
        <w:t>stayed</w:t>
      </w:r>
      <w:r>
        <w:rPr>
          <w:rFonts w:ascii="Avenir Next" w:hAnsi="Avenir Next"/>
          <w:color w:val="808080" w:themeColor="background1" w:themeShade="80"/>
        </w:rPr>
        <w:t xml:space="preserve">. However, Speculation Inc has </w:t>
      </w:r>
      <w:r w:rsidRPr="0040247A">
        <w:rPr>
          <w:rFonts w:ascii="Avenir Next" w:hAnsi="Avenir Next"/>
          <w:b/>
          <w:bCs/>
          <w:color w:val="808080" w:themeColor="background1" w:themeShade="80"/>
          <w:u w:val="single"/>
        </w:rPr>
        <w:t>120 days of the court’s order of confirmation of the debtor’s plan of reorganization to make the election whether to assume, assign (if possible) or reject unexpired leases of non-residential property</w:t>
      </w:r>
      <w:r>
        <w:rPr>
          <w:rFonts w:ascii="Avenir Next" w:hAnsi="Avenir Next"/>
          <w:color w:val="808080" w:themeColor="background1" w:themeShade="80"/>
        </w:rPr>
        <w:t>. Any subsequent extension of time (up to 90 days for cause) requires the consent of the lessor.</w:t>
      </w:r>
    </w:p>
    <w:p w14:paraId="54142EF2" w14:textId="77777777" w:rsidR="003401D9" w:rsidRDefault="003401D9" w:rsidP="003401D9">
      <w:pPr>
        <w:pStyle w:val="ListParagraph"/>
        <w:rPr>
          <w:rFonts w:ascii="Avenir Next" w:hAnsi="Avenir Next"/>
          <w:color w:val="808080" w:themeColor="background1" w:themeShade="80"/>
        </w:rPr>
      </w:pPr>
    </w:p>
    <w:p w14:paraId="422E71A0" w14:textId="4A584768" w:rsidR="0040247A" w:rsidRPr="002B5D64" w:rsidRDefault="0040247A" w:rsidP="0044041D">
      <w:pPr>
        <w:pStyle w:val="AODocTxt"/>
        <w:numPr>
          <w:ilvl w:val="0"/>
          <w:numId w:val="49"/>
        </w:numPr>
        <w:spacing w:before="0" w:line="240" w:lineRule="auto"/>
        <w:ind w:left="284" w:hanging="284"/>
        <w:rPr>
          <w:rFonts w:ascii="Avenir Next" w:hAnsi="Avenir Next"/>
          <w:color w:val="808080" w:themeColor="background1" w:themeShade="80"/>
        </w:rPr>
      </w:pPr>
      <w:r>
        <w:rPr>
          <w:rFonts w:ascii="Avenir Next" w:hAnsi="Avenir Next"/>
          <w:color w:val="808080" w:themeColor="background1" w:themeShade="80"/>
        </w:rPr>
        <w:t xml:space="preserve"> </w:t>
      </w:r>
      <w:r w:rsidR="00A16BE1">
        <w:rPr>
          <w:rFonts w:ascii="Avenir Next" w:hAnsi="Avenir Next"/>
          <w:color w:val="808080" w:themeColor="background1" w:themeShade="80"/>
        </w:rPr>
        <w:t xml:space="preserve">The </w:t>
      </w:r>
      <w:r w:rsidR="00A16BE1" w:rsidRPr="00A16BE1">
        <w:rPr>
          <w:rFonts w:ascii="Avenir Next" w:hAnsi="Avenir Next"/>
          <w:b/>
          <w:bCs/>
          <w:color w:val="808080" w:themeColor="background1" w:themeShade="80"/>
          <w:u w:val="single"/>
        </w:rPr>
        <w:t>employment discrimination lawsuit</w:t>
      </w:r>
      <w:r w:rsidR="00A16BE1">
        <w:rPr>
          <w:rFonts w:ascii="Avenir Next" w:hAnsi="Avenir Next"/>
          <w:color w:val="808080" w:themeColor="background1" w:themeShade="80"/>
        </w:rPr>
        <w:t xml:space="preserve"> is also </w:t>
      </w:r>
      <w:r w:rsidR="00A16BE1" w:rsidRPr="00A16BE1">
        <w:rPr>
          <w:rFonts w:ascii="Avenir Next" w:hAnsi="Avenir Next"/>
          <w:b/>
          <w:bCs/>
          <w:color w:val="808080" w:themeColor="background1" w:themeShade="80"/>
          <w:u w:val="single"/>
        </w:rPr>
        <w:t>stayed</w:t>
      </w:r>
      <w:r w:rsidR="00A16BE1">
        <w:rPr>
          <w:rFonts w:ascii="Avenir Next" w:hAnsi="Avenir Next"/>
          <w:color w:val="808080" w:themeColor="background1" w:themeShade="80"/>
        </w:rPr>
        <w:t xml:space="preserve">. The Bankruptcy Code specifically stays any litigation on pre-petition claims.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3A77" w14:textId="77777777" w:rsidR="000E779A" w:rsidRDefault="000E779A" w:rsidP="00241B44">
      <w:r>
        <w:separator/>
      </w:r>
    </w:p>
  </w:endnote>
  <w:endnote w:type="continuationSeparator" w:id="0">
    <w:p w14:paraId="67857690" w14:textId="77777777" w:rsidR="000E779A" w:rsidRDefault="000E779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FB67B65" w:rsidR="00241FA3" w:rsidRPr="00494B81" w:rsidRDefault="00501090" w:rsidP="009B4976">
    <w:pPr>
      <w:pStyle w:val="Footer"/>
      <w:ind w:right="360"/>
      <w:rPr>
        <w:rFonts w:ascii="Avenir Next" w:hAnsi="Avenir Next" w:cs="Arial"/>
        <w:sz w:val="22"/>
        <w:szCs w:val="22"/>
        <w:lang w:val="en-GB"/>
      </w:rPr>
    </w:pPr>
    <w:r>
      <w:rPr>
        <w:rFonts w:ascii="Avenir Next" w:hAnsi="Avenir Next" w:cs="Arial"/>
        <w:sz w:val="22"/>
        <w:szCs w:val="22"/>
        <w:lang w:val="en-GB"/>
      </w:rPr>
      <w:t>202223-848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90B2" w14:textId="77777777" w:rsidR="000E779A" w:rsidRDefault="000E779A" w:rsidP="00241B44">
      <w:r>
        <w:separator/>
      </w:r>
    </w:p>
  </w:footnote>
  <w:footnote w:type="continuationSeparator" w:id="0">
    <w:p w14:paraId="57603221" w14:textId="77777777" w:rsidR="000E779A" w:rsidRDefault="000E779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303F6"/>
    <w:multiLevelType w:val="hybridMultilevel"/>
    <w:tmpl w:val="5C4C36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E558D0"/>
    <w:multiLevelType w:val="hybridMultilevel"/>
    <w:tmpl w:val="E13679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856B8"/>
    <w:multiLevelType w:val="hybridMultilevel"/>
    <w:tmpl w:val="3BF22A54"/>
    <w:lvl w:ilvl="0" w:tplc="FD1CC2A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D4D0DD1"/>
    <w:multiLevelType w:val="hybridMultilevel"/>
    <w:tmpl w:val="772AFB0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2F1331"/>
    <w:multiLevelType w:val="hybridMultilevel"/>
    <w:tmpl w:val="ECA4111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D6540D"/>
    <w:multiLevelType w:val="hybridMultilevel"/>
    <w:tmpl w:val="88F470B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14089"/>
    <w:multiLevelType w:val="hybridMultilevel"/>
    <w:tmpl w:val="1458B9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4DA57310"/>
    <w:multiLevelType w:val="hybridMultilevel"/>
    <w:tmpl w:val="E0688B56"/>
    <w:lvl w:ilvl="0" w:tplc="AB0A375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B9180F"/>
    <w:multiLevelType w:val="hybridMultilevel"/>
    <w:tmpl w:val="7F5A16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587A51"/>
    <w:multiLevelType w:val="hybridMultilevel"/>
    <w:tmpl w:val="7A20B1E6"/>
    <w:lvl w:ilvl="0" w:tplc="1FA0A1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37D4700"/>
    <w:multiLevelType w:val="hybridMultilevel"/>
    <w:tmpl w:val="090C73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6671E5F"/>
    <w:multiLevelType w:val="hybridMultilevel"/>
    <w:tmpl w:val="D464A7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30"/>
  </w:num>
  <w:num w:numId="2" w16cid:durableId="1783306908">
    <w:abstractNumId w:val="35"/>
  </w:num>
  <w:num w:numId="3" w16cid:durableId="1942764495">
    <w:abstractNumId w:val="5"/>
  </w:num>
  <w:num w:numId="4" w16cid:durableId="298269076">
    <w:abstractNumId w:val="10"/>
  </w:num>
  <w:num w:numId="5" w16cid:durableId="730929724">
    <w:abstractNumId w:val="13"/>
  </w:num>
  <w:num w:numId="6" w16cid:durableId="1594360553">
    <w:abstractNumId w:val="39"/>
  </w:num>
  <w:num w:numId="7" w16cid:durableId="1661152946">
    <w:abstractNumId w:val="6"/>
  </w:num>
  <w:num w:numId="8" w16cid:durableId="45877589">
    <w:abstractNumId w:val="44"/>
  </w:num>
  <w:num w:numId="9" w16cid:durableId="876742117">
    <w:abstractNumId w:val="14"/>
  </w:num>
  <w:num w:numId="10" w16cid:durableId="1035689165">
    <w:abstractNumId w:val="34"/>
  </w:num>
  <w:num w:numId="11" w16cid:durableId="926307185">
    <w:abstractNumId w:val="17"/>
  </w:num>
  <w:num w:numId="12" w16cid:durableId="621232781">
    <w:abstractNumId w:val="29"/>
  </w:num>
  <w:num w:numId="13" w16cid:durableId="1204442417">
    <w:abstractNumId w:val="0"/>
  </w:num>
  <w:num w:numId="14" w16cid:durableId="1001467812">
    <w:abstractNumId w:val="12"/>
  </w:num>
  <w:num w:numId="15" w16cid:durableId="189758179">
    <w:abstractNumId w:val="23"/>
  </w:num>
  <w:num w:numId="16" w16cid:durableId="1491479825">
    <w:abstractNumId w:val="9"/>
  </w:num>
  <w:num w:numId="17" w16cid:durableId="882793158">
    <w:abstractNumId w:val="4"/>
  </w:num>
  <w:num w:numId="18" w16cid:durableId="777675833">
    <w:abstractNumId w:val="3"/>
  </w:num>
  <w:num w:numId="19" w16cid:durableId="1129937292">
    <w:abstractNumId w:val="36"/>
  </w:num>
  <w:num w:numId="20" w16cid:durableId="1471096614">
    <w:abstractNumId w:val="8"/>
  </w:num>
  <w:num w:numId="21" w16cid:durableId="398864111">
    <w:abstractNumId w:val="33"/>
  </w:num>
  <w:num w:numId="22" w16cid:durableId="2133940203">
    <w:abstractNumId w:val="47"/>
  </w:num>
  <w:num w:numId="23" w16cid:durableId="950893894">
    <w:abstractNumId w:val="15"/>
  </w:num>
  <w:num w:numId="24" w16cid:durableId="1962497721">
    <w:abstractNumId w:val="37"/>
  </w:num>
  <w:num w:numId="25" w16cid:durableId="869756453">
    <w:abstractNumId w:val="24"/>
  </w:num>
  <w:num w:numId="26" w16cid:durableId="1092049203">
    <w:abstractNumId w:val="26"/>
  </w:num>
  <w:num w:numId="27" w16cid:durableId="1146704350">
    <w:abstractNumId w:val="19"/>
  </w:num>
  <w:num w:numId="28" w16cid:durableId="937979478">
    <w:abstractNumId w:val="40"/>
  </w:num>
  <w:num w:numId="29" w16cid:durableId="1970553734">
    <w:abstractNumId w:val="1"/>
  </w:num>
  <w:num w:numId="30" w16cid:durableId="293563849">
    <w:abstractNumId w:val="22"/>
  </w:num>
  <w:num w:numId="31" w16cid:durableId="2126381093">
    <w:abstractNumId w:val="27"/>
  </w:num>
  <w:num w:numId="32" w16cid:durableId="1605572703">
    <w:abstractNumId w:val="48"/>
  </w:num>
  <w:num w:numId="33" w16cid:durableId="1203253494">
    <w:abstractNumId w:val="18"/>
  </w:num>
  <w:num w:numId="34" w16cid:durableId="1104031608">
    <w:abstractNumId w:val="2"/>
  </w:num>
  <w:num w:numId="35" w16cid:durableId="2144806674">
    <w:abstractNumId w:val="41"/>
  </w:num>
  <w:num w:numId="36" w16cid:durableId="1673992024">
    <w:abstractNumId w:val="45"/>
  </w:num>
  <w:num w:numId="37" w16cid:durableId="2022775299">
    <w:abstractNumId w:val="11"/>
  </w:num>
  <w:num w:numId="38" w16cid:durableId="693458741">
    <w:abstractNumId w:val="31"/>
  </w:num>
  <w:num w:numId="39" w16cid:durableId="24909377">
    <w:abstractNumId w:val="43"/>
  </w:num>
  <w:num w:numId="40" w16cid:durableId="110248795">
    <w:abstractNumId w:val="21"/>
  </w:num>
  <w:num w:numId="41" w16cid:durableId="331835654">
    <w:abstractNumId w:val="38"/>
  </w:num>
  <w:num w:numId="42" w16cid:durableId="344869344">
    <w:abstractNumId w:val="32"/>
  </w:num>
  <w:num w:numId="43" w16cid:durableId="2020158667">
    <w:abstractNumId w:val="16"/>
  </w:num>
  <w:num w:numId="44" w16cid:durableId="2101826008">
    <w:abstractNumId w:val="42"/>
  </w:num>
  <w:num w:numId="45" w16cid:durableId="594098728">
    <w:abstractNumId w:val="28"/>
  </w:num>
  <w:num w:numId="46" w16cid:durableId="1645156743">
    <w:abstractNumId w:val="7"/>
  </w:num>
  <w:num w:numId="47" w16cid:durableId="1826778502">
    <w:abstractNumId w:val="20"/>
  </w:num>
  <w:num w:numId="48" w16cid:durableId="303974773">
    <w:abstractNumId w:val="25"/>
  </w:num>
  <w:num w:numId="49" w16cid:durableId="2034648431">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3EFE"/>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4835"/>
    <w:rsid w:val="000B5FF1"/>
    <w:rsid w:val="000B609F"/>
    <w:rsid w:val="000C4C5B"/>
    <w:rsid w:val="000D55A8"/>
    <w:rsid w:val="000D569D"/>
    <w:rsid w:val="000E4841"/>
    <w:rsid w:val="000E779A"/>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14B3"/>
    <w:rsid w:val="001966D9"/>
    <w:rsid w:val="00197E4B"/>
    <w:rsid w:val="001A4A74"/>
    <w:rsid w:val="001A7E9A"/>
    <w:rsid w:val="001B0F70"/>
    <w:rsid w:val="001B1763"/>
    <w:rsid w:val="001B33F5"/>
    <w:rsid w:val="001B5016"/>
    <w:rsid w:val="001B6D8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169C"/>
    <w:rsid w:val="0027299F"/>
    <w:rsid w:val="00274119"/>
    <w:rsid w:val="00284EBE"/>
    <w:rsid w:val="002903A7"/>
    <w:rsid w:val="00291367"/>
    <w:rsid w:val="0029433F"/>
    <w:rsid w:val="00294829"/>
    <w:rsid w:val="0029690F"/>
    <w:rsid w:val="00297C8A"/>
    <w:rsid w:val="002A16B3"/>
    <w:rsid w:val="002A2A60"/>
    <w:rsid w:val="002A37BB"/>
    <w:rsid w:val="002A38B0"/>
    <w:rsid w:val="002B1C45"/>
    <w:rsid w:val="002B5D64"/>
    <w:rsid w:val="002C13C8"/>
    <w:rsid w:val="002C3547"/>
    <w:rsid w:val="002D0021"/>
    <w:rsid w:val="002D2149"/>
    <w:rsid w:val="002D299D"/>
    <w:rsid w:val="002D3473"/>
    <w:rsid w:val="002D6789"/>
    <w:rsid w:val="002D78C5"/>
    <w:rsid w:val="002E68BF"/>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1D9"/>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C7A2B"/>
    <w:rsid w:val="003D0A6D"/>
    <w:rsid w:val="003D450D"/>
    <w:rsid w:val="003E0B16"/>
    <w:rsid w:val="003E67D1"/>
    <w:rsid w:val="0040247A"/>
    <w:rsid w:val="00404329"/>
    <w:rsid w:val="00405DC1"/>
    <w:rsid w:val="00415F1F"/>
    <w:rsid w:val="004172DA"/>
    <w:rsid w:val="0042108F"/>
    <w:rsid w:val="004225BC"/>
    <w:rsid w:val="004248F6"/>
    <w:rsid w:val="004273B0"/>
    <w:rsid w:val="00430FED"/>
    <w:rsid w:val="00434A8C"/>
    <w:rsid w:val="00435733"/>
    <w:rsid w:val="00437297"/>
    <w:rsid w:val="0044041D"/>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B2578"/>
    <w:rsid w:val="004D1A5A"/>
    <w:rsid w:val="004D2FFF"/>
    <w:rsid w:val="004D36D5"/>
    <w:rsid w:val="004D3721"/>
    <w:rsid w:val="004D4255"/>
    <w:rsid w:val="004D64F9"/>
    <w:rsid w:val="004E1F4B"/>
    <w:rsid w:val="004E3A6B"/>
    <w:rsid w:val="004E5AF5"/>
    <w:rsid w:val="004E622C"/>
    <w:rsid w:val="004F3C5A"/>
    <w:rsid w:val="004F49B5"/>
    <w:rsid w:val="004F5FDF"/>
    <w:rsid w:val="004F7B99"/>
    <w:rsid w:val="00501090"/>
    <w:rsid w:val="00515810"/>
    <w:rsid w:val="00517681"/>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64B8"/>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0F9"/>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8"/>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772B6"/>
    <w:rsid w:val="00980E61"/>
    <w:rsid w:val="00986023"/>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16BE1"/>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2F2B"/>
    <w:rsid w:val="00AD4BE8"/>
    <w:rsid w:val="00AF228E"/>
    <w:rsid w:val="00B016A8"/>
    <w:rsid w:val="00B01E81"/>
    <w:rsid w:val="00B10961"/>
    <w:rsid w:val="00B12239"/>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37E18"/>
    <w:rsid w:val="00F418CA"/>
    <w:rsid w:val="00F5524B"/>
    <w:rsid w:val="00F60538"/>
    <w:rsid w:val="00F61DD2"/>
    <w:rsid w:val="00F63187"/>
    <w:rsid w:val="00F66AFF"/>
    <w:rsid w:val="00F71246"/>
    <w:rsid w:val="00F71433"/>
    <w:rsid w:val="00F80208"/>
    <w:rsid w:val="00F92140"/>
    <w:rsid w:val="00F92C46"/>
    <w:rsid w:val="00F97C5B"/>
    <w:rsid w:val="00FA3D50"/>
    <w:rsid w:val="00FB2838"/>
    <w:rsid w:val="00FB7FBD"/>
    <w:rsid w:val="00FC0957"/>
    <w:rsid w:val="00FC374A"/>
    <w:rsid w:val="00FC43EC"/>
    <w:rsid w:val="00FC7AC7"/>
    <w:rsid w:val="00FC7B47"/>
    <w:rsid w:val="00FD035C"/>
    <w:rsid w:val="00FD1A35"/>
    <w:rsid w:val="00FD2EA4"/>
    <w:rsid w:val="00FD36C5"/>
    <w:rsid w:val="00FD6310"/>
    <w:rsid w:val="00FD7C7B"/>
    <w:rsid w:val="00FE045D"/>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11</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Eng</cp:lastModifiedBy>
  <cp:revision>31</cp:revision>
  <cp:lastPrinted>2019-08-27T05:42:00Z</cp:lastPrinted>
  <dcterms:created xsi:type="dcterms:W3CDTF">2023-06-27T10:31:00Z</dcterms:created>
  <dcterms:modified xsi:type="dcterms:W3CDTF">2024-03-01T06:07:00Z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2024-02-22T05:20:49Z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f2d5275d-e87e-4c13-8c48-829cb718cb8d</vt:lpwstr>
  </property>
  <property fmtid="{D5CDD505-2E9C-101B-9397-08002B2CF9AE}" pid="8" name="MSIP_Label_153db910-0838-4c35-bb3a-1ee21aa199ac_ContentBits">
    <vt:lpwstr>0</vt:lpwstr>
  </property>
</Properties>
</file>