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EE4638"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EE4638">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EE4638" w:rsidRDefault="00AD0E59" w:rsidP="00AD0E59">
      <w:pPr>
        <w:pStyle w:val="ListParagraph"/>
        <w:numPr>
          <w:ilvl w:val="0"/>
          <w:numId w:val="50"/>
        </w:numPr>
        <w:ind w:left="426" w:hanging="426"/>
        <w:jc w:val="both"/>
        <w:rPr>
          <w:rFonts w:ascii="Avenir Next" w:hAnsi="Avenir Next" w:cs="Arial"/>
          <w:sz w:val="22"/>
          <w:szCs w:val="22"/>
          <w:highlight w:val="yellow"/>
          <w:lang w:val="en-GB"/>
        </w:rPr>
      </w:pPr>
      <w:r w:rsidRPr="00EE4638">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EE4638" w:rsidRDefault="00893A03" w:rsidP="00893A03">
      <w:pPr>
        <w:pStyle w:val="ListParagraph"/>
        <w:numPr>
          <w:ilvl w:val="0"/>
          <w:numId w:val="16"/>
        </w:numPr>
        <w:ind w:left="426" w:hanging="426"/>
        <w:jc w:val="both"/>
        <w:rPr>
          <w:rFonts w:ascii="Avenir Next" w:hAnsi="Avenir Next" w:cs="Arial"/>
          <w:sz w:val="22"/>
          <w:szCs w:val="22"/>
          <w:highlight w:val="yellow"/>
          <w:lang w:val="en-GB"/>
        </w:rPr>
      </w:pPr>
      <w:r w:rsidRPr="00EE4638">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EE4638"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EE4638">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E4638"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EE4638">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EE4638"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EE4638">
        <w:rPr>
          <w:rFonts w:ascii="Avenir Next" w:hAnsi="Avenir Next" w:cs="Arial"/>
          <w:sz w:val="22"/>
          <w:szCs w:val="22"/>
          <w:highlight w:val="yellow"/>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EE4638" w:rsidRDefault="00F51EE5" w:rsidP="00C00111">
      <w:pPr>
        <w:pStyle w:val="ListParagraph"/>
        <w:numPr>
          <w:ilvl w:val="0"/>
          <w:numId w:val="27"/>
        </w:numPr>
        <w:ind w:left="426" w:hanging="426"/>
        <w:jc w:val="both"/>
        <w:rPr>
          <w:rFonts w:ascii="Avenir Next" w:hAnsi="Avenir Next" w:cs="Arial"/>
          <w:sz w:val="22"/>
          <w:szCs w:val="22"/>
          <w:highlight w:val="yellow"/>
          <w:lang w:val="en-GB"/>
        </w:rPr>
      </w:pPr>
      <w:r w:rsidRPr="00EE4638">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CA52B5" w:rsidRDefault="0097337E" w:rsidP="0097337E">
      <w:pPr>
        <w:pStyle w:val="ListParagraph"/>
        <w:numPr>
          <w:ilvl w:val="0"/>
          <w:numId w:val="28"/>
        </w:numPr>
        <w:ind w:left="426" w:hanging="426"/>
        <w:jc w:val="both"/>
        <w:rPr>
          <w:rFonts w:ascii="Avenir Next" w:hAnsi="Avenir Next" w:cs="Arial"/>
          <w:sz w:val="22"/>
          <w:szCs w:val="22"/>
          <w:highlight w:val="yellow"/>
          <w:lang w:val="en-GB"/>
        </w:rPr>
      </w:pPr>
      <w:r w:rsidRPr="00CA52B5">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227C5E" w:rsidRDefault="009A58D1" w:rsidP="009A58D1">
      <w:pPr>
        <w:pStyle w:val="ListParagraph"/>
        <w:numPr>
          <w:ilvl w:val="0"/>
          <w:numId w:val="29"/>
        </w:numPr>
        <w:ind w:left="426" w:hanging="426"/>
        <w:jc w:val="both"/>
        <w:rPr>
          <w:rFonts w:ascii="Avenir Next" w:hAnsi="Avenir Next" w:cs="Arial"/>
          <w:sz w:val="22"/>
          <w:szCs w:val="22"/>
          <w:lang w:val="en-GB"/>
        </w:rPr>
      </w:pPr>
      <w:r w:rsidRPr="00320550">
        <w:rPr>
          <w:rFonts w:ascii="Avenir Next" w:hAnsi="Avenir Next" w:cs="Arial"/>
          <w:sz w:val="22"/>
          <w:szCs w:val="22"/>
          <w:highlight w:val="yellow"/>
          <w:lang w:val="en-GB"/>
        </w:rPr>
        <w:t>Options (iii), (i) and then (ii)</w:t>
      </w:r>
      <w:r w:rsidRPr="00227C5E">
        <w:rPr>
          <w:rFonts w:ascii="Avenir Next" w:hAnsi="Avenir Next" w:cs="Arial"/>
          <w:sz w:val="22"/>
          <w:szCs w:val="22"/>
          <w:lang w:val="en-GB"/>
        </w:rPr>
        <w:t>.</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CA52B5"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CA52B5">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654B0E66" w14:textId="3B4524A3" w:rsidR="00CB56CE" w:rsidRDefault="00417B0F" w:rsidP="00320550">
      <w:pPr>
        <w:jc w:val="both"/>
        <w:rPr>
          <w:rFonts w:ascii="Avenir Next" w:hAnsi="Avenir Next" w:cs="Arial"/>
          <w:color w:val="808080" w:themeColor="background1" w:themeShade="80"/>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tbl>
      <w:tblPr>
        <w:tblStyle w:val="TableGrid"/>
        <w:tblpPr w:leftFromText="180" w:rightFromText="180" w:vertAnchor="text" w:horzAnchor="margin" w:tblpY="-3"/>
        <w:tblW w:w="9067" w:type="dxa"/>
        <w:tblLook w:val="04A0" w:firstRow="1" w:lastRow="0" w:firstColumn="1" w:lastColumn="0" w:noHBand="0" w:noVBand="1"/>
      </w:tblPr>
      <w:tblGrid>
        <w:gridCol w:w="1422"/>
        <w:gridCol w:w="3818"/>
        <w:gridCol w:w="3827"/>
      </w:tblGrid>
      <w:tr w:rsidR="003F3E77" w14:paraId="4A6830A4" w14:textId="77777777" w:rsidTr="00995A83">
        <w:tc>
          <w:tcPr>
            <w:tcW w:w="1422" w:type="dxa"/>
          </w:tcPr>
          <w:p w14:paraId="6FD5B1A0" w14:textId="77777777" w:rsidR="003F3E77" w:rsidRDefault="003F3E77" w:rsidP="003F3E77">
            <w:pPr>
              <w:jc w:val="both"/>
              <w:rPr>
                <w:rFonts w:ascii="Avenir Next" w:hAnsi="Avenir Next" w:cs="Arial"/>
                <w:color w:val="808080" w:themeColor="background1" w:themeShade="80"/>
                <w:sz w:val="22"/>
                <w:szCs w:val="22"/>
                <w:lang w:val="en-GB"/>
              </w:rPr>
            </w:pPr>
          </w:p>
        </w:tc>
        <w:tc>
          <w:tcPr>
            <w:tcW w:w="3818" w:type="dxa"/>
          </w:tcPr>
          <w:p w14:paraId="740C3D22" w14:textId="557F1420" w:rsidR="003F3E77" w:rsidRDefault="003F3E77" w:rsidP="003F3E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MLCBI</w:t>
            </w:r>
          </w:p>
        </w:tc>
        <w:tc>
          <w:tcPr>
            <w:tcW w:w="3827" w:type="dxa"/>
          </w:tcPr>
          <w:p w14:paraId="149244DB" w14:textId="34DD2492" w:rsidR="003F3E77" w:rsidRDefault="003F3E77" w:rsidP="003F3E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EU Regulation on insolvency proceedings (“</w:t>
            </w:r>
            <w:r w:rsidRPr="00C47971">
              <w:rPr>
                <w:rFonts w:ascii="Avenir Next" w:hAnsi="Avenir Next" w:cs="Arial"/>
                <w:b/>
                <w:bCs/>
                <w:color w:val="808080" w:themeColor="background1" w:themeShade="80"/>
                <w:sz w:val="22"/>
                <w:szCs w:val="22"/>
                <w:lang w:val="en-GB"/>
              </w:rPr>
              <w:t>EIR</w:t>
            </w:r>
            <w:r>
              <w:rPr>
                <w:rFonts w:ascii="Avenir Next" w:hAnsi="Avenir Next" w:cs="Arial"/>
                <w:color w:val="808080" w:themeColor="background1" w:themeShade="80"/>
                <w:sz w:val="22"/>
                <w:szCs w:val="22"/>
                <w:lang w:val="en-GB"/>
              </w:rPr>
              <w:t>”)</w:t>
            </w:r>
          </w:p>
        </w:tc>
      </w:tr>
      <w:tr w:rsidR="003F3E77" w14:paraId="659F44B7" w14:textId="77777777" w:rsidTr="00995A83">
        <w:tc>
          <w:tcPr>
            <w:tcW w:w="1422" w:type="dxa"/>
          </w:tcPr>
          <w:p w14:paraId="1A1EEE6E" w14:textId="55AA2C39" w:rsidR="003F3E77" w:rsidRDefault="003F3E77" w:rsidP="003F3E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Key distinction</w:t>
            </w:r>
          </w:p>
        </w:tc>
        <w:tc>
          <w:tcPr>
            <w:tcW w:w="3818" w:type="dxa"/>
          </w:tcPr>
          <w:p w14:paraId="61B446C6" w14:textId="1EDF8796" w:rsidR="003F3E77" w:rsidRPr="00C47971" w:rsidRDefault="003F3E77" w:rsidP="003F3E77">
            <w:pPr>
              <w:jc w:val="both"/>
              <w:rPr>
                <w:rFonts w:ascii="Avenir Next" w:hAnsi="Avenir Next" w:cs="Arial"/>
                <w:b/>
                <w:bCs/>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 xml:space="preserve">The MLCBI is a </w:t>
            </w:r>
            <w:r w:rsidRPr="00B65051">
              <w:rPr>
                <w:rFonts w:ascii="Avenir Next" w:hAnsi="Avenir Next" w:cs="Arial"/>
                <w:b/>
                <w:bCs/>
                <w:color w:val="808080" w:themeColor="background1" w:themeShade="80"/>
                <w:sz w:val="22"/>
                <w:szCs w:val="22"/>
                <w:u w:val="single"/>
                <w:lang w:val="en-GB"/>
              </w:rPr>
              <w:t>“template” legislative text</w:t>
            </w:r>
            <w:r>
              <w:rPr>
                <w:rFonts w:ascii="Avenir Next" w:hAnsi="Avenir Next" w:cs="Arial"/>
                <w:color w:val="808080" w:themeColor="background1" w:themeShade="80"/>
                <w:sz w:val="22"/>
                <w:szCs w:val="22"/>
                <w:lang w:val="en-GB"/>
              </w:rPr>
              <w:t xml:space="preserve"> which is recommended for nation states to incorporate as part of their domestic laws.</w:t>
            </w:r>
            <w:r w:rsidR="00C47971">
              <w:rPr>
                <w:rFonts w:ascii="Avenir Next" w:hAnsi="Avenir Next" w:cs="Arial"/>
                <w:color w:val="808080" w:themeColor="background1" w:themeShade="80"/>
                <w:sz w:val="22"/>
                <w:szCs w:val="22"/>
                <w:lang w:val="en-GB"/>
              </w:rPr>
              <w:t xml:space="preserve"> The MLCBI is focussed on </w:t>
            </w:r>
            <w:r w:rsidR="00C47971" w:rsidRPr="00C47971">
              <w:rPr>
                <w:rFonts w:ascii="Avenir Next" w:hAnsi="Avenir Next" w:cs="Arial"/>
                <w:b/>
                <w:bCs/>
                <w:color w:val="808080" w:themeColor="background1" w:themeShade="80"/>
                <w:sz w:val="22"/>
                <w:szCs w:val="22"/>
                <w:u w:val="single"/>
                <w:lang w:val="en-GB"/>
              </w:rPr>
              <w:t>procedural matter</w:t>
            </w:r>
            <w:r w:rsidR="00C47971">
              <w:rPr>
                <w:rFonts w:ascii="Avenir Next" w:hAnsi="Avenir Next" w:cs="Arial"/>
                <w:b/>
                <w:bCs/>
                <w:color w:val="808080" w:themeColor="background1" w:themeShade="80"/>
                <w:sz w:val="22"/>
                <w:szCs w:val="22"/>
                <w:u w:val="single"/>
                <w:lang w:val="en-GB"/>
              </w:rPr>
              <w:t>s</w:t>
            </w:r>
            <w:r w:rsidR="00C47971">
              <w:rPr>
                <w:rFonts w:ascii="Avenir Next" w:hAnsi="Avenir Next" w:cs="Arial"/>
                <w:color w:val="808080" w:themeColor="background1" w:themeShade="80"/>
                <w:sz w:val="22"/>
                <w:szCs w:val="22"/>
                <w:lang w:val="en-GB"/>
              </w:rPr>
              <w:t xml:space="preserve"> such as access, recognition, relief and co-ordination rather than on substantive issues. </w:t>
            </w:r>
            <w:r w:rsidRPr="00C47971">
              <w:rPr>
                <w:rFonts w:ascii="Avenir Next" w:hAnsi="Avenir Next" w:cs="Arial"/>
                <w:b/>
                <w:bCs/>
                <w:color w:val="808080" w:themeColor="background1" w:themeShade="80"/>
                <w:sz w:val="22"/>
                <w:szCs w:val="22"/>
                <w:u w:val="single"/>
                <w:lang w:val="en-GB"/>
              </w:rPr>
              <w:t xml:space="preserve"> </w:t>
            </w:r>
          </w:p>
          <w:p w14:paraId="2FADA630" w14:textId="4F6AD7AD" w:rsidR="003F3E77" w:rsidRDefault="003F3E77" w:rsidP="003F3E77">
            <w:pPr>
              <w:jc w:val="both"/>
              <w:rPr>
                <w:rFonts w:ascii="Avenir Next" w:hAnsi="Avenir Next" w:cs="Arial"/>
                <w:color w:val="808080" w:themeColor="background1" w:themeShade="80"/>
                <w:sz w:val="22"/>
                <w:szCs w:val="22"/>
                <w:lang w:val="en-GB"/>
              </w:rPr>
            </w:pPr>
          </w:p>
        </w:tc>
        <w:tc>
          <w:tcPr>
            <w:tcW w:w="3827" w:type="dxa"/>
          </w:tcPr>
          <w:p w14:paraId="33CD4A11" w14:textId="6013F1AC" w:rsidR="003F3E77" w:rsidRDefault="003F3E77" w:rsidP="003F3E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w:t>
            </w:r>
            <w:r w:rsidR="00B65051">
              <w:rPr>
                <w:rFonts w:ascii="Avenir Next" w:hAnsi="Avenir Next" w:cs="Arial"/>
                <w:color w:val="808080" w:themeColor="background1" w:themeShade="80"/>
                <w:sz w:val="22"/>
                <w:szCs w:val="22"/>
                <w:lang w:val="en-GB"/>
              </w:rPr>
              <w:t>, when adopted</w:t>
            </w:r>
            <w:r w:rsidR="00995A83">
              <w:rPr>
                <w:rFonts w:ascii="Avenir Next" w:hAnsi="Avenir Next" w:cs="Arial"/>
                <w:color w:val="808080" w:themeColor="background1" w:themeShade="80"/>
                <w:sz w:val="22"/>
                <w:szCs w:val="22"/>
                <w:lang w:val="en-GB"/>
              </w:rPr>
              <w:t xml:space="preserve"> </w:t>
            </w:r>
            <w:r w:rsidR="00B65051">
              <w:rPr>
                <w:rFonts w:ascii="Avenir Next" w:hAnsi="Avenir Next" w:cs="Arial"/>
                <w:color w:val="808080" w:themeColor="background1" w:themeShade="80"/>
                <w:sz w:val="22"/>
                <w:szCs w:val="22"/>
                <w:lang w:val="en-GB"/>
              </w:rPr>
              <w:t xml:space="preserve">by member EU states, </w:t>
            </w:r>
            <w:r w:rsidR="00B65051" w:rsidRPr="00B65051">
              <w:rPr>
                <w:rFonts w:ascii="Avenir Next" w:hAnsi="Avenir Next" w:cs="Arial"/>
                <w:b/>
                <w:bCs/>
                <w:color w:val="808080" w:themeColor="background1" w:themeShade="80"/>
                <w:sz w:val="22"/>
                <w:szCs w:val="22"/>
                <w:u w:val="single"/>
                <w:lang w:val="en-GB"/>
              </w:rPr>
              <w:t>directly becomes part of the domestic law of the EU state</w:t>
            </w:r>
            <w:r w:rsidR="00B65051">
              <w:rPr>
                <w:rFonts w:ascii="Avenir Next" w:hAnsi="Avenir Next" w:cs="Arial"/>
                <w:color w:val="808080" w:themeColor="background1" w:themeShade="80"/>
                <w:sz w:val="22"/>
                <w:szCs w:val="22"/>
                <w:lang w:val="en-GB"/>
              </w:rPr>
              <w:t>.</w:t>
            </w:r>
          </w:p>
        </w:tc>
      </w:tr>
      <w:tr w:rsidR="003F3E77" w14:paraId="6C32B1BA" w14:textId="77777777" w:rsidTr="00995A83">
        <w:tc>
          <w:tcPr>
            <w:tcW w:w="1422" w:type="dxa"/>
          </w:tcPr>
          <w:p w14:paraId="2A1C18D1" w14:textId="7A48C3A5" w:rsidR="003F3E77" w:rsidRDefault="003F3E77" w:rsidP="003F3E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Benefit</w:t>
            </w:r>
          </w:p>
        </w:tc>
        <w:tc>
          <w:tcPr>
            <w:tcW w:w="3818" w:type="dxa"/>
          </w:tcPr>
          <w:p w14:paraId="0E336E51" w14:textId="59594002" w:rsidR="003F3E77" w:rsidRDefault="00B65051" w:rsidP="003F3E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benefit of the model law approach is its </w:t>
            </w:r>
            <w:r w:rsidRPr="00B65051">
              <w:rPr>
                <w:rFonts w:ascii="Avenir Next" w:hAnsi="Avenir Next" w:cs="Arial"/>
                <w:b/>
                <w:bCs/>
                <w:color w:val="808080" w:themeColor="background1" w:themeShade="80"/>
                <w:sz w:val="22"/>
                <w:szCs w:val="22"/>
                <w:u w:val="single"/>
                <w:lang w:val="en-GB"/>
              </w:rPr>
              <w:t>flexibility</w:t>
            </w:r>
            <w:r>
              <w:rPr>
                <w:rFonts w:ascii="Avenir Next" w:hAnsi="Avenir Next" w:cs="Arial"/>
                <w:color w:val="808080" w:themeColor="background1" w:themeShade="80"/>
                <w:sz w:val="22"/>
                <w:szCs w:val="22"/>
                <w:lang w:val="en-GB"/>
              </w:rPr>
              <w:t xml:space="preserve"> i.e. it enables the enacting state to incorporate  in whole or part of the recommended legislative text as part of the domestic law, and does not require reciprocity. </w:t>
            </w:r>
          </w:p>
          <w:p w14:paraId="12F0D8D4" w14:textId="1ED2B21E" w:rsidR="00B65051" w:rsidRDefault="00B65051" w:rsidP="003F3E77">
            <w:pPr>
              <w:jc w:val="both"/>
              <w:rPr>
                <w:rFonts w:ascii="Avenir Next" w:hAnsi="Avenir Next" w:cs="Arial"/>
                <w:color w:val="808080" w:themeColor="background1" w:themeShade="80"/>
                <w:sz w:val="22"/>
                <w:szCs w:val="22"/>
                <w:lang w:val="en-GB"/>
              </w:rPr>
            </w:pPr>
          </w:p>
        </w:tc>
        <w:tc>
          <w:tcPr>
            <w:tcW w:w="3827" w:type="dxa"/>
          </w:tcPr>
          <w:p w14:paraId="3CBAFAC2" w14:textId="3D38FA70" w:rsidR="003F3E77" w:rsidRDefault="00995A83" w:rsidP="003F3E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benefit of the EIR approach is the </w:t>
            </w:r>
            <w:r w:rsidRPr="00995A83">
              <w:rPr>
                <w:rFonts w:ascii="Avenir Next" w:hAnsi="Avenir Next" w:cs="Arial"/>
                <w:b/>
                <w:bCs/>
                <w:color w:val="808080" w:themeColor="background1" w:themeShade="80"/>
                <w:sz w:val="22"/>
                <w:szCs w:val="22"/>
                <w:u w:val="single"/>
                <w:lang w:val="en-GB"/>
              </w:rPr>
              <w:t>uniformity in its application in the EU member states</w:t>
            </w:r>
            <w:r>
              <w:rPr>
                <w:rFonts w:ascii="Avenir Next" w:hAnsi="Avenir Next" w:cs="Arial"/>
                <w:color w:val="808080" w:themeColor="background1" w:themeShade="80"/>
                <w:sz w:val="22"/>
                <w:szCs w:val="22"/>
                <w:lang w:val="en-GB"/>
              </w:rPr>
              <w:t xml:space="preserve">. </w:t>
            </w:r>
          </w:p>
        </w:tc>
      </w:tr>
      <w:tr w:rsidR="003F3E77" w14:paraId="552F5F24" w14:textId="77777777" w:rsidTr="00995A83">
        <w:tc>
          <w:tcPr>
            <w:tcW w:w="1422" w:type="dxa"/>
          </w:tcPr>
          <w:p w14:paraId="051B49A8" w14:textId="357FD5B1" w:rsidR="003F3E77" w:rsidRDefault="003F3E77" w:rsidP="003F3E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Disadvantage </w:t>
            </w:r>
          </w:p>
        </w:tc>
        <w:tc>
          <w:tcPr>
            <w:tcW w:w="3818" w:type="dxa"/>
          </w:tcPr>
          <w:p w14:paraId="326FA5D8" w14:textId="03ACC0C1" w:rsidR="003F3E77" w:rsidRDefault="00B65051" w:rsidP="003F3E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disadvantage of the model law approach is that there </w:t>
            </w:r>
            <w:r w:rsidRPr="00B65051">
              <w:rPr>
                <w:rFonts w:ascii="Avenir Next" w:hAnsi="Avenir Next" w:cs="Arial"/>
                <w:b/>
                <w:bCs/>
                <w:color w:val="808080" w:themeColor="background1" w:themeShade="80"/>
                <w:sz w:val="22"/>
                <w:szCs w:val="22"/>
                <w:u w:val="single"/>
                <w:lang w:val="en-GB"/>
              </w:rPr>
              <w:t xml:space="preserve">may not be uniformity in </w:t>
            </w:r>
            <w:r w:rsidR="00995A83">
              <w:rPr>
                <w:rFonts w:ascii="Avenir Next" w:hAnsi="Avenir Next" w:cs="Arial"/>
                <w:b/>
                <w:bCs/>
                <w:color w:val="808080" w:themeColor="background1" w:themeShade="80"/>
                <w:sz w:val="22"/>
                <w:szCs w:val="22"/>
                <w:u w:val="single"/>
                <w:lang w:val="en-GB"/>
              </w:rPr>
              <w:t>an</w:t>
            </w:r>
            <w:r w:rsidRPr="00B65051">
              <w:rPr>
                <w:rFonts w:ascii="Avenir Next" w:hAnsi="Avenir Next" w:cs="Arial"/>
                <w:b/>
                <w:bCs/>
                <w:color w:val="808080" w:themeColor="background1" w:themeShade="80"/>
                <w:sz w:val="22"/>
                <w:szCs w:val="22"/>
                <w:u w:val="single"/>
                <w:lang w:val="en-GB"/>
              </w:rPr>
              <w:t xml:space="preserve"> enacting state’s adoption of the MLCBI</w:t>
            </w:r>
            <w:r>
              <w:rPr>
                <w:rFonts w:ascii="Avenir Next" w:hAnsi="Avenir Next" w:cs="Arial"/>
                <w:color w:val="808080" w:themeColor="background1" w:themeShade="80"/>
                <w:sz w:val="22"/>
                <w:szCs w:val="22"/>
                <w:lang w:val="en-GB"/>
              </w:rPr>
              <w:t>. This is because the enacting state may incorporate only some provisions of the MLCBI and/or require reciprocity,</w:t>
            </w:r>
            <w:r w:rsidR="00995A83">
              <w:rPr>
                <w:rFonts w:ascii="Avenir Next" w:hAnsi="Avenir Next" w:cs="Arial"/>
                <w:color w:val="808080" w:themeColor="background1" w:themeShade="80"/>
                <w:sz w:val="22"/>
                <w:szCs w:val="22"/>
                <w:lang w:val="en-GB"/>
              </w:rPr>
              <w:t xml:space="preserve"> thereby derogating from the aims of the MLCBI. </w:t>
            </w:r>
          </w:p>
          <w:p w14:paraId="02E57266" w14:textId="77777777" w:rsidR="00B65051" w:rsidRDefault="00B65051" w:rsidP="003F3E77">
            <w:pPr>
              <w:jc w:val="both"/>
              <w:rPr>
                <w:rFonts w:ascii="Avenir Next" w:hAnsi="Avenir Next" w:cs="Arial"/>
                <w:color w:val="808080" w:themeColor="background1" w:themeShade="80"/>
                <w:sz w:val="22"/>
                <w:szCs w:val="22"/>
                <w:lang w:val="en-GB"/>
              </w:rPr>
            </w:pPr>
          </w:p>
        </w:tc>
        <w:tc>
          <w:tcPr>
            <w:tcW w:w="3827" w:type="dxa"/>
          </w:tcPr>
          <w:p w14:paraId="376267A8" w14:textId="6FD84B22" w:rsidR="003F3E77" w:rsidRDefault="00995A83" w:rsidP="003F3E7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disadvantage of the EIR approach is its </w:t>
            </w:r>
            <w:r w:rsidRPr="00995A83">
              <w:rPr>
                <w:rFonts w:ascii="Avenir Next" w:hAnsi="Avenir Next" w:cs="Arial"/>
                <w:b/>
                <w:bCs/>
                <w:color w:val="808080" w:themeColor="background1" w:themeShade="80"/>
                <w:sz w:val="22"/>
                <w:szCs w:val="22"/>
                <w:u w:val="single"/>
                <w:lang w:val="en-GB"/>
              </w:rPr>
              <w:t>rigidity/inflexibility</w:t>
            </w:r>
            <w:r>
              <w:rPr>
                <w:rFonts w:ascii="Avenir Next" w:hAnsi="Avenir Next" w:cs="Arial"/>
                <w:color w:val="808080" w:themeColor="background1" w:themeShade="80"/>
                <w:sz w:val="22"/>
                <w:szCs w:val="22"/>
                <w:lang w:val="en-GB"/>
              </w:rPr>
              <w:t xml:space="preserve">. Member states may not opt out/choose to apply certain provisions of the EIR only. </w:t>
            </w:r>
          </w:p>
        </w:tc>
      </w:tr>
    </w:tbl>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26F94014" w14:textId="77777777" w:rsidR="001C770A" w:rsidRDefault="001C770A" w:rsidP="001C77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Article 21 of the MLCBI, the court should take into account whether the post-recognition relief granted is for a </w:t>
      </w:r>
      <w:r w:rsidRPr="001C770A">
        <w:rPr>
          <w:rFonts w:ascii="Avenir Next" w:hAnsi="Avenir Next" w:cs="Arial"/>
          <w:b/>
          <w:bCs/>
          <w:color w:val="808080" w:themeColor="background1" w:themeShade="80"/>
          <w:sz w:val="22"/>
          <w:szCs w:val="22"/>
          <w:u w:val="single"/>
          <w:lang w:val="en-GB"/>
        </w:rPr>
        <w:t>foreign main or non-main proceeding</w:t>
      </w:r>
      <w:r>
        <w:rPr>
          <w:rFonts w:ascii="Avenir Next" w:hAnsi="Avenir Next" w:cs="Arial"/>
          <w:color w:val="808080" w:themeColor="background1" w:themeShade="80"/>
          <w:sz w:val="22"/>
          <w:szCs w:val="22"/>
          <w:lang w:val="en-GB"/>
        </w:rPr>
        <w:t xml:space="preserve">. In general, relief granted to the foreign representative of a </w:t>
      </w:r>
      <w:r w:rsidRPr="00320550">
        <w:rPr>
          <w:rFonts w:ascii="Avenir Next" w:hAnsi="Avenir Next" w:cs="Arial"/>
          <w:b/>
          <w:bCs/>
          <w:color w:val="808080" w:themeColor="background1" w:themeShade="80"/>
          <w:sz w:val="22"/>
          <w:szCs w:val="22"/>
          <w:u w:val="single"/>
          <w:lang w:val="en-GB"/>
        </w:rPr>
        <w:t>foreign non-main proceeding should not interfere with the administration of another insolvency proceeding, in particular the main proceeding</w:t>
      </w:r>
      <w:r>
        <w:rPr>
          <w:rFonts w:ascii="Avenir Next" w:hAnsi="Avenir Next" w:cs="Arial"/>
          <w:color w:val="808080" w:themeColor="background1" w:themeShade="80"/>
          <w:sz w:val="22"/>
          <w:szCs w:val="22"/>
          <w:lang w:val="en-GB"/>
        </w:rPr>
        <w:t>.</w:t>
      </w:r>
    </w:p>
    <w:p w14:paraId="263B86A8" w14:textId="77777777" w:rsidR="001C770A" w:rsidRDefault="001C770A" w:rsidP="001C770A">
      <w:pPr>
        <w:jc w:val="both"/>
        <w:rPr>
          <w:rFonts w:ascii="Avenir Next" w:hAnsi="Avenir Next" w:cs="Arial"/>
          <w:color w:val="808080" w:themeColor="background1" w:themeShade="80"/>
          <w:sz w:val="22"/>
          <w:szCs w:val="22"/>
          <w:lang w:val="en-GB"/>
        </w:rPr>
      </w:pPr>
    </w:p>
    <w:p w14:paraId="428DC0DA" w14:textId="1127653C" w:rsidR="00867A8F" w:rsidRPr="00B77352" w:rsidRDefault="001C770A" w:rsidP="001C77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above principle is reflected in </w:t>
      </w:r>
      <w:r w:rsidRPr="00320550">
        <w:rPr>
          <w:rFonts w:ascii="Avenir Next" w:hAnsi="Avenir Next" w:cs="Arial"/>
          <w:b/>
          <w:bCs/>
          <w:color w:val="808080" w:themeColor="background1" w:themeShade="80"/>
          <w:sz w:val="22"/>
          <w:szCs w:val="22"/>
          <w:u w:val="single"/>
          <w:lang w:val="en-GB"/>
        </w:rPr>
        <w:t>Article 21(3) of the MLCBI</w:t>
      </w:r>
      <w:r>
        <w:rPr>
          <w:rFonts w:ascii="Avenir Next" w:hAnsi="Avenir Next" w:cs="Arial"/>
          <w:color w:val="808080" w:themeColor="background1" w:themeShade="80"/>
          <w:sz w:val="22"/>
          <w:szCs w:val="22"/>
          <w:lang w:val="en-GB"/>
        </w:rPr>
        <w:t xml:space="preserve">, which provides that (a) relief provided to a foreign </w:t>
      </w:r>
      <w:r w:rsidR="0050446F">
        <w:rPr>
          <w:rFonts w:ascii="Avenir Next" w:hAnsi="Avenir Next" w:cs="Arial"/>
          <w:color w:val="808080" w:themeColor="background1" w:themeShade="80"/>
          <w:sz w:val="22"/>
          <w:szCs w:val="22"/>
          <w:lang w:val="en-GB"/>
        </w:rPr>
        <w:t xml:space="preserve">non-main proceeding should be limited to assets that are to be administered that proceeding only; and (b) if the foreign representative seeks information relating to the debtor’s assets or affairs, the relief must concern information required in that non-main proceeding only. </w:t>
      </w:r>
      <w:r>
        <w:rPr>
          <w:rFonts w:ascii="Avenir Next" w:hAnsi="Avenir Next" w:cs="Arial"/>
          <w:color w:val="808080" w:themeColor="background1" w:themeShade="80"/>
          <w:sz w:val="22"/>
          <w:szCs w:val="22"/>
          <w:lang w:val="en-GB"/>
        </w:rPr>
        <w:t xml:space="preserve"> </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Default="00100E8F" w:rsidP="00100E8F">
      <w:pPr>
        <w:jc w:val="both"/>
        <w:rPr>
          <w:rFonts w:ascii="Avenir Next" w:hAnsi="Avenir Next" w:cs="Arial"/>
          <w:sz w:val="22"/>
          <w:szCs w:val="28"/>
          <w:lang w:val="en-GB"/>
        </w:rPr>
      </w:pPr>
    </w:p>
    <w:p w14:paraId="0F962055" w14:textId="17193543" w:rsidR="00C6434A" w:rsidRDefault="0050446F" w:rsidP="00504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13(1) of the MLCBI provides that foreign creditors have the same rights as the local creditors in the enacting state regarding the commencement of insolvency proceedings o</w:t>
      </w:r>
      <w:r w:rsidR="00C6434A">
        <w:rPr>
          <w:rFonts w:ascii="Avenir Next" w:hAnsi="Avenir Next" w:cs="Arial"/>
          <w:color w:val="808080" w:themeColor="background1" w:themeShade="80"/>
          <w:sz w:val="22"/>
          <w:szCs w:val="22"/>
          <w:lang w:val="en-GB"/>
        </w:rPr>
        <w:t xml:space="preserve">r the filing of claims in such proceedings. </w:t>
      </w:r>
    </w:p>
    <w:p w14:paraId="1C2EEC30" w14:textId="77777777" w:rsidR="00C6434A" w:rsidRDefault="00C6434A" w:rsidP="0050446F">
      <w:pPr>
        <w:jc w:val="both"/>
        <w:rPr>
          <w:rFonts w:ascii="Avenir Next" w:hAnsi="Avenir Next" w:cs="Arial"/>
          <w:color w:val="808080" w:themeColor="background1" w:themeShade="80"/>
          <w:sz w:val="22"/>
          <w:szCs w:val="22"/>
          <w:lang w:val="en-GB"/>
        </w:rPr>
      </w:pPr>
    </w:p>
    <w:p w14:paraId="2C4946CD" w14:textId="7BD3EBC2" w:rsidR="00C6434A" w:rsidRPr="00B77352" w:rsidRDefault="00C6434A" w:rsidP="00504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Article 13(2) of the MLCBI provides that a foreign creditor’s claim shall not be given a lower priority than that of a general unsecured claim on the basis of the foreign creditor’s nationality or location. </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18F91E21" w14:textId="39C16E78" w:rsidR="00867A8F" w:rsidRDefault="00867A8F" w:rsidP="00100E8F">
      <w:pPr>
        <w:ind w:left="720" w:hanging="720"/>
        <w:jc w:val="both"/>
        <w:rPr>
          <w:rFonts w:ascii="Avenir Next" w:hAnsi="Avenir Next" w:cs="Arial"/>
          <w:color w:val="808080" w:themeColor="background1" w:themeShade="80"/>
          <w:sz w:val="22"/>
          <w:szCs w:val="22"/>
          <w:lang w:val="en-GB"/>
        </w:rPr>
      </w:pPr>
    </w:p>
    <w:tbl>
      <w:tblPr>
        <w:tblStyle w:val="TableGrid"/>
        <w:tblpPr w:leftFromText="180" w:rightFromText="180" w:vertAnchor="text" w:horzAnchor="margin" w:tblpY="129"/>
        <w:tblW w:w="9209" w:type="dxa"/>
        <w:tblLook w:val="04A0" w:firstRow="1" w:lastRow="0" w:firstColumn="1" w:lastColumn="0" w:noHBand="0" w:noVBand="1"/>
      </w:tblPr>
      <w:tblGrid>
        <w:gridCol w:w="704"/>
        <w:gridCol w:w="4253"/>
        <w:gridCol w:w="4252"/>
      </w:tblGrid>
      <w:tr w:rsidR="00C6434A" w14:paraId="1E26DD5B" w14:textId="77777777" w:rsidTr="00320550">
        <w:tc>
          <w:tcPr>
            <w:tcW w:w="704" w:type="dxa"/>
          </w:tcPr>
          <w:p w14:paraId="798AB5CB" w14:textId="77777777" w:rsidR="00C6434A" w:rsidRDefault="00C6434A" w:rsidP="00C6434A">
            <w:pPr>
              <w:jc w:val="both"/>
              <w:rPr>
                <w:rFonts w:ascii="Avenir Next" w:hAnsi="Avenir Next" w:cs="Arial"/>
                <w:color w:val="808080" w:themeColor="background1" w:themeShade="80"/>
                <w:sz w:val="22"/>
                <w:szCs w:val="22"/>
                <w:lang w:val="en-GB"/>
              </w:rPr>
            </w:pPr>
          </w:p>
        </w:tc>
        <w:tc>
          <w:tcPr>
            <w:tcW w:w="4253" w:type="dxa"/>
          </w:tcPr>
          <w:p w14:paraId="01ACF93E" w14:textId="24DBF73B" w:rsidR="00C6434A" w:rsidRDefault="00C6434A" w:rsidP="00C643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main proceeding</w:t>
            </w:r>
            <w:r w:rsidR="00EC4720">
              <w:rPr>
                <w:rFonts w:ascii="Avenir Next" w:hAnsi="Avenir Next" w:cs="Arial"/>
                <w:color w:val="808080" w:themeColor="background1" w:themeShade="80"/>
                <w:sz w:val="22"/>
                <w:szCs w:val="22"/>
                <w:lang w:val="en-GB"/>
              </w:rPr>
              <w:t xml:space="preserve"> (“</w:t>
            </w:r>
            <w:r w:rsidR="00EC4720" w:rsidRPr="00EC4720">
              <w:rPr>
                <w:rFonts w:ascii="Avenir Next" w:hAnsi="Avenir Next" w:cs="Arial"/>
                <w:b/>
                <w:bCs/>
                <w:color w:val="808080" w:themeColor="background1" w:themeShade="80"/>
                <w:sz w:val="22"/>
                <w:szCs w:val="22"/>
                <w:lang w:val="en-GB"/>
              </w:rPr>
              <w:t>FMP</w:t>
            </w:r>
            <w:r w:rsidR="00EC4720">
              <w:rPr>
                <w:rFonts w:ascii="Avenir Next" w:hAnsi="Avenir Next" w:cs="Arial"/>
                <w:color w:val="808080" w:themeColor="background1" w:themeShade="80"/>
                <w:sz w:val="22"/>
                <w:szCs w:val="22"/>
                <w:lang w:val="en-GB"/>
              </w:rPr>
              <w:t>”)</w:t>
            </w:r>
          </w:p>
          <w:p w14:paraId="032E83FC" w14:textId="77777777" w:rsidR="00EC4720" w:rsidRDefault="00EC4720" w:rsidP="00C6434A">
            <w:pPr>
              <w:jc w:val="both"/>
              <w:rPr>
                <w:rFonts w:ascii="Avenir Next" w:hAnsi="Avenir Next" w:cs="Arial"/>
                <w:color w:val="808080" w:themeColor="background1" w:themeShade="80"/>
                <w:sz w:val="22"/>
                <w:szCs w:val="22"/>
                <w:lang w:val="en-GB"/>
              </w:rPr>
            </w:pPr>
          </w:p>
          <w:p w14:paraId="740542DE" w14:textId="3FA96E09" w:rsidR="00EC4720" w:rsidRDefault="00EC4720" w:rsidP="00C643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of a FMP has the following </w:t>
            </w:r>
            <w:r w:rsidRPr="00EC4720">
              <w:rPr>
                <w:rFonts w:ascii="Avenir Next" w:hAnsi="Avenir Next" w:cs="Arial"/>
                <w:b/>
                <w:bCs/>
                <w:color w:val="808080" w:themeColor="background1" w:themeShade="80"/>
                <w:sz w:val="22"/>
                <w:szCs w:val="22"/>
                <w:u w:val="single"/>
                <w:lang w:val="en-GB"/>
              </w:rPr>
              <w:t>automatic effects</w:t>
            </w:r>
            <w:r>
              <w:rPr>
                <w:rFonts w:ascii="Avenir Next" w:hAnsi="Avenir Next" w:cs="Arial"/>
                <w:color w:val="808080" w:themeColor="background1" w:themeShade="80"/>
                <w:sz w:val="22"/>
                <w:szCs w:val="22"/>
                <w:lang w:val="en-GB"/>
              </w:rPr>
              <w:t>:</w:t>
            </w:r>
          </w:p>
          <w:p w14:paraId="596D333E" w14:textId="6716EB6B" w:rsidR="00EC4720" w:rsidRDefault="00EC4720" w:rsidP="00C6434A">
            <w:pPr>
              <w:jc w:val="both"/>
              <w:rPr>
                <w:rFonts w:ascii="Avenir Next" w:hAnsi="Avenir Next" w:cs="Arial"/>
                <w:color w:val="808080" w:themeColor="background1" w:themeShade="80"/>
                <w:sz w:val="22"/>
                <w:szCs w:val="22"/>
                <w:lang w:val="en-GB"/>
              </w:rPr>
            </w:pPr>
          </w:p>
        </w:tc>
        <w:tc>
          <w:tcPr>
            <w:tcW w:w="4252" w:type="dxa"/>
          </w:tcPr>
          <w:p w14:paraId="049ABF17" w14:textId="395EFC14" w:rsidR="00C6434A" w:rsidRDefault="00C6434A" w:rsidP="00C643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Foreign non-main proceeding </w:t>
            </w:r>
            <w:r w:rsidR="00EC4720">
              <w:rPr>
                <w:rFonts w:ascii="Avenir Next" w:hAnsi="Avenir Next" w:cs="Arial"/>
                <w:color w:val="808080" w:themeColor="background1" w:themeShade="80"/>
                <w:sz w:val="22"/>
                <w:szCs w:val="22"/>
                <w:lang w:val="en-GB"/>
              </w:rPr>
              <w:t>(“</w:t>
            </w:r>
            <w:r w:rsidR="00EC4720" w:rsidRPr="00EC4720">
              <w:rPr>
                <w:rFonts w:ascii="Avenir Next" w:hAnsi="Avenir Next" w:cs="Arial"/>
                <w:b/>
                <w:bCs/>
                <w:color w:val="808080" w:themeColor="background1" w:themeShade="80"/>
                <w:sz w:val="22"/>
                <w:szCs w:val="22"/>
                <w:lang w:val="en-GB"/>
              </w:rPr>
              <w:t>FNMP</w:t>
            </w:r>
            <w:r w:rsidR="00EC4720">
              <w:rPr>
                <w:rFonts w:ascii="Avenir Next" w:hAnsi="Avenir Next" w:cs="Arial"/>
                <w:color w:val="808080" w:themeColor="background1" w:themeShade="80"/>
                <w:sz w:val="22"/>
                <w:szCs w:val="22"/>
                <w:lang w:val="en-GB"/>
              </w:rPr>
              <w:t>”)</w:t>
            </w:r>
          </w:p>
          <w:p w14:paraId="6C43DF9B" w14:textId="77777777" w:rsidR="00EC4720" w:rsidRDefault="00EC4720" w:rsidP="00C6434A">
            <w:pPr>
              <w:jc w:val="both"/>
              <w:rPr>
                <w:rFonts w:ascii="Avenir Next" w:hAnsi="Avenir Next" w:cs="Arial"/>
                <w:color w:val="808080" w:themeColor="background1" w:themeShade="80"/>
                <w:sz w:val="22"/>
                <w:szCs w:val="22"/>
                <w:lang w:val="en-GB"/>
              </w:rPr>
            </w:pPr>
          </w:p>
          <w:p w14:paraId="645338DF" w14:textId="2E32E16C" w:rsidR="00EC4720" w:rsidRDefault="00EC4720" w:rsidP="00C643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Upon recognition of a foreign proceeding (whether main or non-main), Article 21(1) of the MLCBI provides that the court of the enacting state with </w:t>
            </w:r>
            <w:r w:rsidRPr="00EC4720">
              <w:rPr>
                <w:rFonts w:ascii="Avenir Next" w:hAnsi="Avenir Next" w:cs="Arial"/>
                <w:b/>
                <w:bCs/>
                <w:color w:val="808080" w:themeColor="background1" w:themeShade="80"/>
                <w:sz w:val="22"/>
                <w:szCs w:val="22"/>
                <w:u w:val="single"/>
                <w:lang w:val="en-GB"/>
              </w:rPr>
              <w:t>discretionary power</w:t>
            </w:r>
            <w:r>
              <w:rPr>
                <w:rFonts w:ascii="Avenir Next" w:hAnsi="Avenir Next" w:cs="Arial"/>
                <w:b/>
                <w:bCs/>
                <w:color w:val="808080" w:themeColor="background1" w:themeShade="80"/>
                <w:sz w:val="22"/>
                <w:szCs w:val="22"/>
                <w:u w:val="single"/>
                <w:lang w:val="en-GB"/>
              </w:rPr>
              <w:t xml:space="preserve"> </w:t>
            </w:r>
            <w:r>
              <w:rPr>
                <w:rFonts w:ascii="Avenir Next" w:hAnsi="Avenir Next" w:cs="Arial"/>
                <w:color w:val="808080" w:themeColor="background1" w:themeShade="80"/>
                <w:sz w:val="22"/>
                <w:szCs w:val="22"/>
                <w:lang w:val="en-GB"/>
              </w:rPr>
              <w:t xml:space="preserve"> to grant the following appropriate relief:</w:t>
            </w:r>
          </w:p>
          <w:p w14:paraId="4D53AD29" w14:textId="2F22C7AE" w:rsidR="00C6434A" w:rsidRDefault="00EC4720" w:rsidP="00C643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tc>
      </w:tr>
      <w:tr w:rsidR="00C6434A" w14:paraId="45762BDB" w14:textId="77777777" w:rsidTr="00320550">
        <w:tc>
          <w:tcPr>
            <w:tcW w:w="704" w:type="dxa"/>
          </w:tcPr>
          <w:p w14:paraId="5406AF45" w14:textId="77777777" w:rsidR="00C6434A" w:rsidRPr="00320550" w:rsidRDefault="00C6434A" w:rsidP="00320550">
            <w:pPr>
              <w:pStyle w:val="ListParagraph"/>
              <w:numPr>
                <w:ilvl w:val="0"/>
                <w:numId w:val="58"/>
              </w:numPr>
              <w:jc w:val="both"/>
              <w:rPr>
                <w:rFonts w:ascii="Avenir Next" w:hAnsi="Avenir Next" w:cs="Arial"/>
                <w:color w:val="808080" w:themeColor="background1" w:themeShade="80"/>
                <w:sz w:val="22"/>
                <w:szCs w:val="22"/>
                <w:lang w:val="en-GB"/>
              </w:rPr>
            </w:pPr>
          </w:p>
        </w:tc>
        <w:tc>
          <w:tcPr>
            <w:tcW w:w="4253" w:type="dxa"/>
          </w:tcPr>
          <w:p w14:paraId="15E7343E" w14:textId="0BABB913" w:rsidR="00C6434A" w:rsidRDefault="00320550" w:rsidP="00C643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automatic stay of the commencement or continuation of individual actions or proceedings relating to the debtor’s assets, rights, obligations, or liabilities.</w:t>
            </w:r>
          </w:p>
          <w:p w14:paraId="1F7EC149" w14:textId="340C8BAE" w:rsidR="00320550" w:rsidRDefault="00320550" w:rsidP="00C6434A">
            <w:pPr>
              <w:jc w:val="both"/>
              <w:rPr>
                <w:rFonts w:ascii="Avenir Next" w:hAnsi="Avenir Next" w:cs="Arial"/>
                <w:color w:val="808080" w:themeColor="background1" w:themeShade="80"/>
                <w:sz w:val="22"/>
                <w:szCs w:val="22"/>
                <w:lang w:val="en-GB"/>
              </w:rPr>
            </w:pPr>
          </w:p>
        </w:tc>
        <w:tc>
          <w:tcPr>
            <w:tcW w:w="4252" w:type="dxa"/>
          </w:tcPr>
          <w:p w14:paraId="5CC9D17A" w14:textId="5DCB4502" w:rsidR="00C6434A" w:rsidRDefault="00EC4720" w:rsidP="00C643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the commencement or continuation of individual actions or proceedings relating to the debtor’s assets, rights, obligations, or liabilities</w:t>
            </w:r>
          </w:p>
        </w:tc>
      </w:tr>
      <w:tr w:rsidR="00C6434A" w14:paraId="12126480" w14:textId="77777777" w:rsidTr="00320550">
        <w:tc>
          <w:tcPr>
            <w:tcW w:w="704" w:type="dxa"/>
          </w:tcPr>
          <w:p w14:paraId="617D5808" w14:textId="77777777" w:rsidR="00C6434A" w:rsidRPr="00320550" w:rsidRDefault="00C6434A" w:rsidP="00320550">
            <w:pPr>
              <w:pStyle w:val="ListParagraph"/>
              <w:numPr>
                <w:ilvl w:val="0"/>
                <w:numId w:val="58"/>
              </w:numPr>
              <w:jc w:val="both"/>
              <w:rPr>
                <w:rFonts w:ascii="Avenir Next" w:hAnsi="Avenir Next" w:cs="Arial"/>
                <w:color w:val="808080" w:themeColor="background1" w:themeShade="80"/>
                <w:sz w:val="22"/>
                <w:szCs w:val="22"/>
                <w:lang w:val="en-GB"/>
              </w:rPr>
            </w:pPr>
          </w:p>
        </w:tc>
        <w:tc>
          <w:tcPr>
            <w:tcW w:w="4253" w:type="dxa"/>
          </w:tcPr>
          <w:p w14:paraId="6ED42006" w14:textId="13F27408" w:rsidR="00C6434A" w:rsidRDefault="00320550" w:rsidP="00C643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automatic stay of execution against the debtor’s assets.</w:t>
            </w:r>
          </w:p>
          <w:p w14:paraId="20A72531" w14:textId="035CCD9C" w:rsidR="00320550" w:rsidRDefault="00320550" w:rsidP="00C6434A">
            <w:pPr>
              <w:jc w:val="both"/>
              <w:rPr>
                <w:rFonts w:ascii="Avenir Next" w:hAnsi="Avenir Next" w:cs="Arial"/>
                <w:color w:val="808080" w:themeColor="background1" w:themeShade="80"/>
                <w:sz w:val="22"/>
                <w:szCs w:val="22"/>
                <w:lang w:val="en-GB"/>
              </w:rPr>
            </w:pPr>
          </w:p>
        </w:tc>
        <w:tc>
          <w:tcPr>
            <w:tcW w:w="4252" w:type="dxa"/>
          </w:tcPr>
          <w:p w14:paraId="592EDC60" w14:textId="69A73E66" w:rsidR="00EC4720" w:rsidRDefault="00EC4720" w:rsidP="00EC47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execution against the debtor’s assets.</w:t>
            </w:r>
          </w:p>
          <w:p w14:paraId="474A8D0F" w14:textId="77777777" w:rsidR="00C6434A" w:rsidRDefault="00C6434A" w:rsidP="00C6434A">
            <w:pPr>
              <w:jc w:val="both"/>
              <w:rPr>
                <w:rFonts w:ascii="Avenir Next" w:hAnsi="Avenir Next" w:cs="Arial"/>
                <w:color w:val="808080" w:themeColor="background1" w:themeShade="80"/>
                <w:sz w:val="22"/>
                <w:szCs w:val="22"/>
                <w:lang w:val="en-GB"/>
              </w:rPr>
            </w:pPr>
          </w:p>
        </w:tc>
      </w:tr>
      <w:tr w:rsidR="00C6434A" w14:paraId="6951B1C7" w14:textId="77777777" w:rsidTr="00320550">
        <w:tc>
          <w:tcPr>
            <w:tcW w:w="704" w:type="dxa"/>
          </w:tcPr>
          <w:p w14:paraId="66A63320" w14:textId="77777777" w:rsidR="00C6434A" w:rsidRPr="00320550" w:rsidRDefault="00C6434A" w:rsidP="00320550">
            <w:pPr>
              <w:pStyle w:val="ListParagraph"/>
              <w:numPr>
                <w:ilvl w:val="0"/>
                <w:numId w:val="58"/>
              </w:numPr>
              <w:jc w:val="both"/>
              <w:rPr>
                <w:rFonts w:ascii="Avenir Next" w:hAnsi="Avenir Next" w:cs="Arial"/>
                <w:color w:val="808080" w:themeColor="background1" w:themeShade="80"/>
                <w:sz w:val="22"/>
                <w:szCs w:val="22"/>
                <w:lang w:val="en-GB"/>
              </w:rPr>
            </w:pPr>
          </w:p>
        </w:tc>
        <w:tc>
          <w:tcPr>
            <w:tcW w:w="4253" w:type="dxa"/>
          </w:tcPr>
          <w:p w14:paraId="40BFB4B8" w14:textId="77777777" w:rsidR="00C6434A" w:rsidRDefault="00320550" w:rsidP="00C643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automatic suspension of the right to transfer, encumber or dispose the debtor’s assets.</w:t>
            </w:r>
          </w:p>
          <w:p w14:paraId="11044E69" w14:textId="1CC221DA" w:rsidR="00320550" w:rsidRDefault="00320550" w:rsidP="00C6434A">
            <w:pPr>
              <w:jc w:val="both"/>
              <w:rPr>
                <w:rFonts w:ascii="Avenir Next" w:hAnsi="Avenir Next" w:cs="Arial"/>
                <w:color w:val="808080" w:themeColor="background1" w:themeShade="80"/>
                <w:sz w:val="22"/>
                <w:szCs w:val="22"/>
                <w:lang w:val="en-GB"/>
              </w:rPr>
            </w:pPr>
          </w:p>
        </w:tc>
        <w:tc>
          <w:tcPr>
            <w:tcW w:w="4252" w:type="dxa"/>
          </w:tcPr>
          <w:p w14:paraId="53634A03" w14:textId="34690461" w:rsidR="00EC4720" w:rsidRDefault="00EC4720" w:rsidP="00EC47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suspension of the right to transfer, encumber or dispose the debtor’s assets.</w:t>
            </w:r>
          </w:p>
          <w:p w14:paraId="6D40C851" w14:textId="77777777" w:rsidR="00C6434A" w:rsidRDefault="00C6434A" w:rsidP="00C6434A">
            <w:pPr>
              <w:jc w:val="both"/>
              <w:rPr>
                <w:rFonts w:ascii="Avenir Next" w:hAnsi="Avenir Next" w:cs="Arial"/>
                <w:color w:val="808080" w:themeColor="background1" w:themeShade="80"/>
                <w:sz w:val="22"/>
                <w:szCs w:val="22"/>
                <w:lang w:val="en-GB"/>
              </w:rPr>
            </w:pPr>
          </w:p>
        </w:tc>
      </w:tr>
      <w:tr w:rsidR="00EC4720" w14:paraId="065983EE" w14:textId="77777777" w:rsidTr="00320550">
        <w:tc>
          <w:tcPr>
            <w:tcW w:w="704" w:type="dxa"/>
          </w:tcPr>
          <w:p w14:paraId="4E703517" w14:textId="77777777" w:rsidR="00EC4720" w:rsidRPr="00320550" w:rsidRDefault="00EC4720" w:rsidP="00320550">
            <w:pPr>
              <w:pStyle w:val="ListParagraph"/>
              <w:numPr>
                <w:ilvl w:val="0"/>
                <w:numId w:val="58"/>
              </w:numPr>
              <w:jc w:val="both"/>
              <w:rPr>
                <w:rFonts w:ascii="Avenir Next" w:hAnsi="Avenir Next" w:cs="Arial"/>
                <w:color w:val="808080" w:themeColor="background1" w:themeShade="80"/>
                <w:sz w:val="22"/>
                <w:szCs w:val="22"/>
                <w:lang w:val="en-GB"/>
              </w:rPr>
            </w:pPr>
          </w:p>
        </w:tc>
        <w:tc>
          <w:tcPr>
            <w:tcW w:w="4253" w:type="dxa"/>
          </w:tcPr>
          <w:p w14:paraId="4D088C2B" w14:textId="7A4099BC" w:rsidR="00EC4720" w:rsidRDefault="00EC4720" w:rsidP="00EC472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N.A</w:t>
            </w:r>
          </w:p>
          <w:p w14:paraId="41B1A552" w14:textId="3326EEDE" w:rsidR="00EC4720" w:rsidRDefault="00EC4720" w:rsidP="00EC4720">
            <w:pPr>
              <w:jc w:val="center"/>
              <w:rPr>
                <w:rFonts w:ascii="Avenir Next" w:hAnsi="Avenir Next" w:cs="Arial"/>
                <w:color w:val="808080" w:themeColor="background1" w:themeShade="80"/>
                <w:sz w:val="22"/>
                <w:szCs w:val="22"/>
                <w:lang w:val="en-GB"/>
              </w:rPr>
            </w:pPr>
          </w:p>
        </w:tc>
        <w:tc>
          <w:tcPr>
            <w:tcW w:w="4252" w:type="dxa"/>
          </w:tcPr>
          <w:p w14:paraId="76443820" w14:textId="77777777" w:rsidR="00EC4720" w:rsidRDefault="00EC4720" w:rsidP="00EC47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for the examination of witnesses, taking of evidence or providing information on the debtor’s assets, affairs, rights, obligations. </w:t>
            </w:r>
          </w:p>
          <w:p w14:paraId="57201F31" w14:textId="1A58ECC1" w:rsidR="00C47971" w:rsidRDefault="00C47971" w:rsidP="00EC4720">
            <w:pPr>
              <w:jc w:val="both"/>
              <w:rPr>
                <w:rFonts w:ascii="Avenir Next" w:hAnsi="Avenir Next" w:cs="Arial"/>
                <w:color w:val="808080" w:themeColor="background1" w:themeShade="80"/>
                <w:sz w:val="22"/>
                <w:szCs w:val="22"/>
                <w:lang w:val="en-GB"/>
              </w:rPr>
            </w:pPr>
          </w:p>
        </w:tc>
      </w:tr>
      <w:tr w:rsidR="00EC4720" w14:paraId="342FD191" w14:textId="77777777" w:rsidTr="00320550">
        <w:tc>
          <w:tcPr>
            <w:tcW w:w="704" w:type="dxa"/>
          </w:tcPr>
          <w:p w14:paraId="18344A83" w14:textId="77777777" w:rsidR="00EC4720" w:rsidRPr="00320550" w:rsidRDefault="00EC4720" w:rsidP="00320550">
            <w:pPr>
              <w:pStyle w:val="ListParagraph"/>
              <w:numPr>
                <w:ilvl w:val="0"/>
                <w:numId w:val="58"/>
              </w:numPr>
              <w:jc w:val="both"/>
              <w:rPr>
                <w:rFonts w:ascii="Avenir Next" w:hAnsi="Avenir Next" w:cs="Arial"/>
                <w:color w:val="808080" w:themeColor="background1" w:themeShade="80"/>
                <w:sz w:val="22"/>
                <w:szCs w:val="22"/>
                <w:lang w:val="en-GB"/>
              </w:rPr>
            </w:pPr>
          </w:p>
        </w:tc>
        <w:tc>
          <w:tcPr>
            <w:tcW w:w="4253" w:type="dxa"/>
          </w:tcPr>
          <w:p w14:paraId="291B3784" w14:textId="568AB9D5" w:rsidR="00EC4720" w:rsidRDefault="00EC4720" w:rsidP="00EC472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N.A.</w:t>
            </w:r>
          </w:p>
        </w:tc>
        <w:tc>
          <w:tcPr>
            <w:tcW w:w="4252" w:type="dxa"/>
          </w:tcPr>
          <w:p w14:paraId="5685367A" w14:textId="793AE358" w:rsidR="00EC4720" w:rsidRDefault="00EC4720" w:rsidP="00EC47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Entrusting the administration of realisation of all or part of the debtor’s assets in the enacting state to the foreign representative/authority.</w:t>
            </w:r>
          </w:p>
          <w:p w14:paraId="142D9813" w14:textId="7DA90672" w:rsidR="00EC4720" w:rsidRDefault="00EC4720" w:rsidP="00EC4720">
            <w:pPr>
              <w:jc w:val="both"/>
              <w:rPr>
                <w:rFonts w:ascii="Avenir Next" w:hAnsi="Avenir Next" w:cs="Arial"/>
                <w:color w:val="808080" w:themeColor="background1" w:themeShade="80"/>
                <w:sz w:val="22"/>
                <w:szCs w:val="22"/>
                <w:lang w:val="en-GB"/>
              </w:rPr>
            </w:pPr>
          </w:p>
        </w:tc>
      </w:tr>
      <w:tr w:rsidR="00EC4720" w14:paraId="7D90DE54" w14:textId="77777777" w:rsidTr="00320550">
        <w:tc>
          <w:tcPr>
            <w:tcW w:w="704" w:type="dxa"/>
          </w:tcPr>
          <w:p w14:paraId="6A9F1709" w14:textId="77777777" w:rsidR="00EC4720" w:rsidRPr="00320550" w:rsidRDefault="00EC4720" w:rsidP="00320550">
            <w:pPr>
              <w:pStyle w:val="ListParagraph"/>
              <w:numPr>
                <w:ilvl w:val="0"/>
                <w:numId w:val="58"/>
              </w:numPr>
              <w:jc w:val="both"/>
              <w:rPr>
                <w:rFonts w:ascii="Avenir Next" w:hAnsi="Avenir Next" w:cs="Arial"/>
                <w:color w:val="808080" w:themeColor="background1" w:themeShade="80"/>
                <w:sz w:val="22"/>
                <w:szCs w:val="22"/>
                <w:lang w:val="en-GB"/>
              </w:rPr>
            </w:pPr>
          </w:p>
        </w:tc>
        <w:tc>
          <w:tcPr>
            <w:tcW w:w="4253" w:type="dxa"/>
          </w:tcPr>
          <w:p w14:paraId="74439EF7" w14:textId="1ED93709" w:rsidR="00EC4720" w:rsidRDefault="00EC4720" w:rsidP="00EC472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N.A.</w:t>
            </w:r>
          </w:p>
        </w:tc>
        <w:tc>
          <w:tcPr>
            <w:tcW w:w="4252" w:type="dxa"/>
          </w:tcPr>
          <w:p w14:paraId="165B4B11" w14:textId="77777777" w:rsidR="00EC4720" w:rsidRDefault="00EC4720" w:rsidP="00EC47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Extending interim relief granted under Article 19(1) of the MLCBI.</w:t>
            </w:r>
          </w:p>
          <w:p w14:paraId="61365CBE" w14:textId="667FAE8D" w:rsidR="00EC4720" w:rsidRDefault="00EC4720" w:rsidP="00EC4720">
            <w:pPr>
              <w:jc w:val="both"/>
              <w:rPr>
                <w:rFonts w:ascii="Avenir Next" w:hAnsi="Avenir Next" w:cs="Arial"/>
                <w:color w:val="808080" w:themeColor="background1" w:themeShade="80"/>
                <w:sz w:val="22"/>
                <w:szCs w:val="22"/>
                <w:lang w:val="en-GB"/>
              </w:rPr>
            </w:pPr>
          </w:p>
        </w:tc>
      </w:tr>
      <w:tr w:rsidR="00EC4720" w14:paraId="7995ADB8" w14:textId="77777777" w:rsidTr="00320550">
        <w:tc>
          <w:tcPr>
            <w:tcW w:w="704" w:type="dxa"/>
          </w:tcPr>
          <w:p w14:paraId="5C452B47" w14:textId="77777777" w:rsidR="00EC4720" w:rsidRPr="00320550" w:rsidRDefault="00EC4720" w:rsidP="00320550">
            <w:pPr>
              <w:pStyle w:val="ListParagraph"/>
              <w:numPr>
                <w:ilvl w:val="0"/>
                <w:numId w:val="58"/>
              </w:numPr>
              <w:jc w:val="both"/>
              <w:rPr>
                <w:rFonts w:ascii="Avenir Next" w:hAnsi="Avenir Next" w:cs="Arial"/>
                <w:color w:val="808080" w:themeColor="background1" w:themeShade="80"/>
                <w:sz w:val="22"/>
                <w:szCs w:val="22"/>
                <w:lang w:val="en-GB"/>
              </w:rPr>
            </w:pPr>
          </w:p>
        </w:tc>
        <w:tc>
          <w:tcPr>
            <w:tcW w:w="4253" w:type="dxa"/>
          </w:tcPr>
          <w:p w14:paraId="069AE94C" w14:textId="77777777" w:rsidR="00EC4720" w:rsidRDefault="00EC4720" w:rsidP="00EC4720">
            <w:pPr>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N.A.</w:t>
            </w:r>
          </w:p>
          <w:p w14:paraId="649A1763" w14:textId="3AB4C776" w:rsidR="00EC4720" w:rsidRDefault="00EC4720" w:rsidP="00EC4720">
            <w:pPr>
              <w:rPr>
                <w:rFonts w:ascii="Avenir Next" w:hAnsi="Avenir Next" w:cs="Arial"/>
                <w:color w:val="808080" w:themeColor="background1" w:themeShade="80"/>
                <w:sz w:val="22"/>
                <w:szCs w:val="22"/>
                <w:lang w:val="en-GB"/>
              </w:rPr>
            </w:pPr>
          </w:p>
        </w:tc>
        <w:tc>
          <w:tcPr>
            <w:tcW w:w="4252" w:type="dxa"/>
          </w:tcPr>
          <w:p w14:paraId="696D3F0A" w14:textId="77777777" w:rsidR="00EC4720" w:rsidRDefault="00EC4720" w:rsidP="00EC47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Granting any additional relief that may be available to a domestic liquidator/ office-holder under the laws of the enacting State.</w:t>
            </w:r>
          </w:p>
          <w:p w14:paraId="06800D94" w14:textId="304A40F9" w:rsidR="00EC4720" w:rsidRDefault="00EC4720" w:rsidP="00EC4720">
            <w:pPr>
              <w:jc w:val="both"/>
              <w:rPr>
                <w:rFonts w:ascii="Avenir Next" w:hAnsi="Avenir Next" w:cs="Arial"/>
                <w:color w:val="808080" w:themeColor="background1" w:themeShade="80"/>
                <w:sz w:val="22"/>
                <w:szCs w:val="22"/>
                <w:lang w:val="en-GB"/>
              </w:rPr>
            </w:pPr>
          </w:p>
        </w:tc>
      </w:tr>
    </w:tbl>
    <w:p w14:paraId="3F1E39A1" w14:textId="77777777" w:rsidR="00C6434A" w:rsidRDefault="00C6434A" w:rsidP="00100E8F">
      <w:pPr>
        <w:ind w:left="720" w:hanging="720"/>
        <w:jc w:val="both"/>
        <w:rPr>
          <w:rFonts w:ascii="Avenir Next" w:hAnsi="Avenir Next" w:cs="Arial"/>
          <w:color w:val="808080" w:themeColor="background1" w:themeShade="80"/>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lastRenderedPageBreak/>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08475351" w14:textId="79584B13" w:rsidR="00867A8F" w:rsidRDefault="00C82767" w:rsidP="00C82767">
      <w:pPr>
        <w:pStyle w:val="ListParagraph"/>
        <w:numPr>
          <w:ilvl w:val="0"/>
          <w:numId w:val="59"/>
        </w:numPr>
        <w:ind w:left="284" w:hanging="284"/>
        <w:jc w:val="both"/>
        <w:rPr>
          <w:rFonts w:ascii="Avenir Next" w:hAnsi="Avenir Next" w:cs="Arial"/>
          <w:color w:val="808080" w:themeColor="background1" w:themeShade="80"/>
          <w:sz w:val="22"/>
          <w:szCs w:val="22"/>
          <w:lang w:val="en-GB"/>
        </w:rPr>
      </w:pPr>
      <w:r w:rsidRPr="00C82767">
        <w:rPr>
          <w:rFonts w:ascii="Avenir Next" w:hAnsi="Avenir Next" w:cs="Arial"/>
          <w:color w:val="808080" w:themeColor="background1" w:themeShade="80"/>
          <w:sz w:val="22"/>
          <w:szCs w:val="22"/>
          <w:lang w:val="en-GB"/>
        </w:rPr>
        <w:t xml:space="preserve">The </w:t>
      </w:r>
      <w:r w:rsidR="00E1318E">
        <w:rPr>
          <w:rFonts w:ascii="Avenir Next" w:hAnsi="Avenir Next" w:cs="Arial"/>
          <w:color w:val="808080" w:themeColor="background1" w:themeShade="80"/>
          <w:sz w:val="22"/>
          <w:szCs w:val="22"/>
          <w:lang w:val="en-GB"/>
        </w:rPr>
        <w:t>proceeding</w:t>
      </w:r>
      <w:r w:rsidR="00856F7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w:t>
      </w:r>
      <w:r w:rsidRPr="00C82767">
        <w:rPr>
          <w:rFonts w:ascii="Avenir Next" w:hAnsi="Avenir Next" w:cs="Arial"/>
          <w:b/>
          <w:bCs/>
          <w:color w:val="808080" w:themeColor="background1" w:themeShade="80"/>
          <w:sz w:val="22"/>
          <w:szCs w:val="22"/>
          <w:u w:val="single"/>
          <w:lang w:val="en-GB"/>
        </w:rPr>
        <w:t>Germany</w:t>
      </w:r>
      <w:r w:rsidR="00856F78">
        <w:rPr>
          <w:rFonts w:ascii="Avenir Next" w:hAnsi="Avenir Next" w:cs="Arial"/>
          <w:color w:val="808080" w:themeColor="background1" w:themeShade="80"/>
          <w:sz w:val="22"/>
          <w:szCs w:val="22"/>
          <w:lang w:val="en-GB"/>
        </w:rPr>
        <w:t xml:space="preserve"> is likely to be recognised by the US courts under Chapter 15 of the </w:t>
      </w:r>
      <w:r w:rsidR="00C47971">
        <w:rPr>
          <w:rFonts w:ascii="Avenir Next" w:hAnsi="Avenir Next" w:cs="Arial"/>
          <w:color w:val="808080" w:themeColor="background1" w:themeShade="80"/>
          <w:sz w:val="22"/>
          <w:szCs w:val="22"/>
          <w:lang w:val="en-GB"/>
        </w:rPr>
        <w:t xml:space="preserve">US </w:t>
      </w:r>
      <w:r w:rsidR="00856F78">
        <w:rPr>
          <w:rFonts w:ascii="Avenir Next" w:hAnsi="Avenir Next" w:cs="Arial"/>
          <w:color w:val="808080" w:themeColor="background1" w:themeShade="80"/>
          <w:sz w:val="22"/>
          <w:szCs w:val="22"/>
          <w:lang w:val="en-GB"/>
        </w:rPr>
        <w:t xml:space="preserve">Bankruptcy Code as a </w:t>
      </w:r>
      <w:r w:rsidR="00856F78" w:rsidRPr="00C82767">
        <w:rPr>
          <w:rFonts w:ascii="Avenir Next" w:hAnsi="Avenir Next" w:cs="Arial"/>
          <w:b/>
          <w:bCs/>
          <w:color w:val="808080" w:themeColor="background1" w:themeShade="80"/>
          <w:sz w:val="22"/>
          <w:szCs w:val="22"/>
          <w:u w:val="single"/>
          <w:lang w:val="en-GB"/>
        </w:rPr>
        <w:t>foreign main proceedings</w:t>
      </w:r>
      <w:r w:rsidR="00856F78" w:rsidRPr="00C82767">
        <w:rPr>
          <w:rFonts w:ascii="Avenir Next" w:hAnsi="Avenir Next" w:cs="Arial"/>
          <w:color w:val="808080" w:themeColor="background1" w:themeShade="80"/>
          <w:sz w:val="22"/>
          <w:szCs w:val="22"/>
          <w:lang w:val="en-GB"/>
        </w:rPr>
        <w:t xml:space="preserve"> </w:t>
      </w:r>
      <w:r w:rsidR="00856F78">
        <w:rPr>
          <w:rFonts w:ascii="Avenir Next" w:hAnsi="Avenir Next" w:cs="Arial"/>
          <w:color w:val="808080" w:themeColor="background1" w:themeShade="80"/>
          <w:sz w:val="22"/>
          <w:szCs w:val="22"/>
          <w:lang w:val="en-GB"/>
        </w:rPr>
        <w:t>(“</w:t>
      </w:r>
      <w:r w:rsidR="00856F78" w:rsidRPr="00C82767">
        <w:rPr>
          <w:rFonts w:ascii="Avenir Next" w:hAnsi="Avenir Next" w:cs="Arial"/>
          <w:b/>
          <w:bCs/>
          <w:color w:val="808080" w:themeColor="background1" w:themeShade="80"/>
          <w:sz w:val="22"/>
          <w:szCs w:val="22"/>
          <w:lang w:val="en-GB"/>
        </w:rPr>
        <w:t>FMP</w:t>
      </w:r>
      <w:r w:rsidR="00856F7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This is because </w:t>
      </w:r>
      <w:r w:rsidRPr="00C82767">
        <w:rPr>
          <w:rFonts w:ascii="Avenir Next" w:hAnsi="Avenir Next" w:cs="Arial"/>
          <w:b/>
          <w:bCs/>
          <w:color w:val="808080" w:themeColor="background1" w:themeShade="80"/>
          <w:sz w:val="22"/>
          <w:szCs w:val="22"/>
          <w:u w:val="single"/>
          <w:lang w:val="en-GB"/>
        </w:rPr>
        <w:t>Article 17(2)(a)</w:t>
      </w:r>
      <w:r>
        <w:rPr>
          <w:rFonts w:ascii="Avenir Next" w:hAnsi="Avenir Next" w:cs="Arial"/>
          <w:color w:val="808080" w:themeColor="background1" w:themeShade="80"/>
          <w:sz w:val="22"/>
          <w:szCs w:val="22"/>
          <w:lang w:val="en-GB"/>
        </w:rPr>
        <w:t xml:space="preserve"> of the MLCBI provides that a </w:t>
      </w:r>
      <w:r w:rsidRPr="00C82767">
        <w:rPr>
          <w:rFonts w:ascii="Avenir Next" w:hAnsi="Avenir Next" w:cs="Arial"/>
          <w:b/>
          <w:bCs/>
          <w:color w:val="808080" w:themeColor="background1" w:themeShade="80"/>
          <w:sz w:val="22"/>
          <w:szCs w:val="22"/>
          <w:u w:val="single"/>
          <w:lang w:val="en-GB"/>
        </w:rPr>
        <w:t>foreign proceeding shall be recognised as a FMP</w:t>
      </w:r>
      <w:r>
        <w:rPr>
          <w:rFonts w:ascii="Avenir Next" w:hAnsi="Avenir Next" w:cs="Arial"/>
          <w:color w:val="808080" w:themeColor="background1" w:themeShade="80"/>
          <w:sz w:val="22"/>
          <w:szCs w:val="22"/>
          <w:lang w:val="en-GB"/>
        </w:rPr>
        <w:t xml:space="preserve"> if it is taking place in a state where the </w:t>
      </w:r>
      <w:r w:rsidRPr="00C82767">
        <w:rPr>
          <w:rFonts w:ascii="Avenir Next" w:hAnsi="Avenir Next" w:cs="Arial"/>
          <w:b/>
          <w:bCs/>
          <w:color w:val="808080" w:themeColor="background1" w:themeShade="80"/>
          <w:sz w:val="22"/>
          <w:szCs w:val="22"/>
          <w:u w:val="single"/>
          <w:lang w:val="en-GB"/>
        </w:rPr>
        <w:t>debtor has the centre of its main interest</w:t>
      </w:r>
      <w:r w:rsidR="00856F78">
        <w:rPr>
          <w:rFonts w:ascii="Avenir Next" w:hAnsi="Avenir Next" w:cs="Arial"/>
          <w:b/>
          <w:bCs/>
          <w:color w:val="808080" w:themeColor="background1" w:themeShade="80"/>
          <w:sz w:val="22"/>
          <w:szCs w:val="22"/>
          <w:u w:val="single"/>
          <w:lang w:val="en-GB"/>
        </w:rPr>
        <w:t xml:space="preserve"> (“COMI”)</w:t>
      </w:r>
      <w:r>
        <w:rPr>
          <w:rFonts w:ascii="Avenir Next" w:hAnsi="Avenir Next" w:cs="Arial"/>
          <w:color w:val="808080" w:themeColor="background1" w:themeShade="80"/>
          <w:sz w:val="22"/>
          <w:szCs w:val="22"/>
          <w:lang w:val="en-GB"/>
        </w:rPr>
        <w:t xml:space="preserve">. </w:t>
      </w:r>
      <w:r w:rsidR="00856F78">
        <w:rPr>
          <w:rFonts w:ascii="Avenir Next" w:hAnsi="Avenir Next" w:cs="Arial"/>
          <w:color w:val="808080" w:themeColor="background1" w:themeShade="80"/>
          <w:sz w:val="22"/>
          <w:szCs w:val="22"/>
          <w:lang w:val="en-GB"/>
        </w:rPr>
        <w:t xml:space="preserve">It is stated that the debtor has its COMI in Germany. </w:t>
      </w:r>
    </w:p>
    <w:p w14:paraId="2F89DC46" w14:textId="2681D29F" w:rsidR="00C47971" w:rsidRDefault="00C47971" w:rsidP="00C47971">
      <w:pPr>
        <w:pStyle w:val="ListParagraph"/>
        <w:ind w:left="284"/>
        <w:jc w:val="both"/>
        <w:rPr>
          <w:rFonts w:ascii="Avenir Next" w:hAnsi="Avenir Next" w:cs="Arial"/>
          <w:color w:val="808080" w:themeColor="background1" w:themeShade="80"/>
          <w:sz w:val="22"/>
          <w:szCs w:val="22"/>
          <w:lang w:val="en-GB"/>
        </w:rPr>
      </w:pPr>
    </w:p>
    <w:p w14:paraId="208BA87D" w14:textId="34223C7C" w:rsidR="00C82767" w:rsidRDefault="00856F78" w:rsidP="00C82767">
      <w:pPr>
        <w:pStyle w:val="ListParagraph"/>
        <w:numPr>
          <w:ilvl w:val="0"/>
          <w:numId w:val="59"/>
        </w:numPr>
        <w:ind w:left="284" w:hanging="284"/>
        <w:jc w:val="both"/>
        <w:rPr>
          <w:rFonts w:ascii="Avenir Next" w:hAnsi="Avenir Next" w:cs="Arial"/>
          <w:color w:val="808080" w:themeColor="background1" w:themeShade="80"/>
          <w:sz w:val="22"/>
          <w:szCs w:val="22"/>
          <w:lang w:val="en-GB"/>
        </w:rPr>
      </w:pPr>
      <w:r w:rsidRPr="00C82767">
        <w:rPr>
          <w:rFonts w:ascii="Avenir Next" w:hAnsi="Avenir Next" w:cs="Arial"/>
          <w:color w:val="808080" w:themeColor="background1" w:themeShade="80"/>
          <w:sz w:val="22"/>
          <w:szCs w:val="22"/>
          <w:lang w:val="en-GB"/>
        </w:rPr>
        <w:t xml:space="preserve">The </w:t>
      </w:r>
      <w:r w:rsidR="00E1318E">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 xml:space="preserve"> in </w:t>
      </w:r>
      <w:r>
        <w:rPr>
          <w:rFonts w:ascii="Avenir Next" w:hAnsi="Avenir Next" w:cs="Arial"/>
          <w:b/>
          <w:bCs/>
          <w:color w:val="808080" w:themeColor="background1" w:themeShade="80"/>
          <w:sz w:val="22"/>
          <w:szCs w:val="22"/>
          <w:u w:val="single"/>
          <w:lang w:val="en-GB"/>
        </w:rPr>
        <w:t>Bermuda</w:t>
      </w:r>
      <w:r>
        <w:rPr>
          <w:rFonts w:ascii="Avenir Next" w:hAnsi="Avenir Next" w:cs="Arial"/>
          <w:color w:val="808080" w:themeColor="background1" w:themeShade="80"/>
          <w:sz w:val="22"/>
          <w:szCs w:val="22"/>
          <w:lang w:val="en-GB"/>
        </w:rPr>
        <w:t xml:space="preserve"> is likely to be recognised by the US courts under Chapter 15 of the Bankruptcy Code as a </w:t>
      </w:r>
      <w:r w:rsidRPr="00C82767">
        <w:rPr>
          <w:rFonts w:ascii="Avenir Next" w:hAnsi="Avenir Next" w:cs="Arial"/>
          <w:b/>
          <w:bCs/>
          <w:color w:val="808080" w:themeColor="background1" w:themeShade="80"/>
          <w:sz w:val="22"/>
          <w:szCs w:val="22"/>
          <w:u w:val="single"/>
          <w:lang w:val="en-GB"/>
        </w:rPr>
        <w:t xml:space="preserve">foreign </w:t>
      </w:r>
      <w:r>
        <w:rPr>
          <w:rFonts w:ascii="Avenir Next" w:hAnsi="Avenir Next" w:cs="Arial"/>
          <w:b/>
          <w:bCs/>
          <w:color w:val="808080" w:themeColor="background1" w:themeShade="80"/>
          <w:sz w:val="22"/>
          <w:szCs w:val="22"/>
          <w:u w:val="single"/>
          <w:lang w:val="en-GB"/>
        </w:rPr>
        <w:t>non-</w:t>
      </w:r>
      <w:r w:rsidRPr="00C82767">
        <w:rPr>
          <w:rFonts w:ascii="Avenir Next" w:hAnsi="Avenir Next" w:cs="Arial"/>
          <w:b/>
          <w:bCs/>
          <w:color w:val="808080" w:themeColor="background1" w:themeShade="80"/>
          <w:sz w:val="22"/>
          <w:szCs w:val="22"/>
          <w:u w:val="single"/>
          <w:lang w:val="en-GB"/>
        </w:rPr>
        <w:t>main proceedings</w:t>
      </w:r>
      <w:r w:rsidRPr="00C8276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sidRPr="00C82767">
        <w:rPr>
          <w:rFonts w:ascii="Avenir Next" w:hAnsi="Avenir Next" w:cs="Arial"/>
          <w:b/>
          <w:bCs/>
          <w:color w:val="808080" w:themeColor="background1" w:themeShade="80"/>
          <w:sz w:val="22"/>
          <w:szCs w:val="22"/>
          <w:lang w:val="en-GB"/>
        </w:rPr>
        <w:t>F</w:t>
      </w:r>
      <w:r>
        <w:rPr>
          <w:rFonts w:ascii="Avenir Next" w:hAnsi="Avenir Next" w:cs="Arial"/>
          <w:b/>
          <w:bCs/>
          <w:color w:val="808080" w:themeColor="background1" w:themeShade="80"/>
          <w:sz w:val="22"/>
          <w:szCs w:val="22"/>
          <w:lang w:val="en-GB"/>
        </w:rPr>
        <w:t>N</w:t>
      </w:r>
      <w:r w:rsidRPr="00C82767">
        <w:rPr>
          <w:rFonts w:ascii="Avenir Next" w:hAnsi="Avenir Next" w:cs="Arial"/>
          <w:b/>
          <w:bCs/>
          <w:color w:val="808080" w:themeColor="background1" w:themeShade="80"/>
          <w:sz w:val="22"/>
          <w:szCs w:val="22"/>
          <w:lang w:val="en-GB"/>
        </w:rPr>
        <w:t>MP</w:t>
      </w:r>
      <w:r>
        <w:rPr>
          <w:rFonts w:ascii="Avenir Next" w:hAnsi="Avenir Next" w:cs="Arial"/>
          <w:color w:val="808080" w:themeColor="background1" w:themeShade="80"/>
          <w:sz w:val="22"/>
          <w:szCs w:val="22"/>
          <w:lang w:val="en-GB"/>
        </w:rPr>
        <w:t>”)</w:t>
      </w:r>
      <w:r w:rsidR="00C82767">
        <w:rPr>
          <w:rFonts w:ascii="Avenir Next" w:hAnsi="Avenir Next" w:cs="Arial"/>
          <w:color w:val="808080" w:themeColor="background1" w:themeShade="80"/>
          <w:sz w:val="22"/>
          <w:szCs w:val="22"/>
          <w:lang w:val="en-GB"/>
        </w:rPr>
        <w:t xml:space="preserve">. This is because </w:t>
      </w:r>
      <w:r w:rsidR="00C82767" w:rsidRPr="00C82767">
        <w:rPr>
          <w:rFonts w:ascii="Avenir Next" w:hAnsi="Avenir Next" w:cs="Arial"/>
          <w:b/>
          <w:bCs/>
          <w:color w:val="808080" w:themeColor="background1" w:themeShade="80"/>
          <w:sz w:val="22"/>
          <w:szCs w:val="22"/>
          <w:u w:val="single"/>
          <w:lang w:val="en-GB"/>
        </w:rPr>
        <w:t>Article 17(2)(</w:t>
      </w:r>
      <w:r w:rsidR="00C82767">
        <w:rPr>
          <w:rFonts w:ascii="Avenir Next" w:hAnsi="Avenir Next" w:cs="Arial"/>
          <w:b/>
          <w:bCs/>
          <w:color w:val="808080" w:themeColor="background1" w:themeShade="80"/>
          <w:sz w:val="22"/>
          <w:szCs w:val="22"/>
          <w:u w:val="single"/>
          <w:lang w:val="en-GB"/>
        </w:rPr>
        <w:t>b</w:t>
      </w:r>
      <w:r w:rsidR="00C82767" w:rsidRPr="00C82767">
        <w:rPr>
          <w:rFonts w:ascii="Avenir Next" w:hAnsi="Avenir Next" w:cs="Arial"/>
          <w:b/>
          <w:bCs/>
          <w:color w:val="808080" w:themeColor="background1" w:themeShade="80"/>
          <w:sz w:val="22"/>
          <w:szCs w:val="22"/>
          <w:u w:val="single"/>
          <w:lang w:val="en-GB"/>
        </w:rPr>
        <w:t>)</w:t>
      </w:r>
      <w:r w:rsidR="00C82767">
        <w:rPr>
          <w:rFonts w:ascii="Avenir Next" w:hAnsi="Avenir Next" w:cs="Arial"/>
          <w:color w:val="808080" w:themeColor="background1" w:themeShade="80"/>
          <w:sz w:val="22"/>
          <w:szCs w:val="22"/>
          <w:lang w:val="en-GB"/>
        </w:rPr>
        <w:t xml:space="preserve"> of the MLCBI provides that a </w:t>
      </w:r>
      <w:r w:rsidR="00C82767" w:rsidRPr="00C82767">
        <w:rPr>
          <w:rFonts w:ascii="Avenir Next" w:hAnsi="Avenir Next" w:cs="Arial"/>
          <w:b/>
          <w:bCs/>
          <w:color w:val="808080" w:themeColor="background1" w:themeShade="80"/>
          <w:sz w:val="22"/>
          <w:szCs w:val="22"/>
          <w:u w:val="single"/>
          <w:lang w:val="en-GB"/>
        </w:rPr>
        <w:t>foreign proceeding shall be recognised as a F</w:t>
      </w:r>
      <w:r w:rsidR="00C82767">
        <w:rPr>
          <w:rFonts w:ascii="Avenir Next" w:hAnsi="Avenir Next" w:cs="Arial"/>
          <w:b/>
          <w:bCs/>
          <w:color w:val="808080" w:themeColor="background1" w:themeShade="80"/>
          <w:sz w:val="22"/>
          <w:szCs w:val="22"/>
          <w:u w:val="single"/>
          <w:lang w:val="en-GB"/>
        </w:rPr>
        <w:t>N</w:t>
      </w:r>
      <w:r w:rsidR="00C82767" w:rsidRPr="00C82767">
        <w:rPr>
          <w:rFonts w:ascii="Avenir Next" w:hAnsi="Avenir Next" w:cs="Arial"/>
          <w:b/>
          <w:bCs/>
          <w:color w:val="808080" w:themeColor="background1" w:themeShade="80"/>
          <w:sz w:val="22"/>
          <w:szCs w:val="22"/>
          <w:u w:val="single"/>
          <w:lang w:val="en-GB"/>
        </w:rPr>
        <w:t>MP</w:t>
      </w:r>
      <w:r w:rsidR="00C82767">
        <w:rPr>
          <w:rFonts w:ascii="Avenir Next" w:hAnsi="Avenir Next" w:cs="Arial"/>
          <w:color w:val="808080" w:themeColor="background1" w:themeShade="80"/>
          <w:sz w:val="22"/>
          <w:szCs w:val="22"/>
          <w:lang w:val="en-GB"/>
        </w:rPr>
        <w:t xml:space="preserve"> if it is taking place in a state where the </w:t>
      </w:r>
      <w:r w:rsidR="00C82767" w:rsidRPr="00C82767">
        <w:rPr>
          <w:rFonts w:ascii="Avenir Next" w:hAnsi="Avenir Next" w:cs="Arial"/>
          <w:b/>
          <w:bCs/>
          <w:color w:val="808080" w:themeColor="background1" w:themeShade="80"/>
          <w:sz w:val="22"/>
          <w:szCs w:val="22"/>
          <w:u w:val="single"/>
          <w:lang w:val="en-GB"/>
        </w:rPr>
        <w:t xml:space="preserve">debtor has </w:t>
      </w:r>
      <w:r w:rsidR="00C82767">
        <w:rPr>
          <w:rFonts w:ascii="Avenir Next" w:hAnsi="Avenir Next" w:cs="Arial"/>
          <w:b/>
          <w:bCs/>
          <w:color w:val="808080" w:themeColor="background1" w:themeShade="80"/>
          <w:sz w:val="22"/>
          <w:szCs w:val="22"/>
          <w:u w:val="single"/>
          <w:lang w:val="en-GB"/>
        </w:rPr>
        <w:t>an establishment</w:t>
      </w:r>
      <w:r w:rsidR="00C8276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It is stated that Bermuda has an establishment. </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1EB7A232" w14:textId="77777777" w:rsidR="000745ED" w:rsidRDefault="000745ED" w:rsidP="000745ED">
      <w:pPr>
        <w:pStyle w:val="ListParagraph"/>
        <w:numPr>
          <w:ilvl w:val="0"/>
          <w:numId w:val="60"/>
        </w:numPr>
        <w:ind w:left="284" w:hanging="284"/>
        <w:jc w:val="both"/>
        <w:rPr>
          <w:rFonts w:ascii="Avenir Next" w:hAnsi="Avenir Next" w:cs="Arial"/>
          <w:color w:val="808080" w:themeColor="background1" w:themeShade="80"/>
          <w:sz w:val="22"/>
          <w:szCs w:val="22"/>
          <w:lang w:val="en-GB"/>
        </w:rPr>
      </w:pPr>
      <w:r w:rsidRPr="000745ED">
        <w:rPr>
          <w:rFonts w:ascii="Avenir Next" w:hAnsi="Avenir Next" w:cs="Arial"/>
          <w:color w:val="808080" w:themeColor="background1" w:themeShade="80"/>
          <w:sz w:val="22"/>
          <w:szCs w:val="22"/>
          <w:lang w:val="en-GB"/>
        </w:rPr>
        <w:t>The joint provisional liquidators would be advised to seek the US court</w:t>
      </w:r>
      <w:r>
        <w:rPr>
          <w:rFonts w:ascii="Avenir Next" w:hAnsi="Avenir Next" w:cs="Arial"/>
          <w:color w:val="808080" w:themeColor="background1" w:themeShade="80"/>
          <w:sz w:val="22"/>
          <w:szCs w:val="22"/>
          <w:lang w:val="en-GB"/>
        </w:rPr>
        <w:t>:</w:t>
      </w:r>
    </w:p>
    <w:p w14:paraId="1B99DB54" w14:textId="77777777" w:rsidR="000745ED" w:rsidRPr="000745ED" w:rsidRDefault="000745ED" w:rsidP="000745ED">
      <w:pPr>
        <w:pStyle w:val="ListParagraph"/>
        <w:numPr>
          <w:ilvl w:val="1"/>
          <w:numId w:val="60"/>
        </w:numPr>
        <w:ind w:left="567" w:hanging="283"/>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an </w:t>
      </w:r>
      <w:r w:rsidRPr="000745ED">
        <w:rPr>
          <w:rFonts w:ascii="Avenir Next" w:hAnsi="Avenir Next" w:cs="Arial"/>
          <w:b/>
          <w:bCs/>
          <w:color w:val="808080" w:themeColor="background1" w:themeShade="80"/>
          <w:sz w:val="22"/>
          <w:szCs w:val="22"/>
          <w:u w:val="single"/>
          <w:lang w:val="en-GB"/>
        </w:rPr>
        <w:t>expedited hearing of the recognition proceeding</w:t>
      </w:r>
      <w:r>
        <w:rPr>
          <w:rFonts w:ascii="Avenir Next" w:hAnsi="Avenir Next" w:cs="Arial"/>
          <w:b/>
          <w:bCs/>
          <w:color w:val="808080" w:themeColor="background1" w:themeShade="80"/>
          <w:sz w:val="22"/>
          <w:szCs w:val="22"/>
          <w:u w:val="single"/>
          <w:lang w:val="en-GB"/>
        </w:rPr>
        <w:t>;</w:t>
      </w:r>
    </w:p>
    <w:p w14:paraId="77DD2DDA" w14:textId="302CAF3A" w:rsidR="00544159" w:rsidRDefault="00544159" w:rsidP="00544159">
      <w:pPr>
        <w:pStyle w:val="ListParagraph"/>
        <w:numPr>
          <w:ilvl w:val="1"/>
          <w:numId w:val="60"/>
        </w:numPr>
        <w:ind w:left="567" w:hanging="283"/>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w:t>
      </w:r>
      <w:r w:rsidR="000745ED">
        <w:rPr>
          <w:rFonts w:ascii="Avenir Next" w:hAnsi="Avenir Next" w:cs="Arial"/>
          <w:color w:val="808080" w:themeColor="background1" w:themeShade="80"/>
          <w:sz w:val="22"/>
          <w:szCs w:val="22"/>
          <w:lang w:val="en-GB"/>
        </w:rPr>
        <w:t>seek relief under Art</w:t>
      </w:r>
      <w:r>
        <w:rPr>
          <w:rFonts w:ascii="Avenir Next" w:hAnsi="Avenir Next" w:cs="Arial"/>
          <w:color w:val="808080" w:themeColor="background1" w:themeShade="80"/>
          <w:sz w:val="22"/>
          <w:szCs w:val="22"/>
          <w:lang w:val="en-GB"/>
        </w:rPr>
        <w:t xml:space="preserve">icle 21(1) for </w:t>
      </w:r>
      <w:r w:rsidR="000745ED" w:rsidRPr="000745ED">
        <w:rPr>
          <w:rFonts w:ascii="Avenir Next" w:hAnsi="Avenir Next" w:cs="Arial"/>
          <w:b/>
          <w:bCs/>
          <w:color w:val="808080" w:themeColor="background1" w:themeShade="80"/>
          <w:sz w:val="22"/>
          <w:szCs w:val="22"/>
          <w:u w:val="single"/>
          <w:lang w:val="en-GB"/>
        </w:rPr>
        <w:t xml:space="preserve">a stay on the US-based vendor’s action </w:t>
      </w:r>
      <w:r>
        <w:rPr>
          <w:rFonts w:ascii="Avenir Next" w:hAnsi="Avenir Next" w:cs="Arial"/>
          <w:b/>
          <w:bCs/>
          <w:color w:val="808080" w:themeColor="background1" w:themeShade="80"/>
          <w:sz w:val="22"/>
          <w:szCs w:val="22"/>
          <w:u w:val="single"/>
          <w:lang w:val="en-GB"/>
        </w:rPr>
        <w:t xml:space="preserve">against </w:t>
      </w:r>
      <w:r w:rsidR="000745ED" w:rsidRPr="000745ED">
        <w:rPr>
          <w:rFonts w:ascii="Avenir Next" w:hAnsi="Avenir Next" w:cs="Arial"/>
          <w:b/>
          <w:bCs/>
          <w:color w:val="808080" w:themeColor="background1" w:themeShade="80"/>
          <w:sz w:val="22"/>
          <w:szCs w:val="22"/>
          <w:u w:val="single"/>
          <w:lang w:val="en-GB"/>
        </w:rPr>
        <w:t>the debtor</w:t>
      </w:r>
      <w:r>
        <w:rPr>
          <w:rFonts w:ascii="Avenir Next" w:hAnsi="Avenir Next" w:cs="Arial"/>
          <w:color w:val="808080" w:themeColor="background1" w:themeShade="80"/>
          <w:sz w:val="22"/>
          <w:szCs w:val="22"/>
          <w:lang w:val="en-GB"/>
        </w:rPr>
        <w:t xml:space="preserve">. </w:t>
      </w:r>
    </w:p>
    <w:p w14:paraId="5AAB5E4B" w14:textId="77777777" w:rsidR="00C47971" w:rsidRDefault="00C47971" w:rsidP="00C47971">
      <w:pPr>
        <w:pStyle w:val="ListParagraph"/>
        <w:ind w:left="567"/>
        <w:jc w:val="both"/>
        <w:rPr>
          <w:rFonts w:ascii="Avenir Next" w:hAnsi="Avenir Next" w:cs="Arial"/>
          <w:color w:val="808080" w:themeColor="background1" w:themeShade="80"/>
          <w:sz w:val="22"/>
          <w:szCs w:val="22"/>
          <w:lang w:val="en-GB"/>
        </w:rPr>
      </w:pPr>
    </w:p>
    <w:p w14:paraId="05402B66" w14:textId="14D8BF8C" w:rsidR="00544159" w:rsidRPr="00544159" w:rsidRDefault="00544159" w:rsidP="00544159">
      <w:pPr>
        <w:pStyle w:val="ListParagraph"/>
        <w:numPr>
          <w:ilvl w:val="0"/>
          <w:numId w:val="60"/>
        </w:numPr>
        <w:ind w:left="284"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w:t>
      </w:r>
      <w:r w:rsidRPr="00544159">
        <w:rPr>
          <w:rFonts w:ascii="Avenir Next" w:hAnsi="Avenir Next" w:cs="Arial"/>
          <w:i/>
          <w:iCs/>
          <w:color w:val="808080" w:themeColor="background1" w:themeShade="80"/>
          <w:sz w:val="22"/>
          <w:szCs w:val="22"/>
          <w:lang w:val="en-GB"/>
        </w:rPr>
        <w:t>Halo Creative &amp; Design Limited v Comptoir des Indes Inc</w:t>
      </w:r>
      <w:r>
        <w:rPr>
          <w:rFonts w:ascii="Avenir Next" w:hAnsi="Avenir Next" w:cs="Arial"/>
          <w:color w:val="808080" w:themeColor="background1" w:themeShade="80"/>
          <w:sz w:val="22"/>
          <w:szCs w:val="22"/>
          <w:lang w:val="en-GB"/>
        </w:rPr>
        <w:t xml:space="preserve">., Case No. 14C 896 (N.D. III Oct. 2 2018), the Court decided that where urgent relief is ought on a stay on litigation, </w:t>
      </w:r>
      <w:r w:rsidRPr="00544159">
        <w:rPr>
          <w:rFonts w:ascii="Avenir Next" w:hAnsi="Avenir Next" w:cs="Arial"/>
          <w:b/>
          <w:bCs/>
          <w:color w:val="808080" w:themeColor="background1" w:themeShade="80"/>
          <w:sz w:val="22"/>
          <w:szCs w:val="22"/>
          <w:u w:val="single"/>
          <w:lang w:val="en-GB"/>
        </w:rPr>
        <w:t>prior recognition of the foreign proceeding was required</w:t>
      </w:r>
      <w:r>
        <w:rPr>
          <w:rFonts w:ascii="Avenir Next" w:hAnsi="Avenir Next" w:cs="Arial"/>
          <w:color w:val="808080" w:themeColor="background1" w:themeShade="80"/>
          <w:sz w:val="22"/>
          <w:szCs w:val="22"/>
          <w:lang w:val="en-GB"/>
        </w:rPr>
        <w:t xml:space="preserve">, and the </w:t>
      </w:r>
      <w:r w:rsidRPr="00544159">
        <w:rPr>
          <w:rFonts w:ascii="Avenir Next" w:hAnsi="Avenir Next" w:cs="Arial"/>
          <w:b/>
          <w:bCs/>
          <w:color w:val="808080" w:themeColor="background1" w:themeShade="80"/>
          <w:sz w:val="22"/>
          <w:szCs w:val="22"/>
          <w:u w:val="single"/>
          <w:lang w:val="en-GB"/>
        </w:rPr>
        <w:t>form of relief sought was not one ordered under Article 19 but under Article 21(1) instead</w:t>
      </w:r>
      <w:r>
        <w:rPr>
          <w:rFonts w:ascii="Avenir Next" w:hAnsi="Avenir Next" w:cs="Arial"/>
          <w:color w:val="808080" w:themeColor="background1" w:themeShade="80"/>
          <w:sz w:val="22"/>
          <w:szCs w:val="22"/>
          <w:lang w:val="en-GB"/>
        </w:rPr>
        <w:t xml:space="preserve">.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2E2C203F" w:rsidR="00867A8F" w:rsidRDefault="00353E51" w:rsidP="004E3E5C">
      <w:pPr>
        <w:pStyle w:val="ListParagraph"/>
        <w:numPr>
          <w:ilvl w:val="0"/>
          <w:numId w:val="61"/>
        </w:numPr>
        <w:ind w:left="284" w:hanging="284"/>
        <w:jc w:val="both"/>
        <w:rPr>
          <w:rFonts w:ascii="Avenir Next" w:hAnsi="Avenir Next" w:cs="Arial"/>
          <w:color w:val="808080" w:themeColor="background1" w:themeShade="80"/>
          <w:sz w:val="22"/>
          <w:szCs w:val="22"/>
          <w:lang w:val="en-GB"/>
        </w:rPr>
      </w:pPr>
      <w:r w:rsidRPr="004E3E5C">
        <w:rPr>
          <w:rFonts w:ascii="Avenir Next" w:hAnsi="Avenir Next" w:cs="Arial"/>
          <w:color w:val="808080" w:themeColor="background1" w:themeShade="80"/>
          <w:sz w:val="22"/>
          <w:szCs w:val="22"/>
          <w:lang w:val="en-GB"/>
        </w:rPr>
        <w:t xml:space="preserve">The foreign representative would be advised to </w:t>
      </w:r>
      <w:r w:rsidRPr="004E3E5C">
        <w:rPr>
          <w:rFonts w:ascii="Avenir Next" w:hAnsi="Avenir Next" w:cs="Arial"/>
          <w:b/>
          <w:bCs/>
          <w:color w:val="808080" w:themeColor="background1" w:themeShade="80"/>
          <w:sz w:val="22"/>
          <w:szCs w:val="22"/>
          <w:u w:val="single"/>
          <w:lang w:val="en-GB"/>
        </w:rPr>
        <w:t>seek relief under Article 21(1)(g)</w:t>
      </w:r>
      <w:r w:rsidRPr="004E3E5C">
        <w:rPr>
          <w:rFonts w:ascii="Avenir Next" w:hAnsi="Avenir Next" w:cs="Arial"/>
          <w:color w:val="808080" w:themeColor="background1" w:themeShade="80"/>
          <w:sz w:val="22"/>
          <w:szCs w:val="22"/>
          <w:lang w:val="en-GB"/>
        </w:rPr>
        <w:t xml:space="preserve"> of the MLCI/Chapter 15 of the US Bankruptcy Code to </w:t>
      </w:r>
      <w:r w:rsidRPr="004E3E5C">
        <w:rPr>
          <w:rFonts w:ascii="Avenir Next" w:hAnsi="Avenir Next" w:cs="Arial"/>
          <w:b/>
          <w:bCs/>
          <w:color w:val="808080" w:themeColor="background1" w:themeShade="80"/>
          <w:sz w:val="22"/>
          <w:szCs w:val="22"/>
          <w:u w:val="single"/>
          <w:lang w:val="en-GB"/>
        </w:rPr>
        <w:t>grant relief that would have been available to a debtor under US laws</w:t>
      </w:r>
      <w:r w:rsidRPr="004E3E5C">
        <w:rPr>
          <w:rFonts w:ascii="Avenir Next" w:hAnsi="Avenir Next" w:cs="Arial"/>
          <w:color w:val="808080" w:themeColor="background1" w:themeShade="80"/>
          <w:sz w:val="22"/>
          <w:szCs w:val="22"/>
          <w:lang w:val="en-GB"/>
        </w:rPr>
        <w:t xml:space="preserve">. </w:t>
      </w:r>
      <w:r w:rsidR="004E3E5C">
        <w:rPr>
          <w:rFonts w:ascii="Avenir Next" w:hAnsi="Avenir Next" w:cs="Arial"/>
          <w:color w:val="808080" w:themeColor="background1" w:themeShade="80"/>
          <w:sz w:val="22"/>
          <w:szCs w:val="22"/>
          <w:lang w:val="en-GB"/>
        </w:rPr>
        <w:t xml:space="preserve">This is because </w:t>
      </w:r>
      <w:r w:rsidR="004E3E5C" w:rsidRPr="004E3E5C">
        <w:rPr>
          <w:rFonts w:ascii="Avenir Next" w:hAnsi="Avenir Next" w:cs="Arial"/>
          <w:b/>
          <w:bCs/>
          <w:i/>
          <w:iCs/>
          <w:color w:val="808080" w:themeColor="background1" w:themeShade="80"/>
          <w:sz w:val="22"/>
          <w:szCs w:val="22"/>
          <w:u w:val="single"/>
          <w:lang w:val="en-GB"/>
        </w:rPr>
        <w:t>ipso facto</w:t>
      </w:r>
      <w:r w:rsidR="004E3E5C" w:rsidRPr="004E3E5C">
        <w:rPr>
          <w:rFonts w:ascii="Avenir Next" w:hAnsi="Avenir Next" w:cs="Arial"/>
          <w:b/>
          <w:bCs/>
          <w:color w:val="808080" w:themeColor="background1" w:themeShade="80"/>
          <w:sz w:val="22"/>
          <w:szCs w:val="22"/>
          <w:u w:val="single"/>
          <w:lang w:val="en-GB"/>
        </w:rPr>
        <w:t xml:space="preserve"> clauses</w:t>
      </w:r>
      <w:r w:rsidR="004E3E5C">
        <w:rPr>
          <w:rFonts w:ascii="Avenir Next" w:hAnsi="Avenir Next" w:cs="Arial"/>
          <w:color w:val="808080" w:themeColor="background1" w:themeShade="80"/>
          <w:sz w:val="22"/>
          <w:szCs w:val="22"/>
          <w:lang w:val="en-GB"/>
        </w:rPr>
        <w:t xml:space="preserve"> are </w:t>
      </w:r>
      <w:r w:rsidR="004E3E5C" w:rsidRPr="004E3E5C">
        <w:rPr>
          <w:rFonts w:ascii="Avenir Next" w:hAnsi="Avenir Next" w:cs="Arial"/>
          <w:b/>
          <w:bCs/>
          <w:color w:val="808080" w:themeColor="background1" w:themeShade="80"/>
          <w:sz w:val="22"/>
          <w:szCs w:val="22"/>
          <w:u w:val="single"/>
          <w:lang w:val="en-GB"/>
        </w:rPr>
        <w:t>generally unenforceable under US law</w:t>
      </w:r>
      <w:r w:rsidR="004E3E5C">
        <w:rPr>
          <w:rFonts w:ascii="Avenir Next" w:hAnsi="Avenir Next" w:cs="Arial"/>
          <w:color w:val="808080" w:themeColor="background1" w:themeShade="80"/>
          <w:sz w:val="22"/>
          <w:szCs w:val="22"/>
          <w:lang w:val="en-GB"/>
        </w:rPr>
        <w:t xml:space="preserve">. </w:t>
      </w:r>
    </w:p>
    <w:p w14:paraId="5D1087F5" w14:textId="77777777" w:rsidR="00C47971" w:rsidRDefault="00C47971" w:rsidP="00C47971">
      <w:pPr>
        <w:pStyle w:val="ListParagraph"/>
        <w:ind w:left="284"/>
        <w:jc w:val="both"/>
        <w:rPr>
          <w:rFonts w:ascii="Avenir Next" w:hAnsi="Avenir Next" w:cs="Arial"/>
          <w:color w:val="808080" w:themeColor="background1" w:themeShade="80"/>
          <w:sz w:val="22"/>
          <w:szCs w:val="22"/>
          <w:lang w:val="en-GB"/>
        </w:rPr>
      </w:pPr>
    </w:p>
    <w:p w14:paraId="72EAB11D" w14:textId="6EB50FA7" w:rsidR="004E3E5C" w:rsidRPr="004E3E5C" w:rsidRDefault="004E3E5C" w:rsidP="004E3E5C">
      <w:pPr>
        <w:pStyle w:val="ListParagraph"/>
        <w:numPr>
          <w:ilvl w:val="0"/>
          <w:numId w:val="61"/>
        </w:numPr>
        <w:ind w:left="284"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would be advised </w:t>
      </w:r>
      <w:r w:rsidRPr="004E3E5C">
        <w:rPr>
          <w:rFonts w:ascii="Avenir Next" w:hAnsi="Avenir Next" w:cs="Arial"/>
          <w:b/>
          <w:bCs/>
          <w:color w:val="808080" w:themeColor="background1" w:themeShade="80"/>
          <w:sz w:val="22"/>
          <w:szCs w:val="22"/>
          <w:u w:val="single"/>
          <w:lang w:val="en-GB"/>
        </w:rPr>
        <w:t>not to seek relief under Article 21(1)(a)</w:t>
      </w:r>
      <w:r>
        <w:rPr>
          <w:rFonts w:ascii="Avenir Next" w:hAnsi="Avenir Next" w:cs="Arial"/>
          <w:color w:val="808080" w:themeColor="background1" w:themeShade="80"/>
          <w:sz w:val="22"/>
          <w:szCs w:val="22"/>
          <w:lang w:val="en-GB"/>
        </w:rPr>
        <w:t xml:space="preserve"> </w:t>
      </w:r>
      <w:r w:rsidRPr="004E3E5C">
        <w:rPr>
          <w:rFonts w:ascii="Avenir Next" w:hAnsi="Avenir Next" w:cs="Arial"/>
          <w:color w:val="808080" w:themeColor="background1" w:themeShade="80"/>
          <w:sz w:val="22"/>
          <w:szCs w:val="22"/>
          <w:lang w:val="en-GB"/>
        </w:rPr>
        <w:t>of the MLCI/Chapter 15 of the US Bankruptcy Code</w:t>
      </w:r>
      <w:r>
        <w:rPr>
          <w:rFonts w:ascii="Avenir Next" w:hAnsi="Avenir Next" w:cs="Arial"/>
          <w:color w:val="808080" w:themeColor="background1" w:themeShade="80"/>
          <w:sz w:val="22"/>
          <w:szCs w:val="22"/>
          <w:lang w:val="en-GB"/>
        </w:rPr>
        <w:t xml:space="preserve"> for a stay on the commencement or continuation or individual action or proceeding, on the basis that the termination of the contract on the ipso facto clauses constitutes the commencement of an individual action which attracts the application of the stay under Article 21(1)(a). This is because the English court in </w:t>
      </w:r>
      <w:r w:rsidRPr="004E3E5C">
        <w:rPr>
          <w:rFonts w:ascii="Avenir Next" w:hAnsi="Avenir Next" w:cs="Arial"/>
          <w:b/>
          <w:bCs/>
          <w:i/>
          <w:iCs/>
          <w:color w:val="808080" w:themeColor="background1" w:themeShade="80"/>
          <w:sz w:val="22"/>
          <w:szCs w:val="22"/>
          <w:u w:val="single"/>
          <w:lang w:val="en-GB"/>
        </w:rPr>
        <w:t xml:space="preserve">Fibria Celulose S/A v Pan Ocean </w:t>
      </w:r>
      <w:r w:rsidRPr="004E3E5C">
        <w:rPr>
          <w:rFonts w:ascii="Avenir Next" w:hAnsi="Avenir Next" w:cs="Arial"/>
          <w:b/>
          <w:bCs/>
          <w:i/>
          <w:iCs/>
          <w:color w:val="808080" w:themeColor="background1" w:themeShade="80"/>
          <w:sz w:val="22"/>
          <w:szCs w:val="22"/>
          <w:u w:val="single"/>
          <w:lang w:val="en-GB"/>
        </w:rPr>
        <w:lastRenderedPageBreak/>
        <w:t>Co Ltd</w:t>
      </w:r>
      <w:r>
        <w:rPr>
          <w:rFonts w:ascii="Avenir Next" w:hAnsi="Avenir Next" w:cs="Arial"/>
          <w:color w:val="808080" w:themeColor="background1" w:themeShade="80"/>
          <w:sz w:val="22"/>
          <w:szCs w:val="22"/>
          <w:lang w:val="en-GB"/>
        </w:rPr>
        <w:t xml:space="preserve"> [2014] EWJC 2124 (Ch) has held that the </w:t>
      </w:r>
      <w:r w:rsidRPr="004E3E5C">
        <w:rPr>
          <w:rFonts w:ascii="Avenir Next" w:hAnsi="Avenir Next" w:cs="Arial"/>
          <w:b/>
          <w:bCs/>
          <w:color w:val="808080" w:themeColor="background1" w:themeShade="80"/>
          <w:sz w:val="22"/>
          <w:szCs w:val="22"/>
          <w:u w:val="single"/>
          <w:lang w:val="en-GB"/>
        </w:rPr>
        <w:t>service of a notice to terminate a contract does not constitute the commencement or continuation of an individual action or proceeding</w:t>
      </w:r>
      <w:r>
        <w:rPr>
          <w:rFonts w:ascii="Avenir Next" w:hAnsi="Avenir Next" w:cs="Arial"/>
          <w:color w:val="808080" w:themeColor="background1" w:themeShade="80"/>
          <w:sz w:val="22"/>
          <w:szCs w:val="22"/>
          <w:lang w:val="en-GB"/>
        </w:rPr>
        <w:t xml:space="preserve">.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55D111B1" w14:textId="32607969" w:rsidR="00867A8F" w:rsidRDefault="00184613" w:rsidP="008E6133">
      <w:pPr>
        <w:pStyle w:val="ListParagraph"/>
        <w:numPr>
          <w:ilvl w:val="0"/>
          <w:numId w:val="62"/>
        </w:numPr>
        <w:ind w:left="284" w:hanging="284"/>
        <w:jc w:val="both"/>
        <w:rPr>
          <w:rFonts w:ascii="Avenir Next" w:hAnsi="Avenir Next" w:cs="Arial"/>
          <w:color w:val="808080" w:themeColor="background1" w:themeShade="80"/>
          <w:sz w:val="22"/>
          <w:szCs w:val="22"/>
          <w:lang w:val="en-GB"/>
        </w:rPr>
      </w:pPr>
      <w:r w:rsidRPr="008E6133">
        <w:rPr>
          <w:rFonts w:ascii="Avenir Next" w:hAnsi="Avenir Next" w:cs="Arial"/>
          <w:color w:val="808080" w:themeColor="background1" w:themeShade="80"/>
          <w:sz w:val="22"/>
          <w:szCs w:val="22"/>
          <w:lang w:val="en-GB"/>
        </w:rPr>
        <w:t xml:space="preserve">The foreign representative </w:t>
      </w:r>
      <w:r w:rsidR="008E6133" w:rsidRPr="008E6133">
        <w:rPr>
          <w:rFonts w:ascii="Avenir Next" w:hAnsi="Avenir Next" w:cs="Arial"/>
          <w:color w:val="808080" w:themeColor="background1" w:themeShade="80"/>
          <w:sz w:val="22"/>
          <w:szCs w:val="22"/>
          <w:lang w:val="en-GB"/>
        </w:rPr>
        <w:t xml:space="preserve">is advised to </w:t>
      </w:r>
      <w:r w:rsidR="008E6133">
        <w:rPr>
          <w:rFonts w:ascii="Avenir Next" w:hAnsi="Avenir Next" w:cs="Arial"/>
          <w:color w:val="808080" w:themeColor="background1" w:themeShade="80"/>
          <w:sz w:val="22"/>
          <w:szCs w:val="22"/>
          <w:lang w:val="en-GB"/>
        </w:rPr>
        <w:t xml:space="preserve">review the </w:t>
      </w:r>
      <w:r w:rsidR="008E6133" w:rsidRPr="008E6133">
        <w:rPr>
          <w:rFonts w:ascii="Avenir Next" w:hAnsi="Avenir Next" w:cs="Arial"/>
          <w:color w:val="808080" w:themeColor="background1" w:themeShade="80"/>
          <w:sz w:val="22"/>
          <w:szCs w:val="22"/>
          <w:lang w:val="en-GB"/>
        </w:rPr>
        <w:t xml:space="preserve">seek relief under </w:t>
      </w:r>
      <w:r w:rsidR="008E6133" w:rsidRPr="008E6133">
        <w:rPr>
          <w:rFonts w:ascii="Avenir Next" w:hAnsi="Avenir Next" w:cs="Arial"/>
          <w:b/>
          <w:bCs/>
          <w:color w:val="808080" w:themeColor="background1" w:themeShade="80"/>
          <w:sz w:val="22"/>
          <w:szCs w:val="22"/>
          <w:u w:val="single"/>
          <w:lang w:val="en-GB"/>
        </w:rPr>
        <w:t>Article 17(4)</w:t>
      </w:r>
      <w:r w:rsidR="008E6133" w:rsidRPr="008E6133">
        <w:rPr>
          <w:rFonts w:ascii="Avenir Next" w:hAnsi="Avenir Next" w:cs="Arial"/>
          <w:color w:val="808080" w:themeColor="background1" w:themeShade="80"/>
          <w:sz w:val="22"/>
          <w:szCs w:val="22"/>
          <w:lang w:val="en-GB"/>
        </w:rPr>
        <w:t xml:space="preserve"> of the MLCBI for the </w:t>
      </w:r>
      <w:r w:rsidR="008E6133" w:rsidRPr="008E6133">
        <w:rPr>
          <w:rFonts w:ascii="Avenir Next" w:hAnsi="Avenir Next" w:cs="Arial"/>
          <w:b/>
          <w:bCs/>
          <w:color w:val="808080" w:themeColor="background1" w:themeShade="80"/>
          <w:sz w:val="22"/>
          <w:szCs w:val="22"/>
          <w:u w:val="single"/>
          <w:lang w:val="en-GB"/>
        </w:rPr>
        <w:t>recognition decision to be modified</w:t>
      </w:r>
      <w:r w:rsidR="008E6133">
        <w:rPr>
          <w:rFonts w:ascii="Avenir Next" w:hAnsi="Avenir Next" w:cs="Arial"/>
          <w:color w:val="808080" w:themeColor="background1" w:themeShade="80"/>
          <w:sz w:val="22"/>
          <w:szCs w:val="22"/>
          <w:lang w:val="en-GB"/>
        </w:rPr>
        <w:t xml:space="preserve"> </w:t>
      </w:r>
      <w:r w:rsidR="003F00BA">
        <w:rPr>
          <w:rFonts w:ascii="Avenir Next" w:hAnsi="Avenir Next" w:cs="Arial"/>
          <w:color w:val="808080" w:themeColor="background1" w:themeShade="80"/>
          <w:sz w:val="22"/>
          <w:szCs w:val="22"/>
          <w:lang w:val="en-GB"/>
        </w:rPr>
        <w:t>(“</w:t>
      </w:r>
      <w:r w:rsidR="003F00BA" w:rsidRPr="003F00BA">
        <w:rPr>
          <w:rFonts w:ascii="Avenir Next" w:hAnsi="Avenir Next" w:cs="Arial"/>
          <w:b/>
          <w:bCs/>
          <w:color w:val="808080" w:themeColor="background1" w:themeShade="80"/>
          <w:sz w:val="22"/>
          <w:szCs w:val="22"/>
          <w:lang w:val="en-GB"/>
        </w:rPr>
        <w:t>Modification Application</w:t>
      </w:r>
      <w:r w:rsidR="003F00BA">
        <w:rPr>
          <w:rFonts w:ascii="Avenir Next" w:hAnsi="Avenir Next" w:cs="Arial"/>
          <w:color w:val="808080" w:themeColor="background1" w:themeShade="80"/>
          <w:sz w:val="22"/>
          <w:szCs w:val="22"/>
          <w:lang w:val="en-GB"/>
        </w:rPr>
        <w:t xml:space="preserve">”) </w:t>
      </w:r>
      <w:r w:rsidR="008E6133">
        <w:rPr>
          <w:rFonts w:ascii="Avenir Next" w:hAnsi="Avenir Next" w:cs="Arial"/>
          <w:color w:val="808080" w:themeColor="background1" w:themeShade="80"/>
          <w:sz w:val="22"/>
          <w:szCs w:val="22"/>
          <w:lang w:val="en-GB"/>
        </w:rPr>
        <w:t xml:space="preserve">that the foreign proceeding ought to be a foreign main proceeding. </w:t>
      </w:r>
    </w:p>
    <w:p w14:paraId="48EE771C" w14:textId="77777777" w:rsidR="00C47971" w:rsidRDefault="00C47971" w:rsidP="00C47971">
      <w:pPr>
        <w:pStyle w:val="ListParagraph"/>
        <w:ind w:left="284"/>
        <w:jc w:val="both"/>
        <w:rPr>
          <w:rFonts w:ascii="Avenir Next" w:hAnsi="Avenir Next" w:cs="Arial"/>
          <w:color w:val="808080" w:themeColor="background1" w:themeShade="80"/>
          <w:sz w:val="22"/>
          <w:szCs w:val="22"/>
          <w:lang w:val="en-GB"/>
        </w:rPr>
      </w:pPr>
    </w:p>
    <w:p w14:paraId="7B3880BD" w14:textId="52EBE65A" w:rsidR="008E6133" w:rsidRDefault="008E6133" w:rsidP="008E6133">
      <w:pPr>
        <w:pStyle w:val="ListParagraph"/>
        <w:numPr>
          <w:ilvl w:val="0"/>
          <w:numId w:val="62"/>
        </w:numPr>
        <w:ind w:left="284" w:hanging="284"/>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has been suggested that the court evaluating the evidence for modification of the recognition decision </w:t>
      </w:r>
      <w:r w:rsidRPr="003F00BA">
        <w:rPr>
          <w:rFonts w:ascii="Avenir Next" w:hAnsi="Avenir Next" w:cs="Arial"/>
          <w:b/>
          <w:bCs/>
          <w:color w:val="808080" w:themeColor="background1" w:themeShade="80"/>
          <w:sz w:val="22"/>
          <w:szCs w:val="22"/>
          <w:u w:val="single"/>
          <w:lang w:val="en-GB"/>
        </w:rPr>
        <w:t>could consider evidence that was or ought to have to been available at the</w:t>
      </w:r>
      <w:r w:rsidR="003F00BA" w:rsidRPr="003F00BA">
        <w:rPr>
          <w:rFonts w:ascii="Avenir Next" w:hAnsi="Avenir Next" w:cs="Arial"/>
          <w:b/>
          <w:bCs/>
          <w:color w:val="808080" w:themeColor="background1" w:themeShade="80"/>
          <w:sz w:val="22"/>
          <w:szCs w:val="22"/>
          <w:u w:val="single"/>
          <w:lang w:val="en-GB"/>
        </w:rPr>
        <w:t xml:space="preserve"> time the court granted the recognition but may also consider new or fresh evidence</w:t>
      </w:r>
      <w:r w:rsidR="00C47971">
        <w:rPr>
          <w:rFonts w:ascii="Avenir Next" w:hAnsi="Avenir Next" w:cs="Arial"/>
          <w:color w:val="808080" w:themeColor="background1" w:themeShade="80"/>
          <w:sz w:val="22"/>
          <w:szCs w:val="22"/>
          <w:lang w:val="en-GB"/>
        </w:rPr>
        <w:t>.</w:t>
      </w:r>
    </w:p>
    <w:p w14:paraId="3B98C0A4" w14:textId="77777777" w:rsidR="00C47971" w:rsidRPr="003F00BA" w:rsidRDefault="00C47971" w:rsidP="00C47971">
      <w:pPr>
        <w:pStyle w:val="ListParagraph"/>
        <w:ind w:left="284"/>
        <w:jc w:val="both"/>
        <w:rPr>
          <w:rFonts w:ascii="Avenir Next" w:hAnsi="Avenir Next" w:cs="Arial"/>
          <w:color w:val="808080" w:themeColor="background1" w:themeShade="80"/>
          <w:sz w:val="22"/>
          <w:szCs w:val="22"/>
          <w:lang w:val="en-GB"/>
        </w:rPr>
      </w:pPr>
    </w:p>
    <w:p w14:paraId="6841A1DE" w14:textId="1CFA557D" w:rsidR="00D5244F" w:rsidRPr="00C47971" w:rsidRDefault="003F00BA" w:rsidP="0055083D">
      <w:pPr>
        <w:pStyle w:val="ListParagraph"/>
        <w:numPr>
          <w:ilvl w:val="0"/>
          <w:numId w:val="62"/>
        </w:numPr>
        <w:ind w:left="284" w:hanging="284"/>
        <w:jc w:val="both"/>
        <w:rPr>
          <w:rFonts w:ascii="Avenir Next" w:hAnsi="Avenir Next" w:cs="Arial"/>
          <w:b/>
          <w:sz w:val="22"/>
          <w:szCs w:val="22"/>
          <w:lang w:val="en-GB"/>
        </w:rPr>
      </w:pPr>
      <w:r w:rsidRPr="003F00BA">
        <w:rPr>
          <w:rFonts w:ascii="Avenir Next" w:hAnsi="Avenir Next" w:cs="Arial"/>
          <w:color w:val="808080" w:themeColor="background1" w:themeShade="80"/>
          <w:sz w:val="22"/>
          <w:szCs w:val="22"/>
          <w:lang w:val="en-GB"/>
        </w:rPr>
        <w:t xml:space="preserve">The </w:t>
      </w:r>
      <w:r w:rsidR="00C47971">
        <w:rPr>
          <w:rFonts w:ascii="Avenir Next" w:hAnsi="Avenir Next" w:cs="Arial"/>
          <w:color w:val="808080" w:themeColor="background1" w:themeShade="80"/>
          <w:sz w:val="22"/>
          <w:szCs w:val="22"/>
          <w:lang w:val="en-GB"/>
        </w:rPr>
        <w:t>c</w:t>
      </w:r>
      <w:r w:rsidRPr="003F00BA">
        <w:rPr>
          <w:rFonts w:ascii="Avenir Next" w:hAnsi="Avenir Next" w:cs="Arial"/>
          <w:color w:val="808080" w:themeColor="background1" w:themeShade="80"/>
          <w:sz w:val="22"/>
          <w:szCs w:val="22"/>
          <w:lang w:val="en-GB"/>
        </w:rPr>
        <w:t xml:space="preserve">ourt may revisit a recognition order under Article 17(4) of the MLCBI in a case where the court initially applied the COMI in Article 16(3) in its recognition order, and </w:t>
      </w:r>
      <w:r w:rsidRPr="003F00BA">
        <w:rPr>
          <w:rFonts w:ascii="Avenir Next" w:hAnsi="Avenir Next" w:cs="Arial"/>
          <w:b/>
          <w:bCs/>
          <w:color w:val="808080" w:themeColor="background1" w:themeShade="80"/>
          <w:sz w:val="22"/>
          <w:szCs w:val="22"/>
          <w:u w:val="single"/>
          <w:lang w:val="en-GB"/>
        </w:rPr>
        <w:t>if the evidence shows that the actual COMI is elsewhere upon evidence provided before the court in the modification application</w:t>
      </w:r>
      <w:r w:rsidR="00C47971">
        <w:rPr>
          <w:rFonts w:ascii="Avenir Next" w:hAnsi="Avenir Next" w:cs="Arial"/>
          <w:color w:val="808080" w:themeColor="background1" w:themeShade="80"/>
          <w:sz w:val="22"/>
          <w:szCs w:val="22"/>
          <w:lang w:val="en-GB"/>
        </w:rPr>
        <w:t>.</w:t>
      </w:r>
    </w:p>
    <w:p w14:paraId="6A3BA09A" w14:textId="77777777" w:rsidR="00C47971" w:rsidRPr="00C47971" w:rsidRDefault="00C47971" w:rsidP="00C47971">
      <w:pPr>
        <w:pStyle w:val="ListParagraph"/>
        <w:rPr>
          <w:rFonts w:ascii="Avenir Next" w:hAnsi="Avenir Next" w:cs="Arial"/>
          <w:b/>
          <w:sz w:val="22"/>
          <w:szCs w:val="22"/>
          <w:lang w:val="en-GB"/>
        </w:rPr>
      </w:pPr>
    </w:p>
    <w:p w14:paraId="6A4136BA" w14:textId="40A52998" w:rsidR="003F00BA" w:rsidRPr="003F00BA" w:rsidRDefault="003F00BA" w:rsidP="0055083D">
      <w:pPr>
        <w:pStyle w:val="ListParagraph"/>
        <w:numPr>
          <w:ilvl w:val="0"/>
          <w:numId w:val="62"/>
        </w:numPr>
        <w:ind w:left="284" w:hanging="284"/>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 xml:space="preserve">The foreign representative </w:t>
      </w:r>
      <w:r w:rsidRPr="003F00BA">
        <w:rPr>
          <w:rFonts w:ascii="Avenir Next" w:hAnsi="Avenir Next" w:cs="Arial"/>
          <w:b/>
          <w:bCs/>
          <w:color w:val="808080" w:themeColor="background1" w:themeShade="80"/>
          <w:sz w:val="22"/>
          <w:szCs w:val="22"/>
          <w:u w:val="single"/>
          <w:lang w:val="en-GB"/>
        </w:rPr>
        <w:t xml:space="preserve">would be advised to act fast in reviewing the case and making the Modification </w:t>
      </w:r>
      <w:r>
        <w:rPr>
          <w:rFonts w:ascii="Avenir Next" w:hAnsi="Avenir Next" w:cs="Arial"/>
          <w:b/>
          <w:bCs/>
          <w:color w:val="808080" w:themeColor="background1" w:themeShade="80"/>
          <w:sz w:val="22"/>
          <w:szCs w:val="22"/>
          <w:u w:val="single"/>
          <w:lang w:val="en-GB"/>
        </w:rPr>
        <w:t>A</w:t>
      </w:r>
      <w:r w:rsidRPr="003F00BA">
        <w:rPr>
          <w:rFonts w:ascii="Avenir Next" w:hAnsi="Avenir Next" w:cs="Arial"/>
          <w:b/>
          <w:bCs/>
          <w:color w:val="808080" w:themeColor="background1" w:themeShade="80"/>
          <w:sz w:val="22"/>
          <w:szCs w:val="22"/>
          <w:u w:val="single"/>
          <w:lang w:val="en-GB"/>
        </w:rPr>
        <w:t>pplication</w:t>
      </w:r>
      <w:r>
        <w:rPr>
          <w:rFonts w:ascii="Avenir Next" w:hAnsi="Avenir Next" w:cs="Arial"/>
          <w:b/>
          <w:bCs/>
          <w:color w:val="808080" w:themeColor="background1" w:themeShade="80"/>
          <w:sz w:val="22"/>
          <w:szCs w:val="22"/>
          <w:u w:val="single"/>
          <w:lang w:val="en-GB"/>
        </w:rPr>
        <w:t xml:space="preserve"> and to give full and frank disclosure of all relevant factors in determining the debtor’s COMI.</w:t>
      </w:r>
      <w:r>
        <w:rPr>
          <w:rFonts w:ascii="Avenir Next" w:hAnsi="Avenir Next" w:cs="Arial"/>
          <w:color w:val="808080" w:themeColor="background1" w:themeShade="80"/>
          <w:sz w:val="22"/>
          <w:szCs w:val="22"/>
          <w:lang w:val="en-GB"/>
        </w:rPr>
        <w:t xml:space="preserve"> The </w:t>
      </w:r>
      <w:r w:rsidR="00BC4DC8">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ourt would be slow/hesitant to disturb a recognition order where there is a significant passing of time (e.g. 2 years) even if the statements regarding the debtor’s COMI is not entirely accurate in light of subsequent developments.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w:t>
      </w:r>
      <w:r w:rsidRPr="00E61F6E">
        <w:rPr>
          <w:rFonts w:ascii="Avenir Next" w:hAnsi="Avenir Next"/>
          <w:sz w:val="22"/>
          <w:szCs w:val="28"/>
        </w:rPr>
        <w:lastRenderedPageBreak/>
        <w:t>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Pr="00C47971"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w:t>
      </w:r>
      <w:r w:rsidRPr="00C47971">
        <w:rPr>
          <w:rFonts w:ascii="Avenir Next" w:hAnsi="Avenir Next"/>
          <w:sz w:val="22"/>
          <w:szCs w:val="28"/>
        </w:rPr>
        <w:t xml:space="preserve">should constitute a single class of creditors for the purpose of voting on the Scheme. </w:t>
      </w:r>
    </w:p>
    <w:p w14:paraId="5F520A7C" w14:textId="77777777" w:rsidR="009E3CA7" w:rsidRPr="00C47971"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C47971">
        <w:rPr>
          <w:rFonts w:ascii="Avenir Next" w:hAnsi="Avenir Next"/>
          <w:sz w:val="22"/>
          <w:szCs w:val="28"/>
        </w:rPr>
        <w:t>On July 26, 2023 the Cayman Court entered a convening order (the Convening Order) on the papers, among other things, authori</w:t>
      </w:r>
      <w:r w:rsidR="00B66441" w:rsidRPr="00C47971">
        <w:rPr>
          <w:rFonts w:ascii="Avenir Next" w:hAnsi="Avenir Next"/>
          <w:sz w:val="22"/>
          <w:szCs w:val="28"/>
        </w:rPr>
        <w:t>z</w:t>
      </w:r>
      <w:r w:rsidRPr="00C47971">
        <w:rPr>
          <w:rFonts w:ascii="Avenir Next" w:hAnsi="Avenir Next"/>
          <w:sz w:val="22"/>
          <w:szCs w:val="28"/>
        </w:rPr>
        <w:t>ing</w:t>
      </w:r>
      <w:r w:rsidRPr="00E61F6E">
        <w:rPr>
          <w:rFonts w:ascii="Avenir Next" w:hAnsi="Avenir Next"/>
          <w:sz w:val="22"/>
          <w:szCs w:val="28"/>
        </w:rPr>
        <w:t xml:space="preserve">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 xml:space="preserve">The </w:t>
      </w:r>
      <w:r w:rsidRPr="00E61F6E">
        <w:rPr>
          <w:rFonts w:ascii="Avenir Next" w:hAnsi="Avenir Next"/>
          <w:sz w:val="22"/>
          <w:szCs w:val="28"/>
        </w:rPr>
        <w:lastRenderedPageBreak/>
        <w:t>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0F453B08" w14:textId="6CB536FE" w:rsidR="000444B7" w:rsidRDefault="000444B7" w:rsidP="009E3CA7">
      <w:pPr>
        <w:jc w:val="both"/>
        <w:rPr>
          <w:rFonts w:ascii="Avenir Next" w:hAnsi="Avenir Next"/>
          <w:b/>
          <w:bCs/>
          <w:color w:val="808080" w:themeColor="background1" w:themeShade="80"/>
          <w:sz w:val="22"/>
          <w:szCs w:val="28"/>
          <w:u w:val="single"/>
        </w:rPr>
      </w:pPr>
      <w:r>
        <w:rPr>
          <w:rFonts w:ascii="Avenir Next" w:hAnsi="Avenir Next"/>
          <w:b/>
          <w:bCs/>
          <w:color w:val="808080" w:themeColor="background1" w:themeShade="80"/>
          <w:sz w:val="22"/>
          <w:szCs w:val="28"/>
          <w:u w:val="single"/>
        </w:rPr>
        <w:t>RECOGNITION</w:t>
      </w:r>
    </w:p>
    <w:p w14:paraId="1ED47B2A" w14:textId="77777777" w:rsidR="000444B7" w:rsidRDefault="000444B7" w:rsidP="009E3CA7">
      <w:pPr>
        <w:jc w:val="both"/>
        <w:rPr>
          <w:rFonts w:ascii="Avenir Next" w:hAnsi="Avenir Next"/>
          <w:b/>
          <w:bCs/>
          <w:color w:val="808080" w:themeColor="background1" w:themeShade="80"/>
          <w:sz w:val="22"/>
          <w:szCs w:val="28"/>
          <w:u w:val="single"/>
        </w:rPr>
      </w:pPr>
    </w:p>
    <w:p w14:paraId="00DD1767" w14:textId="1BDF918A" w:rsidR="00BC4DC8" w:rsidRDefault="000444B7" w:rsidP="009E3CA7">
      <w:pPr>
        <w:jc w:val="both"/>
        <w:rPr>
          <w:rFonts w:ascii="Avenir Next" w:hAnsi="Avenir Next"/>
          <w:b/>
          <w:bCs/>
          <w:color w:val="808080" w:themeColor="background1" w:themeShade="80"/>
          <w:sz w:val="22"/>
          <w:szCs w:val="28"/>
          <w:u w:val="single"/>
        </w:rPr>
      </w:pPr>
      <w:r>
        <w:rPr>
          <w:rFonts w:ascii="Avenir Next" w:hAnsi="Avenir Next"/>
          <w:b/>
          <w:bCs/>
          <w:color w:val="808080" w:themeColor="background1" w:themeShade="80"/>
          <w:sz w:val="22"/>
          <w:szCs w:val="28"/>
          <w:u w:val="single"/>
        </w:rPr>
        <w:t>A</w:t>
      </w:r>
      <w:r>
        <w:rPr>
          <w:rFonts w:ascii="Avenir Next" w:hAnsi="Avenir Next"/>
          <w:b/>
          <w:bCs/>
          <w:color w:val="808080" w:themeColor="background1" w:themeShade="80"/>
          <w:sz w:val="22"/>
          <w:szCs w:val="28"/>
          <w:u w:val="single"/>
        </w:rPr>
        <w:tab/>
      </w:r>
      <w:r w:rsidR="00FC5DA2">
        <w:rPr>
          <w:rFonts w:ascii="Avenir Next" w:hAnsi="Avenir Next"/>
          <w:b/>
          <w:bCs/>
          <w:color w:val="808080" w:themeColor="background1" w:themeShade="80"/>
          <w:sz w:val="22"/>
          <w:szCs w:val="28"/>
          <w:u w:val="single"/>
        </w:rPr>
        <w:t>Locus standi</w:t>
      </w:r>
    </w:p>
    <w:p w14:paraId="666E86C4" w14:textId="77777777" w:rsidR="00BC4DC8" w:rsidRDefault="00BC4DC8" w:rsidP="009E3CA7">
      <w:pPr>
        <w:jc w:val="both"/>
        <w:rPr>
          <w:rFonts w:ascii="Avenir Next" w:hAnsi="Avenir Next"/>
          <w:b/>
          <w:bCs/>
          <w:color w:val="808080" w:themeColor="background1" w:themeShade="80"/>
          <w:sz w:val="22"/>
          <w:szCs w:val="28"/>
          <w:u w:val="single"/>
        </w:rPr>
      </w:pPr>
    </w:p>
    <w:p w14:paraId="4940418D" w14:textId="32FBC69B" w:rsidR="00FC5DA2" w:rsidRPr="00BC4DC8" w:rsidRDefault="00FC5DA2" w:rsidP="00FC5DA2">
      <w:pPr>
        <w:pStyle w:val="ListParagraph"/>
        <w:numPr>
          <w:ilvl w:val="0"/>
          <w:numId w:val="64"/>
        </w:numPr>
        <w:ind w:left="284" w:hanging="284"/>
        <w:jc w:val="both"/>
        <w:rPr>
          <w:rFonts w:ascii="Avenir Next" w:hAnsi="Avenir Next"/>
          <w:b/>
          <w:bCs/>
          <w:color w:val="808080" w:themeColor="background1" w:themeShade="80"/>
          <w:sz w:val="22"/>
          <w:szCs w:val="28"/>
          <w:u w:val="single"/>
        </w:rPr>
      </w:pPr>
      <w:r>
        <w:rPr>
          <w:rFonts w:ascii="Avenir Next" w:hAnsi="Avenir Next"/>
          <w:color w:val="808080" w:themeColor="background1" w:themeShade="80"/>
          <w:sz w:val="22"/>
          <w:szCs w:val="28"/>
        </w:rPr>
        <w:t xml:space="preserve">There is an </w:t>
      </w:r>
      <w:r w:rsidRPr="00FC5DA2">
        <w:rPr>
          <w:rFonts w:ascii="Avenir Next" w:hAnsi="Avenir Next"/>
          <w:b/>
          <w:bCs/>
          <w:color w:val="808080" w:themeColor="background1" w:themeShade="80"/>
          <w:sz w:val="22"/>
          <w:szCs w:val="28"/>
          <w:u w:val="single"/>
        </w:rPr>
        <w:t>issue whether the client is a “foreign representative” under Article 15(1) of the MLCBI</w:t>
      </w:r>
      <w:r>
        <w:rPr>
          <w:rFonts w:ascii="Avenir Next" w:hAnsi="Avenir Next"/>
          <w:color w:val="808080" w:themeColor="background1" w:themeShade="80"/>
          <w:sz w:val="22"/>
          <w:szCs w:val="28"/>
        </w:rPr>
        <w:t xml:space="preserve">, i.e. </w:t>
      </w:r>
      <w:r w:rsidRPr="00FC5DA2">
        <w:rPr>
          <w:rFonts w:ascii="Avenir Next" w:hAnsi="Avenir Next"/>
          <w:b/>
          <w:bCs/>
          <w:color w:val="808080" w:themeColor="background1" w:themeShade="80"/>
          <w:sz w:val="22"/>
          <w:szCs w:val="28"/>
          <w:u w:val="single"/>
        </w:rPr>
        <w:t>whether the client has locus standi to apply for recognition of the Sanction Order of Globe Holding</w:t>
      </w:r>
      <w:r>
        <w:rPr>
          <w:rFonts w:ascii="Avenir Next" w:hAnsi="Avenir Next"/>
          <w:color w:val="808080" w:themeColor="background1" w:themeShade="80"/>
          <w:sz w:val="22"/>
          <w:szCs w:val="28"/>
        </w:rPr>
        <w:t>.</w:t>
      </w:r>
    </w:p>
    <w:p w14:paraId="09B223DE" w14:textId="77777777" w:rsidR="00BC4DC8" w:rsidRPr="00FC5DA2" w:rsidRDefault="00BC4DC8" w:rsidP="00BC4DC8">
      <w:pPr>
        <w:pStyle w:val="ListParagraph"/>
        <w:ind w:left="284"/>
        <w:jc w:val="both"/>
        <w:rPr>
          <w:rFonts w:ascii="Avenir Next" w:hAnsi="Avenir Next"/>
          <w:b/>
          <w:bCs/>
          <w:color w:val="808080" w:themeColor="background1" w:themeShade="80"/>
          <w:sz w:val="22"/>
          <w:szCs w:val="28"/>
          <w:u w:val="single"/>
        </w:rPr>
      </w:pPr>
    </w:p>
    <w:p w14:paraId="2EEFFCF0" w14:textId="62393F5A" w:rsidR="00FC5DA2" w:rsidRPr="00BC4DC8" w:rsidRDefault="00FC5DA2" w:rsidP="00FC5DA2">
      <w:pPr>
        <w:pStyle w:val="ListParagraph"/>
        <w:numPr>
          <w:ilvl w:val="0"/>
          <w:numId w:val="64"/>
        </w:numPr>
        <w:ind w:left="284" w:hanging="284"/>
        <w:jc w:val="both"/>
        <w:rPr>
          <w:rFonts w:ascii="Avenir Next" w:hAnsi="Avenir Next"/>
          <w:b/>
          <w:bCs/>
          <w:color w:val="808080" w:themeColor="background1" w:themeShade="80"/>
          <w:sz w:val="22"/>
          <w:szCs w:val="28"/>
          <w:u w:val="single"/>
        </w:rPr>
      </w:pPr>
      <w:r w:rsidRPr="00EE78C9">
        <w:rPr>
          <w:rFonts w:ascii="Avenir Next" w:hAnsi="Avenir Next"/>
          <w:b/>
          <w:bCs/>
          <w:color w:val="808080" w:themeColor="background1" w:themeShade="80"/>
          <w:sz w:val="22"/>
          <w:szCs w:val="28"/>
          <w:u w:val="single"/>
        </w:rPr>
        <w:t>Article 15(1)</w:t>
      </w:r>
      <w:r>
        <w:rPr>
          <w:rFonts w:ascii="Avenir Next" w:hAnsi="Avenir Next"/>
          <w:color w:val="808080" w:themeColor="background1" w:themeShade="80"/>
          <w:sz w:val="22"/>
          <w:szCs w:val="28"/>
        </w:rPr>
        <w:t xml:space="preserve"> of the MLCBI provides that a foreign representative may apply to the court for recognition of a foreign proceeding in which the foreign representative has been appointed. </w:t>
      </w:r>
    </w:p>
    <w:p w14:paraId="0C9C610A" w14:textId="77777777" w:rsidR="00BC4DC8" w:rsidRPr="00FC5DA2" w:rsidRDefault="00BC4DC8" w:rsidP="00BC4DC8">
      <w:pPr>
        <w:pStyle w:val="ListParagraph"/>
        <w:ind w:left="284"/>
        <w:jc w:val="both"/>
        <w:rPr>
          <w:rFonts w:ascii="Avenir Next" w:hAnsi="Avenir Next"/>
          <w:b/>
          <w:bCs/>
          <w:color w:val="808080" w:themeColor="background1" w:themeShade="80"/>
          <w:sz w:val="22"/>
          <w:szCs w:val="28"/>
          <w:u w:val="single"/>
        </w:rPr>
      </w:pPr>
    </w:p>
    <w:p w14:paraId="774D6494" w14:textId="323AB79D" w:rsidR="00FC5DA2" w:rsidRPr="00BC4DC8" w:rsidRDefault="00FC5DA2" w:rsidP="00FC5DA2">
      <w:pPr>
        <w:pStyle w:val="ListParagraph"/>
        <w:numPr>
          <w:ilvl w:val="0"/>
          <w:numId w:val="64"/>
        </w:numPr>
        <w:ind w:left="284" w:hanging="284"/>
        <w:jc w:val="both"/>
        <w:rPr>
          <w:rFonts w:ascii="Avenir Next" w:hAnsi="Avenir Next"/>
          <w:b/>
          <w:bCs/>
          <w:color w:val="808080" w:themeColor="background1" w:themeShade="80"/>
          <w:sz w:val="22"/>
          <w:szCs w:val="28"/>
          <w:u w:val="single"/>
        </w:rPr>
      </w:pPr>
      <w:r w:rsidRPr="00EE78C9">
        <w:rPr>
          <w:rFonts w:ascii="Avenir Next" w:hAnsi="Avenir Next"/>
          <w:b/>
          <w:bCs/>
          <w:color w:val="808080" w:themeColor="background1" w:themeShade="80"/>
          <w:sz w:val="22"/>
          <w:szCs w:val="28"/>
          <w:u w:val="single"/>
        </w:rPr>
        <w:t>Article 2(d)</w:t>
      </w:r>
      <w:r>
        <w:rPr>
          <w:rFonts w:ascii="Avenir Next" w:hAnsi="Avenir Next"/>
          <w:color w:val="808080" w:themeColor="background1" w:themeShade="80"/>
          <w:sz w:val="22"/>
          <w:szCs w:val="28"/>
        </w:rPr>
        <w:t xml:space="preserve"> of the MLCBI defines “foreign representative” </w:t>
      </w:r>
      <w:r w:rsidRPr="00D841E4">
        <w:rPr>
          <w:rFonts w:ascii="Avenir Next" w:hAnsi="Avenir Next"/>
          <w:i/>
          <w:iCs/>
          <w:color w:val="808080" w:themeColor="background1" w:themeShade="80"/>
          <w:sz w:val="22"/>
          <w:szCs w:val="28"/>
        </w:rPr>
        <w:t>inter alia</w:t>
      </w:r>
      <w:r>
        <w:rPr>
          <w:rFonts w:ascii="Avenir Next" w:hAnsi="Avenir Next"/>
          <w:color w:val="808080" w:themeColor="background1" w:themeShade="80"/>
          <w:sz w:val="22"/>
          <w:szCs w:val="28"/>
        </w:rPr>
        <w:t xml:space="preserve">, as a person or body authorized in a foreign proceeding to administer the reorganisation or liquidation in the debtor’s assets or affairs or act as a representative of the foreign proceeding. </w:t>
      </w:r>
    </w:p>
    <w:p w14:paraId="4076014D" w14:textId="77777777" w:rsidR="00BC4DC8" w:rsidRPr="00FC5DA2" w:rsidRDefault="00BC4DC8" w:rsidP="00BC4DC8">
      <w:pPr>
        <w:pStyle w:val="ListParagraph"/>
        <w:ind w:left="284"/>
        <w:jc w:val="both"/>
        <w:rPr>
          <w:rFonts w:ascii="Avenir Next" w:hAnsi="Avenir Next"/>
          <w:b/>
          <w:bCs/>
          <w:color w:val="808080" w:themeColor="background1" w:themeShade="80"/>
          <w:sz w:val="22"/>
          <w:szCs w:val="28"/>
          <w:u w:val="single"/>
        </w:rPr>
      </w:pPr>
    </w:p>
    <w:p w14:paraId="72983947" w14:textId="16AFC95F" w:rsidR="00FC5DA2" w:rsidRPr="00FC5DA2" w:rsidRDefault="00FC5DA2" w:rsidP="00FC5DA2">
      <w:pPr>
        <w:pStyle w:val="ListParagraph"/>
        <w:numPr>
          <w:ilvl w:val="0"/>
          <w:numId w:val="64"/>
        </w:numPr>
        <w:ind w:left="284" w:hanging="284"/>
        <w:jc w:val="both"/>
        <w:rPr>
          <w:rFonts w:ascii="Avenir Next" w:hAnsi="Avenir Next"/>
          <w:b/>
          <w:bCs/>
          <w:color w:val="808080" w:themeColor="background1" w:themeShade="80"/>
          <w:sz w:val="22"/>
          <w:szCs w:val="28"/>
          <w:u w:val="single"/>
        </w:rPr>
      </w:pPr>
      <w:r>
        <w:rPr>
          <w:rFonts w:ascii="Avenir Next" w:hAnsi="Avenir Next"/>
          <w:color w:val="808080" w:themeColor="background1" w:themeShade="80"/>
          <w:sz w:val="22"/>
          <w:szCs w:val="28"/>
        </w:rPr>
        <w:t>The client ha</w:t>
      </w:r>
      <w:r w:rsidR="00D841E4">
        <w:rPr>
          <w:rFonts w:ascii="Avenir Next" w:hAnsi="Avenir Next"/>
          <w:color w:val="808080" w:themeColor="background1" w:themeShade="80"/>
          <w:sz w:val="22"/>
          <w:szCs w:val="28"/>
        </w:rPr>
        <w:t>d</w:t>
      </w:r>
      <w:r>
        <w:rPr>
          <w:rFonts w:ascii="Avenir Next" w:hAnsi="Avenir Next"/>
          <w:color w:val="808080" w:themeColor="background1" w:themeShade="80"/>
          <w:sz w:val="22"/>
          <w:szCs w:val="28"/>
        </w:rPr>
        <w:t xml:space="preserve"> the authority to convene the Scheme Meeting under the Convening Order. However, it is unclear from the facts of the case, whether the client is empowered to be the representative of the Scheme either under the Convening Order and/or the Sanction Order. </w:t>
      </w:r>
      <w:r w:rsidR="000444B7">
        <w:rPr>
          <w:rFonts w:ascii="Avenir Next" w:hAnsi="Avenir Next"/>
          <w:color w:val="808080" w:themeColor="background1" w:themeShade="80"/>
          <w:sz w:val="22"/>
          <w:szCs w:val="28"/>
        </w:rPr>
        <w:t xml:space="preserve">However, see discussion below on </w:t>
      </w:r>
      <w:r w:rsidR="000444B7" w:rsidRPr="000444B7">
        <w:rPr>
          <w:rFonts w:ascii="Avenir Next" w:hAnsi="Avenir Next"/>
          <w:b/>
          <w:bCs/>
          <w:i/>
          <w:iCs/>
          <w:color w:val="808080" w:themeColor="background1" w:themeShade="80"/>
          <w:sz w:val="22"/>
          <w:szCs w:val="28"/>
          <w:u w:val="single"/>
        </w:rPr>
        <w:t>R</w:t>
      </w:r>
      <w:r w:rsidR="000444B7">
        <w:rPr>
          <w:rFonts w:ascii="Avenir Next" w:hAnsi="Avenir Next"/>
          <w:b/>
          <w:bCs/>
          <w:i/>
          <w:iCs/>
          <w:color w:val="808080" w:themeColor="background1" w:themeShade="80"/>
          <w:sz w:val="22"/>
          <w:szCs w:val="28"/>
          <w:u w:val="single"/>
        </w:rPr>
        <w:t>e</w:t>
      </w:r>
      <w:r w:rsidR="000444B7" w:rsidRPr="000444B7">
        <w:rPr>
          <w:rFonts w:ascii="Avenir Next" w:hAnsi="Avenir Next"/>
          <w:b/>
          <w:bCs/>
          <w:i/>
          <w:iCs/>
          <w:color w:val="808080" w:themeColor="background1" w:themeShade="80"/>
          <w:sz w:val="22"/>
          <w:szCs w:val="28"/>
          <w:u w:val="single"/>
        </w:rPr>
        <w:t xml:space="preserve"> BTA Bank JSC</w:t>
      </w:r>
      <w:r w:rsidR="000444B7">
        <w:rPr>
          <w:rFonts w:ascii="Avenir Next" w:hAnsi="Avenir Next"/>
          <w:color w:val="808080" w:themeColor="background1" w:themeShade="80"/>
          <w:sz w:val="22"/>
          <w:szCs w:val="28"/>
        </w:rPr>
        <w:t xml:space="preserve"> at “D”. </w:t>
      </w:r>
    </w:p>
    <w:p w14:paraId="103A10F3" w14:textId="77777777" w:rsidR="00FC5DA2" w:rsidRDefault="00FC5DA2" w:rsidP="009E3CA7">
      <w:pPr>
        <w:jc w:val="both"/>
        <w:rPr>
          <w:rFonts w:ascii="Avenir Next" w:hAnsi="Avenir Next"/>
          <w:b/>
          <w:bCs/>
          <w:color w:val="808080" w:themeColor="background1" w:themeShade="80"/>
          <w:sz w:val="22"/>
          <w:szCs w:val="28"/>
          <w:u w:val="single"/>
        </w:rPr>
      </w:pPr>
    </w:p>
    <w:p w14:paraId="550010E4" w14:textId="77777777" w:rsidR="00FC5DA2" w:rsidRDefault="00FC5DA2" w:rsidP="009E3CA7">
      <w:pPr>
        <w:jc w:val="both"/>
        <w:rPr>
          <w:rFonts w:ascii="Avenir Next" w:hAnsi="Avenir Next"/>
          <w:b/>
          <w:bCs/>
          <w:color w:val="808080" w:themeColor="background1" w:themeShade="80"/>
          <w:sz w:val="22"/>
          <w:szCs w:val="28"/>
          <w:u w:val="single"/>
        </w:rPr>
      </w:pPr>
    </w:p>
    <w:p w14:paraId="30D7E6F9" w14:textId="03E33ED6" w:rsidR="009E3CA7" w:rsidRDefault="00FC5DA2" w:rsidP="009E3CA7">
      <w:pPr>
        <w:jc w:val="both"/>
        <w:rPr>
          <w:rFonts w:ascii="Avenir Next" w:hAnsi="Avenir Next"/>
          <w:b/>
          <w:bCs/>
          <w:color w:val="808080" w:themeColor="background1" w:themeShade="80"/>
          <w:sz w:val="22"/>
          <w:szCs w:val="28"/>
          <w:u w:val="single"/>
        </w:rPr>
      </w:pPr>
      <w:r>
        <w:rPr>
          <w:rFonts w:ascii="Avenir Next" w:hAnsi="Avenir Next"/>
          <w:b/>
          <w:bCs/>
          <w:color w:val="808080" w:themeColor="background1" w:themeShade="80"/>
          <w:sz w:val="22"/>
          <w:szCs w:val="28"/>
          <w:u w:val="single"/>
        </w:rPr>
        <w:t xml:space="preserve">B </w:t>
      </w:r>
      <w:r>
        <w:rPr>
          <w:rFonts w:ascii="Avenir Next" w:hAnsi="Avenir Next"/>
          <w:b/>
          <w:bCs/>
          <w:color w:val="808080" w:themeColor="background1" w:themeShade="80"/>
          <w:sz w:val="22"/>
          <w:szCs w:val="28"/>
          <w:u w:val="single"/>
        </w:rPr>
        <w:tab/>
        <w:t>Application for r</w:t>
      </w:r>
      <w:r w:rsidR="00AD34CC" w:rsidRPr="00AD34CC">
        <w:rPr>
          <w:rFonts w:ascii="Avenir Next" w:hAnsi="Avenir Next"/>
          <w:b/>
          <w:bCs/>
          <w:color w:val="808080" w:themeColor="background1" w:themeShade="80"/>
          <w:sz w:val="22"/>
          <w:szCs w:val="28"/>
          <w:u w:val="single"/>
        </w:rPr>
        <w:t xml:space="preserve">ecognition of Cayman Islands Sanction Order of Globe Holdings as </w:t>
      </w:r>
      <w:r>
        <w:rPr>
          <w:rFonts w:ascii="Avenir Next" w:hAnsi="Avenir Next"/>
          <w:b/>
          <w:bCs/>
          <w:color w:val="808080" w:themeColor="background1" w:themeShade="80"/>
          <w:sz w:val="22"/>
          <w:szCs w:val="28"/>
          <w:u w:val="single"/>
        </w:rPr>
        <w:t xml:space="preserve">a </w:t>
      </w:r>
      <w:r w:rsidR="00AD34CC" w:rsidRPr="00AD34CC">
        <w:rPr>
          <w:rFonts w:ascii="Avenir Next" w:hAnsi="Avenir Next"/>
          <w:b/>
          <w:bCs/>
          <w:color w:val="808080" w:themeColor="background1" w:themeShade="80"/>
          <w:sz w:val="22"/>
          <w:szCs w:val="28"/>
          <w:u w:val="single"/>
        </w:rPr>
        <w:t>Foreign Main Proceeding</w:t>
      </w:r>
    </w:p>
    <w:p w14:paraId="03724ED1" w14:textId="77777777" w:rsidR="00AD34CC" w:rsidRDefault="00AD34CC" w:rsidP="009E3CA7">
      <w:pPr>
        <w:jc w:val="both"/>
        <w:rPr>
          <w:rFonts w:ascii="Avenir Next" w:hAnsi="Avenir Next"/>
          <w:b/>
          <w:bCs/>
          <w:color w:val="808080" w:themeColor="background1" w:themeShade="80"/>
          <w:sz w:val="22"/>
          <w:szCs w:val="28"/>
          <w:u w:val="single"/>
        </w:rPr>
      </w:pPr>
    </w:p>
    <w:p w14:paraId="4CD43419" w14:textId="01D44057" w:rsidR="00AD34CC" w:rsidRDefault="00FC5DA2" w:rsidP="00AD34CC">
      <w:pPr>
        <w:pStyle w:val="ListParagraph"/>
        <w:numPr>
          <w:ilvl w:val="0"/>
          <w:numId w:val="63"/>
        </w:numPr>
        <w:ind w:left="284" w:hanging="284"/>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Assuming the client is empowered to act as the foreign representative either under the Convening Order and/or Sanction Order, the client would apply to the US court for </w:t>
      </w:r>
      <w:r w:rsidR="00AD34CC" w:rsidRPr="00D610FC">
        <w:rPr>
          <w:rFonts w:ascii="Avenir Next" w:hAnsi="Avenir Next"/>
          <w:color w:val="808080" w:themeColor="background1" w:themeShade="80"/>
          <w:sz w:val="22"/>
          <w:szCs w:val="28"/>
        </w:rPr>
        <w:t>recognition of Sanction Order of Globe Holdings as a Foreign Main Proceeding (“</w:t>
      </w:r>
      <w:r w:rsidR="00AD34CC" w:rsidRPr="00D610FC">
        <w:rPr>
          <w:rFonts w:ascii="Avenir Next" w:hAnsi="Avenir Next"/>
          <w:b/>
          <w:bCs/>
          <w:color w:val="808080" w:themeColor="background1" w:themeShade="80"/>
          <w:sz w:val="22"/>
          <w:szCs w:val="28"/>
        </w:rPr>
        <w:t>FMP</w:t>
      </w:r>
      <w:r w:rsidR="00AD34CC" w:rsidRPr="00D610FC">
        <w:rPr>
          <w:rFonts w:ascii="Avenir Next" w:hAnsi="Avenir Next"/>
          <w:color w:val="808080" w:themeColor="background1" w:themeShade="80"/>
          <w:sz w:val="22"/>
          <w:szCs w:val="28"/>
        </w:rPr>
        <w:t xml:space="preserve">”) under Chapter 15 </w:t>
      </w:r>
      <w:r w:rsidR="00D610FC">
        <w:rPr>
          <w:rFonts w:ascii="Avenir Next" w:hAnsi="Avenir Next"/>
          <w:color w:val="808080" w:themeColor="background1" w:themeShade="80"/>
          <w:sz w:val="22"/>
          <w:szCs w:val="28"/>
        </w:rPr>
        <w:t xml:space="preserve">of the Bankruptcy Code </w:t>
      </w:r>
      <w:r w:rsidR="00AD34CC" w:rsidRPr="00D610FC">
        <w:rPr>
          <w:rFonts w:ascii="Avenir Next" w:hAnsi="Avenir Next"/>
          <w:color w:val="808080" w:themeColor="background1" w:themeShade="80"/>
          <w:sz w:val="22"/>
          <w:szCs w:val="28"/>
        </w:rPr>
        <w:t>in the US</w:t>
      </w:r>
      <w:r w:rsidR="008F5B0F">
        <w:rPr>
          <w:rFonts w:ascii="Avenir Next" w:hAnsi="Avenir Next"/>
          <w:color w:val="808080" w:themeColor="background1" w:themeShade="80"/>
          <w:sz w:val="22"/>
          <w:szCs w:val="28"/>
        </w:rPr>
        <w:t xml:space="preserve"> (“</w:t>
      </w:r>
      <w:r w:rsidR="008F5B0F" w:rsidRPr="008F5B0F">
        <w:rPr>
          <w:rFonts w:ascii="Avenir Next" w:hAnsi="Avenir Next"/>
          <w:b/>
          <w:bCs/>
          <w:color w:val="808080" w:themeColor="background1" w:themeShade="80"/>
          <w:sz w:val="22"/>
          <w:szCs w:val="28"/>
        </w:rPr>
        <w:t>Recognition Application</w:t>
      </w:r>
      <w:r w:rsidR="008F5B0F">
        <w:rPr>
          <w:rFonts w:ascii="Avenir Next" w:hAnsi="Avenir Next"/>
          <w:color w:val="808080" w:themeColor="background1" w:themeShade="80"/>
          <w:sz w:val="22"/>
          <w:szCs w:val="28"/>
        </w:rPr>
        <w:t>”)</w:t>
      </w:r>
      <w:r w:rsidR="00AD34CC" w:rsidRPr="00D610FC">
        <w:rPr>
          <w:rFonts w:ascii="Avenir Next" w:hAnsi="Avenir Next"/>
          <w:color w:val="808080" w:themeColor="background1" w:themeShade="80"/>
          <w:sz w:val="22"/>
          <w:szCs w:val="28"/>
        </w:rPr>
        <w:t xml:space="preserve">. </w:t>
      </w:r>
    </w:p>
    <w:p w14:paraId="44E777B2" w14:textId="77777777" w:rsidR="00D841E4" w:rsidRPr="00D610FC" w:rsidRDefault="00D841E4" w:rsidP="00D841E4">
      <w:pPr>
        <w:pStyle w:val="ListParagraph"/>
        <w:ind w:left="284"/>
        <w:jc w:val="both"/>
        <w:rPr>
          <w:rFonts w:ascii="Avenir Next" w:hAnsi="Avenir Next"/>
          <w:color w:val="808080" w:themeColor="background1" w:themeShade="80"/>
          <w:sz w:val="22"/>
          <w:szCs w:val="28"/>
        </w:rPr>
      </w:pPr>
    </w:p>
    <w:p w14:paraId="2205B5B7" w14:textId="3A15A73F" w:rsidR="00D610FC" w:rsidRDefault="00311AA9" w:rsidP="00D610FC">
      <w:pPr>
        <w:pStyle w:val="ListParagraph"/>
        <w:numPr>
          <w:ilvl w:val="0"/>
          <w:numId w:val="63"/>
        </w:numPr>
        <w:ind w:left="284" w:hanging="284"/>
        <w:jc w:val="both"/>
        <w:rPr>
          <w:rFonts w:ascii="Avenir Next" w:hAnsi="Avenir Next"/>
          <w:color w:val="808080" w:themeColor="background1" w:themeShade="80"/>
          <w:sz w:val="22"/>
          <w:szCs w:val="28"/>
        </w:rPr>
      </w:pPr>
      <w:r w:rsidRPr="00EE78C9">
        <w:rPr>
          <w:rFonts w:ascii="Avenir Next" w:hAnsi="Avenir Next"/>
          <w:b/>
          <w:bCs/>
          <w:color w:val="808080" w:themeColor="background1" w:themeShade="80"/>
          <w:sz w:val="22"/>
          <w:szCs w:val="28"/>
          <w:u w:val="single"/>
        </w:rPr>
        <w:t>Article</w:t>
      </w:r>
      <w:r w:rsidR="008F5B0F" w:rsidRPr="00EE78C9">
        <w:rPr>
          <w:rFonts w:ascii="Avenir Next" w:hAnsi="Avenir Next"/>
          <w:b/>
          <w:bCs/>
          <w:color w:val="808080" w:themeColor="background1" w:themeShade="80"/>
          <w:sz w:val="22"/>
          <w:szCs w:val="28"/>
          <w:u w:val="single"/>
        </w:rPr>
        <w:t>s</w:t>
      </w:r>
      <w:r w:rsidRPr="00EE78C9">
        <w:rPr>
          <w:rFonts w:ascii="Avenir Next" w:hAnsi="Avenir Next"/>
          <w:b/>
          <w:bCs/>
          <w:color w:val="808080" w:themeColor="background1" w:themeShade="80"/>
          <w:sz w:val="22"/>
          <w:szCs w:val="28"/>
          <w:u w:val="single"/>
        </w:rPr>
        <w:t xml:space="preserve"> 15(2)</w:t>
      </w:r>
      <w:r w:rsidR="008F5B0F" w:rsidRPr="00EE78C9">
        <w:rPr>
          <w:rFonts w:ascii="Avenir Next" w:hAnsi="Avenir Next"/>
          <w:b/>
          <w:bCs/>
          <w:color w:val="808080" w:themeColor="background1" w:themeShade="80"/>
          <w:sz w:val="22"/>
          <w:szCs w:val="28"/>
          <w:u w:val="single"/>
        </w:rPr>
        <w:t xml:space="preserve"> and 15(3)</w:t>
      </w:r>
      <w:r>
        <w:rPr>
          <w:rFonts w:ascii="Avenir Next" w:hAnsi="Avenir Next"/>
          <w:color w:val="808080" w:themeColor="background1" w:themeShade="80"/>
          <w:sz w:val="22"/>
          <w:szCs w:val="28"/>
        </w:rPr>
        <w:t xml:space="preserve"> of the MLCBI </w:t>
      </w:r>
      <w:r w:rsidR="00FC5DA2">
        <w:rPr>
          <w:rFonts w:ascii="Avenir Next" w:hAnsi="Avenir Next"/>
          <w:color w:val="808080" w:themeColor="background1" w:themeShade="80"/>
          <w:sz w:val="22"/>
          <w:szCs w:val="28"/>
        </w:rPr>
        <w:t xml:space="preserve">provide </w:t>
      </w:r>
      <w:r>
        <w:rPr>
          <w:rFonts w:ascii="Avenir Next" w:hAnsi="Avenir Next"/>
          <w:color w:val="808080" w:themeColor="background1" w:themeShade="80"/>
          <w:sz w:val="22"/>
          <w:szCs w:val="28"/>
        </w:rPr>
        <w:t>that the application for recognition must be accompanied by</w:t>
      </w:r>
      <w:r w:rsidR="00FC5DA2">
        <w:rPr>
          <w:rFonts w:ascii="Avenir Next" w:hAnsi="Avenir Next"/>
          <w:color w:val="808080" w:themeColor="background1" w:themeShade="80"/>
          <w:sz w:val="22"/>
          <w:szCs w:val="28"/>
        </w:rPr>
        <w:t xml:space="preserve"> the following documents</w:t>
      </w:r>
      <w:r>
        <w:rPr>
          <w:rFonts w:ascii="Avenir Next" w:hAnsi="Avenir Next"/>
          <w:color w:val="808080" w:themeColor="background1" w:themeShade="80"/>
          <w:sz w:val="22"/>
          <w:szCs w:val="28"/>
        </w:rPr>
        <w:t>:</w:t>
      </w:r>
    </w:p>
    <w:p w14:paraId="57EF329A" w14:textId="3C3BD4D2" w:rsidR="00311AA9" w:rsidRDefault="00311AA9" w:rsidP="00311AA9">
      <w:pPr>
        <w:pStyle w:val="ListParagraph"/>
        <w:numPr>
          <w:ilvl w:val="1"/>
          <w:numId w:val="63"/>
        </w:numPr>
        <w:ind w:left="567" w:hanging="28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certificate of the decision commencing the foreign proceeding and appointing the foreign representative; or</w:t>
      </w:r>
    </w:p>
    <w:p w14:paraId="50B9614C" w14:textId="51BF3ACD" w:rsidR="00311AA9" w:rsidRDefault="00311AA9" w:rsidP="00311AA9">
      <w:pPr>
        <w:pStyle w:val="ListParagraph"/>
        <w:numPr>
          <w:ilvl w:val="1"/>
          <w:numId w:val="63"/>
        </w:numPr>
        <w:ind w:left="567" w:hanging="28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certificate from the foreign court affirming the existence of the foreign proceeding and of the appointment of the foreign representative</w:t>
      </w:r>
      <w:r w:rsidR="006D33A6">
        <w:rPr>
          <w:rFonts w:ascii="Avenir Next" w:hAnsi="Avenir Next"/>
          <w:color w:val="808080" w:themeColor="background1" w:themeShade="80"/>
          <w:sz w:val="22"/>
          <w:szCs w:val="28"/>
        </w:rPr>
        <w:t>; or</w:t>
      </w:r>
    </w:p>
    <w:p w14:paraId="3CEC36DB" w14:textId="419E229C" w:rsidR="006D33A6" w:rsidRDefault="006D33A6" w:rsidP="00311AA9">
      <w:pPr>
        <w:pStyle w:val="ListParagraph"/>
        <w:numPr>
          <w:ilvl w:val="1"/>
          <w:numId w:val="63"/>
        </w:numPr>
        <w:ind w:left="567" w:hanging="28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Any other evidence acceptable to the court of the existence of the foreign proceeding and appointment of the foreign representative</w:t>
      </w:r>
      <w:r w:rsidR="008F5B0F">
        <w:rPr>
          <w:rFonts w:ascii="Avenir Next" w:hAnsi="Avenir Next"/>
          <w:color w:val="808080" w:themeColor="background1" w:themeShade="80"/>
          <w:sz w:val="22"/>
          <w:szCs w:val="28"/>
        </w:rPr>
        <w:t xml:space="preserve">; and </w:t>
      </w:r>
    </w:p>
    <w:p w14:paraId="2177424E" w14:textId="77777777" w:rsidR="006D33A6" w:rsidRDefault="006D33A6" w:rsidP="006D33A6">
      <w:pPr>
        <w:pStyle w:val="ListParagraph"/>
        <w:numPr>
          <w:ilvl w:val="1"/>
          <w:numId w:val="63"/>
        </w:numPr>
        <w:ind w:left="567" w:hanging="28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statement identifying all foreign proceedings in relation to the debtor known to the foreign representative.</w:t>
      </w:r>
    </w:p>
    <w:p w14:paraId="1B678A01" w14:textId="77777777" w:rsidR="00D841E4" w:rsidRDefault="00D841E4" w:rsidP="00D841E4">
      <w:pPr>
        <w:pStyle w:val="ListParagraph"/>
        <w:ind w:left="567"/>
        <w:jc w:val="both"/>
        <w:rPr>
          <w:rFonts w:ascii="Avenir Next" w:hAnsi="Avenir Next"/>
          <w:color w:val="808080" w:themeColor="background1" w:themeShade="80"/>
          <w:sz w:val="22"/>
          <w:szCs w:val="28"/>
        </w:rPr>
      </w:pPr>
    </w:p>
    <w:p w14:paraId="717D32C2" w14:textId="597F7C48" w:rsidR="008F5B0F" w:rsidRDefault="008F5B0F" w:rsidP="008F5B0F">
      <w:pPr>
        <w:pStyle w:val="ListParagraph"/>
        <w:numPr>
          <w:ilvl w:val="0"/>
          <w:numId w:val="63"/>
        </w:numPr>
        <w:ind w:left="284" w:hanging="284"/>
        <w:jc w:val="both"/>
        <w:rPr>
          <w:rFonts w:ascii="Avenir Next" w:hAnsi="Avenir Next"/>
          <w:color w:val="808080" w:themeColor="background1" w:themeShade="80"/>
          <w:sz w:val="22"/>
          <w:szCs w:val="28"/>
        </w:rPr>
      </w:pPr>
      <w:r w:rsidRPr="00EE78C9">
        <w:rPr>
          <w:rFonts w:ascii="Avenir Next" w:hAnsi="Avenir Next"/>
          <w:b/>
          <w:bCs/>
          <w:color w:val="808080" w:themeColor="background1" w:themeShade="80"/>
          <w:sz w:val="22"/>
          <w:szCs w:val="28"/>
          <w:u w:val="single"/>
        </w:rPr>
        <w:lastRenderedPageBreak/>
        <w:t>Article 16(3)</w:t>
      </w:r>
      <w:r>
        <w:rPr>
          <w:rFonts w:ascii="Avenir Next" w:hAnsi="Avenir Next"/>
          <w:color w:val="808080" w:themeColor="background1" w:themeShade="80"/>
          <w:sz w:val="22"/>
          <w:szCs w:val="28"/>
        </w:rPr>
        <w:t xml:space="preserve"> of the MLCBI provides that in the absence of evidence to the contrary., the debtor’s registered office is presumed to be the debtor’s centre of main interests (“</w:t>
      </w:r>
      <w:r w:rsidRPr="008F5B0F">
        <w:rPr>
          <w:rFonts w:ascii="Avenir Next" w:hAnsi="Avenir Next"/>
          <w:b/>
          <w:bCs/>
          <w:color w:val="808080" w:themeColor="background1" w:themeShade="80"/>
          <w:sz w:val="22"/>
          <w:szCs w:val="28"/>
        </w:rPr>
        <w:t>COMI</w:t>
      </w:r>
      <w:r>
        <w:rPr>
          <w:rFonts w:ascii="Avenir Next" w:hAnsi="Avenir Next"/>
          <w:color w:val="808080" w:themeColor="background1" w:themeShade="80"/>
          <w:sz w:val="22"/>
          <w:szCs w:val="28"/>
        </w:rPr>
        <w:t>”)</w:t>
      </w:r>
      <w:r w:rsidR="000E3348">
        <w:rPr>
          <w:rFonts w:ascii="Avenir Next" w:hAnsi="Avenir Next"/>
          <w:color w:val="808080" w:themeColor="background1" w:themeShade="80"/>
          <w:sz w:val="22"/>
          <w:szCs w:val="28"/>
        </w:rPr>
        <w:t xml:space="preserve">, and which COMI is readily </w:t>
      </w:r>
      <w:r w:rsidR="000E3348" w:rsidRPr="000E3348">
        <w:rPr>
          <w:rFonts w:ascii="Avenir Next" w:hAnsi="Avenir Next"/>
          <w:b/>
          <w:bCs/>
          <w:color w:val="808080" w:themeColor="background1" w:themeShade="80"/>
          <w:sz w:val="22"/>
          <w:szCs w:val="28"/>
          <w:u w:val="single"/>
        </w:rPr>
        <w:t>ascertainable objectively</w:t>
      </w:r>
      <w:r w:rsidR="000E3348">
        <w:rPr>
          <w:rFonts w:ascii="Avenir Next" w:hAnsi="Avenir Next"/>
          <w:color w:val="808080" w:themeColor="background1" w:themeShade="80"/>
          <w:sz w:val="22"/>
          <w:szCs w:val="28"/>
        </w:rPr>
        <w:t xml:space="preserve"> by third parties. The </w:t>
      </w:r>
      <w:r w:rsidR="000E3348" w:rsidRPr="000E3348">
        <w:rPr>
          <w:rFonts w:ascii="Avenir Next" w:hAnsi="Avenir Next"/>
          <w:b/>
          <w:bCs/>
          <w:color w:val="808080" w:themeColor="background1" w:themeShade="80"/>
          <w:sz w:val="22"/>
          <w:szCs w:val="28"/>
          <w:u w:val="single"/>
        </w:rPr>
        <w:t>date for determining the COMI</w:t>
      </w:r>
      <w:r w:rsidR="000E3348">
        <w:rPr>
          <w:rFonts w:ascii="Avenir Next" w:hAnsi="Avenir Next"/>
          <w:color w:val="808080" w:themeColor="background1" w:themeShade="80"/>
          <w:sz w:val="22"/>
          <w:szCs w:val="28"/>
        </w:rPr>
        <w:t xml:space="preserve"> is the date of the </w:t>
      </w:r>
      <w:r w:rsidR="000E3348" w:rsidRPr="000E3348">
        <w:rPr>
          <w:rFonts w:ascii="Avenir Next" w:hAnsi="Avenir Next"/>
          <w:b/>
          <w:bCs/>
          <w:color w:val="808080" w:themeColor="background1" w:themeShade="80"/>
          <w:sz w:val="22"/>
          <w:szCs w:val="28"/>
          <w:u w:val="single"/>
        </w:rPr>
        <w:t>commencement of the foreign proceedings</w:t>
      </w:r>
      <w:r w:rsidR="000E3348">
        <w:rPr>
          <w:rFonts w:ascii="Avenir Next" w:hAnsi="Avenir Next"/>
          <w:color w:val="808080" w:themeColor="background1" w:themeShade="80"/>
          <w:sz w:val="22"/>
          <w:szCs w:val="28"/>
        </w:rPr>
        <w:t>. Some of the factors relevant for determining COMI include:</w:t>
      </w:r>
    </w:p>
    <w:p w14:paraId="2A8BC0B5" w14:textId="5BA5647E" w:rsidR="000E3348" w:rsidRDefault="000E3348" w:rsidP="000E3348">
      <w:pPr>
        <w:pStyle w:val="ListParagraph"/>
        <w:numPr>
          <w:ilvl w:val="1"/>
          <w:numId w:val="63"/>
        </w:numPr>
        <w:ind w:left="567" w:hanging="28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of the debtor’s books and records;</w:t>
      </w:r>
    </w:p>
    <w:p w14:paraId="5667B3DA" w14:textId="4DDB78C8" w:rsidR="000E3348" w:rsidRDefault="000E3348" w:rsidP="000E3348">
      <w:pPr>
        <w:pStyle w:val="ListParagraph"/>
        <w:numPr>
          <w:ilvl w:val="1"/>
          <w:numId w:val="63"/>
        </w:numPr>
        <w:ind w:left="567" w:hanging="28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location in which the debtor’s main assets or operations are found;</w:t>
      </w:r>
    </w:p>
    <w:p w14:paraId="07220C09" w14:textId="1D7B409C" w:rsidR="000E3348" w:rsidRDefault="000E3348" w:rsidP="000E3348">
      <w:pPr>
        <w:pStyle w:val="ListParagraph"/>
        <w:numPr>
          <w:ilvl w:val="1"/>
          <w:numId w:val="63"/>
        </w:numPr>
        <w:ind w:left="567" w:hanging="28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location of the debtor’s main bank ;</w:t>
      </w:r>
    </w:p>
    <w:p w14:paraId="397261B7" w14:textId="1BA9EDCA" w:rsidR="000E3348" w:rsidRDefault="000E3348" w:rsidP="000E3348">
      <w:pPr>
        <w:pStyle w:val="ListParagraph"/>
        <w:numPr>
          <w:ilvl w:val="1"/>
          <w:numId w:val="63"/>
        </w:numPr>
        <w:ind w:left="567" w:hanging="28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location of employees. </w:t>
      </w:r>
    </w:p>
    <w:p w14:paraId="0162AE41" w14:textId="77777777" w:rsidR="000E3348" w:rsidRPr="000E3348" w:rsidRDefault="000E3348" w:rsidP="000E3348">
      <w:pPr>
        <w:jc w:val="both"/>
        <w:rPr>
          <w:rFonts w:ascii="Avenir Next" w:hAnsi="Avenir Next"/>
          <w:color w:val="808080" w:themeColor="background1" w:themeShade="80"/>
          <w:sz w:val="22"/>
          <w:szCs w:val="28"/>
        </w:rPr>
      </w:pPr>
    </w:p>
    <w:p w14:paraId="0CD7CF09" w14:textId="0908A01E" w:rsidR="006D33A6" w:rsidRDefault="008F5B0F" w:rsidP="006D33A6">
      <w:pPr>
        <w:pStyle w:val="ListParagraph"/>
        <w:numPr>
          <w:ilvl w:val="0"/>
          <w:numId w:val="63"/>
        </w:numPr>
        <w:ind w:left="284" w:hanging="284"/>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light of the Articles 15(2), 15(3) and 16(3), t</w:t>
      </w:r>
      <w:r w:rsidR="006D33A6" w:rsidRPr="006D33A6">
        <w:rPr>
          <w:rFonts w:ascii="Avenir Next" w:hAnsi="Avenir Next"/>
          <w:color w:val="808080" w:themeColor="background1" w:themeShade="80"/>
          <w:sz w:val="22"/>
          <w:szCs w:val="28"/>
        </w:rPr>
        <w:t>he client would be advised to enclose a copy of the following papers in its Recognition Application:</w:t>
      </w:r>
    </w:p>
    <w:p w14:paraId="04EAF7E6" w14:textId="46B500FA" w:rsidR="006D33A6" w:rsidRDefault="006D33A6" w:rsidP="006D33A6">
      <w:pPr>
        <w:pStyle w:val="ListParagraph"/>
        <w:numPr>
          <w:ilvl w:val="1"/>
          <w:numId w:val="63"/>
        </w:numPr>
        <w:ind w:left="567" w:hanging="283"/>
        <w:jc w:val="both"/>
        <w:rPr>
          <w:rFonts w:ascii="Avenir Next" w:hAnsi="Avenir Next"/>
          <w:color w:val="808080" w:themeColor="background1" w:themeShade="80"/>
          <w:sz w:val="22"/>
          <w:szCs w:val="28"/>
        </w:rPr>
      </w:pPr>
      <w:r w:rsidRPr="006D33A6">
        <w:rPr>
          <w:rFonts w:ascii="Avenir Next" w:hAnsi="Avenir Next"/>
          <w:color w:val="808080" w:themeColor="background1" w:themeShade="80"/>
          <w:sz w:val="22"/>
          <w:szCs w:val="28"/>
        </w:rPr>
        <w:t>a copy of the Convening Order and the Sanction Order</w:t>
      </w:r>
      <w:r>
        <w:rPr>
          <w:rFonts w:ascii="Avenir Next" w:hAnsi="Avenir Next"/>
          <w:color w:val="808080" w:themeColor="background1" w:themeShade="80"/>
          <w:sz w:val="22"/>
          <w:szCs w:val="28"/>
        </w:rPr>
        <w:t>;</w:t>
      </w:r>
    </w:p>
    <w:p w14:paraId="61CB67DA" w14:textId="18D152AF" w:rsidR="006D33A6" w:rsidRDefault="00782F9E" w:rsidP="006D33A6">
      <w:pPr>
        <w:pStyle w:val="ListParagraph"/>
        <w:numPr>
          <w:ilvl w:val="1"/>
          <w:numId w:val="63"/>
        </w:numPr>
        <w:ind w:left="567" w:hanging="28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order to show that Globe Holdings has its COMI in the Cayman Islands, to enclose a copy of:</w:t>
      </w:r>
    </w:p>
    <w:p w14:paraId="7477D18E" w14:textId="558F1950" w:rsidR="00782F9E" w:rsidRDefault="00EC2378" w:rsidP="008F5B0F">
      <w:pPr>
        <w:pStyle w:val="ListParagraph"/>
        <w:numPr>
          <w:ilvl w:val="2"/>
          <w:numId w:val="63"/>
        </w:numPr>
        <w:ind w:left="99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Certificate of Registration by Way of Continuation in the Cayman Islands;</w:t>
      </w:r>
    </w:p>
    <w:p w14:paraId="1D8C45CC" w14:textId="5AEF69E2" w:rsidR="00EC2378" w:rsidRDefault="00EC2378" w:rsidP="008F5B0F">
      <w:pPr>
        <w:pStyle w:val="ListParagraph"/>
        <w:numPr>
          <w:ilvl w:val="2"/>
          <w:numId w:val="63"/>
        </w:numPr>
        <w:ind w:left="99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Notices of its re-incorporation in the Cayman </w:t>
      </w:r>
      <w:r w:rsidR="00FC5DA2">
        <w:rPr>
          <w:rFonts w:ascii="Avenir Next" w:hAnsi="Avenir Next"/>
          <w:color w:val="808080" w:themeColor="background1" w:themeShade="80"/>
          <w:sz w:val="22"/>
          <w:szCs w:val="28"/>
        </w:rPr>
        <w:t>Islan</w:t>
      </w:r>
      <w:r>
        <w:rPr>
          <w:rFonts w:ascii="Avenir Next" w:hAnsi="Avenir Next"/>
          <w:color w:val="808080" w:themeColor="background1" w:themeShade="80"/>
          <w:sz w:val="22"/>
          <w:szCs w:val="28"/>
        </w:rPr>
        <w:t>ds, e</w:t>
      </w:r>
      <w:r w:rsidR="000E3348">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g</w:t>
      </w:r>
      <w:r w:rsidR="000E3348">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its public filings with the Securities and Exchange Commission.</w:t>
      </w:r>
    </w:p>
    <w:p w14:paraId="07C156AA" w14:textId="59033D87" w:rsidR="00EC2378" w:rsidRDefault="00EC2378" w:rsidP="008F5B0F">
      <w:pPr>
        <w:pStyle w:val="ListParagraph"/>
        <w:numPr>
          <w:ilvl w:val="2"/>
          <w:numId w:val="63"/>
        </w:numPr>
        <w:ind w:left="99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Its bank account statement (appropriately redacted) in the Cayman Islands;</w:t>
      </w:r>
    </w:p>
    <w:p w14:paraId="14BBAB0C" w14:textId="445DEFCC" w:rsidR="00EC2378" w:rsidRDefault="00EC2378" w:rsidP="008F5B0F">
      <w:pPr>
        <w:pStyle w:val="ListParagraph"/>
        <w:numPr>
          <w:ilvl w:val="2"/>
          <w:numId w:val="63"/>
        </w:numPr>
        <w:ind w:left="99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Books and records maintained in the Cayman Islands;</w:t>
      </w:r>
    </w:p>
    <w:p w14:paraId="2D05045D" w14:textId="75662740" w:rsidR="00EC2378" w:rsidRDefault="00EC2378" w:rsidP="008F5B0F">
      <w:pPr>
        <w:pStyle w:val="ListParagraph"/>
        <w:numPr>
          <w:ilvl w:val="2"/>
          <w:numId w:val="63"/>
        </w:numPr>
        <w:ind w:left="993"/>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SEC filings and prospectus provided in connection with the issuance of notes </w:t>
      </w:r>
      <w:r w:rsidR="008F5B0F">
        <w:rPr>
          <w:rFonts w:ascii="Avenir Next" w:hAnsi="Avenir Next"/>
          <w:color w:val="808080" w:themeColor="background1" w:themeShade="80"/>
          <w:sz w:val="22"/>
          <w:szCs w:val="28"/>
        </w:rPr>
        <w:t xml:space="preserve">that </w:t>
      </w:r>
      <w:r>
        <w:rPr>
          <w:rFonts w:ascii="Avenir Next" w:hAnsi="Avenir Next"/>
          <w:color w:val="808080" w:themeColor="background1" w:themeShade="80"/>
          <w:sz w:val="22"/>
          <w:szCs w:val="28"/>
        </w:rPr>
        <w:t>disclosed that Globe Holdings is a Cayman Islands</w:t>
      </w:r>
      <w:r w:rsidR="008F5B0F">
        <w:rPr>
          <w:rFonts w:ascii="Avenir Next" w:hAnsi="Avenir Next"/>
          <w:color w:val="808080" w:themeColor="background1" w:themeShade="80"/>
          <w:sz w:val="22"/>
          <w:szCs w:val="28"/>
        </w:rPr>
        <w:t xml:space="preserve"> entity</w:t>
      </w:r>
      <w:r>
        <w:rPr>
          <w:rFonts w:ascii="Avenir Next" w:hAnsi="Avenir Next"/>
          <w:color w:val="808080" w:themeColor="background1" w:themeShade="80"/>
          <w:sz w:val="22"/>
          <w:szCs w:val="28"/>
        </w:rPr>
        <w:t xml:space="preserve">. </w:t>
      </w:r>
    </w:p>
    <w:p w14:paraId="0021C622" w14:textId="77777777" w:rsidR="00EE78C9" w:rsidRDefault="00EE78C9" w:rsidP="00EE78C9">
      <w:pPr>
        <w:pStyle w:val="ListParagraph"/>
        <w:ind w:left="993"/>
        <w:jc w:val="both"/>
        <w:rPr>
          <w:rFonts w:ascii="Avenir Next" w:hAnsi="Avenir Next"/>
          <w:color w:val="808080" w:themeColor="background1" w:themeShade="80"/>
          <w:sz w:val="22"/>
          <w:szCs w:val="28"/>
        </w:rPr>
      </w:pPr>
    </w:p>
    <w:p w14:paraId="7200CEC8" w14:textId="04633AB5" w:rsidR="000E3348" w:rsidRDefault="000E3348" w:rsidP="000E3348">
      <w:pPr>
        <w:pStyle w:val="ListParagraph"/>
        <w:numPr>
          <w:ilvl w:val="0"/>
          <w:numId w:val="63"/>
        </w:numPr>
        <w:ind w:left="284" w:hanging="284"/>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order to </w:t>
      </w:r>
      <w:r w:rsidRPr="000E3348">
        <w:rPr>
          <w:rFonts w:ascii="Avenir Next" w:hAnsi="Avenir Next"/>
          <w:b/>
          <w:bCs/>
          <w:color w:val="808080" w:themeColor="background1" w:themeShade="80"/>
          <w:sz w:val="22"/>
          <w:szCs w:val="28"/>
          <w:u w:val="single"/>
        </w:rPr>
        <w:t>avoid perceived abuse of process</w:t>
      </w:r>
      <w:r>
        <w:rPr>
          <w:rFonts w:ascii="Avenir Next" w:hAnsi="Avenir Next"/>
          <w:color w:val="808080" w:themeColor="background1" w:themeShade="80"/>
          <w:sz w:val="22"/>
          <w:szCs w:val="28"/>
        </w:rPr>
        <w:t xml:space="preserve">, the client is advised to </w:t>
      </w:r>
      <w:r w:rsidRPr="000E3348">
        <w:rPr>
          <w:rFonts w:ascii="Avenir Next" w:hAnsi="Avenir Next"/>
          <w:b/>
          <w:bCs/>
          <w:color w:val="808080" w:themeColor="background1" w:themeShade="80"/>
          <w:sz w:val="22"/>
          <w:szCs w:val="28"/>
          <w:u w:val="single"/>
        </w:rPr>
        <w:t>give full and frank disclosure</w:t>
      </w:r>
      <w:r>
        <w:rPr>
          <w:rFonts w:ascii="Avenir Next" w:hAnsi="Avenir Next"/>
          <w:color w:val="808080" w:themeColor="background1" w:themeShade="80"/>
          <w:sz w:val="22"/>
          <w:szCs w:val="28"/>
        </w:rPr>
        <w:t xml:space="preserve"> to the court that </w:t>
      </w:r>
      <w:r w:rsidRPr="000E3348">
        <w:rPr>
          <w:rFonts w:ascii="Avenir Next" w:hAnsi="Avenir Next"/>
          <w:b/>
          <w:bCs/>
          <w:color w:val="808080" w:themeColor="background1" w:themeShade="80"/>
          <w:sz w:val="22"/>
          <w:szCs w:val="28"/>
          <w:u w:val="single"/>
        </w:rPr>
        <w:t>Globe Holding’s employees and headquarters are in the US</w:t>
      </w:r>
      <w:r>
        <w:rPr>
          <w:rFonts w:ascii="Avenir Next" w:hAnsi="Avenir Next"/>
          <w:color w:val="808080" w:themeColor="background1" w:themeShade="80"/>
          <w:sz w:val="22"/>
          <w:szCs w:val="28"/>
        </w:rPr>
        <w:t>.</w:t>
      </w:r>
    </w:p>
    <w:p w14:paraId="055B45A4" w14:textId="77777777" w:rsidR="008F5B0F" w:rsidRDefault="008F5B0F" w:rsidP="000444B7">
      <w:pPr>
        <w:jc w:val="both"/>
        <w:rPr>
          <w:rFonts w:ascii="Avenir Next" w:hAnsi="Avenir Next"/>
          <w:color w:val="808080" w:themeColor="background1" w:themeShade="80"/>
          <w:sz w:val="22"/>
          <w:szCs w:val="28"/>
        </w:rPr>
      </w:pPr>
    </w:p>
    <w:p w14:paraId="020B107F" w14:textId="0AAA2E14" w:rsidR="000444B7" w:rsidRPr="000444B7" w:rsidRDefault="000444B7" w:rsidP="000444B7">
      <w:pPr>
        <w:jc w:val="both"/>
        <w:rPr>
          <w:rFonts w:ascii="Avenir Next" w:hAnsi="Avenir Next"/>
          <w:b/>
          <w:bCs/>
          <w:color w:val="808080" w:themeColor="background1" w:themeShade="80"/>
          <w:sz w:val="22"/>
          <w:szCs w:val="28"/>
          <w:u w:val="single"/>
        </w:rPr>
      </w:pPr>
      <w:r w:rsidRPr="000444B7">
        <w:rPr>
          <w:rFonts w:ascii="Avenir Next" w:hAnsi="Avenir Next"/>
          <w:b/>
          <w:bCs/>
          <w:color w:val="808080" w:themeColor="background1" w:themeShade="80"/>
          <w:sz w:val="22"/>
          <w:szCs w:val="28"/>
          <w:u w:val="single"/>
        </w:rPr>
        <w:t>RELIEF</w:t>
      </w:r>
    </w:p>
    <w:p w14:paraId="03DDFC4E" w14:textId="77777777" w:rsidR="000444B7" w:rsidRPr="000444B7" w:rsidRDefault="000444B7" w:rsidP="000444B7">
      <w:pPr>
        <w:jc w:val="both"/>
        <w:rPr>
          <w:rFonts w:ascii="Avenir Next" w:hAnsi="Avenir Next"/>
          <w:color w:val="808080" w:themeColor="background1" w:themeShade="80"/>
          <w:sz w:val="22"/>
          <w:szCs w:val="28"/>
        </w:rPr>
      </w:pPr>
    </w:p>
    <w:p w14:paraId="2C6904E3" w14:textId="60813FD8" w:rsidR="001514B4" w:rsidRDefault="008F5B0F" w:rsidP="001514B4">
      <w:pPr>
        <w:jc w:val="both"/>
        <w:rPr>
          <w:rFonts w:ascii="Avenir Next" w:hAnsi="Avenir Next"/>
          <w:b/>
          <w:bCs/>
          <w:color w:val="808080" w:themeColor="background1" w:themeShade="80"/>
          <w:sz w:val="22"/>
          <w:szCs w:val="28"/>
          <w:u w:val="single"/>
        </w:rPr>
      </w:pPr>
      <w:r>
        <w:rPr>
          <w:rFonts w:ascii="Avenir Next" w:hAnsi="Avenir Next"/>
          <w:b/>
          <w:bCs/>
          <w:color w:val="808080" w:themeColor="background1" w:themeShade="80"/>
          <w:sz w:val="22"/>
          <w:szCs w:val="28"/>
          <w:u w:val="single"/>
        </w:rPr>
        <w:t>C</w:t>
      </w:r>
      <w:r>
        <w:rPr>
          <w:rFonts w:ascii="Avenir Next" w:hAnsi="Avenir Next"/>
          <w:b/>
          <w:bCs/>
          <w:color w:val="808080" w:themeColor="background1" w:themeShade="80"/>
          <w:sz w:val="22"/>
          <w:szCs w:val="28"/>
          <w:u w:val="single"/>
        </w:rPr>
        <w:tab/>
      </w:r>
      <w:r w:rsidR="000444B7">
        <w:rPr>
          <w:rFonts w:ascii="Avenir Next" w:hAnsi="Avenir Next"/>
          <w:b/>
          <w:bCs/>
          <w:color w:val="808080" w:themeColor="background1" w:themeShade="80"/>
          <w:sz w:val="22"/>
          <w:szCs w:val="28"/>
          <w:u w:val="single"/>
        </w:rPr>
        <w:t xml:space="preserve">Discharge of New York governed notes valid under Cayman Islands arrangement - </w:t>
      </w:r>
      <w:r w:rsidR="00E62935" w:rsidRPr="00E62935">
        <w:rPr>
          <w:rFonts w:ascii="Avenir Next" w:hAnsi="Avenir Next"/>
          <w:b/>
          <w:bCs/>
          <w:i/>
          <w:iCs/>
          <w:color w:val="808080" w:themeColor="background1" w:themeShade="80"/>
          <w:sz w:val="22"/>
          <w:szCs w:val="28"/>
          <w:u w:val="single"/>
        </w:rPr>
        <w:t>Gibbs Rule</w:t>
      </w:r>
      <w:r w:rsidR="00E62935">
        <w:rPr>
          <w:rFonts w:ascii="Avenir Next" w:hAnsi="Avenir Next"/>
          <w:b/>
          <w:bCs/>
          <w:color w:val="808080" w:themeColor="background1" w:themeShade="80"/>
          <w:sz w:val="22"/>
          <w:szCs w:val="28"/>
          <w:u w:val="single"/>
        </w:rPr>
        <w:t xml:space="preserve"> would </w:t>
      </w:r>
      <w:r w:rsidR="000444B7">
        <w:rPr>
          <w:rFonts w:ascii="Avenir Next" w:hAnsi="Avenir Next"/>
          <w:b/>
          <w:bCs/>
          <w:color w:val="808080" w:themeColor="background1" w:themeShade="80"/>
          <w:sz w:val="22"/>
          <w:szCs w:val="28"/>
          <w:u w:val="single"/>
        </w:rPr>
        <w:t xml:space="preserve">not </w:t>
      </w:r>
      <w:r w:rsidR="00E62935">
        <w:rPr>
          <w:rFonts w:ascii="Avenir Next" w:hAnsi="Avenir Next"/>
          <w:b/>
          <w:bCs/>
          <w:color w:val="808080" w:themeColor="background1" w:themeShade="80"/>
          <w:sz w:val="22"/>
          <w:szCs w:val="28"/>
          <w:u w:val="single"/>
        </w:rPr>
        <w:t>apply</w:t>
      </w:r>
      <w:r w:rsidR="000444B7">
        <w:rPr>
          <w:rFonts w:ascii="Avenir Next" w:hAnsi="Avenir Next"/>
          <w:b/>
          <w:bCs/>
          <w:color w:val="808080" w:themeColor="background1" w:themeShade="80"/>
          <w:sz w:val="22"/>
          <w:szCs w:val="28"/>
          <w:u w:val="single"/>
        </w:rPr>
        <w:t xml:space="preserve"> in US</w:t>
      </w:r>
    </w:p>
    <w:p w14:paraId="77AD7B6D" w14:textId="77777777" w:rsidR="00E62935" w:rsidRDefault="00E62935" w:rsidP="001514B4">
      <w:pPr>
        <w:jc w:val="both"/>
        <w:rPr>
          <w:rFonts w:ascii="Avenir Next" w:hAnsi="Avenir Next"/>
          <w:b/>
          <w:bCs/>
          <w:color w:val="808080" w:themeColor="background1" w:themeShade="80"/>
          <w:sz w:val="22"/>
          <w:szCs w:val="28"/>
          <w:u w:val="single"/>
        </w:rPr>
      </w:pPr>
    </w:p>
    <w:p w14:paraId="5CD7498C" w14:textId="1F6C00FB" w:rsidR="00E62935" w:rsidRDefault="00E62935" w:rsidP="00E62935">
      <w:pPr>
        <w:pStyle w:val="ListParagraph"/>
        <w:numPr>
          <w:ilvl w:val="0"/>
          <w:numId w:val="67"/>
        </w:numPr>
        <w:ind w:left="284" w:hanging="284"/>
        <w:jc w:val="both"/>
        <w:rPr>
          <w:rFonts w:ascii="Avenir Next" w:hAnsi="Avenir Next"/>
          <w:iCs/>
          <w:color w:val="808080" w:themeColor="background1" w:themeShade="80"/>
          <w:sz w:val="22"/>
          <w:szCs w:val="28"/>
        </w:rPr>
      </w:pPr>
      <w:r>
        <w:rPr>
          <w:rFonts w:ascii="Avenir Next" w:hAnsi="Avenir Next"/>
          <w:iCs/>
          <w:color w:val="808080" w:themeColor="background1" w:themeShade="80"/>
          <w:sz w:val="22"/>
          <w:szCs w:val="28"/>
        </w:rPr>
        <w:t xml:space="preserve">Globe Holdings had issued notes governed by New York Law </w:t>
      </w:r>
      <w:r w:rsidR="00EE78C9">
        <w:rPr>
          <w:rFonts w:ascii="Avenir Next" w:hAnsi="Avenir Next"/>
          <w:iCs/>
          <w:color w:val="808080" w:themeColor="background1" w:themeShade="80"/>
          <w:sz w:val="22"/>
          <w:szCs w:val="28"/>
        </w:rPr>
        <w:t xml:space="preserve">and the maturity and payment of the notes were compromised in a foreign insolvency/reorganization proceeding i.e. the Cayman Islands scheme of arrangement. </w:t>
      </w:r>
    </w:p>
    <w:p w14:paraId="6122686D" w14:textId="77777777" w:rsidR="00E62935" w:rsidRDefault="00E62935" w:rsidP="00E62935">
      <w:pPr>
        <w:pStyle w:val="ListParagraph"/>
        <w:ind w:left="284"/>
        <w:jc w:val="both"/>
        <w:rPr>
          <w:rFonts w:ascii="Avenir Next" w:hAnsi="Avenir Next"/>
          <w:iCs/>
          <w:color w:val="808080" w:themeColor="background1" w:themeShade="80"/>
          <w:sz w:val="22"/>
          <w:szCs w:val="28"/>
        </w:rPr>
      </w:pPr>
    </w:p>
    <w:p w14:paraId="1D76553E" w14:textId="5952E991" w:rsidR="00E62935" w:rsidRDefault="00E62935" w:rsidP="00E62935">
      <w:pPr>
        <w:pStyle w:val="ListParagraph"/>
        <w:numPr>
          <w:ilvl w:val="0"/>
          <w:numId w:val="67"/>
        </w:numPr>
        <w:ind w:left="284" w:hanging="284"/>
        <w:jc w:val="both"/>
        <w:rPr>
          <w:rFonts w:ascii="Avenir Next" w:hAnsi="Avenir Next"/>
          <w:iCs/>
          <w:color w:val="808080" w:themeColor="background1" w:themeShade="80"/>
          <w:sz w:val="22"/>
          <w:szCs w:val="28"/>
        </w:rPr>
      </w:pPr>
      <w:r>
        <w:rPr>
          <w:rFonts w:ascii="Avenir Next" w:hAnsi="Avenir Next"/>
          <w:iCs/>
          <w:color w:val="808080" w:themeColor="background1" w:themeShade="80"/>
          <w:sz w:val="22"/>
          <w:szCs w:val="28"/>
        </w:rPr>
        <w:t xml:space="preserve">There is an issue whether the </w:t>
      </w:r>
      <w:r w:rsidRPr="00E62935">
        <w:rPr>
          <w:rFonts w:ascii="Avenir Next" w:hAnsi="Avenir Next"/>
          <w:i/>
          <w:color w:val="808080" w:themeColor="background1" w:themeShade="80"/>
          <w:sz w:val="22"/>
          <w:szCs w:val="28"/>
        </w:rPr>
        <w:t>English</w:t>
      </w:r>
      <w:r>
        <w:rPr>
          <w:rFonts w:ascii="Avenir Next" w:hAnsi="Avenir Next"/>
          <w:iCs/>
          <w:color w:val="808080" w:themeColor="background1" w:themeShade="80"/>
          <w:sz w:val="22"/>
          <w:szCs w:val="28"/>
        </w:rPr>
        <w:t xml:space="preserve"> Gibbs rule would apply in the current fact scenario. The Gibbs Rules states that a debt governed by English law cannot be discharged or compromised by non-English insolvency/foreign proceeding(s).</w:t>
      </w:r>
    </w:p>
    <w:p w14:paraId="27532755" w14:textId="77777777" w:rsidR="00E62935" w:rsidRDefault="00E62935" w:rsidP="00E62935">
      <w:pPr>
        <w:pStyle w:val="ListParagraph"/>
        <w:ind w:left="284"/>
        <w:jc w:val="both"/>
        <w:rPr>
          <w:rFonts w:ascii="Avenir Next" w:hAnsi="Avenir Next"/>
          <w:iCs/>
          <w:color w:val="808080" w:themeColor="background1" w:themeShade="80"/>
          <w:sz w:val="22"/>
          <w:szCs w:val="28"/>
        </w:rPr>
      </w:pPr>
    </w:p>
    <w:p w14:paraId="7D504F6E" w14:textId="236C0CFB" w:rsidR="00E62935" w:rsidRDefault="00EE78C9" w:rsidP="00E62935">
      <w:pPr>
        <w:pStyle w:val="ListParagraph"/>
        <w:numPr>
          <w:ilvl w:val="0"/>
          <w:numId w:val="67"/>
        </w:numPr>
        <w:ind w:left="284" w:hanging="284"/>
        <w:jc w:val="both"/>
        <w:rPr>
          <w:rFonts w:ascii="Avenir Next" w:hAnsi="Avenir Next"/>
          <w:iCs/>
          <w:color w:val="808080" w:themeColor="background1" w:themeShade="80"/>
          <w:sz w:val="22"/>
          <w:szCs w:val="28"/>
        </w:rPr>
      </w:pPr>
      <w:r>
        <w:rPr>
          <w:rFonts w:ascii="Avenir Next" w:hAnsi="Avenir Next"/>
          <w:iCs/>
          <w:color w:val="808080" w:themeColor="background1" w:themeShade="80"/>
          <w:sz w:val="22"/>
          <w:szCs w:val="28"/>
        </w:rPr>
        <w:t xml:space="preserve">The US decision of </w:t>
      </w:r>
      <w:r w:rsidRPr="00EE78C9">
        <w:rPr>
          <w:rFonts w:ascii="Avenir Next" w:hAnsi="Avenir Next"/>
          <w:b/>
          <w:bCs/>
          <w:i/>
          <w:color w:val="808080" w:themeColor="background1" w:themeShade="80"/>
          <w:sz w:val="22"/>
          <w:szCs w:val="28"/>
          <w:u w:val="single"/>
        </w:rPr>
        <w:t>In re Modern Land (China) Co., Ltd</w:t>
      </w:r>
      <w:r>
        <w:rPr>
          <w:rFonts w:ascii="Avenir Next" w:hAnsi="Avenir Next"/>
          <w:iCs/>
          <w:color w:val="808080" w:themeColor="background1" w:themeShade="80"/>
          <w:sz w:val="22"/>
          <w:szCs w:val="28"/>
        </w:rPr>
        <w:t xml:space="preserve">, Case No 22-10707 (MG), 641 B.R768 (Bankr. S.D.N.Y. July 18, 2022) </w:t>
      </w:r>
      <w:r w:rsidR="00B4260A">
        <w:rPr>
          <w:rFonts w:ascii="Avenir Next" w:hAnsi="Avenir Next"/>
          <w:iCs/>
          <w:color w:val="808080" w:themeColor="background1" w:themeShade="80"/>
          <w:sz w:val="22"/>
          <w:szCs w:val="28"/>
        </w:rPr>
        <w:t>(“</w:t>
      </w:r>
      <w:r w:rsidR="00B4260A" w:rsidRPr="00B4260A">
        <w:rPr>
          <w:rFonts w:ascii="Avenir Next" w:hAnsi="Avenir Next"/>
          <w:b/>
          <w:bCs/>
          <w:iCs/>
          <w:color w:val="808080" w:themeColor="background1" w:themeShade="80"/>
          <w:sz w:val="22"/>
          <w:szCs w:val="28"/>
        </w:rPr>
        <w:t>MCL</w:t>
      </w:r>
      <w:r w:rsidR="00B4260A">
        <w:rPr>
          <w:rFonts w:ascii="Avenir Next" w:hAnsi="Avenir Next"/>
          <w:iCs/>
          <w:color w:val="808080" w:themeColor="background1" w:themeShade="80"/>
          <w:sz w:val="22"/>
          <w:szCs w:val="28"/>
        </w:rPr>
        <w:t xml:space="preserve">”) </w:t>
      </w:r>
      <w:r>
        <w:rPr>
          <w:rFonts w:ascii="Avenir Next" w:hAnsi="Avenir Next"/>
          <w:iCs/>
          <w:color w:val="808080" w:themeColor="background1" w:themeShade="80"/>
          <w:sz w:val="22"/>
          <w:szCs w:val="28"/>
        </w:rPr>
        <w:t>is instructive. In this case:</w:t>
      </w:r>
    </w:p>
    <w:p w14:paraId="3D085DED" w14:textId="77777777" w:rsidR="00EE78C9" w:rsidRPr="00EE78C9" w:rsidRDefault="00EE78C9" w:rsidP="00EE78C9">
      <w:pPr>
        <w:pStyle w:val="ListParagraph"/>
        <w:rPr>
          <w:rFonts w:ascii="Avenir Next" w:hAnsi="Avenir Next"/>
          <w:iCs/>
          <w:color w:val="808080" w:themeColor="background1" w:themeShade="80"/>
          <w:sz w:val="22"/>
          <w:szCs w:val="28"/>
        </w:rPr>
      </w:pPr>
    </w:p>
    <w:p w14:paraId="3C291759" w14:textId="372E899F" w:rsidR="00EE78C9" w:rsidRDefault="00EE78C9" w:rsidP="00EE78C9">
      <w:pPr>
        <w:pStyle w:val="ListParagraph"/>
        <w:numPr>
          <w:ilvl w:val="1"/>
          <w:numId w:val="67"/>
        </w:numPr>
        <w:ind w:left="567" w:hanging="283"/>
        <w:jc w:val="both"/>
        <w:rPr>
          <w:rFonts w:ascii="Avenir Next" w:hAnsi="Avenir Next"/>
          <w:iCs/>
          <w:color w:val="808080" w:themeColor="background1" w:themeShade="80"/>
          <w:sz w:val="22"/>
          <w:szCs w:val="28"/>
        </w:rPr>
      </w:pPr>
      <w:r>
        <w:rPr>
          <w:rFonts w:ascii="Avenir Next" w:hAnsi="Avenir Next"/>
          <w:iCs/>
          <w:color w:val="808080" w:themeColor="background1" w:themeShade="80"/>
          <w:sz w:val="22"/>
          <w:szCs w:val="28"/>
        </w:rPr>
        <w:t>The debtor was a Chinese property developer incorporated in the Cayman Islands that has issue US governed notes. The debtor had proposed a Cayman Island scheme of arrangement to discharge its existing notes and to substitute them with new issued notes. The debtor made an application before the US Bankruptcy Court for recognition of the scheme under Chapter 15 of the US Bankruptcy Code and relief that the notes were discharged as  matter of US law.</w:t>
      </w:r>
    </w:p>
    <w:p w14:paraId="42636D88" w14:textId="77777777" w:rsidR="001C51B7" w:rsidRDefault="001C51B7" w:rsidP="001C51B7">
      <w:pPr>
        <w:pStyle w:val="ListParagraph"/>
        <w:ind w:left="567"/>
        <w:jc w:val="both"/>
        <w:rPr>
          <w:rFonts w:ascii="Avenir Next" w:hAnsi="Avenir Next"/>
          <w:iCs/>
          <w:color w:val="808080" w:themeColor="background1" w:themeShade="80"/>
          <w:sz w:val="22"/>
          <w:szCs w:val="28"/>
        </w:rPr>
      </w:pPr>
    </w:p>
    <w:p w14:paraId="6B191A07" w14:textId="2A848497" w:rsidR="00EE78C9" w:rsidRDefault="00EE78C9" w:rsidP="00EE78C9">
      <w:pPr>
        <w:pStyle w:val="ListParagraph"/>
        <w:numPr>
          <w:ilvl w:val="1"/>
          <w:numId w:val="67"/>
        </w:numPr>
        <w:ind w:left="567" w:hanging="283"/>
        <w:jc w:val="both"/>
        <w:rPr>
          <w:rFonts w:ascii="Avenir Next" w:hAnsi="Avenir Next"/>
          <w:iCs/>
          <w:color w:val="808080" w:themeColor="background1" w:themeShade="80"/>
          <w:sz w:val="22"/>
          <w:szCs w:val="28"/>
        </w:rPr>
      </w:pPr>
      <w:r>
        <w:rPr>
          <w:rFonts w:ascii="Avenir Next" w:hAnsi="Avenir Next"/>
          <w:iCs/>
          <w:color w:val="808080" w:themeColor="background1" w:themeShade="80"/>
          <w:sz w:val="22"/>
          <w:szCs w:val="28"/>
        </w:rPr>
        <w:t xml:space="preserve">The US Bankruptcy Court held </w:t>
      </w:r>
      <w:r w:rsidRPr="00EE78C9">
        <w:rPr>
          <w:rFonts w:ascii="Avenir Next" w:hAnsi="Avenir Next"/>
          <w:b/>
          <w:bCs/>
          <w:iCs/>
          <w:color w:val="808080" w:themeColor="background1" w:themeShade="80"/>
          <w:sz w:val="22"/>
          <w:szCs w:val="28"/>
          <w:u w:val="single"/>
        </w:rPr>
        <w:t>that a Chapter  15 order constitutes a valid discharge of the New York Law governed debt</w:t>
      </w:r>
      <w:r>
        <w:rPr>
          <w:rFonts w:ascii="Avenir Next" w:hAnsi="Avenir Next"/>
          <w:iCs/>
          <w:color w:val="808080" w:themeColor="background1" w:themeShade="80"/>
          <w:sz w:val="22"/>
          <w:szCs w:val="28"/>
        </w:rPr>
        <w:t xml:space="preserve">. </w:t>
      </w:r>
    </w:p>
    <w:p w14:paraId="573EF4A3" w14:textId="77777777" w:rsidR="00B4260A" w:rsidRDefault="00B4260A" w:rsidP="00B4260A">
      <w:pPr>
        <w:pStyle w:val="ListParagraph"/>
        <w:ind w:left="284"/>
        <w:jc w:val="both"/>
        <w:rPr>
          <w:rFonts w:ascii="Avenir Next" w:hAnsi="Avenir Next"/>
          <w:iCs/>
          <w:color w:val="808080" w:themeColor="background1" w:themeShade="80"/>
          <w:sz w:val="22"/>
          <w:szCs w:val="28"/>
        </w:rPr>
      </w:pPr>
    </w:p>
    <w:p w14:paraId="5F0E5B5C" w14:textId="4DFAE943" w:rsidR="00B4260A" w:rsidRDefault="00B4260A" w:rsidP="00B4260A">
      <w:pPr>
        <w:pStyle w:val="ListParagraph"/>
        <w:numPr>
          <w:ilvl w:val="0"/>
          <w:numId w:val="67"/>
        </w:numPr>
        <w:ind w:left="284" w:hanging="284"/>
        <w:jc w:val="both"/>
        <w:rPr>
          <w:rFonts w:ascii="Avenir Next" w:hAnsi="Avenir Next"/>
          <w:iCs/>
          <w:color w:val="808080" w:themeColor="background1" w:themeShade="80"/>
          <w:sz w:val="22"/>
          <w:szCs w:val="28"/>
        </w:rPr>
      </w:pPr>
      <w:r>
        <w:rPr>
          <w:rFonts w:ascii="Avenir Next" w:hAnsi="Avenir Next"/>
          <w:iCs/>
          <w:color w:val="808080" w:themeColor="background1" w:themeShade="80"/>
          <w:sz w:val="22"/>
          <w:szCs w:val="28"/>
        </w:rPr>
        <w:lastRenderedPageBreak/>
        <w:t xml:space="preserve">The client is advised to highlight the decision of MCL before the US bankruptcy court in its recognition application as authority for that the </w:t>
      </w:r>
      <w:r w:rsidRPr="00B4260A">
        <w:rPr>
          <w:rFonts w:ascii="Avenir Next" w:hAnsi="Avenir Next"/>
          <w:b/>
          <w:bCs/>
          <w:iCs/>
          <w:color w:val="808080" w:themeColor="background1" w:themeShade="80"/>
          <w:sz w:val="22"/>
          <w:szCs w:val="28"/>
          <w:u w:val="single"/>
        </w:rPr>
        <w:t>Gibbs Rule does not appl</w:t>
      </w:r>
      <w:r>
        <w:rPr>
          <w:rFonts w:ascii="Avenir Next" w:hAnsi="Avenir Next"/>
          <w:b/>
          <w:bCs/>
          <w:iCs/>
          <w:color w:val="808080" w:themeColor="background1" w:themeShade="80"/>
          <w:sz w:val="22"/>
          <w:szCs w:val="28"/>
          <w:u w:val="single"/>
        </w:rPr>
        <w:t>y</w:t>
      </w:r>
      <w:r>
        <w:rPr>
          <w:rFonts w:ascii="Avenir Next" w:hAnsi="Avenir Next"/>
          <w:iCs/>
          <w:color w:val="808080" w:themeColor="background1" w:themeShade="80"/>
          <w:sz w:val="22"/>
          <w:szCs w:val="28"/>
        </w:rPr>
        <w:t xml:space="preserve"> and the </w:t>
      </w:r>
      <w:r w:rsidRPr="00B4260A">
        <w:rPr>
          <w:rFonts w:ascii="Avenir Next" w:hAnsi="Avenir Next"/>
          <w:b/>
          <w:bCs/>
          <w:iCs/>
          <w:color w:val="808080" w:themeColor="background1" w:themeShade="80"/>
          <w:sz w:val="22"/>
          <w:szCs w:val="28"/>
          <w:u w:val="single"/>
        </w:rPr>
        <w:t>recognition of Globe Holding’s Cayman Island Scheme of Arrangement</w:t>
      </w:r>
      <w:r>
        <w:rPr>
          <w:rFonts w:ascii="Avenir Next" w:hAnsi="Avenir Next"/>
          <w:iCs/>
          <w:color w:val="808080" w:themeColor="background1" w:themeShade="80"/>
          <w:sz w:val="22"/>
          <w:szCs w:val="28"/>
        </w:rPr>
        <w:t xml:space="preserve"> as main proceedings would </w:t>
      </w:r>
      <w:r w:rsidRPr="00B4260A">
        <w:rPr>
          <w:rFonts w:ascii="Avenir Next" w:hAnsi="Avenir Next"/>
          <w:b/>
          <w:bCs/>
          <w:iCs/>
          <w:color w:val="808080" w:themeColor="background1" w:themeShade="80"/>
          <w:sz w:val="22"/>
          <w:szCs w:val="28"/>
          <w:u w:val="single"/>
        </w:rPr>
        <w:t>constitute a valid compromise/discharge of New York law governed notes.</w:t>
      </w:r>
      <w:r>
        <w:rPr>
          <w:rFonts w:ascii="Avenir Next" w:hAnsi="Avenir Next"/>
          <w:iCs/>
          <w:color w:val="808080" w:themeColor="background1" w:themeShade="80"/>
          <w:sz w:val="22"/>
          <w:szCs w:val="28"/>
        </w:rPr>
        <w:t xml:space="preserve"> </w:t>
      </w:r>
    </w:p>
    <w:p w14:paraId="7EE4BBB0" w14:textId="77777777" w:rsidR="00B4260A" w:rsidRDefault="00B4260A" w:rsidP="00B4260A">
      <w:pPr>
        <w:jc w:val="both"/>
        <w:rPr>
          <w:rFonts w:ascii="Avenir Next" w:hAnsi="Avenir Next"/>
          <w:iCs/>
          <w:color w:val="808080" w:themeColor="background1" w:themeShade="80"/>
          <w:sz w:val="22"/>
          <w:szCs w:val="28"/>
        </w:rPr>
      </w:pPr>
    </w:p>
    <w:p w14:paraId="65B91601" w14:textId="2B5C030A" w:rsidR="000444B7" w:rsidRPr="000444B7" w:rsidRDefault="000444B7" w:rsidP="00B4260A">
      <w:pPr>
        <w:jc w:val="both"/>
        <w:rPr>
          <w:rFonts w:ascii="Avenir Next" w:hAnsi="Avenir Next"/>
          <w:b/>
          <w:bCs/>
          <w:i/>
          <w:color w:val="808080" w:themeColor="background1" w:themeShade="80"/>
          <w:sz w:val="22"/>
          <w:szCs w:val="28"/>
          <w:u w:val="single"/>
        </w:rPr>
      </w:pPr>
      <w:r w:rsidRPr="000444B7">
        <w:rPr>
          <w:rFonts w:ascii="Avenir Next" w:hAnsi="Avenir Next"/>
          <w:b/>
          <w:bCs/>
          <w:iCs/>
          <w:color w:val="808080" w:themeColor="background1" w:themeShade="80"/>
          <w:sz w:val="22"/>
          <w:szCs w:val="28"/>
          <w:u w:val="single"/>
        </w:rPr>
        <w:t>D</w:t>
      </w:r>
      <w:r w:rsidRPr="000444B7">
        <w:rPr>
          <w:rFonts w:ascii="Avenir Next" w:hAnsi="Avenir Next"/>
          <w:b/>
          <w:bCs/>
          <w:iCs/>
          <w:color w:val="808080" w:themeColor="background1" w:themeShade="80"/>
          <w:sz w:val="22"/>
          <w:szCs w:val="28"/>
          <w:u w:val="single"/>
        </w:rPr>
        <w:tab/>
      </w:r>
      <w:r>
        <w:rPr>
          <w:rFonts w:ascii="Avenir Next" w:hAnsi="Avenir Next"/>
          <w:b/>
          <w:bCs/>
          <w:iCs/>
          <w:color w:val="808080" w:themeColor="background1" w:themeShade="80"/>
          <w:sz w:val="22"/>
          <w:szCs w:val="28"/>
          <w:u w:val="single"/>
        </w:rPr>
        <w:t xml:space="preserve">Automatic stay of proceedings </w:t>
      </w:r>
      <w:r w:rsidR="001C51B7">
        <w:rPr>
          <w:rFonts w:ascii="Avenir Next" w:hAnsi="Avenir Next"/>
          <w:b/>
          <w:bCs/>
          <w:iCs/>
          <w:color w:val="808080" w:themeColor="background1" w:themeShade="80"/>
          <w:sz w:val="22"/>
          <w:szCs w:val="28"/>
          <w:u w:val="single"/>
        </w:rPr>
        <w:t xml:space="preserve">be made permanent </w:t>
      </w:r>
      <w:r>
        <w:rPr>
          <w:rFonts w:ascii="Avenir Next" w:hAnsi="Avenir Next"/>
          <w:b/>
          <w:bCs/>
          <w:iCs/>
          <w:color w:val="808080" w:themeColor="background1" w:themeShade="80"/>
          <w:sz w:val="22"/>
          <w:szCs w:val="28"/>
          <w:u w:val="single"/>
        </w:rPr>
        <w:t xml:space="preserve">under Article 20 of MLCBI – </w:t>
      </w:r>
      <w:r>
        <w:rPr>
          <w:rFonts w:ascii="Avenir Next" w:hAnsi="Avenir Next"/>
          <w:b/>
          <w:bCs/>
          <w:i/>
          <w:color w:val="808080" w:themeColor="background1" w:themeShade="80"/>
          <w:sz w:val="22"/>
          <w:szCs w:val="28"/>
          <w:u w:val="single"/>
        </w:rPr>
        <w:t>Re BTA Bank JSC</w:t>
      </w:r>
    </w:p>
    <w:p w14:paraId="6F6ECDA8" w14:textId="77777777" w:rsidR="000444B7" w:rsidRDefault="000444B7" w:rsidP="000444B7">
      <w:pPr>
        <w:pStyle w:val="ListParagraph"/>
        <w:ind w:left="284"/>
        <w:jc w:val="both"/>
        <w:rPr>
          <w:rFonts w:ascii="Avenir Next" w:hAnsi="Avenir Next"/>
          <w:iCs/>
          <w:color w:val="808080" w:themeColor="background1" w:themeShade="80"/>
          <w:sz w:val="22"/>
          <w:szCs w:val="28"/>
        </w:rPr>
      </w:pPr>
    </w:p>
    <w:p w14:paraId="6CE1E843" w14:textId="6090AC81" w:rsidR="00910578" w:rsidRDefault="00910578" w:rsidP="003B173E">
      <w:pPr>
        <w:pStyle w:val="ListParagraph"/>
        <w:numPr>
          <w:ilvl w:val="0"/>
          <w:numId w:val="67"/>
        </w:numPr>
        <w:ind w:left="284" w:hanging="284"/>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There is a potential class action litigation against Globe Holding but no formal action has been filed. </w:t>
      </w:r>
    </w:p>
    <w:p w14:paraId="2A860CEB" w14:textId="77777777" w:rsidR="00910578" w:rsidRDefault="00910578" w:rsidP="00910578">
      <w:pPr>
        <w:pStyle w:val="ListParagraph"/>
        <w:ind w:left="284"/>
        <w:jc w:val="both"/>
        <w:rPr>
          <w:rFonts w:ascii="Avenir Next" w:hAnsi="Avenir Next"/>
          <w:color w:val="808080" w:themeColor="background1" w:themeShade="80"/>
          <w:sz w:val="22"/>
          <w:szCs w:val="28"/>
        </w:rPr>
      </w:pPr>
    </w:p>
    <w:p w14:paraId="34560980" w14:textId="4D36F548" w:rsidR="00910578" w:rsidRPr="001C51B7" w:rsidRDefault="00910578" w:rsidP="003B173E">
      <w:pPr>
        <w:pStyle w:val="ListParagraph"/>
        <w:numPr>
          <w:ilvl w:val="0"/>
          <w:numId w:val="67"/>
        </w:numPr>
        <w:ind w:left="284" w:hanging="284"/>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client is advised to </w:t>
      </w:r>
      <w:r w:rsidR="001C51B7">
        <w:rPr>
          <w:rFonts w:ascii="Avenir Next" w:hAnsi="Avenir Next"/>
          <w:color w:val="808080" w:themeColor="background1" w:themeShade="80"/>
          <w:sz w:val="22"/>
          <w:szCs w:val="28"/>
        </w:rPr>
        <w:t>seek relief that</w:t>
      </w:r>
      <w:r>
        <w:rPr>
          <w:rFonts w:ascii="Avenir Next" w:hAnsi="Avenir Next"/>
          <w:color w:val="808080" w:themeColor="background1" w:themeShade="80"/>
          <w:sz w:val="22"/>
          <w:szCs w:val="28"/>
        </w:rPr>
        <w:t xml:space="preserve"> the </w:t>
      </w:r>
      <w:r w:rsidRPr="001C51B7">
        <w:rPr>
          <w:rFonts w:ascii="Avenir Next" w:hAnsi="Avenir Next"/>
          <w:b/>
          <w:bCs/>
          <w:color w:val="808080" w:themeColor="background1" w:themeShade="80"/>
          <w:sz w:val="22"/>
          <w:szCs w:val="28"/>
          <w:u w:val="single"/>
        </w:rPr>
        <w:t xml:space="preserve">automatic stay under Article 20(1) of the MLCBI would </w:t>
      </w:r>
      <w:r w:rsidR="001C51B7" w:rsidRPr="001C51B7">
        <w:rPr>
          <w:rFonts w:ascii="Avenir Next" w:hAnsi="Avenir Next"/>
          <w:b/>
          <w:bCs/>
          <w:color w:val="808080" w:themeColor="background1" w:themeShade="80"/>
          <w:sz w:val="22"/>
          <w:szCs w:val="28"/>
          <w:u w:val="single"/>
        </w:rPr>
        <w:t>be permanent</w:t>
      </w:r>
      <w:r w:rsidR="001C51B7">
        <w:rPr>
          <w:rFonts w:ascii="Avenir Next" w:hAnsi="Avenir Next"/>
          <w:b/>
          <w:bCs/>
          <w:color w:val="808080" w:themeColor="background1" w:themeShade="80"/>
          <w:sz w:val="22"/>
          <w:szCs w:val="28"/>
          <w:u w:val="single"/>
        </w:rPr>
        <w:t xml:space="preserve"> and to highlight the case </w:t>
      </w:r>
      <w:r w:rsidR="001C51B7" w:rsidRPr="001C51B7">
        <w:rPr>
          <w:rFonts w:ascii="Avenir Next" w:hAnsi="Avenir Next"/>
          <w:b/>
          <w:bCs/>
          <w:color w:val="808080" w:themeColor="background1" w:themeShade="80"/>
          <w:sz w:val="22"/>
          <w:szCs w:val="28"/>
          <w:u w:val="single"/>
        </w:rPr>
        <w:t xml:space="preserve">of </w:t>
      </w:r>
      <w:r w:rsidR="001C51B7" w:rsidRPr="001C51B7">
        <w:rPr>
          <w:rFonts w:ascii="Avenir Next" w:hAnsi="Avenir Next"/>
          <w:b/>
          <w:bCs/>
          <w:i/>
          <w:color w:val="808080" w:themeColor="background1" w:themeShade="80"/>
          <w:sz w:val="22"/>
          <w:szCs w:val="28"/>
          <w:u w:val="single"/>
        </w:rPr>
        <w:t>Re BTA Bank JSC</w:t>
      </w:r>
      <w:r w:rsidR="001C51B7" w:rsidRPr="001C51B7">
        <w:rPr>
          <w:rFonts w:ascii="Avenir Next" w:hAnsi="Avenir Next"/>
          <w:b/>
          <w:bCs/>
          <w:iCs/>
          <w:color w:val="808080" w:themeColor="background1" w:themeShade="80"/>
          <w:sz w:val="22"/>
          <w:szCs w:val="28"/>
          <w:u w:val="single"/>
        </w:rPr>
        <w:t xml:space="preserve"> [2012] EWHC 4457 (CH)</w:t>
      </w:r>
      <w:r w:rsidR="001C51B7">
        <w:rPr>
          <w:rFonts w:ascii="Avenir Next" w:hAnsi="Avenir Next"/>
          <w:iCs/>
          <w:color w:val="808080" w:themeColor="background1" w:themeShade="80"/>
          <w:sz w:val="22"/>
          <w:szCs w:val="28"/>
        </w:rPr>
        <w:t xml:space="preserve"> (“</w:t>
      </w:r>
      <w:r w:rsidR="001C51B7" w:rsidRPr="001C51B7">
        <w:rPr>
          <w:rFonts w:ascii="Avenir Next" w:hAnsi="Avenir Next"/>
          <w:b/>
          <w:bCs/>
          <w:iCs/>
          <w:color w:val="808080" w:themeColor="background1" w:themeShade="80"/>
          <w:sz w:val="22"/>
          <w:szCs w:val="28"/>
        </w:rPr>
        <w:t>BTA case</w:t>
      </w:r>
      <w:r w:rsidR="001C51B7">
        <w:rPr>
          <w:rFonts w:ascii="Avenir Next" w:hAnsi="Avenir Next"/>
          <w:iCs/>
          <w:color w:val="808080" w:themeColor="background1" w:themeShade="80"/>
          <w:sz w:val="22"/>
          <w:szCs w:val="28"/>
        </w:rPr>
        <w:t>”)</w:t>
      </w:r>
      <w:r>
        <w:rPr>
          <w:rFonts w:ascii="Avenir Next" w:hAnsi="Avenir Next"/>
          <w:color w:val="808080" w:themeColor="background1" w:themeShade="80"/>
          <w:sz w:val="22"/>
          <w:szCs w:val="28"/>
        </w:rPr>
        <w:t xml:space="preserve">. However, there is the issue that </w:t>
      </w:r>
      <w:r w:rsidRPr="001C51B7">
        <w:rPr>
          <w:rFonts w:ascii="Avenir Next" w:hAnsi="Avenir Next"/>
          <w:color w:val="808080" w:themeColor="background1" w:themeShade="80"/>
          <w:sz w:val="22"/>
          <w:szCs w:val="28"/>
        </w:rPr>
        <w:t xml:space="preserve">the client may not be the foreign representative as defined in the MLCBI. </w:t>
      </w:r>
    </w:p>
    <w:p w14:paraId="02579E3A" w14:textId="77777777" w:rsidR="00910578" w:rsidRPr="00910578" w:rsidRDefault="00910578" w:rsidP="00910578">
      <w:pPr>
        <w:jc w:val="both"/>
        <w:rPr>
          <w:rFonts w:ascii="Avenir Next" w:hAnsi="Avenir Next"/>
          <w:color w:val="808080" w:themeColor="background1" w:themeShade="80"/>
          <w:sz w:val="22"/>
          <w:szCs w:val="28"/>
        </w:rPr>
      </w:pPr>
    </w:p>
    <w:p w14:paraId="1526EC6F" w14:textId="31CFDAE8" w:rsidR="00910578" w:rsidRPr="00910578" w:rsidRDefault="00910578" w:rsidP="003B173E">
      <w:pPr>
        <w:pStyle w:val="ListParagraph"/>
        <w:numPr>
          <w:ilvl w:val="0"/>
          <w:numId w:val="67"/>
        </w:numPr>
        <w:ind w:left="284" w:hanging="284"/>
        <w:jc w:val="both"/>
        <w:rPr>
          <w:rFonts w:ascii="Avenir Next" w:hAnsi="Avenir Next"/>
          <w:color w:val="808080" w:themeColor="background1" w:themeShade="80"/>
          <w:sz w:val="22"/>
          <w:szCs w:val="28"/>
        </w:rPr>
      </w:pPr>
      <w:r>
        <w:rPr>
          <w:rFonts w:ascii="Avenir Next" w:hAnsi="Avenir Next"/>
          <w:iCs/>
          <w:color w:val="808080" w:themeColor="background1" w:themeShade="80"/>
          <w:sz w:val="22"/>
          <w:szCs w:val="28"/>
        </w:rPr>
        <w:t xml:space="preserve">The English case of </w:t>
      </w:r>
      <w:r w:rsidR="001C51B7">
        <w:rPr>
          <w:rFonts w:ascii="Avenir Next" w:hAnsi="Avenir Next"/>
          <w:iCs/>
          <w:color w:val="808080" w:themeColor="background1" w:themeShade="80"/>
          <w:sz w:val="22"/>
          <w:szCs w:val="28"/>
        </w:rPr>
        <w:t>BTA case</w:t>
      </w:r>
      <w:r>
        <w:rPr>
          <w:rFonts w:ascii="Avenir Next" w:hAnsi="Avenir Next"/>
          <w:iCs/>
          <w:color w:val="808080" w:themeColor="background1" w:themeShade="80"/>
          <w:sz w:val="22"/>
          <w:szCs w:val="28"/>
        </w:rPr>
        <w:t xml:space="preserve"> may be of persuasive authority. In this case:</w:t>
      </w:r>
    </w:p>
    <w:p w14:paraId="11492C7A" w14:textId="77777777" w:rsidR="00910578" w:rsidRPr="00910578" w:rsidRDefault="00910578" w:rsidP="00910578">
      <w:pPr>
        <w:pStyle w:val="ListParagraph"/>
        <w:rPr>
          <w:rFonts w:ascii="Avenir Next" w:hAnsi="Avenir Next"/>
          <w:iCs/>
          <w:color w:val="808080" w:themeColor="background1" w:themeShade="80"/>
          <w:sz w:val="22"/>
          <w:szCs w:val="28"/>
        </w:rPr>
      </w:pPr>
    </w:p>
    <w:p w14:paraId="66E86256" w14:textId="20C95D82" w:rsidR="006D33A6" w:rsidRPr="001C51B7" w:rsidRDefault="00910578" w:rsidP="00910578">
      <w:pPr>
        <w:pStyle w:val="ListParagraph"/>
        <w:numPr>
          <w:ilvl w:val="1"/>
          <w:numId w:val="67"/>
        </w:numPr>
        <w:ind w:left="567" w:hanging="284"/>
        <w:jc w:val="both"/>
        <w:rPr>
          <w:rFonts w:ascii="Avenir Next" w:hAnsi="Avenir Next"/>
          <w:color w:val="808080" w:themeColor="background1" w:themeShade="80"/>
          <w:sz w:val="22"/>
          <w:szCs w:val="28"/>
        </w:rPr>
      </w:pPr>
      <w:r>
        <w:rPr>
          <w:rFonts w:ascii="Avenir Next" w:hAnsi="Avenir Next"/>
          <w:iCs/>
          <w:color w:val="808080" w:themeColor="background1" w:themeShade="80"/>
          <w:sz w:val="22"/>
          <w:szCs w:val="28"/>
        </w:rPr>
        <w:t>The debt had undergone restructuring process in Ka</w:t>
      </w:r>
      <w:r w:rsidR="002851E5">
        <w:rPr>
          <w:rFonts w:ascii="Avenir Next" w:hAnsi="Avenir Next"/>
          <w:iCs/>
          <w:color w:val="808080" w:themeColor="background1" w:themeShade="80"/>
          <w:sz w:val="22"/>
          <w:szCs w:val="28"/>
        </w:rPr>
        <w:t>z</w:t>
      </w:r>
      <w:r>
        <w:rPr>
          <w:rFonts w:ascii="Avenir Next" w:hAnsi="Avenir Next"/>
          <w:iCs/>
          <w:color w:val="808080" w:themeColor="background1" w:themeShade="80"/>
          <w:sz w:val="22"/>
          <w:szCs w:val="28"/>
        </w:rPr>
        <w:t>akhtan</w:t>
      </w:r>
      <w:r w:rsidR="002851E5">
        <w:rPr>
          <w:rFonts w:ascii="Avenir Next" w:hAnsi="Avenir Next"/>
          <w:iCs/>
          <w:color w:val="808080" w:themeColor="background1" w:themeShade="80"/>
          <w:sz w:val="22"/>
          <w:szCs w:val="28"/>
        </w:rPr>
        <w:t xml:space="preserve">. A restructuring plan was approved by 93.8% of the affected creditors and the plan was subsequently approved by the Kazakh court.  </w:t>
      </w:r>
      <w:r w:rsidR="001C51B7">
        <w:rPr>
          <w:rFonts w:ascii="Avenir Next" w:hAnsi="Avenir Next"/>
          <w:iCs/>
          <w:color w:val="808080" w:themeColor="background1" w:themeShade="80"/>
          <w:sz w:val="22"/>
          <w:szCs w:val="28"/>
        </w:rPr>
        <w:t>Before the debtor’s restructuring process was terminated, the foreign representative applied to the English court for an order that the automatic stay under Article 20 of the MLCBI would be made permanent.</w:t>
      </w:r>
    </w:p>
    <w:p w14:paraId="3C6389DD" w14:textId="77777777" w:rsidR="001C51B7" w:rsidRPr="001C51B7" w:rsidRDefault="001C51B7" w:rsidP="001C51B7">
      <w:pPr>
        <w:pStyle w:val="ListParagraph"/>
        <w:ind w:left="567"/>
        <w:jc w:val="both"/>
        <w:rPr>
          <w:rFonts w:ascii="Avenir Next" w:hAnsi="Avenir Next"/>
          <w:color w:val="808080" w:themeColor="background1" w:themeShade="80"/>
          <w:sz w:val="22"/>
          <w:szCs w:val="28"/>
        </w:rPr>
      </w:pPr>
    </w:p>
    <w:p w14:paraId="0946F0DB" w14:textId="3BAC9240" w:rsidR="001C51B7" w:rsidRPr="001C51B7" w:rsidRDefault="001C51B7" w:rsidP="00910578">
      <w:pPr>
        <w:pStyle w:val="ListParagraph"/>
        <w:numPr>
          <w:ilvl w:val="1"/>
          <w:numId w:val="67"/>
        </w:numPr>
        <w:ind w:left="567" w:hanging="284"/>
        <w:jc w:val="both"/>
        <w:rPr>
          <w:rFonts w:ascii="Avenir Next" w:hAnsi="Avenir Next"/>
          <w:color w:val="808080" w:themeColor="background1" w:themeShade="80"/>
          <w:sz w:val="22"/>
          <w:szCs w:val="28"/>
        </w:rPr>
      </w:pPr>
      <w:r>
        <w:rPr>
          <w:rFonts w:ascii="Avenir Next" w:hAnsi="Avenir Next"/>
          <w:iCs/>
          <w:color w:val="808080" w:themeColor="background1" w:themeShade="80"/>
          <w:sz w:val="22"/>
          <w:szCs w:val="28"/>
        </w:rPr>
        <w:t xml:space="preserve">The English court granted the </w:t>
      </w:r>
      <w:r w:rsidRPr="001C51B7">
        <w:rPr>
          <w:rFonts w:ascii="Avenir Next" w:hAnsi="Avenir Next"/>
          <w:b/>
          <w:bCs/>
          <w:iCs/>
          <w:color w:val="808080" w:themeColor="background1" w:themeShade="80"/>
          <w:sz w:val="22"/>
          <w:szCs w:val="28"/>
          <w:u w:val="single"/>
        </w:rPr>
        <w:t xml:space="preserve">permanent stay </w:t>
      </w:r>
      <w:r>
        <w:rPr>
          <w:rFonts w:ascii="Avenir Next" w:hAnsi="Avenir Next"/>
          <w:b/>
          <w:bCs/>
          <w:iCs/>
          <w:color w:val="808080" w:themeColor="background1" w:themeShade="80"/>
          <w:sz w:val="22"/>
          <w:szCs w:val="28"/>
          <w:u w:val="single"/>
        </w:rPr>
        <w:t xml:space="preserve">as there were no opposing creditors and </w:t>
      </w:r>
      <w:r w:rsidRPr="001C51B7">
        <w:rPr>
          <w:rFonts w:ascii="Avenir Next" w:hAnsi="Avenir Next"/>
          <w:b/>
          <w:bCs/>
          <w:iCs/>
          <w:color w:val="808080" w:themeColor="background1" w:themeShade="80"/>
          <w:sz w:val="22"/>
          <w:szCs w:val="28"/>
          <w:u w:val="single"/>
        </w:rPr>
        <w:t>on condition so long as the stay remains unopposed</w:t>
      </w:r>
      <w:r>
        <w:rPr>
          <w:rFonts w:ascii="Avenir Next" w:hAnsi="Avenir Next"/>
          <w:iCs/>
          <w:color w:val="808080" w:themeColor="background1" w:themeShade="80"/>
          <w:sz w:val="22"/>
          <w:szCs w:val="28"/>
        </w:rPr>
        <w:t xml:space="preserve">. </w:t>
      </w:r>
      <w:r w:rsidRPr="001C51B7">
        <w:rPr>
          <w:rFonts w:ascii="Avenir Next" w:hAnsi="Avenir Next"/>
          <w:b/>
          <w:bCs/>
          <w:iCs/>
          <w:color w:val="808080" w:themeColor="background1" w:themeShade="80"/>
          <w:sz w:val="22"/>
          <w:szCs w:val="28"/>
          <w:u w:val="single"/>
        </w:rPr>
        <w:t>If there were any opposing creditors, then complete submissions from parties would be required</w:t>
      </w:r>
      <w:r>
        <w:rPr>
          <w:rFonts w:ascii="Avenir Next" w:hAnsi="Avenir Next"/>
          <w:iCs/>
          <w:color w:val="808080" w:themeColor="background1" w:themeShade="80"/>
          <w:sz w:val="22"/>
          <w:szCs w:val="28"/>
        </w:rPr>
        <w:t xml:space="preserve">. </w:t>
      </w:r>
    </w:p>
    <w:p w14:paraId="0184AD4A" w14:textId="77777777" w:rsidR="001C51B7" w:rsidRPr="001C51B7" w:rsidRDefault="001C51B7" w:rsidP="001C51B7">
      <w:pPr>
        <w:pStyle w:val="ListParagraph"/>
        <w:rPr>
          <w:rFonts w:ascii="Avenir Next" w:hAnsi="Avenir Next"/>
          <w:color w:val="808080" w:themeColor="background1" w:themeShade="80"/>
          <w:sz w:val="22"/>
          <w:szCs w:val="28"/>
        </w:rPr>
      </w:pPr>
    </w:p>
    <w:p w14:paraId="6CB1F158" w14:textId="5A4DE7BB" w:rsidR="001C51B7" w:rsidRPr="001C51B7" w:rsidRDefault="001C51B7" w:rsidP="001C51B7">
      <w:pPr>
        <w:jc w:val="both"/>
        <w:rPr>
          <w:rFonts w:ascii="Avenir Next" w:hAnsi="Avenir Next"/>
          <w:b/>
          <w:bCs/>
          <w:color w:val="808080" w:themeColor="background1" w:themeShade="80"/>
          <w:sz w:val="22"/>
          <w:szCs w:val="28"/>
          <w:u w:val="single"/>
        </w:rPr>
      </w:pPr>
      <w:r w:rsidRPr="001C51B7">
        <w:rPr>
          <w:rFonts w:ascii="Avenir Next" w:hAnsi="Avenir Next"/>
          <w:b/>
          <w:bCs/>
          <w:color w:val="808080" w:themeColor="background1" w:themeShade="80"/>
          <w:sz w:val="22"/>
          <w:szCs w:val="28"/>
          <w:u w:val="single"/>
        </w:rPr>
        <w:t>E</w:t>
      </w:r>
      <w:r w:rsidRPr="001C51B7">
        <w:rPr>
          <w:rFonts w:ascii="Avenir Next" w:hAnsi="Avenir Next"/>
          <w:b/>
          <w:bCs/>
          <w:color w:val="808080" w:themeColor="background1" w:themeShade="80"/>
          <w:sz w:val="22"/>
          <w:szCs w:val="28"/>
          <w:u w:val="single"/>
        </w:rPr>
        <w:tab/>
        <w:t>Sale of Globe Holdings headquarters</w:t>
      </w:r>
    </w:p>
    <w:p w14:paraId="4A200F43" w14:textId="77777777" w:rsidR="001C51B7" w:rsidRDefault="001C51B7" w:rsidP="001C51B7">
      <w:pPr>
        <w:pStyle w:val="ListParagraph"/>
        <w:ind w:left="284"/>
        <w:jc w:val="both"/>
        <w:rPr>
          <w:rFonts w:ascii="Avenir Next" w:hAnsi="Avenir Next"/>
          <w:b/>
          <w:bCs/>
          <w:color w:val="808080" w:themeColor="background1" w:themeShade="80"/>
          <w:sz w:val="22"/>
          <w:szCs w:val="28"/>
          <w:u w:val="single"/>
        </w:rPr>
      </w:pPr>
    </w:p>
    <w:p w14:paraId="4EF252AB" w14:textId="6E1491E2" w:rsidR="001C51B7" w:rsidRDefault="001C51B7" w:rsidP="001C51B7">
      <w:pPr>
        <w:pStyle w:val="ListParagraph"/>
        <w:numPr>
          <w:ilvl w:val="0"/>
          <w:numId w:val="67"/>
        </w:numPr>
        <w:ind w:left="284" w:hanging="426"/>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event that there is a proposed sale </w:t>
      </w:r>
      <w:r w:rsidR="003A1E2E">
        <w:rPr>
          <w:rFonts w:ascii="Avenir Next" w:hAnsi="Avenir Next"/>
          <w:color w:val="808080" w:themeColor="background1" w:themeShade="80"/>
          <w:sz w:val="22"/>
          <w:szCs w:val="28"/>
        </w:rPr>
        <w:t xml:space="preserve">pending of Globe Holdings’ headquarters, the client would be advised to </w:t>
      </w:r>
      <w:r w:rsidR="003A1E2E" w:rsidRPr="003A1E2E">
        <w:rPr>
          <w:rFonts w:ascii="Avenir Next" w:hAnsi="Avenir Next"/>
          <w:b/>
          <w:bCs/>
          <w:color w:val="808080" w:themeColor="background1" w:themeShade="80"/>
          <w:sz w:val="22"/>
          <w:szCs w:val="28"/>
          <w:u w:val="single"/>
        </w:rPr>
        <w:t>seek the US court’s approval of the sale under Article 21(1)(g) of the MLCBI</w:t>
      </w:r>
      <w:r w:rsidR="003A1E2E">
        <w:rPr>
          <w:rFonts w:ascii="Avenir Next" w:hAnsi="Avenir Next"/>
          <w:color w:val="808080" w:themeColor="background1" w:themeShade="80"/>
          <w:sz w:val="22"/>
          <w:szCs w:val="28"/>
        </w:rPr>
        <w:t>.</w:t>
      </w:r>
    </w:p>
    <w:p w14:paraId="652A0C0D" w14:textId="77777777" w:rsidR="003A1E2E" w:rsidRDefault="003A1E2E" w:rsidP="003A1E2E">
      <w:pPr>
        <w:pStyle w:val="ListParagraph"/>
        <w:ind w:left="284"/>
        <w:jc w:val="both"/>
        <w:rPr>
          <w:rFonts w:ascii="Avenir Next" w:hAnsi="Avenir Next"/>
          <w:color w:val="808080" w:themeColor="background1" w:themeShade="80"/>
          <w:sz w:val="22"/>
          <w:szCs w:val="28"/>
        </w:rPr>
      </w:pPr>
    </w:p>
    <w:p w14:paraId="3A4C17D8" w14:textId="0B473165" w:rsidR="003A1E2E" w:rsidRDefault="003A1E2E" w:rsidP="001C51B7">
      <w:pPr>
        <w:pStyle w:val="ListParagraph"/>
        <w:numPr>
          <w:ilvl w:val="0"/>
          <w:numId w:val="67"/>
        </w:numPr>
        <w:ind w:left="284" w:hanging="426"/>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Article 21(1)(g) of the MLCBI provides that the court in the enacting state may grant any additional relief that may be available to the person/body administering a reorganization under the laws of the enacting State. </w:t>
      </w:r>
    </w:p>
    <w:p w14:paraId="5367A77A" w14:textId="77777777" w:rsidR="003A1E2E" w:rsidRPr="003A1E2E" w:rsidRDefault="003A1E2E" w:rsidP="003A1E2E">
      <w:pPr>
        <w:pStyle w:val="ListParagraph"/>
        <w:rPr>
          <w:rFonts w:ascii="Avenir Next" w:hAnsi="Avenir Next"/>
          <w:color w:val="808080" w:themeColor="background1" w:themeShade="80"/>
          <w:sz w:val="22"/>
          <w:szCs w:val="28"/>
        </w:rPr>
      </w:pPr>
    </w:p>
    <w:p w14:paraId="0EBBBDA9" w14:textId="26CF937B" w:rsidR="003A1E2E" w:rsidRPr="001C51B7" w:rsidRDefault="003A1E2E" w:rsidP="001C51B7">
      <w:pPr>
        <w:pStyle w:val="ListParagraph"/>
        <w:numPr>
          <w:ilvl w:val="0"/>
          <w:numId w:val="67"/>
        </w:numPr>
        <w:ind w:left="284" w:hanging="426"/>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client may wish to seek approval of such a sale under s 363(f) of the US Bankruptcy Code i.e. a “363 sale” of Globe Holdings’ assets. </w:t>
      </w:r>
    </w:p>
    <w:p w14:paraId="431A83A0" w14:textId="77777777" w:rsidR="00AD34CC" w:rsidRPr="00AD34CC" w:rsidRDefault="00AD34CC" w:rsidP="009E3CA7">
      <w:pPr>
        <w:jc w:val="both"/>
        <w:rPr>
          <w:rFonts w:ascii="Avenir Next" w:hAnsi="Avenir Next"/>
          <w:b/>
          <w:bCs/>
          <w:color w:val="808080" w:themeColor="background1" w:themeShade="80"/>
          <w:sz w:val="22"/>
          <w:szCs w:val="28"/>
          <w:u w:val="single"/>
        </w:rPr>
      </w:pPr>
    </w:p>
    <w:p w14:paraId="43A441E9" w14:textId="77777777" w:rsidR="00126E19" w:rsidRPr="00E2622D" w:rsidRDefault="00126E19" w:rsidP="00707FC8">
      <w:pPr>
        <w:jc w:val="both"/>
        <w:rPr>
          <w:rFonts w:ascii="Avenir Next" w:hAnsi="Avenir Next" w:cs="Arial"/>
          <w:sz w:val="22"/>
          <w:szCs w:val="22"/>
          <w:lang w:val="en-GB"/>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4122" w14:textId="77777777" w:rsidR="00C06E28" w:rsidRDefault="00C06E28" w:rsidP="00241B44">
      <w:r>
        <w:separator/>
      </w:r>
    </w:p>
  </w:endnote>
  <w:endnote w:type="continuationSeparator" w:id="0">
    <w:p w14:paraId="5F9FA42D" w14:textId="77777777" w:rsidR="00C06E28" w:rsidRDefault="00C06E2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6433640" w:rsidR="000300E0" w:rsidRPr="00B46CE2" w:rsidRDefault="00EE4638" w:rsidP="000300E0">
    <w:pPr>
      <w:pStyle w:val="Footer"/>
      <w:ind w:right="360"/>
      <w:rPr>
        <w:rFonts w:ascii="Avenir Next" w:hAnsi="Avenir Next"/>
        <w:sz w:val="22"/>
        <w:szCs w:val="22"/>
      </w:rPr>
    </w:pPr>
    <w:r>
      <w:rPr>
        <w:rFonts w:ascii="Avenir Next" w:hAnsi="Avenir Next"/>
        <w:sz w:val="22"/>
        <w:szCs w:val="22"/>
      </w:rPr>
      <w:t>202223-848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9B04" w14:textId="77777777" w:rsidR="00C06E28" w:rsidRDefault="00C06E28" w:rsidP="00241B44">
      <w:r>
        <w:separator/>
      </w:r>
    </w:p>
  </w:footnote>
  <w:footnote w:type="continuationSeparator" w:id="0">
    <w:p w14:paraId="7F101C0E" w14:textId="77777777" w:rsidR="00C06E28" w:rsidRDefault="00C06E2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957157"/>
    <w:multiLevelType w:val="hybridMultilevel"/>
    <w:tmpl w:val="D8BC4410"/>
    <w:lvl w:ilvl="0" w:tplc="DDC6A7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028CC"/>
    <w:multiLevelType w:val="hybridMultilevel"/>
    <w:tmpl w:val="CDFCC14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D04970"/>
    <w:multiLevelType w:val="hybridMultilevel"/>
    <w:tmpl w:val="397CBBE2"/>
    <w:lvl w:ilvl="0" w:tplc="DDC6A722">
      <w:start w:val="1"/>
      <w:numFmt w:val="low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93917B6"/>
    <w:multiLevelType w:val="hybridMultilevel"/>
    <w:tmpl w:val="CFD6F70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0601D3"/>
    <w:multiLevelType w:val="hybridMultilevel"/>
    <w:tmpl w:val="60EC9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614650"/>
    <w:multiLevelType w:val="hybridMultilevel"/>
    <w:tmpl w:val="621E6DE8"/>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41"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9429CB"/>
    <w:multiLevelType w:val="hybridMultilevel"/>
    <w:tmpl w:val="342011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54201366"/>
    <w:multiLevelType w:val="hybridMultilevel"/>
    <w:tmpl w:val="DEEA718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AAC5124"/>
    <w:multiLevelType w:val="hybridMultilevel"/>
    <w:tmpl w:val="126626B8"/>
    <w:lvl w:ilvl="0" w:tplc="B8B6A5AE">
      <w:start w:val="1"/>
      <w:numFmt w:val="bullet"/>
      <w:lvlText w:val=""/>
      <w:lvlJc w:val="left"/>
      <w:pPr>
        <w:ind w:left="720" w:hanging="360"/>
      </w:pPr>
      <w:rPr>
        <w:rFonts w:ascii="Symbol" w:hAnsi="Symbol" w:hint="default"/>
        <w:color w:val="767171" w:themeColor="background2" w:themeShade="8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5B1A48FA"/>
    <w:multiLevelType w:val="hybridMultilevel"/>
    <w:tmpl w:val="B1BABE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38469AF"/>
    <w:multiLevelType w:val="hybridMultilevel"/>
    <w:tmpl w:val="60785C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66"/>
  </w:num>
  <w:num w:numId="3" w16cid:durableId="1837500537">
    <w:abstractNumId w:val="50"/>
  </w:num>
  <w:num w:numId="4" w16cid:durableId="577205504">
    <w:abstractNumId w:val="60"/>
  </w:num>
  <w:num w:numId="5" w16cid:durableId="587693970">
    <w:abstractNumId w:val="10"/>
  </w:num>
  <w:num w:numId="6" w16cid:durableId="937175523">
    <w:abstractNumId w:val="58"/>
  </w:num>
  <w:num w:numId="7" w16cid:durableId="1654067440">
    <w:abstractNumId w:val="26"/>
  </w:num>
  <w:num w:numId="8" w16cid:durableId="1105736194">
    <w:abstractNumId w:val="52"/>
  </w:num>
  <w:num w:numId="9" w16cid:durableId="337470287">
    <w:abstractNumId w:val="29"/>
  </w:num>
  <w:num w:numId="10" w16cid:durableId="409736686">
    <w:abstractNumId w:val="17"/>
  </w:num>
  <w:num w:numId="11" w16cid:durableId="2113239495">
    <w:abstractNumId w:val="33"/>
  </w:num>
  <w:num w:numId="12" w16cid:durableId="277688465">
    <w:abstractNumId w:val="56"/>
  </w:num>
  <w:num w:numId="13" w16cid:durableId="2058502388">
    <w:abstractNumId w:val="8"/>
  </w:num>
  <w:num w:numId="14" w16cid:durableId="1848598104">
    <w:abstractNumId w:val="44"/>
  </w:num>
  <w:num w:numId="15" w16cid:durableId="634214434">
    <w:abstractNumId w:val="18"/>
  </w:num>
  <w:num w:numId="16" w16cid:durableId="1164055646">
    <w:abstractNumId w:val="19"/>
  </w:num>
  <w:num w:numId="17" w16cid:durableId="4065661">
    <w:abstractNumId w:val="36"/>
  </w:num>
  <w:num w:numId="18" w16cid:durableId="970591766">
    <w:abstractNumId w:val="9"/>
  </w:num>
  <w:num w:numId="19" w16cid:durableId="1299339140">
    <w:abstractNumId w:val="34"/>
  </w:num>
  <w:num w:numId="20" w16cid:durableId="1327175081">
    <w:abstractNumId w:val="65"/>
  </w:num>
  <w:num w:numId="21" w16cid:durableId="2089498112">
    <w:abstractNumId w:val="24"/>
  </w:num>
  <w:num w:numId="22" w16cid:durableId="221064104">
    <w:abstractNumId w:val="55"/>
  </w:num>
  <w:num w:numId="23" w16cid:durableId="860243873">
    <w:abstractNumId w:val="63"/>
  </w:num>
  <w:num w:numId="24" w16cid:durableId="1555506834">
    <w:abstractNumId w:val="54"/>
  </w:num>
  <w:num w:numId="25" w16cid:durableId="1954677308">
    <w:abstractNumId w:val="41"/>
  </w:num>
  <w:num w:numId="26" w16cid:durableId="998270126">
    <w:abstractNumId w:val="64"/>
  </w:num>
  <w:num w:numId="27" w16cid:durableId="657656171">
    <w:abstractNumId w:val="59"/>
  </w:num>
  <w:num w:numId="28" w16cid:durableId="1116829249">
    <w:abstractNumId w:val="13"/>
  </w:num>
  <w:num w:numId="29" w16cid:durableId="1055274873">
    <w:abstractNumId w:val="14"/>
  </w:num>
  <w:num w:numId="30" w16cid:durableId="790785319">
    <w:abstractNumId w:val="37"/>
  </w:num>
  <w:num w:numId="31" w16cid:durableId="781922295">
    <w:abstractNumId w:val="5"/>
  </w:num>
  <w:num w:numId="32" w16cid:durableId="268047206">
    <w:abstractNumId w:val="39"/>
  </w:num>
  <w:num w:numId="33" w16cid:durableId="198930779">
    <w:abstractNumId w:val="0"/>
  </w:num>
  <w:num w:numId="34" w16cid:durableId="480577945">
    <w:abstractNumId w:val="51"/>
  </w:num>
  <w:num w:numId="35" w16cid:durableId="984242224">
    <w:abstractNumId w:val="28"/>
  </w:num>
  <w:num w:numId="36" w16cid:durableId="485898662">
    <w:abstractNumId w:val="53"/>
  </w:num>
  <w:num w:numId="37" w16cid:durableId="1147433143">
    <w:abstractNumId w:val="31"/>
  </w:num>
  <w:num w:numId="38" w16cid:durableId="827285019">
    <w:abstractNumId w:val="48"/>
  </w:num>
  <w:num w:numId="39" w16cid:durableId="128666775">
    <w:abstractNumId w:val="7"/>
  </w:num>
  <w:num w:numId="40" w16cid:durableId="1339426664">
    <w:abstractNumId w:val="27"/>
  </w:num>
  <w:num w:numId="41" w16cid:durableId="1969971734">
    <w:abstractNumId w:val="57"/>
  </w:num>
  <w:num w:numId="42" w16cid:durableId="368453801">
    <w:abstractNumId w:val="23"/>
  </w:num>
  <w:num w:numId="43" w16cid:durableId="51392340">
    <w:abstractNumId w:val="38"/>
  </w:num>
  <w:num w:numId="44" w16cid:durableId="1531332188">
    <w:abstractNumId w:val="16"/>
  </w:num>
  <w:num w:numId="45" w16cid:durableId="8337133">
    <w:abstractNumId w:val="15"/>
  </w:num>
  <w:num w:numId="46" w16cid:durableId="1612931796">
    <w:abstractNumId w:val="47"/>
  </w:num>
  <w:num w:numId="47" w16cid:durableId="89930162">
    <w:abstractNumId w:val="25"/>
  </w:num>
  <w:num w:numId="48" w16cid:durableId="1477838578">
    <w:abstractNumId w:val="11"/>
  </w:num>
  <w:num w:numId="49" w16cid:durableId="2073384460">
    <w:abstractNumId w:val="62"/>
  </w:num>
  <w:num w:numId="50" w16cid:durableId="59720369">
    <w:abstractNumId w:val="32"/>
  </w:num>
  <w:num w:numId="51" w16cid:durableId="1379276728">
    <w:abstractNumId w:val="12"/>
  </w:num>
  <w:num w:numId="52" w16cid:durableId="921179279">
    <w:abstractNumId w:val="22"/>
  </w:num>
  <w:num w:numId="53" w16cid:durableId="1060514793">
    <w:abstractNumId w:val="30"/>
  </w:num>
  <w:num w:numId="54" w16cid:durableId="64230155">
    <w:abstractNumId w:val="4"/>
  </w:num>
  <w:num w:numId="55" w16cid:durableId="1681084025">
    <w:abstractNumId w:val="2"/>
  </w:num>
  <w:num w:numId="56" w16cid:durableId="1275090443">
    <w:abstractNumId w:val="20"/>
  </w:num>
  <w:num w:numId="57" w16cid:durableId="269969236">
    <w:abstractNumId w:val="49"/>
  </w:num>
  <w:num w:numId="58" w16cid:durableId="1112937893">
    <w:abstractNumId w:val="3"/>
  </w:num>
  <w:num w:numId="59" w16cid:durableId="1580167440">
    <w:abstractNumId w:val="35"/>
  </w:num>
  <w:num w:numId="60" w16cid:durableId="1150561378">
    <w:abstractNumId w:val="43"/>
  </w:num>
  <w:num w:numId="61" w16cid:durableId="835614243">
    <w:abstractNumId w:val="61"/>
  </w:num>
  <w:num w:numId="62" w16cid:durableId="515310283">
    <w:abstractNumId w:val="45"/>
  </w:num>
  <w:num w:numId="63" w16cid:durableId="1210190011">
    <w:abstractNumId w:val="21"/>
  </w:num>
  <w:num w:numId="64" w16cid:durableId="538279282">
    <w:abstractNumId w:val="42"/>
  </w:num>
  <w:num w:numId="65" w16cid:durableId="289436975">
    <w:abstractNumId w:val="46"/>
  </w:num>
  <w:num w:numId="66" w16cid:durableId="2054620291">
    <w:abstractNumId w:val="40"/>
  </w:num>
  <w:num w:numId="67" w16cid:durableId="137666370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4B7"/>
    <w:rsid w:val="00044D46"/>
    <w:rsid w:val="00045088"/>
    <w:rsid w:val="00045904"/>
    <w:rsid w:val="000464F7"/>
    <w:rsid w:val="0005141D"/>
    <w:rsid w:val="00060E02"/>
    <w:rsid w:val="00065166"/>
    <w:rsid w:val="00067A88"/>
    <w:rsid w:val="00070B92"/>
    <w:rsid w:val="00073474"/>
    <w:rsid w:val="000745ED"/>
    <w:rsid w:val="00077D49"/>
    <w:rsid w:val="00082609"/>
    <w:rsid w:val="00083B38"/>
    <w:rsid w:val="000851CC"/>
    <w:rsid w:val="00093BE8"/>
    <w:rsid w:val="000A68ED"/>
    <w:rsid w:val="000B4FEB"/>
    <w:rsid w:val="000B5FF1"/>
    <w:rsid w:val="000B609F"/>
    <w:rsid w:val="000C147F"/>
    <w:rsid w:val="000C6BB9"/>
    <w:rsid w:val="000D32A9"/>
    <w:rsid w:val="000D55A8"/>
    <w:rsid w:val="000E334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4B4"/>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4613"/>
    <w:rsid w:val="00190FD2"/>
    <w:rsid w:val="001966D9"/>
    <w:rsid w:val="001A24E7"/>
    <w:rsid w:val="001A2B78"/>
    <w:rsid w:val="001A7E9A"/>
    <w:rsid w:val="001B0F70"/>
    <w:rsid w:val="001B5016"/>
    <w:rsid w:val="001C0188"/>
    <w:rsid w:val="001C45FC"/>
    <w:rsid w:val="001C51B7"/>
    <w:rsid w:val="001C770A"/>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851E5"/>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1AA9"/>
    <w:rsid w:val="00312911"/>
    <w:rsid w:val="003144EF"/>
    <w:rsid w:val="003148CA"/>
    <w:rsid w:val="00315506"/>
    <w:rsid w:val="00320550"/>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53E51"/>
    <w:rsid w:val="00361A0A"/>
    <w:rsid w:val="0036565C"/>
    <w:rsid w:val="0036625E"/>
    <w:rsid w:val="0036760B"/>
    <w:rsid w:val="0037465A"/>
    <w:rsid w:val="0037544E"/>
    <w:rsid w:val="00380BAB"/>
    <w:rsid w:val="00382C98"/>
    <w:rsid w:val="0038533C"/>
    <w:rsid w:val="00386568"/>
    <w:rsid w:val="00387106"/>
    <w:rsid w:val="00391F3E"/>
    <w:rsid w:val="00392152"/>
    <w:rsid w:val="003948D5"/>
    <w:rsid w:val="003963D4"/>
    <w:rsid w:val="00396821"/>
    <w:rsid w:val="00397D3A"/>
    <w:rsid w:val="003A051E"/>
    <w:rsid w:val="003A1E2E"/>
    <w:rsid w:val="003A2FEE"/>
    <w:rsid w:val="003B1310"/>
    <w:rsid w:val="003B170F"/>
    <w:rsid w:val="003B3C5F"/>
    <w:rsid w:val="003C089D"/>
    <w:rsid w:val="003C4471"/>
    <w:rsid w:val="003C66B1"/>
    <w:rsid w:val="003D0A6D"/>
    <w:rsid w:val="003E0B16"/>
    <w:rsid w:val="003E67D1"/>
    <w:rsid w:val="003F00BA"/>
    <w:rsid w:val="003F3E77"/>
    <w:rsid w:val="003F5C73"/>
    <w:rsid w:val="00405DC1"/>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19FF"/>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3E5C"/>
    <w:rsid w:val="004E622C"/>
    <w:rsid w:val="004F5FDF"/>
    <w:rsid w:val="0050157D"/>
    <w:rsid w:val="0050446F"/>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159"/>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D0E6E"/>
    <w:rsid w:val="006D33A6"/>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2F9E"/>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58A5"/>
    <w:rsid w:val="00806302"/>
    <w:rsid w:val="00807119"/>
    <w:rsid w:val="00812AFE"/>
    <w:rsid w:val="00817D57"/>
    <w:rsid w:val="00822764"/>
    <w:rsid w:val="008241C4"/>
    <w:rsid w:val="0082483F"/>
    <w:rsid w:val="008264CB"/>
    <w:rsid w:val="008279C0"/>
    <w:rsid w:val="00835FD1"/>
    <w:rsid w:val="00842657"/>
    <w:rsid w:val="0084683C"/>
    <w:rsid w:val="008512FA"/>
    <w:rsid w:val="00853A74"/>
    <w:rsid w:val="00856F78"/>
    <w:rsid w:val="00857763"/>
    <w:rsid w:val="00860E61"/>
    <w:rsid w:val="00867A8F"/>
    <w:rsid w:val="008723F3"/>
    <w:rsid w:val="00874A31"/>
    <w:rsid w:val="00881DE6"/>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E6133"/>
    <w:rsid w:val="008F18EF"/>
    <w:rsid w:val="008F20FC"/>
    <w:rsid w:val="008F2B24"/>
    <w:rsid w:val="008F5B0F"/>
    <w:rsid w:val="008F5FFE"/>
    <w:rsid w:val="0090421A"/>
    <w:rsid w:val="00905A43"/>
    <w:rsid w:val="00907DC2"/>
    <w:rsid w:val="00910578"/>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5A83"/>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4CC"/>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260A"/>
    <w:rsid w:val="00B457BF"/>
    <w:rsid w:val="00B46CE2"/>
    <w:rsid w:val="00B60190"/>
    <w:rsid w:val="00B61419"/>
    <w:rsid w:val="00B65051"/>
    <w:rsid w:val="00B66441"/>
    <w:rsid w:val="00B72F5F"/>
    <w:rsid w:val="00B736DF"/>
    <w:rsid w:val="00B74FBD"/>
    <w:rsid w:val="00B77352"/>
    <w:rsid w:val="00B82586"/>
    <w:rsid w:val="00B829A3"/>
    <w:rsid w:val="00B86DB1"/>
    <w:rsid w:val="00B87869"/>
    <w:rsid w:val="00B953BD"/>
    <w:rsid w:val="00BA0E44"/>
    <w:rsid w:val="00BA47C5"/>
    <w:rsid w:val="00BB0F2B"/>
    <w:rsid w:val="00BC4DC8"/>
    <w:rsid w:val="00BD0D57"/>
    <w:rsid w:val="00BE1A50"/>
    <w:rsid w:val="00BF50F7"/>
    <w:rsid w:val="00C00111"/>
    <w:rsid w:val="00C02F29"/>
    <w:rsid w:val="00C06E28"/>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47971"/>
    <w:rsid w:val="00C504E5"/>
    <w:rsid w:val="00C53E2C"/>
    <w:rsid w:val="00C550C8"/>
    <w:rsid w:val="00C56B61"/>
    <w:rsid w:val="00C606C3"/>
    <w:rsid w:val="00C620F4"/>
    <w:rsid w:val="00C6434A"/>
    <w:rsid w:val="00C668B6"/>
    <w:rsid w:val="00C67ECE"/>
    <w:rsid w:val="00C7161B"/>
    <w:rsid w:val="00C72848"/>
    <w:rsid w:val="00C7736C"/>
    <w:rsid w:val="00C82767"/>
    <w:rsid w:val="00C82D87"/>
    <w:rsid w:val="00C841ED"/>
    <w:rsid w:val="00C85F17"/>
    <w:rsid w:val="00C8712A"/>
    <w:rsid w:val="00C91324"/>
    <w:rsid w:val="00C914F7"/>
    <w:rsid w:val="00C963D3"/>
    <w:rsid w:val="00CA52B5"/>
    <w:rsid w:val="00CA6E0D"/>
    <w:rsid w:val="00CB2CBB"/>
    <w:rsid w:val="00CB56CE"/>
    <w:rsid w:val="00CB7CAC"/>
    <w:rsid w:val="00CC0754"/>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10FC"/>
    <w:rsid w:val="00D6386E"/>
    <w:rsid w:val="00D63EFD"/>
    <w:rsid w:val="00D64826"/>
    <w:rsid w:val="00D7080A"/>
    <w:rsid w:val="00D80DF2"/>
    <w:rsid w:val="00D84150"/>
    <w:rsid w:val="00D841E4"/>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318E"/>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B6C"/>
    <w:rsid w:val="00E61C42"/>
    <w:rsid w:val="00E62935"/>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378"/>
    <w:rsid w:val="00EC2AEA"/>
    <w:rsid w:val="00EC4720"/>
    <w:rsid w:val="00EC7B11"/>
    <w:rsid w:val="00EC7F95"/>
    <w:rsid w:val="00ED0BC4"/>
    <w:rsid w:val="00ED2F91"/>
    <w:rsid w:val="00ED3771"/>
    <w:rsid w:val="00ED4AB7"/>
    <w:rsid w:val="00ED6A32"/>
    <w:rsid w:val="00EE4638"/>
    <w:rsid w:val="00EE4971"/>
    <w:rsid w:val="00EE78C9"/>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5DA2"/>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table" w:styleId="TableGrid">
    <w:name w:val="Table Grid"/>
    <w:basedOn w:val="TableNormal"/>
    <w:uiPriority w:val="39"/>
    <w:rsid w:val="003F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15</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Eng</cp:lastModifiedBy>
  <cp:revision>16</cp:revision>
  <cp:lastPrinted>2019-08-27T05:42:00Z</cp:lastPrinted>
  <dcterms:created xsi:type="dcterms:W3CDTF">2024-02-13T08:15:00Z</dcterms:created>
  <dcterms:modified xsi:type="dcterms:W3CDTF">2024-03-01T06:01:00Z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2024-02-13T08:16:23Z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3617ab61-5311-478d-9562-4a218b472516</vt:lpwstr>
  </property>
  <property fmtid="{D5CDD505-2E9C-101B-9397-08002B2CF9AE}" pid="8" name="MSIP_Label_153db910-0838-4c35-bb3a-1ee21aa199ac_ContentBits">
    <vt:lpwstr>0</vt:lpwstr>
  </property>
</Properties>
</file>