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a3"/>
        <w:ind w:left="426"/>
        <w:jc w:val="both"/>
        <w:rPr>
          <w:rFonts w:ascii="Avenir Next" w:hAnsi="Avenir Next" w:cs="Arial"/>
          <w:sz w:val="22"/>
          <w:szCs w:val="22"/>
          <w:lang w:val="en-GB"/>
        </w:rPr>
      </w:pPr>
    </w:p>
    <w:p w14:paraId="05419608" w14:textId="77777777" w:rsidR="00F746D8" w:rsidRPr="008E3C96" w:rsidRDefault="00F746D8" w:rsidP="00F746D8">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a3"/>
        <w:ind w:left="426"/>
        <w:jc w:val="both"/>
        <w:rPr>
          <w:rFonts w:ascii="Avenir Next" w:hAnsi="Avenir Next" w:cs="Arial"/>
          <w:sz w:val="22"/>
          <w:szCs w:val="22"/>
          <w:lang w:val="en-GB"/>
        </w:rPr>
      </w:pPr>
    </w:p>
    <w:p w14:paraId="780CB84D" w14:textId="77777777" w:rsidR="00F746D8" w:rsidRPr="008E3C96" w:rsidRDefault="00F746D8" w:rsidP="00F746D8">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a3"/>
        <w:ind w:left="426"/>
        <w:jc w:val="both"/>
        <w:rPr>
          <w:rFonts w:ascii="Avenir Next" w:hAnsi="Avenir Next" w:cs="Arial"/>
          <w:sz w:val="22"/>
          <w:szCs w:val="22"/>
          <w:lang w:val="en-GB"/>
        </w:rPr>
      </w:pPr>
    </w:p>
    <w:p w14:paraId="04E0EF03" w14:textId="77777777" w:rsidR="00F746D8" w:rsidRPr="007B17B3" w:rsidRDefault="00F746D8" w:rsidP="00F746D8">
      <w:pPr>
        <w:pStyle w:val="a3"/>
        <w:numPr>
          <w:ilvl w:val="0"/>
          <w:numId w:val="26"/>
        </w:numPr>
        <w:ind w:left="426"/>
        <w:jc w:val="both"/>
        <w:rPr>
          <w:rFonts w:ascii="Avenir Next" w:hAnsi="Avenir Next" w:cs="Arial"/>
          <w:sz w:val="22"/>
          <w:szCs w:val="22"/>
          <w:highlight w:val="yellow"/>
          <w:lang w:val="en-GB"/>
        </w:rPr>
      </w:pPr>
      <w:r w:rsidRPr="007B17B3">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0B804479"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r w:rsidR="007B17B3">
        <w:rPr>
          <w:rFonts w:ascii="Avenir Next" w:hAnsi="Avenir Next" w:cs="Arial"/>
          <w:sz w:val="22"/>
          <w:szCs w:val="22"/>
          <w:lang w:val="en-GB"/>
        </w:rPr>
        <w:t xml:space="preserve"> </w:t>
      </w:r>
      <w:r w:rsidR="007B17B3" w:rsidRPr="007B17B3">
        <w:rPr>
          <w:rFonts w:ascii="Avenir Next" w:hAnsi="Avenir Next" w:cs="Arial"/>
          <w:sz w:val="22"/>
          <w:szCs w:val="22"/>
          <w:highlight w:val="yellow"/>
          <w:lang w:val="en-GB"/>
        </w:rPr>
        <w:t>there is no difference between a and b</w:t>
      </w:r>
      <w:r w:rsidR="007B17B3">
        <w:rPr>
          <w:rFonts w:ascii="Avenir Next" w:hAnsi="Avenir Next" w:cs="Arial"/>
          <w:sz w:val="22"/>
          <w:szCs w:val="22"/>
          <w:lang w:val="en-GB"/>
        </w:rPr>
        <w:t xml:space="preserve">. </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7B17B3" w:rsidRDefault="00F746D8" w:rsidP="00F746D8">
      <w:pPr>
        <w:pStyle w:val="a3"/>
        <w:numPr>
          <w:ilvl w:val="0"/>
          <w:numId w:val="3"/>
        </w:numPr>
        <w:ind w:left="426"/>
        <w:jc w:val="both"/>
        <w:rPr>
          <w:rFonts w:ascii="Avenir Next" w:hAnsi="Avenir Next" w:cs="Arial"/>
          <w:iCs/>
          <w:sz w:val="22"/>
          <w:szCs w:val="22"/>
          <w:highlight w:val="yellow"/>
          <w:lang w:val="en-GB"/>
        </w:rPr>
      </w:pPr>
      <w:r w:rsidRPr="007B17B3">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a3"/>
        <w:ind w:left="426"/>
        <w:jc w:val="both"/>
        <w:rPr>
          <w:rFonts w:ascii="Avenir Next" w:hAnsi="Avenir Next" w:cs="Arial"/>
          <w:iCs/>
          <w:sz w:val="22"/>
          <w:szCs w:val="22"/>
          <w:lang w:val="en-GB"/>
        </w:rPr>
      </w:pPr>
    </w:p>
    <w:p w14:paraId="676F8887" w14:textId="77777777" w:rsidR="00F746D8" w:rsidRPr="00DE27FF" w:rsidRDefault="00F746D8" w:rsidP="00F746D8">
      <w:pPr>
        <w:pStyle w:val="a3"/>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a3"/>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a3"/>
        <w:ind w:left="426"/>
        <w:jc w:val="both"/>
        <w:rPr>
          <w:rFonts w:ascii="Avenir Next" w:hAnsi="Avenir Next" w:cs="Arial"/>
          <w:iCs/>
          <w:sz w:val="22"/>
          <w:szCs w:val="22"/>
          <w:lang w:val="en-GB"/>
        </w:rPr>
      </w:pPr>
    </w:p>
    <w:p w14:paraId="3C1680F9" w14:textId="77777777" w:rsidR="00F746D8" w:rsidRPr="00DE27FF" w:rsidRDefault="00F746D8" w:rsidP="00F746D8">
      <w:pPr>
        <w:pStyle w:val="a3"/>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lastRenderedPageBreak/>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a3"/>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a3"/>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a3"/>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a3"/>
        <w:ind w:left="426"/>
        <w:jc w:val="both"/>
        <w:rPr>
          <w:rFonts w:ascii="Avenir Next" w:hAnsi="Avenir Next" w:cs="Arial"/>
          <w:iCs/>
          <w:sz w:val="22"/>
          <w:szCs w:val="22"/>
          <w:lang w:val="en-GB"/>
        </w:rPr>
      </w:pPr>
    </w:p>
    <w:p w14:paraId="3469FC75" w14:textId="77777777" w:rsidR="00F746D8" w:rsidRPr="00AF277F" w:rsidRDefault="00F746D8" w:rsidP="00F746D8">
      <w:pPr>
        <w:pStyle w:val="a3"/>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a3"/>
        <w:ind w:left="426"/>
        <w:jc w:val="both"/>
        <w:rPr>
          <w:rFonts w:ascii="Avenir Next" w:hAnsi="Avenir Next" w:cs="Arial"/>
          <w:iCs/>
          <w:sz w:val="22"/>
          <w:szCs w:val="22"/>
          <w:lang w:val="en-GB"/>
        </w:rPr>
      </w:pPr>
    </w:p>
    <w:p w14:paraId="6328E9AC" w14:textId="77777777" w:rsidR="00F746D8" w:rsidRPr="007B17B3" w:rsidRDefault="00F746D8" w:rsidP="00F746D8">
      <w:pPr>
        <w:pStyle w:val="a3"/>
        <w:numPr>
          <w:ilvl w:val="0"/>
          <w:numId w:val="27"/>
        </w:numPr>
        <w:ind w:left="426"/>
        <w:jc w:val="both"/>
        <w:rPr>
          <w:rFonts w:ascii="Avenir Next" w:hAnsi="Avenir Next"/>
          <w:sz w:val="22"/>
          <w:highlight w:val="yellow"/>
          <w:lang w:val="en-GB"/>
        </w:rPr>
      </w:pPr>
      <w:r w:rsidRPr="007B17B3">
        <w:rPr>
          <w:rFonts w:ascii="Avenir Next" w:hAnsi="Avenir Next"/>
          <w:sz w:val="22"/>
          <w:highlight w:val="yellow"/>
          <w:lang w:val="en-GB"/>
        </w:rPr>
        <w:t xml:space="preserve">The EIR 2000 </w:t>
      </w:r>
      <w:r w:rsidRPr="007B17B3">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7B17B3">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a3"/>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7B17B3" w:rsidRDefault="00F746D8" w:rsidP="00F746D8">
      <w:pPr>
        <w:pStyle w:val="a3"/>
        <w:numPr>
          <w:ilvl w:val="0"/>
          <w:numId w:val="5"/>
        </w:numPr>
        <w:ind w:left="426"/>
        <w:jc w:val="both"/>
        <w:rPr>
          <w:rFonts w:ascii="Avenir Next" w:hAnsi="Avenir Next" w:cs="Arial"/>
          <w:sz w:val="22"/>
          <w:szCs w:val="22"/>
          <w:highlight w:val="yellow"/>
          <w:lang w:val="en-GB"/>
        </w:rPr>
      </w:pPr>
      <w:r w:rsidRPr="007B17B3">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a3"/>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lastRenderedPageBreak/>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a3"/>
        <w:ind w:left="426"/>
        <w:jc w:val="both"/>
        <w:rPr>
          <w:rFonts w:ascii="Avenir Next" w:hAnsi="Avenir Next" w:cs="Arial"/>
          <w:sz w:val="22"/>
          <w:szCs w:val="22"/>
          <w:lang w:val="en-GB"/>
        </w:rPr>
      </w:pPr>
    </w:p>
    <w:p w14:paraId="54DF3437" w14:textId="20CAC8AA" w:rsidR="00F746D8" w:rsidRPr="007B17B3" w:rsidRDefault="00F746D8" w:rsidP="00F746D8">
      <w:pPr>
        <w:pStyle w:val="a3"/>
        <w:numPr>
          <w:ilvl w:val="0"/>
          <w:numId w:val="28"/>
        </w:numPr>
        <w:ind w:left="426"/>
        <w:jc w:val="both"/>
        <w:rPr>
          <w:rFonts w:ascii="Avenir Next" w:hAnsi="Avenir Next" w:cs="Arial"/>
          <w:sz w:val="22"/>
          <w:szCs w:val="22"/>
          <w:highlight w:val="yellow"/>
          <w:lang w:val="en-GB"/>
        </w:rPr>
      </w:pPr>
      <w:r w:rsidRPr="007B17B3">
        <w:rPr>
          <w:rFonts w:ascii="Avenir Next" w:hAnsi="Avenir Next" w:cs="Arial"/>
          <w:sz w:val="22"/>
          <w:szCs w:val="22"/>
          <w:highlight w:val="yellow"/>
          <w:lang w:val="en-GB"/>
        </w:rPr>
        <w:t>Article 3 states that the courts of the Member State within the territory of which the debtor has its centre of main</w:t>
      </w:r>
      <w:r w:rsidR="003E1D56" w:rsidRPr="007B17B3">
        <w:rPr>
          <w:rFonts w:ascii="Avenir Next" w:hAnsi="Avenir Next" w:cs="Arial"/>
          <w:sz w:val="22"/>
          <w:szCs w:val="22"/>
          <w:highlight w:val="yellow"/>
          <w:lang w:val="en-GB"/>
        </w:rPr>
        <w:t xml:space="preserve"> interest</w:t>
      </w:r>
      <w:r w:rsidRPr="007B17B3">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a3"/>
        <w:ind w:left="426"/>
        <w:jc w:val="both"/>
        <w:rPr>
          <w:rFonts w:ascii="Avenir Next" w:hAnsi="Avenir Next" w:cs="Arial"/>
          <w:sz w:val="22"/>
          <w:szCs w:val="22"/>
          <w:lang w:val="en-GB"/>
        </w:rPr>
      </w:pPr>
    </w:p>
    <w:p w14:paraId="4E7B7B16" w14:textId="77777777" w:rsidR="00F746D8" w:rsidRPr="008E3C96" w:rsidRDefault="00F746D8" w:rsidP="00F746D8">
      <w:pPr>
        <w:pStyle w:val="a3"/>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a3"/>
        <w:ind w:left="426"/>
        <w:jc w:val="both"/>
        <w:rPr>
          <w:rFonts w:ascii="Avenir Next" w:hAnsi="Avenir Next" w:cs="Arial"/>
          <w:sz w:val="22"/>
          <w:szCs w:val="22"/>
          <w:lang w:val="en-GB"/>
        </w:rPr>
      </w:pPr>
    </w:p>
    <w:p w14:paraId="644A958A" w14:textId="77777777" w:rsidR="00F746D8" w:rsidRPr="008E3C96" w:rsidRDefault="00F746D8" w:rsidP="00F746D8">
      <w:pPr>
        <w:pStyle w:val="a3"/>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a3"/>
        <w:ind w:left="426"/>
        <w:jc w:val="both"/>
        <w:rPr>
          <w:rFonts w:ascii="Avenir Next" w:hAnsi="Avenir Next" w:cs="Arial"/>
          <w:sz w:val="22"/>
          <w:szCs w:val="22"/>
          <w:lang w:val="en-GB"/>
        </w:rPr>
      </w:pPr>
    </w:p>
    <w:p w14:paraId="5E504FB7" w14:textId="77777777" w:rsidR="00F746D8" w:rsidRPr="008E3C96" w:rsidRDefault="00F746D8" w:rsidP="00F746D8">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7B17B3" w:rsidRDefault="00F746D8" w:rsidP="00F746D8">
      <w:pPr>
        <w:pStyle w:val="a3"/>
        <w:numPr>
          <w:ilvl w:val="0"/>
          <w:numId w:val="7"/>
        </w:numPr>
        <w:ind w:left="426"/>
        <w:jc w:val="both"/>
        <w:rPr>
          <w:rFonts w:ascii="Avenir Next" w:hAnsi="Avenir Next" w:cs="Arial"/>
          <w:sz w:val="22"/>
          <w:szCs w:val="22"/>
          <w:highlight w:val="yellow"/>
          <w:lang w:val="en-GB"/>
        </w:rPr>
      </w:pPr>
      <w:r w:rsidRPr="007B17B3">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a3"/>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a3"/>
        <w:ind w:left="426"/>
        <w:jc w:val="both"/>
        <w:rPr>
          <w:rFonts w:ascii="Avenir Next" w:hAnsi="Avenir Next" w:cs="Arial"/>
          <w:sz w:val="22"/>
          <w:szCs w:val="22"/>
          <w:lang w:val="en-GB"/>
        </w:rPr>
      </w:pPr>
    </w:p>
    <w:p w14:paraId="12FF3881" w14:textId="77777777" w:rsidR="00F746D8" w:rsidRPr="008E3C96" w:rsidRDefault="00F746D8" w:rsidP="00F746D8">
      <w:pPr>
        <w:pStyle w:val="a3"/>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a3"/>
        <w:ind w:left="426"/>
        <w:jc w:val="both"/>
        <w:rPr>
          <w:rFonts w:ascii="Avenir Next" w:hAnsi="Avenir Next" w:cs="Arial"/>
          <w:sz w:val="22"/>
          <w:szCs w:val="22"/>
          <w:lang w:val="en-GB"/>
        </w:rPr>
      </w:pPr>
    </w:p>
    <w:p w14:paraId="54884835" w14:textId="77777777" w:rsidR="00F746D8" w:rsidRPr="007B17B3" w:rsidRDefault="00F746D8" w:rsidP="00F746D8">
      <w:pPr>
        <w:pStyle w:val="a3"/>
        <w:numPr>
          <w:ilvl w:val="0"/>
          <w:numId w:val="31"/>
        </w:numPr>
        <w:ind w:left="426"/>
        <w:jc w:val="both"/>
        <w:rPr>
          <w:rFonts w:ascii="Avenir Next" w:hAnsi="Avenir Next" w:cs="Arial"/>
          <w:sz w:val="22"/>
          <w:szCs w:val="22"/>
          <w:highlight w:val="yellow"/>
          <w:lang w:val="en-GB"/>
        </w:rPr>
      </w:pPr>
      <w:r w:rsidRPr="007B17B3">
        <w:rPr>
          <w:rFonts w:ascii="Avenir Next" w:hAnsi="Avenir Next" w:cs="Arial"/>
          <w:sz w:val="22"/>
          <w:szCs w:val="22"/>
          <w:highlight w:val="yellow"/>
          <w:lang w:val="en-GB"/>
        </w:rPr>
        <w:t>Article 7 EIR Recast (entitled “Applicable law”).</w:t>
      </w:r>
    </w:p>
    <w:p w14:paraId="0B470F1F" w14:textId="77777777" w:rsidR="00F746D8" w:rsidRPr="008E3C96" w:rsidRDefault="00F746D8" w:rsidP="00F746D8">
      <w:pPr>
        <w:pStyle w:val="a3"/>
        <w:ind w:left="426"/>
        <w:jc w:val="both"/>
        <w:rPr>
          <w:rFonts w:ascii="Avenir Next" w:hAnsi="Avenir Next" w:cs="Arial"/>
          <w:sz w:val="22"/>
          <w:szCs w:val="22"/>
          <w:lang w:val="en-GB"/>
        </w:rPr>
      </w:pPr>
    </w:p>
    <w:p w14:paraId="401BC106" w14:textId="77777777" w:rsidR="00F746D8" w:rsidRPr="00AD35E0" w:rsidRDefault="00F746D8" w:rsidP="00F746D8">
      <w:pPr>
        <w:pStyle w:val="a3"/>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a3"/>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a3"/>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a3"/>
        <w:ind w:left="426"/>
        <w:jc w:val="both"/>
        <w:rPr>
          <w:rFonts w:ascii="Avenir Next" w:hAnsi="Avenir Next" w:cs="Arial"/>
          <w:sz w:val="22"/>
          <w:szCs w:val="22"/>
          <w:lang w:val="en-GB"/>
        </w:rPr>
      </w:pPr>
    </w:p>
    <w:p w14:paraId="5165E85E" w14:textId="77777777" w:rsidR="00F746D8" w:rsidRPr="008E3C96" w:rsidRDefault="00F746D8" w:rsidP="00F746D8">
      <w:pPr>
        <w:pStyle w:val="a3"/>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a3"/>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7B17B3" w:rsidRDefault="00F746D8" w:rsidP="00F746D8">
      <w:pPr>
        <w:pStyle w:val="a3"/>
        <w:numPr>
          <w:ilvl w:val="0"/>
          <w:numId w:val="8"/>
        </w:numPr>
        <w:ind w:left="426"/>
        <w:jc w:val="both"/>
        <w:rPr>
          <w:rFonts w:ascii="Avenir Next" w:hAnsi="Avenir Next" w:cs="Arial"/>
          <w:sz w:val="22"/>
          <w:szCs w:val="22"/>
          <w:highlight w:val="yellow"/>
          <w:lang w:val="en-GB"/>
        </w:rPr>
      </w:pPr>
      <w:r w:rsidRPr="007B17B3">
        <w:rPr>
          <w:rFonts w:ascii="Avenir Next" w:hAnsi="Avenir Next"/>
          <w:sz w:val="22"/>
          <w:highlight w:val="yellow"/>
          <w:lang w:val="en-GB"/>
        </w:rPr>
        <w:t xml:space="preserve">The </w:t>
      </w:r>
      <w:r w:rsidRPr="007B17B3">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7B17B3" w:rsidRDefault="00F746D8" w:rsidP="00F746D8">
      <w:pPr>
        <w:pStyle w:val="a3"/>
        <w:numPr>
          <w:ilvl w:val="0"/>
          <w:numId w:val="32"/>
        </w:numPr>
        <w:ind w:left="426"/>
        <w:jc w:val="both"/>
        <w:rPr>
          <w:rFonts w:ascii="Avenir Next" w:hAnsi="Avenir Next" w:cs="Arial"/>
          <w:sz w:val="22"/>
          <w:szCs w:val="22"/>
          <w:highlight w:val="yellow"/>
          <w:lang w:val="en-GB"/>
        </w:rPr>
      </w:pPr>
      <w:r w:rsidRPr="007B17B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a3"/>
        <w:ind w:left="426"/>
        <w:jc w:val="both"/>
        <w:rPr>
          <w:rFonts w:ascii="Avenir Next" w:hAnsi="Avenir Next" w:cs="Arial"/>
          <w:sz w:val="22"/>
          <w:szCs w:val="22"/>
          <w:lang w:val="en-GB"/>
        </w:rPr>
      </w:pPr>
    </w:p>
    <w:p w14:paraId="12CA0080" w14:textId="77777777" w:rsidR="00F746D8" w:rsidRPr="008E3C96" w:rsidRDefault="00F746D8" w:rsidP="00F746D8">
      <w:pPr>
        <w:pStyle w:val="a3"/>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a3"/>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a3"/>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lastRenderedPageBreak/>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a3"/>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a3"/>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a3"/>
        <w:ind w:left="426"/>
        <w:jc w:val="both"/>
        <w:rPr>
          <w:rFonts w:ascii="Avenir Next" w:hAnsi="Avenir Next" w:cs="Arial"/>
          <w:sz w:val="22"/>
          <w:szCs w:val="22"/>
          <w:lang w:val="en-GB"/>
        </w:rPr>
      </w:pPr>
    </w:p>
    <w:p w14:paraId="39B9C266" w14:textId="77777777" w:rsidR="00F746D8" w:rsidRPr="007B17B3" w:rsidRDefault="00F746D8" w:rsidP="00F746D8">
      <w:pPr>
        <w:pStyle w:val="a3"/>
        <w:numPr>
          <w:ilvl w:val="0"/>
          <w:numId w:val="9"/>
        </w:numPr>
        <w:ind w:left="426"/>
        <w:jc w:val="both"/>
        <w:rPr>
          <w:rFonts w:ascii="Avenir Next" w:hAnsi="Avenir Next" w:cs="Arial"/>
          <w:sz w:val="22"/>
          <w:szCs w:val="22"/>
          <w:highlight w:val="yellow"/>
          <w:lang w:val="en-GB"/>
        </w:rPr>
      </w:pPr>
      <w:r w:rsidRPr="007B17B3">
        <w:rPr>
          <w:rFonts w:ascii="Avenir Next" w:hAnsi="Avenir Next" w:cs="Arial"/>
          <w:sz w:val="22"/>
          <w:szCs w:val="22"/>
          <w:highlight w:val="yellow"/>
          <w:lang w:val="en-GB"/>
        </w:rPr>
        <w:t xml:space="preserve">Its centre of main interest </w:t>
      </w:r>
      <w:proofErr w:type="gramStart"/>
      <w:r w:rsidRPr="007B17B3">
        <w:rPr>
          <w:rFonts w:ascii="Avenir Next" w:hAnsi="Avenir Next" w:cs="Arial"/>
          <w:sz w:val="22"/>
          <w:szCs w:val="22"/>
          <w:highlight w:val="yellow"/>
          <w:lang w:val="en-GB"/>
        </w:rPr>
        <w:t>is located in</w:t>
      </w:r>
      <w:proofErr w:type="gramEnd"/>
      <w:r w:rsidRPr="007B17B3">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a3"/>
        <w:ind w:left="426"/>
        <w:jc w:val="both"/>
        <w:rPr>
          <w:rFonts w:ascii="Avenir Next" w:hAnsi="Avenir Next" w:cs="Arial"/>
          <w:sz w:val="22"/>
          <w:szCs w:val="22"/>
          <w:lang w:val="en-GB"/>
        </w:rPr>
      </w:pPr>
    </w:p>
    <w:p w14:paraId="5769E4A5" w14:textId="77777777" w:rsidR="00F746D8" w:rsidRPr="008E3C96" w:rsidRDefault="00F746D8" w:rsidP="00F746D8">
      <w:pPr>
        <w:pStyle w:val="a3"/>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a3"/>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19F44C05" w:rsidR="006C3FB7" w:rsidRDefault="007B17B3"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S</w:t>
      </w:r>
      <w:r>
        <w:rPr>
          <w:rFonts w:ascii="Avenir Next" w:hAnsi="Avenir Next" w:cs="Arial"/>
          <w:color w:val="7B7B7B" w:themeColor="accent3" w:themeShade="BF"/>
          <w:sz w:val="22"/>
          <w:szCs w:val="22"/>
        </w:rPr>
        <w:t>tatement 1: EIR Recast Article 1 Scope</w:t>
      </w:r>
    </w:p>
    <w:p w14:paraId="4C1515E3" w14:textId="381940B8" w:rsidR="007B17B3" w:rsidRDefault="007B17B3" w:rsidP="000A3278">
      <w:pPr>
        <w:jc w:val="both"/>
        <w:rPr>
          <w:rFonts w:ascii="Avenir Next" w:hAnsi="Avenir Next" w:cs="Arial"/>
          <w:color w:val="7B7B7B" w:themeColor="accent3" w:themeShade="BF"/>
          <w:sz w:val="22"/>
          <w:szCs w:val="22"/>
          <w:lang w:eastAsia="zh-CN"/>
        </w:rPr>
      </w:pPr>
      <w:r>
        <w:rPr>
          <w:rFonts w:ascii="Avenir Next" w:hAnsi="Avenir Next" w:cs="Arial" w:hint="eastAsia"/>
          <w:color w:val="7B7B7B" w:themeColor="accent3" w:themeShade="BF"/>
          <w:sz w:val="22"/>
          <w:szCs w:val="22"/>
        </w:rPr>
        <w:t>S</w:t>
      </w:r>
      <w:r>
        <w:rPr>
          <w:rFonts w:ascii="Avenir Next" w:hAnsi="Avenir Next" w:cs="Arial"/>
          <w:color w:val="7B7B7B" w:themeColor="accent3" w:themeShade="BF"/>
          <w:sz w:val="22"/>
          <w:szCs w:val="22"/>
        </w:rPr>
        <w:t xml:space="preserve">tatement 2: EIR Recast Article 18 </w:t>
      </w:r>
      <w:r>
        <w:rPr>
          <w:rFonts w:ascii="Avenir Next" w:hAnsi="Avenir Next" w:cs="Arial"/>
          <w:color w:val="7B7B7B" w:themeColor="accent3" w:themeShade="BF"/>
          <w:sz w:val="22"/>
          <w:szCs w:val="22"/>
          <w:lang w:eastAsia="zh-CN"/>
        </w:rPr>
        <w:t xml:space="preserve">Effects of insolvency proceedings on pending lawsuits or arbitral proceedings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lastRenderedPageBreak/>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61686710" w:rsidR="000A3278" w:rsidRDefault="007B17B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following three provisions of EIR Recast are depart from a universal approach to cross-border insolvency:</w:t>
      </w:r>
    </w:p>
    <w:p w14:paraId="7D46C04D" w14:textId="150F32DC" w:rsidR="007B17B3" w:rsidRDefault="007B17B3"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1</w:t>
      </w:r>
      <w:r>
        <w:rPr>
          <w:rFonts w:ascii="Avenir Next" w:hAnsi="Avenir Next" w:cs="Arial"/>
          <w:color w:val="7B7B7B" w:themeColor="accent3" w:themeShade="BF"/>
          <w:sz w:val="22"/>
          <w:szCs w:val="22"/>
        </w:rPr>
        <w:t xml:space="preserve">. EIR Recast </w:t>
      </w:r>
      <w:r w:rsidRPr="007B17B3">
        <w:rPr>
          <w:rFonts w:ascii="Avenir Next" w:hAnsi="Avenir Next" w:cs="Arial"/>
          <w:color w:val="7B7B7B" w:themeColor="accent3" w:themeShade="BF"/>
          <w:sz w:val="22"/>
          <w:szCs w:val="22"/>
          <w:highlight w:val="yellow"/>
        </w:rPr>
        <w:t>Article 3(2)</w:t>
      </w:r>
      <w:r>
        <w:rPr>
          <w:rFonts w:ascii="Avenir Next" w:hAnsi="Avenir Next" w:cs="Arial"/>
          <w:color w:val="7B7B7B" w:themeColor="accent3" w:themeShade="BF"/>
          <w:sz w:val="22"/>
          <w:szCs w:val="22"/>
        </w:rPr>
        <w:t xml:space="preserve">, the provision about the secondary proceeding. </w:t>
      </w:r>
    </w:p>
    <w:p w14:paraId="031ECBE3" w14:textId="49E03589" w:rsidR="007B17B3" w:rsidRPr="007B17B3" w:rsidRDefault="007B17B3" w:rsidP="000A3278">
      <w:pPr>
        <w:jc w:val="both"/>
        <w:rPr>
          <w:rFonts w:ascii="Avenir Next" w:hAnsi="Avenir Next" w:cs="Arial" w:hint="eastAsia"/>
          <w:color w:val="7B7B7B" w:themeColor="accent3" w:themeShade="BF"/>
          <w:sz w:val="22"/>
          <w:szCs w:val="22"/>
          <w:lang w:eastAsia="zh-CN"/>
        </w:rPr>
      </w:pPr>
      <w:r>
        <w:rPr>
          <w:rFonts w:ascii="Avenir Next" w:hAnsi="Avenir Next" w:cs="Arial" w:hint="eastAsia"/>
          <w:color w:val="7B7B7B" w:themeColor="accent3" w:themeShade="BF"/>
          <w:sz w:val="22"/>
          <w:szCs w:val="22"/>
        </w:rPr>
        <w:t>2</w:t>
      </w:r>
      <w:r>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lang w:eastAsia="zh-CN"/>
        </w:rPr>
        <w:t>EIR R</w:t>
      </w:r>
      <w:r>
        <w:rPr>
          <w:rFonts w:ascii="Avenir Next" w:hAnsi="Avenir Next" w:cs="Arial" w:hint="eastAsia"/>
          <w:color w:val="7B7B7B" w:themeColor="accent3" w:themeShade="BF"/>
          <w:sz w:val="22"/>
          <w:szCs w:val="22"/>
          <w:lang w:eastAsia="zh-CN"/>
        </w:rPr>
        <w:t>ecast</w:t>
      </w:r>
      <w:r>
        <w:rPr>
          <w:rFonts w:ascii="Avenir Next" w:hAnsi="Avenir Next" w:cs="Arial"/>
          <w:color w:val="7B7B7B" w:themeColor="accent3" w:themeShade="BF"/>
          <w:sz w:val="22"/>
          <w:szCs w:val="22"/>
          <w:lang w:eastAsia="zh-CN"/>
        </w:rPr>
        <w:t xml:space="preserve"> </w:t>
      </w:r>
      <w:r w:rsidRPr="007B17B3">
        <w:rPr>
          <w:rFonts w:ascii="Avenir Next" w:hAnsi="Avenir Next" w:cs="Arial"/>
          <w:color w:val="7B7B7B" w:themeColor="accent3" w:themeShade="BF"/>
          <w:sz w:val="22"/>
          <w:szCs w:val="22"/>
          <w:highlight w:val="yellow"/>
          <w:lang w:eastAsia="zh-CN"/>
        </w:rPr>
        <w:t>A</w:t>
      </w:r>
      <w:r w:rsidRPr="007B17B3">
        <w:rPr>
          <w:rFonts w:ascii="Avenir Next" w:hAnsi="Avenir Next" w:cs="Arial" w:hint="eastAsia"/>
          <w:color w:val="7B7B7B" w:themeColor="accent3" w:themeShade="BF"/>
          <w:sz w:val="22"/>
          <w:szCs w:val="22"/>
          <w:highlight w:val="yellow"/>
          <w:lang w:eastAsia="zh-CN"/>
        </w:rPr>
        <w:t>rticle</w:t>
      </w:r>
      <w:r w:rsidRPr="007B17B3">
        <w:rPr>
          <w:rFonts w:ascii="Avenir Next" w:hAnsi="Avenir Next" w:cs="Arial"/>
          <w:color w:val="7B7B7B" w:themeColor="accent3" w:themeShade="BF"/>
          <w:sz w:val="22"/>
          <w:szCs w:val="22"/>
          <w:highlight w:val="yellow"/>
          <w:lang w:eastAsia="zh-CN"/>
        </w:rPr>
        <w:t xml:space="preserve"> 8</w:t>
      </w:r>
      <w:r>
        <w:rPr>
          <w:rFonts w:ascii="Avenir Next" w:hAnsi="Avenir Next" w:cs="Arial"/>
          <w:color w:val="7B7B7B" w:themeColor="accent3" w:themeShade="BF"/>
          <w:sz w:val="22"/>
          <w:szCs w:val="22"/>
          <w:lang w:eastAsia="zh-CN"/>
        </w:rPr>
        <w:t xml:space="preserve"> </w:t>
      </w:r>
      <w:r w:rsidRPr="007B17B3">
        <w:rPr>
          <w:rFonts w:ascii="Avenir Next" w:hAnsi="Avenir Next" w:cs="Arial"/>
          <w:color w:val="7B7B7B" w:themeColor="accent3" w:themeShade="BF"/>
          <w:sz w:val="22"/>
          <w:szCs w:val="22"/>
          <w:lang w:eastAsia="zh-CN"/>
        </w:rPr>
        <w:t>Third parties' rights in rem</w:t>
      </w:r>
      <w:r>
        <w:rPr>
          <w:rFonts w:ascii="Avenir Next" w:hAnsi="Avenir Next" w:cs="Arial"/>
          <w:color w:val="7B7B7B" w:themeColor="accent3" w:themeShade="BF"/>
          <w:sz w:val="22"/>
          <w:szCs w:val="22"/>
          <w:lang w:eastAsia="zh-CN"/>
        </w:rPr>
        <w:t xml:space="preserve"> and </w:t>
      </w:r>
      <w:r w:rsidRPr="007B17B3">
        <w:rPr>
          <w:rFonts w:ascii="Avenir Next" w:hAnsi="Avenir Next" w:cs="Arial"/>
          <w:color w:val="7B7B7B" w:themeColor="accent3" w:themeShade="BF"/>
          <w:sz w:val="22"/>
          <w:szCs w:val="22"/>
          <w:highlight w:val="yellow"/>
          <w:lang w:eastAsia="zh-CN"/>
        </w:rPr>
        <w:t>Article 18</w:t>
      </w:r>
      <w:r>
        <w:rPr>
          <w:rFonts w:ascii="Avenir Next" w:hAnsi="Avenir Next" w:cs="Arial"/>
          <w:color w:val="7B7B7B" w:themeColor="accent3" w:themeShade="BF"/>
          <w:sz w:val="22"/>
          <w:szCs w:val="22"/>
          <w:lang w:eastAsia="zh-CN"/>
        </w:rPr>
        <w:t xml:space="preserve"> </w:t>
      </w:r>
      <w:r w:rsidRPr="007B17B3">
        <w:rPr>
          <w:rFonts w:ascii="Avenir Next" w:hAnsi="Avenir Next" w:cs="Arial"/>
          <w:color w:val="7B7B7B" w:themeColor="accent3" w:themeShade="BF"/>
          <w:sz w:val="22"/>
          <w:szCs w:val="22"/>
          <w:lang w:eastAsia="zh-CN"/>
        </w:rPr>
        <w:t>Effects of insolvency proceedings on pending lawsuits or arbitral proceedings</w:t>
      </w:r>
      <w:r>
        <w:rPr>
          <w:rFonts w:ascii="Avenir Next" w:hAnsi="Avenir Next" w:cs="Arial"/>
          <w:color w:val="7B7B7B" w:themeColor="accent3" w:themeShade="BF"/>
          <w:sz w:val="22"/>
          <w:szCs w:val="22"/>
          <w:lang w:eastAsia="zh-CN"/>
        </w:rPr>
        <w:t>. Both provisions are the exceptions to the rule of applicable law.</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bookmarkStart w:id="0" w:name="OLE_LINK159"/>
      <w:bookmarkStart w:id="1" w:name="OLE_LINK160"/>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bookmarkEnd w:id="0"/>
    <w:bookmarkEnd w:id="1"/>
    <w:p w14:paraId="67E24F60" w14:textId="53392078" w:rsidR="000A3278" w:rsidRDefault="000A3278" w:rsidP="000A3278">
      <w:pPr>
        <w:jc w:val="both"/>
        <w:rPr>
          <w:rFonts w:ascii="Avenir Next" w:hAnsi="Avenir Next" w:cs="Arial"/>
          <w:sz w:val="22"/>
          <w:szCs w:val="22"/>
          <w:lang w:val="en-GB"/>
        </w:rPr>
      </w:pPr>
    </w:p>
    <w:p w14:paraId="519F6C24" w14:textId="1FD19B57" w:rsidR="007B17B3" w:rsidRDefault="007B17B3" w:rsidP="000A3278">
      <w:pPr>
        <w:jc w:val="both"/>
        <w:rPr>
          <w:rFonts w:ascii="Avenir Next" w:hAnsi="Avenir Next" w:cs="Arial"/>
          <w:color w:val="7B7B7B" w:themeColor="accent3" w:themeShade="BF"/>
          <w:sz w:val="22"/>
          <w:szCs w:val="22"/>
          <w:lang w:eastAsia="zh-CN"/>
        </w:rPr>
      </w:pPr>
      <w:r>
        <w:rPr>
          <w:rFonts w:ascii="Avenir Next" w:hAnsi="Avenir Next" w:cs="Arial"/>
          <w:color w:val="7B7B7B" w:themeColor="accent3" w:themeShade="BF"/>
          <w:sz w:val="22"/>
          <w:szCs w:val="22"/>
          <w:lang w:eastAsia="zh-CN"/>
        </w:rPr>
        <w:t xml:space="preserve">1. The EIR Recast applies to proceedings aiming at rescuing economically viable but financially distressed businesses, not only to the liquidation-oriented procedures. The emphasis on restructuring is a noticeable innovation of the EIR Recast and is in line with a general European trend of promoting effective restructuring tools to maximize value for creditors, increase investment and job opportunities in the single market. </w:t>
      </w:r>
    </w:p>
    <w:p w14:paraId="47412867" w14:textId="445EFD30" w:rsidR="007B17B3" w:rsidRPr="007B17B3" w:rsidRDefault="007B17B3" w:rsidP="000A3278">
      <w:pPr>
        <w:jc w:val="both"/>
        <w:rPr>
          <w:rFonts w:ascii="Avenir Next" w:hAnsi="Avenir Next" w:cs="Arial" w:hint="eastAsia"/>
          <w:color w:val="7B7B7B" w:themeColor="accent3" w:themeShade="BF"/>
          <w:sz w:val="22"/>
          <w:szCs w:val="22"/>
          <w:lang w:eastAsia="zh-CN"/>
        </w:rPr>
      </w:pPr>
      <w:r>
        <w:rPr>
          <w:rFonts w:ascii="Avenir Next" w:hAnsi="Avenir Next" w:cs="Arial" w:hint="eastAsia"/>
          <w:color w:val="7B7B7B" w:themeColor="accent3" w:themeShade="BF"/>
          <w:sz w:val="22"/>
          <w:szCs w:val="22"/>
          <w:lang w:eastAsia="zh-CN"/>
        </w:rPr>
        <w:t>2</w:t>
      </w:r>
      <w:r>
        <w:rPr>
          <w:rFonts w:ascii="Avenir Next" w:hAnsi="Avenir Next" w:cs="Arial"/>
          <w:color w:val="7B7B7B" w:themeColor="accent3" w:themeShade="BF"/>
          <w:sz w:val="22"/>
          <w:szCs w:val="22"/>
          <w:lang w:eastAsia="zh-CN"/>
        </w:rPr>
        <w:t xml:space="preserve">. The proceeding should be public and collective. In this case, the national </w:t>
      </w:r>
      <w:r>
        <w:rPr>
          <w:rFonts w:ascii="Avenir Next" w:hAnsi="Avenir Next" w:cs="Arial" w:hint="eastAsia"/>
          <w:color w:val="7B7B7B" w:themeColor="accent3" w:themeShade="BF"/>
          <w:sz w:val="22"/>
          <w:szCs w:val="22"/>
          <w:lang w:eastAsia="zh-CN"/>
        </w:rPr>
        <w:t>enforcement</w:t>
      </w:r>
      <w:r>
        <w:rPr>
          <w:rFonts w:ascii="Avenir Next" w:hAnsi="Avenir Next" w:cs="Arial"/>
          <w:color w:val="7B7B7B" w:themeColor="accent3" w:themeShade="BF"/>
          <w:sz w:val="22"/>
          <w:szCs w:val="22"/>
          <w:lang w:eastAsia="zh-CN"/>
        </w:rPr>
        <w:t xml:space="preserve"> proceeding in Member S</w:t>
      </w:r>
      <w:r>
        <w:rPr>
          <w:rFonts w:ascii="Avenir Next" w:hAnsi="Avenir Next" w:cs="Arial" w:hint="eastAsia"/>
          <w:color w:val="7B7B7B" w:themeColor="accent3" w:themeShade="BF"/>
          <w:sz w:val="22"/>
          <w:szCs w:val="22"/>
          <w:lang w:eastAsia="zh-CN"/>
        </w:rPr>
        <w:t>tates</w:t>
      </w:r>
      <w:r>
        <w:rPr>
          <w:rFonts w:ascii="Avenir Next" w:hAnsi="Avenir Next" w:cs="Arial"/>
          <w:color w:val="7B7B7B" w:themeColor="accent3" w:themeShade="BF"/>
          <w:sz w:val="22"/>
          <w:szCs w:val="22"/>
          <w:lang w:eastAsia="zh-CN"/>
        </w:rPr>
        <w:t xml:space="preserve"> between the debtor and a single creditor is beyond the scope of the EIR Recast. </w:t>
      </w:r>
    </w:p>
    <w:p w14:paraId="0ECFFFFF" w14:textId="57147E41" w:rsidR="007B17B3" w:rsidRDefault="007B17B3" w:rsidP="000A3278">
      <w:pPr>
        <w:jc w:val="both"/>
        <w:rPr>
          <w:rFonts w:ascii="Avenir Next" w:hAnsi="Avenir Next" w:cs="Arial"/>
          <w:color w:val="7B7B7B" w:themeColor="accent3" w:themeShade="BF"/>
          <w:sz w:val="22"/>
          <w:szCs w:val="22"/>
          <w:lang w:eastAsia="zh-CN"/>
        </w:rPr>
      </w:pPr>
      <w:r>
        <w:rPr>
          <w:rFonts w:ascii="Avenir Next" w:hAnsi="Avenir Next" w:cs="Arial" w:hint="eastAsia"/>
          <w:color w:val="7B7B7B" w:themeColor="accent3" w:themeShade="BF"/>
          <w:sz w:val="22"/>
          <w:szCs w:val="22"/>
          <w:lang w:eastAsia="zh-CN"/>
        </w:rPr>
        <w:t>3</w:t>
      </w:r>
      <w:r>
        <w:rPr>
          <w:rFonts w:ascii="Avenir Next" w:hAnsi="Avenir Next" w:cs="Arial"/>
          <w:color w:val="7B7B7B" w:themeColor="accent3" w:themeShade="BF"/>
          <w:sz w:val="22"/>
          <w:szCs w:val="22"/>
          <w:lang w:eastAsia="zh-CN"/>
        </w:rPr>
        <w:t xml:space="preserve">. </w:t>
      </w:r>
      <w:r w:rsidRPr="007B17B3">
        <w:rPr>
          <w:rFonts w:ascii="Avenir Next" w:hAnsi="Avenir Next" w:cs="Arial"/>
          <w:color w:val="7B7B7B" w:themeColor="accent3" w:themeShade="BF"/>
          <w:sz w:val="22"/>
          <w:szCs w:val="22"/>
          <w:lang w:eastAsia="zh-CN"/>
        </w:rPr>
        <w:t xml:space="preserve">The </w:t>
      </w:r>
      <w:r>
        <w:rPr>
          <w:rFonts w:ascii="Avenir Next" w:hAnsi="Avenir Next" w:cs="Arial"/>
          <w:color w:val="7B7B7B" w:themeColor="accent3" w:themeShade="BF"/>
          <w:sz w:val="22"/>
          <w:szCs w:val="22"/>
          <w:lang w:eastAsia="zh-CN"/>
        </w:rPr>
        <w:t>assets and affairs of a debtor are subject to control or supervision by a court.</w:t>
      </w:r>
    </w:p>
    <w:p w14:paraId="483C65FE" w14:textId="2234899D" w:rsidR="007B17B3" w:rsidRDefault="007B17B3" w:rsidP="000A3278">
      <w:pPr>
        <w:jc w:val="both"/>
        <w:rPr>
          <w:rFonts w:ascii="Avenir Next" w:hAnsi="Avenir Next" w:cs="Arial" w:hint="eastAsia"/>
          <w:color w:val="7B7B7B" w:themeColor="accent3" w:themeShade="BF"/>
          <w:sz w:val="22"/>
          <w:szCs w:val="22"/>
          <w:lang w:eastAsia="zh-CN"/>
        </w:rPr>
      </w:pPr>
      <w:r>
        <w:rPr>
          <w:rFonts w:ascii="Avenir Next" w:hAnsi="Avenir Next" w:cs="Arial"/>
          <w:color w:val="7B7B7B" w:themeColor="accent3" w:themeShade="BF"/>
          <w:sz w:val="22"/>
          <w:szCs w:val="22"/>
          <w:lang w:eastAsia="zh-CN"/>
        </w:rPr>
        <w:t xml:space="preserve">The proceedings referred in EIR Recast Article 1 are listed in Annex A, and the proceeding mentioned in Annex A is automatically falls within the material scope of the EIR Recast.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1B8FD304" w14:textId="38D82180" w:rsidR="00B26DDC" w:rsidRDefault="00B26DD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Recast provides </w:t>
      </w:r>
      <w:proofErr w:type="gramStart"/>
      <w:r>
        <w:rPr>
          <w:rFonts w:ascii="Avenir Next" w:hAnsi="Avenir Next" w:cs="Arial"/>
          <w:color w:val="7B7B7B" w:themeColor="accent3" w:themeShade="BF"/>
          <w:sz w:val="22"/>
          <w:szCs w:val="22"/>
        </w:rPr>
        <w:t>a number of</w:t>
      </w:r>
      <w:proofErr w:type="gramEnd"/>
      <w:r>
        <w:rPr>
          <w:rFonts w:ascii="Avenir Next" w:hAnsi="Avenir Next" w:cs="Arial"/>
          <w:color w:val="7B7B7B" w:themeColor="accent3" w:themeShade="BF"/>
          <w:sz w:val="22"/>
          <w:szCs w:val="22"/>
        </w:rPr>
        <w:t xml:space="preserve"> options to avoid the opening of secondary insolvency proceedings. For example:</w:t>
      </w:r>
    </w:p>
    <w:p w14:paraId="5689ED36" w14:textId="358E28ED" w:rsidR="00B26DDC" w:rsidRDefault="00B26DDC"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1</w:t>
      </w:r>
      <w:r>
        <w:rPr>
          <w:rFonts w:ascii="Avenir Next" w:hAnsi="Avenir Next" w:cs="Arial"/>
          <w:color w:val="7B7B7B" w:themeColor="accent3" w:themeShade="BF"/>
          <w:sz w:val="22"/>
          <w:szCs w:val="22"/>
        </w:rPr>
        <w:t xml:space="preserve">. The synthetic secondary proceedings. If the IP in the main insolvency proceedings has given an undertaking in respect of the assets located in the Member State in which secondary proceedings could be opened in accordance with Article 36 of the EIR Recast, the court asked to open secondary proceedings should not open such a proceeding if the undertaking adequately protects the general interests of local creditors. </w:t>
      </w:r>
    </w:p>
    <w:p w14:paraId="29C4DB26" w14:textId="3D873FFD" w:rsidR="00B26DDC" w:rsidRDefault="00B26DDC"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2</w:t>
      </w:r>
      <w:r>
        <w:rPr>
          <w:rFonts w:ascii="Avenir Next" w:hAnsi="Avenir Next" w:cs="Arial"/>
          <w:color w:val="7B7B7B" w:themeColor="accent3" w:themeShade="BF"/>
          <w:sz w:val="22"/>
          <w:szCs w:val="22"/>
        </w:rPr>
        <w:t xml:space="preserve">. Stay of the opening of secondary insolvency proceedings. The EIR Recast provides for </w:t>
      </w:r>
      <w:proofErr w:type="spellStart"/>
      <w:proofErr w:type="gramStart"/>
      <w:r>
        <w:rPr>
          <w:rFonts w:ascii="Avenir Next" w:hAnsi="Avenir Next" w:cs="Arial"/>
          <w:color w:val="7B7B7B" w:themeColor="accent3" w:themeShade="BF"/>
          <w:sz w:val="22"/>
          <w:szCs w:val="22"/>
        </w:rPr>
        <w:t>he</w:t>
      </w:r>
      <w:proofErr w:type="spellEnd"/>
      <w:proofErr w:type="gramEnd"/>
      <w:r>
        <w:rPr>
          <w:rFonts w:ascii="Avenir Next" w:hAnsi="Avenir Next" w:cs="Arial"/>
          <w:color w:val="7B7B7B" w:themeColor="accent3" w:themeShade="BF"/>
          <w:sz w:val="22"/>
          <w:szCs w:val="22"/>
        </w:rPr>
        <w:t xml:space="preserve"> possibility for the court to temporarily stay the opening of secondary insolvency proceedings, when a temporary stay of individual enforcement proceedings has been </w:t>
      </w:r>
      <w:r>
        <w:rPr>
          <w:rFonts w:ascii="Avenir Next" w:hAnsi="Avenir Next" w:cs="Arial"/>
          <w:color w:val="7B7B7B" w:themeColor="accent3" w:themeShade="BF"/>
          <w:sz w:val="22"/>
          <w:szCs w:val="22"/>
        </w:rPr>
        <w:lastRenderedPageBreak/>
        <w:t xml:space="preserve">granted in the main insolvency proceedings. The stay requires a request from the </w:t>
      </w:r>
      <w:proofErr w:type="gramStart"/>
      <w:r>
        <w:rPr>
          <w:rFonts w:ascii="Avenir Next" w:hAnsi="Avenir Next" w:cs="Arial"/>
          <w:color w:val="7B7B7B" w:themeColor="accent3" w:themeShade="BF"/>
          <w:sz w:val="22"/>
          <w:szCs w:val="22"/>
        </w:rPr>
        <w:t>IP</w:t>
      </w:r>
      <w:proofErr w:type="gramEnd"/>
      <w:r>
        <w:rPr>
          <w:rFonts w:ascii="Avenir Next" w:hAnsi="Avenir Next" w:cs="Arial"/>
          <w:color w:val="7B7B7B" w:themeColor="accent3" w:themeShade="BF"/>
          <w:sz w:val="22"/>
          <w:szCs w:val="22"/>
        </w:rPr>
        <w:t xml:space="preserve"> or the DIP and it may be imposed for a period not exceeding 3 months and on condition that suitable measures are in place to protect the interests of local creditors. </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bookmarkStart w:id="2" w:name="OLE_LINK161"/>
      <w:bookmarkStart w:id="3" w:name="OLE_LINK162"/>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bookmarkEnd w:id="2"/>
    <w:bookmarkEnd w:id="3"/>
    <w:p w14:paraId="4098D7DA" w14:textId="77777777" w:rsidR="00241FA3" w:rsidRPr="008E3C96" w:rsidRDefault="00241FA3" w:rsidP="002A37BB">
      <w:pPr>
        <w:jc w:val="both"/>
        <w:rPr>
          <w:rFonts w:ascii="Avenir Next" w:hAnsi="Avenir Next" w:cs="Arial"/>
          <w:sz w:val="22"/>
          <w:szCs w:val="22"/>
          <w:lang w:val="en-GB"/>
        </w:rPr>
      </w:pPr>
    </w:p>
    <w:p w14:paraId="35ADCF95" w14:textId="7DADDC30" w:rsidR="000A3278" w:rsidRDefault="00D066EA" w:rsidP="000A3278">
      <w:pPr>
        <w:jc w:val="both"/>
        <w:rPr>
          <w:rFonts w:ascii="Avenir Next" w:hAnsi="Avenir Next" w:cs="Arial"/>
          <w:color w:val="7B7B7B" w:themeColor="accent3" w:themeShade="BF"/>
          <w:sz w:val="22"/>
          <w:szCs w:val="22"/>
          <w:lang w:eastAsia="zh-CN"/>
        </w:rPr>
      </w:pPr>
      <w:r>
        <w:rPr>
          <w:rFonts w:ascii="Avenir Next" w:hAnsi="Avenir Next" w:cs="Arial"/>
          <w:color w:val="7B7B7B" w:themeColor="accent3" w:themeShade="BF"/>
          <w:sz w:val="22"/>
          <w:szCs w:val="22"/>
        </w:rPr>
        <w:t xml:space="preserve">After 15 years of implementation, it became clear that some of the provisions of the EIR 2000 needed adjustment, while other developments required totally new rules. During the reform process of the EIR 2000, many issues were identified by the European Commission. For example, the scope of the new EIR. The EIR 2000 only mentioned proceedings entailing partial or total divestment of a debtor and the appointment of a liquidator, which is not in line with the trend of the rescue culture. The narrow scope of the EIR 2000 may frustrate the effective restructuring attempts in the EU.  </w:t>
      </w:r>
      <w:r w:rsidR="005931B7">
        <w:rPr>
          <w:rFonts w:ascii="Avenir Next" w:hAnsi="Avenir Next" w:cs="Arial"/>
          <w:color w:val="7B7B7B" w:themeColor="accent3" w:themeShade="BF"/>
          <w:sz w:val="22"/>
          <w:szCs w:val="22"/>
        </w:rPr>
        <w:t xml:space="preserve">Another example is the rules for cooperation between IP and courts. In cross-border insolvency cases, communication and cooperation are of great importance, including court-to-court, </w:t>
      </w:r>
      <w:r w:rsidR="005931B7">
        <w:rPr>
          <w:rFonts w:ascii="Avenir Next" w:hAnsi="Avenir Next" w:cs="Arial"/>
          <w:color w:val="7B7B7B" w:themeColor="accent3" w:themeShade="BF"/>
          <w:sz w:val="22"/>
          <w:szCs w:val="22"/>
          <w:lang w:eastAsia="zh-CN"/>
        </w:rPr>
        <w:t>IP</w:t>
      </w:r>
      <w:r w:rsidR="005931B7">
        <w:rPr>
          <w:rFonts w:ascii="Avenir Next" w:hAnsi="Avenir Next" w:cs="Arial"/>
          <w:color w:val="7B7B7B" w:themeColor="accent3" w:themeShade="BF"/>
          <w:sz w:val="22"/>
          <w:szCs w:val="22"/>
        </w:rPr>
        <w:t>-</w:t>
      </w:r>
      <w:r w:rsidR="005931B7" w:rsidRPr="005931B7">
        <w:rPr>
          <w:rFonts w:ascii="Avenir Next" w:hAnsi="Avenir Next" w:cs="Arial"/>
          <w:color w:val="7B7B7B" w:themeColor="accent3" w:themeShade="BF"/>
          <w:sz w:val="22"/>
          <w:szCs w:val="22"/>
        </w:rPr>
        <w:t>to</w:t>
      </w:r>
      <w:r w:rsidR="005931B7">
        <w:rPr>
          <w:rFonts w:ascii="Avenir Next" w:hAnsi="Avenir Next" w:cs="Arial"/>
          <w:color w:val="7B7B7B" w:themeColor="accent3" w:themeShade="BF"/>
          <w:sz w:val="22"/>
          <w:szCs w:val="22"/>
        </w:rPr>
        <w:t>-IP, and IP-to-</w:t>
      </w:r>
      <w:r w:rsidR="005931B7">
        <w:rPr>
          <w:rFonts w:ascii="Avenir Next" w:hAnsi="Avenir Next" w:cs="Arial"/>
          <w:color w:val="7B7B7B" w:themeColor="accent3" w:themeShade="BF"/>
          <w:sz w:val="22"/>
          <w:szCs w:val="22"/>
          <w:lang w:eastAsia="zh-CN"/>
        </w:rPr>
        <w:t>court. The new EIR should introduce the obligation between the court and IP to avoid a piecemeal liquidation and suboptimal returns to creditors. In addition, the insolvency of group companies, improvement of creditor information and general modernization of the legal rules also draw much attention. Finally, regard must be had to the jurisprudence of the CJEU</w:t>
      </w:r>
      <w:r w:rsidR="005931B7">
        <w:rPr>
          <w:rFonts w:ascii="Avenir Next" w:hAnsi="Avenir Next" w:cs="Arial" w:hint="eastAsia"/>
          <w:color w:val="7B7B7B" w:themeColor="accent3" w:themeShade="BF"/>
          <w:sz w:val="22"/>
          <w:szCs w:val="22"/>
          <w:lang w:eastAsia="zh-CN"/>
        </w:rPr>
        <w:t xml:space="preserve"> when</w:t>
      </w:r>
      <w:r w:rsidR="005931B7">
        <w:rPr>
          <w:rFonts w:ascii="Avenir Next" w:hAnsi="Avenir Next" w:cs="Arial"/>
          <w:color w:val="7B7B7B" w:themeColor="accent3" w:themeShade="BF"/>
          <w:sz w:val="22"/>
          <w:szCs w:val="22"/>
          <w:lang w:eastAsia="zh-CN"/>
        </w:rPr>
        <w:t xml:space="preserve"> reform the EIR 2000. </w:t>
      </w:r>
    </w:p>
    <w:p w14:paraId="11E50B5C" w14:textId="77777777" w:rsidR="0072171A" w:rsidRDefault="0072171A" w:rsidP="000A3278">
      <w:pPr>
        <w:jc w:val="both"/>
        <w:rPr>
          <w:rFonts w:ascii="Avenir Next" w:hAnsi="Avenir Next" w:cs="Arial"/>
          <w:color w:val="7B7B7B" w:themeColor="accent3" w:themeShade="BF"/>
          <w:sz w:val="22"/>
          <w:szCs w:val="22"/>
          <w:lang w:eastAsia="zh-CN"/>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412172C6" w:rsidR="000A3278" w:rsidRDefault="0072171A" w:rsidP="000A3278">
      <w:pPr>
        <w:jc w:val="both"/>
        <w:rPr>
          <w:rFonts w:ascii="Avenir Next" w:hAnsi="Avenir Next" w:cs="Arial"/>
          <w:color w:val="7B7B7B" w:themeColor="accent3" w:themeShade="BF"/>
          <w:sz w:val="22"/>
          <w:szCs w:val="22"/>
          <w:lang w:eastAsia="zh-CN"/>
        </w:rPr>
      </w:pPr>
      <w:r>
        <w:rPr>
          <w:rFonts w:ascii="Avenir Next" w:hAnsi="Avenir Next" w:cs="Arial"/>
          <w:color w:val="7B7B7B" w:themeColor="accent3" w:themeShade="BF"/>
          <w:sz w:val="22"/>
          <w:szCs w:val="22"/>
        </w:rPr>
        <w:t>T</w:t>
      </w:r>
      <w:r>
        <w:rPr>
          <w:rFonts w:ascii="Avenir Next" w:hAnsi="Avenir Next" w:cs="Arial"/>
          <w:color w:val="7B7B7B" w:themeColor="accent3" w:themeShade="BF"/>
          <w:sz w:val="22"/>
          <w:szCs w:val="22"/>
          <w:lang w:eastAsia="zh-CN"/>
        </w:rPr>
        <w:t>h</w:t>
      </w:r>
      <w:r w:rsidRPr="0072171A">
        <w:rPr>
          <w:rFonts w:ascii="Avenir Next" w:hAnsi="Avenir Next" w:cs="Arial" w:hint="eastAsia"/>
          <w:color w:val="7B7B7B" w:themeColor="accent3" w:themeShade="BF"/>
          <w:sz w:val="22"/>
          <w:szCs w:val="22"/>
          <w:lang w:eastAsia="zh-CN"/>
        </w:rPr>
        <w:t>e</w:t>
      </w:r>
      <w:r w:rsidRPr="0072171A">
        <w:rPr>
          <w:rFonts w:ascii="Avenir Next" w:hAnsi="Avenir Next" w:cs="Arial"/>
          <w:color w:val="7B7B7B" w:themeColor="accent3" w:themeShade="BF"/>
          <w:sz w:val="22"/>
          <w:szCs w:val="22"/>
          <w:lang w:eastAsia="zh-CN"/>
        </w:rPr>
        <w:t xml:space="preserve"> </w:t>
      </w:r>
      <w:r>
        <w:rPr>
          <w:rFonts w:ascii="Avenir Next" w:hAnsi="Avenir Next" w:cs="Arial" w:hint="eastAsia"/>
          <w:color w:val="7B7B7B" w:themeColor="accent3" w:themeShade="BF"/>
          <w:sz w:val="22"/>
          <w:szCs w:val="22"/>
          <w:lang w:eastAsia="zh-CN"/>
        </w:rPr>
        <w:t>autono</w:t>
      </w:r>
      <w:r>
        <w:rPr>
          <w:rFonts w:ascii="Avenir Next" w:hAnsi="Avenir Next" w:cs="Arial"/>
          <w:color w:val="7B7B7B" w:themeColor="accent3" w:themeShade="BF"/>
          <w:sz w:val="22"/>
          <w:szCs w:val="22"/>
          <w:lang w:eastAsia="zh-CN"/>
        </w:rPr>
        <w:t xml:space="preserve">mous meaning of COMI facilitates legal certainty across the EU, as in principle, its application must be uniform in all Member States. Legal certainty and foreseeability for all stakeholders dealing with the debtor, if it goes insolvent, is further encouraged by objectivity and ascertainability of the place of COMI. In addition, the EIR Recast contains a registered office presumption to make COMI more predictable. </w:t>
      </w:r>
    </w:p>
    <w:p w14:paraId="2A1A81DA" w14:textId="55F45825" w:rsidR="0072171A" w:rsidRDefault="0072171A" w:rsidP="000A3278">
      <w:pPr>
        <w:jc w:val="both"/>
        <w:rPr>
          <w:rFonts w:ascii="Avenir Next" w:hAnsi="Avenir Next" w:cs="Arial"/>
          <w:color w:val="7B7B7B" w:themeColor="accent3" w:themeShade="BF"/>
          <w:sz w:val="22"/>
          <w:szCs w:val="22"/>
          <w:lang w:eastAsia="zh-CN"/>
        </w:rPr>
      </w:pPr>
    </w:p>
    <w:p w14:paraId="19E65604" w14:textId="25043A13" w:rsidR="0072171A" w:rsidRDefault="0072171A" w:rsidP="000A3278">
      <w:pPr>
        <w:jc w:val="both"/>
        <w:rPr>
          <w:rFonts w:ascii="Avenir Next" w:hAnsi="Avenir Next" w:cs="Arial" w:hint="eastAsia"/>
          <w:color w:val="7B7B7B" w:themeColor="accent3" w:themeShade="BF"/>
          <w:sz w:val="22"/>
          <w:szCs w:val="22"/>
          <w:lang w:eastAsia="zh-CN"/>
        </w:rPr>
      </w:pPr>
      <w:r>
        <w:rPr>
          <w:rFonts w:ascii="Avenir Next" w:hAnsi="Avenir Next" w:cs="Arial"/>
          <w:color w:val="7B7B7B" w:themeColor="accent3" w:themeShade="BF"/>
          <w:sz w:val="22"/>
          <w:szCs w:val="22"/>
          <w:lang w:eastAsia="zh-CN"/>
        </w:rPr>
        <w:t xml:space="preserve">However, the COMI concept was criticized as vague and the interpretations of it did not provide enough guidance to provide a reliable practical test. This could jeopardize legal certainty and predictability, contrary to its objectives. Creditors may price in risk and </w:t>
      </w:r>
      <w:r>
        <w:rPr>
          <w:rFonts w:ascii="Avenir Next" w:hAnsi="Avenir Next" w:cs="Arial"/>
          <w:color w:val="7B7B7B" w:themeColor="accent3" w:themeShade="BF"/>
          <w:sz w:val="22"/>
          <w:szCs w:val="22"/>
          <w:lang w:eastAsia="zh-CN"/>
        </w:rPr>
        <w:lastRenderedPageBreak/>
        <w:t xml:space="preserve">uncertainty when dealing with insolvency, resulting in higher capital costs. In addition, critics of the concept contend that the COMI concept is open to arbitrage and manipulation. More generally, it has been contended that the COMI may be different to assess and to determine by creditors.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w:t>
      </w:r>
      <w:bookmarkStart w:id="4" w:name="OLE_LINK163"/>
      <w:bookmarkStart w:id="5" w:name="OLE_LINK164"/>
      <w:r w:rsidRPr="008E3C96">
        <w:rPr>
          <w:rFonts w:ascii="Avenir Next" w:hAnsi="Avenir Next" w:cs="Arial"/>
          <w:sz w:val="22"/>
          <w:szCs w:val="22"/>
          <w:lang w:val="en-GB"/>
        </w:rPr>
        <w:t xml:space="preserve">Directive on Preventive Restructuring Frameworks </w:t>
      </w:r>
      <w:bookmarkEnd w:id="4"/>
      <w:bookmarkEnd w:id="5"/>
      <w:r w:rsidRPr="008E3C96">
        <w:rPr>
          <w:rFonts w:ascii="Avenir Next" w:hAnsi="Avenir Next" w:cs="Arial"/>
          <w:sz w:val="22"/>
          <w:szCs w:val="22"/>
          <w:lang w:val="en-GB"/>
        </w:rPr>
        <w:t xml:space="preserve">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160A7C94" w:rsidR="000A3278" w:rsidRDefault="00143B65" w:rsidP="000A3278">
      <w:pPr>
        <w:jc w:val="both"/>
        <w:rPr>
          <w:rFonts w:ascii="Avenir Next" w:hAnsi="Avenir Next" w:cs="Arial"/>
          <w:color w:val="7B7B7B" w:themeColor="accent3" w:themeShade="BF"/>
          <w:sz w:val="22"/>
          <w:szCs w:val="22"/>
          <w:lang w:eastAsia="zh-CN"/>
        </w:rPr>
      </w:pPr>
      <w:r>
        <w:rPr>
          <w:rFonts w:ascii="Avenir Next" w:hAnsi="Avenir Next" w:cs="Arial"/>
          <w:color w:val="7B7B7B" w:themeColor="accent3" w:themeShade="BF"/>
          <w:sz w:val="22"/>
          <w:szCs w:val="22"/>
        </w:rPr>
        <w:t xml:space="preserve">The EIR contains uniform rules on international jurisdictions, recognition of insolvency judgments, applicable law in insolvency matters and cooperation between IPs. The objective of the Regulation </w:t>
      </w:r>
      <w:r>
        <w:rPr>
          <w:rFonts w:ascii="Avenir Next" w:hAnsi="Avenir Next" w:cs="Arial"/>
          <w:color w:val="7B7B7B" w:themeColor="accent3" w:themeShade="BF"/>
          <w:sz w:val="22"/>
          <w:szCs w:val="22"/>
          <w:lang w:eastAsia="zh-CN"/>
        </w:rPr>
        <w:t xml:space="preserve">is to harmonize regulations of cross-border insolvencies, improve the efficiency and effectiveness of insolvency proceedings having cross-border effects, ensure equal treatment of creditors, and protect legitimate expectations and the certainty of transactions. In contrast, the Directive is aimed at creating harmonized restructuring frameworks and the national insolvency laws throughout the Member </w:t>
      </w:r>
      <w:proofErr w:type="gramStart"/>
      <w:r>
        <w:rPr>
          <w:rFonts w:ascii="Avenir Next" w:hAnsi="Avenir Next" w:cs="Arial"/>
          <w:color w:val="7B7B7B" w:themeColor="accent3" w:themeShade="BF"/>
          <w:sz w:val="22"/>
          <w:szCs w:val="22"/>
          <w:lang w:eastAsia="zh-CN"/>
        </w:rPr>
        <w:t>States, and</w:t>
      </w:r>
      <w:proofErr w:type="gramEnd"/>
      <w:r>
        <w:rPr>
          <w:rFonts w:ascii="Avenir Next" w:hAnsi="Avenir Next" w:cs="Arial"/>
          <w:color w:val="7B7B7B" w:themeColor="accent3" w:themeShade="BF"/>
          <w:sz w:val="22"/>
          <w:szCs w:val="22"/>
          <w:lang w:eastAsia="zh-CN"/>
        </w:rPr>
        <w:t xml:space="preserve"> promoting the development of a new culture of preventive restructuring with viable companies. Besides, the Regulation is an instrument of a predominantly procedural nature, while the Directive is the first instrument that substantively harmonizes insolvency law across the EU, although it addresses only a narrow aspect of the insolvency law-preventive restructuring. </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w:t>
      </w:r>
      <w:bookmarkStart w:id="6" w:name="OLE_LINK169"/>
      <w:bookmarkStart w:id="7" w:name="OLE_LINK170"/>
      <w:r>
        <w:rPr>
          <w:rFonts w:ascii="Avenir Next" w:hAnsi="Avenir Next" w:cs="Arial"/>
          <w:sz w:val="22"/>
          <w:szCs w:val="22"/>
          <w:lang w:val="en-GB"/>
        </w:rPr>
        <w:t xml:space="preserve">is incorporated in France </w:t>
      </w:r>
      <w:bookmarkEnd w:id="6"/>
      <w:bookmarkEnd w:id="7"/>
      <w:r>
        <w:rPr>
          <w:rFonts w:ascii="Avenir Next" w:hAnsi="Avenir Next" w:cs="Arial"/>
          <w:sz w:val="22"/>
          <w:szCs w:val="22"/>
          <w:lang w:val="en-GB"/>
        </w:rPr>
        <w:t xml:space="preserve">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bookmarkStart w:id="8" w:name="OLE_LINK165"/>
      <w:bookmarkStart w:id="9" w:name="OLE_LINK166"/>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w:t>
      </w:r>
      <w:bookmarkEnd w:id="8"/>
      <w:bookmarkEnd w:id="9"/>
      <w:r w:rsidRPr="008E3C96">
        <w:rPr>
          <w:rFonts w:ascii="Avenir Next" w:hAnsi="Avenir Next" w:cs="Arial"/>
          <w:sz w:val="22"/>
          <w:szCs w:val="22"/>
          <w:lang w:val="en-GB"/>
        </w:rPr>
        <w:t xml:space="preserve">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w:t>
      </w:r>
      <w:r w:rsidRPr="008E3C96">
        <w:rPr>
          <w:rFonts w:ascii="Avenir Next" w:hAnsi="Avenir Next" w:cs="Arial"/>
          <w:sz w:val="22"/>
          <w:szCs w:val="22"/>
          <w:lang w:val="en-GB"/>
        </w:rPr>
        <w:lastRenderedPageBreak/>
        <w:t xml:space="preserve">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11CB3A10"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3C7F26B8" w14:textId="74FD2F71" w:rsidR="00236F40" w:rsidRDefault="00236F40" w:rsidP="002A37BB">
      <w:pPr>
        <w:jc w:val="both"/>
        <w:rPr>
          <w:rFonts w:ascii="Avenir Next" w:hAnsi="Avenir Next" w:cs="Arial"/>
          <w:sz w:val="22"/>
          <w:szCs w:val="22"/>
          <w:lang w:val="en-GB"/>
        </w:rPr>
      </w:pPr>
    </w:p>
    <w:p w14:paraId="231F2CAF" w14:textId="16C8DA7C" w:rsidR="00236F40" w:rsidRPr="00236F40" w:rsidRDefault="00236F40" w:rsidP="002A37BB">
      <w:pPr>
        <w:jc w:val="both"/>
        <w:rPr>
          <w:rFonts w:ascii="宋体" w:eastAsia="宋体" w:hAnsi="宋体" w:cs="宋体"/>
          <w:color w:val="7B7B7B" w:themeColor="accent3" w:themeShade="BF"/>
          <w:sz w:val="22"/>
          <w:szCs w:val="22"/>
          <w:lang w:eastAsia="zh-CN"/>
        </w:rPr>
      </w:pPr>
      <w:r w:rsidRPr="00236F40">
        <w:rPr>
          <w:rFonts w:ascii="Avenir Next" w:hAnsi="Avenir Next" w:cs="Arial"/>
          <w:color w:val="7B7B7B" w:themeColor="accent3" w:themeShade="BF"/>
          <w:sz w:val="22"/>
          <w:szCs w:val="22"/>
          <w:lang w:eastAsia="zh-CN"/>
        </w:rPr>
        <w:t>I</w:t>
      </w:r>
      <w:r w:rsidRPr="00236F40">
        <w:rPr>
          <w:rFonts w:ascii="Avenir Next" w:hAnsi="Avenir Next" w:cs="Arial" w:hint="eastAsia"/>
          <w:color w:val="7B7B7B" w:themeColor="accent3" w:themeShade="BF"/>
          <w:sz w:val="22"/>
          <w:szCs w:val="22"/>
          <w:lang w:eastAsia="zh-CN"/>
        </w:rPr>
        <w:t>n</w:t>
      </w:r>
      <w:r>
        <w:rPr>
          <w:rFonts w:ascii="Avenir Next" w:hAnsi="Avenir Next" w:cs="Arial"/>
          <w:color w:val="7B7B7B" w:themeColor="accent3" w:themeShade="BF"/>
          <w:sz w:val="22"/>
          <w:szCs w:val="22"/>
          <w:lang w:eastAsia="zh-CN"/>
        </w:rPr>
        <w:t xml:space="preserve"> this case, the EIR 2000 does not apply. According to Article 1 of the EIR 2000, this regulation shall apply to collective insolvency </w:t>
      </w:r>
      <w:r w:rsidRPr="00236F40">
        <w:rPr>
          <w:rFonts w:ascii="Avenir Next" w:hAnsi="Avenir Next" w:cs="Arial"/>
          <w:color w:val="7B7B7B" w:themeColor="accent3" w:themeShade="BF"/>
          <w:sz w:val="22"/>
          <w:szCs w:val="22"/>
          <w:lang w:eastAsia="zh-CN"/>
        </w:rPr>
        <w:t>proceedings which entail the partial or total divestment of a debtor and the appointment of a liquidator</w:t>
      </w:r>
      <w:r>
        <w:rPr>
          <w:rFonts w:ascii="Avenir Next" w:hAnsi="Avenir Next" w:cs="Arial"/>
          <w:color w:val="7B7B7B" w:themeColor="accent3" w:themeShade="BF"/>
          <w:sz w:val="22"/>
          <w:szCs w:val="22"/>
          <w:lang w:eastAsia="zh-CN"/>
        </w:rPr>
        <w:t xml:space="preserve">, which means the proceedings for the purpose of rescue are excluded by the Regulation. In this specific case, </w:t>
      </w:r>
      <w:proofErr w:type="spellStart"/>
      <w:r w:rsidRPr="00236F40">
        <w:rPr>
          <w:rFonts w:ascii="Avenir Next" w:hAnsi="Avenir Next" w:cs="Arial"/>
          <w:color w:val="7B7B7B" w:themeColor="accent3" w:themeShade="BF"/>
          <w:sz w:val="22"/>
          <w:szCs w:val="22"/>
          <w:lang w:eastAsia="zh-CN"/>
        </w:rPr>
        <w:t>Dinosaurus</w:t>
      </w:r>
      <w:proofErr w:type="spellEnd"/>
      <w:r w:rsidRPr="00236F40">
        <w:rPr>
          <w:rFonts w:ascii="Avenir Next" w:hAnsi="Avenir Next" w:cs="Arial"/>
          <w:color w:val="7B7B7B" w:themeColor="accent3" w:themeShade="BF"/>
          <w:sz w:val="22"/>
          <w:szCs w:val="22"/>
          <w:lang w:eastAsia="zh-CN"/>
        </w:rPr>
        <w:t xml:space="preserve"> SARL</w:t>
      </w:r>
      <w:r>
        <w:rPr>
          <w:rFonts w:ascii="Avenir Next" w:hAnsi="Avenir Next" w:cs="Arial"/>
          <w:color w:val="7B7B7B" w:themeColor="accent3" w:themeShade="BF"/>
          <w:sz w:val="22"/>
          <w:szCs w:val="22"/>
          <w:lang w:eastAsia="zh-CN"/>
        </w:rPr>
        <w:t xml:space="preserve"> filed a petition for the safeguard proceeding, rather than a liquidation proceeding. Meanwhile, according to </w:t>
      </w:r>
      <w:r w:rsidRPr="00236F40">
        <w:rPr>
          <w:rFonts w:ascii="Avenir Next" w:hAnsi="Avenir Next" w:cs="Arial"/>
          <w:color w:val="7B7B7B" w:themeColor="accent3" w:themeShade="BF"/>
          <w:sz w:val="22"/>
          <w:szCs w:val="22"/>
          <w:lang w:eastAsia="zh-CN"/>
        </w:rPr>
        <w:t>ANNEX A</w:t>
      </w:r>
      <w:r>
        <w:rPr>
          <w:rFonts w:ascii="宋体" w:eastAsia="宋体" w:hAnsi="宋体" w:cs="宋体"/>
          <w:color w:val="7B7B7B" w:themeColor="accent3" w:themeShade="BF"/>
          <w:sz w:val="22"/>
          <w:szCs w:val="22"/>
          <w:lang w:eastAsia="zh-CN"/>
        </w:rPr>
        <w:t xml:space="preserve">, </w:t>
      </w:r>
      <w:r w:rsidRPr="00236F40">
        <w:rPr>
          <w:rFonts w:ascii="Avenir Next" w:hAnsi="Avenir Next" w:cs="Arial"/>
          <w:color w:val="7B7B7B" w:themeColor="accent3" w:themeShade="BF"/>
          <w:sz w:val="22"/>
          <w:szCs w:val="22"/>
          <w:lang w:eastAsia="zh-CN"/>
        </w:rPr>
        <w:t>there</w:t>
      </w:r>
      <w:r>
        <w:rPr>
          <w:rFonts w:ascii="Avenir Next" w:hAnsi="Avenir Next" w:cs="Arial"/>
          <w:color w:val="7B7B7B" w:themeColor="accent3" w:themeShade="BF"/>
          <w:sz w:val="22"/>
          <w:szCs w:val="22"/>
          <w:lang w:eastAsia="zh-CN"/>
        </w:rPr>
        <w:t xml:space="preserve"> are only two proceedings in France included in this list-</w:t>
      </w:r>
      <w:r w:rsidRPr="00236F40">
        <w:t xml:space="preserve"> </w:t>
      </w:r>
      <w:r w:rsidRPr="00236F40">
        <w:rPr>
          <w:rFonts w:ascii="Avenir Next" w:hAnsi="Avenir Next" w:cs="Arial"/>
          <w:color w:val="7B7B7B" w:themeColor="accent3" w:themeShade="BF"/>
          <w:sz w:val="22"/>
          <w:szCs w:val="22"/>
          <w:lang w:eastAsia="zh-CN"/>
        </w:rPr>
        <w:t xml:space="preserve">Liquidation </w:t>
      </w:r>
      <w:proofErr w:type="spellStart"/>
      <w:r w:rsidRPr="00236F40">
        <w:rPr>
          <w:rFonts w:ascii="Avenir Next" w:hAnsi="Avenir Next" w:cs="Arial"/>
          <w:color w:val="7B7B7B" w:themeColor="accent3" w:themeShade="BF"/>
          <w:sz w:val="22"/>
          <w:szCs w:val="22"/>
          <w:lang w:eastAsia="zh-CN"/>
        </w:rPr>
        <w:t>judiciaire</w:t>
      </w:r>
      <w:proofErr w:type="spellEnd"/>
      <w:r>
        <w:rPr>
          <w:rFonts w:ascii="Avenir Next" w:hAnsi="Avenir Next" w:cs="Arial"/>
          <w:color w:val="7B7B7B" w:themeColor="accent3" w:themeShade="BF"/>
          <w:sz w:val="22"/>
          <w:szCs w:val="22"/>
          <w:lang w:eastAsia="zh-CN"/>
        </w:rPr>
        <w:t xml:space="preserve"> and </w:t>
      </w:r>
      <w:proofErr w:type="spellStart"/>
      <w:r w:rsidRPr="00236F40">
        <w:rPr>
          <w:rFonts w:ascii="Avenir Next" w:hAnsi="Avenir Next" w:cs="Arial"/>
          <w:color w:val="7B7B7B" w:themeColor="accent3" w:themeShade="BF"/>
          <w:sz w:val="22"/>
          <w:szCs w:val="22"/>
          <w:lang w:eastAsia="zh-CN"/>
        </w:rPr>
        <w:t>Redressement</w:t>
      </w:r>
      <w:proofErr w:type="spellEnd"/>
      <w:r w:rsidRPr="00236F40">
        <w:rPr>
          <w:rFonts w:ascii="Avenir Next" w:hAnsi="Avenir Next" w:cs="Arial"/>
          <w:color w:val="7B7B7B" w:themeColor="accent3" w:themeShade="BF"/>
          <w:sz w:val="22"/>
          <w:szCs w:val="22"/>
          <w:lang w:eastAsia="zh-CN"/>
        </w:rPr>
        <w:t xml:space="preserve"> </w:t>
      </w:r>
      <w:proofErr w:type="spellStart"/>
      <w:r w:rsidRPr="00236F40">
        <w:rPr>
          <w:rFonts w:ascii="Avenir Next" w:hAnsi="Avenir Next" w:cs="Arial"/>
          <w:color w:val="7B7B7B" w:themeColor="accent3" w:themeShade="BF"/>
          <w:sz w:val="22"/>
          <w:szCs w:val="22"/>
          <w:lang w:eastAsia="zh-CN"/>
        </w:rPr>
        <w:t>judiciaire</w:t>
      </w:r>
      <w:proofErr w:type="spellEnd"/>
      <w:r w:rsidRPr="00236F40">
        <w:rPr>
          <w:rFonts w:ascii="Avenir Next" w:hAnsi="Avenir Next" w:cs="Arial"/>
          <w:color w:val="7B7B7B" w:themeColor="accent3" w:themeShade="BF"/>
          <w:sz w:val="22"/>
          <w:szCs w:val="22"/>
          <w:lang w:eastAsia="zh-CN"/>
        </w:rPr>
        <w:t xml:space="preserve"> avec nomination</w:t>
      </w:r>
      <w:r>
        <w:rPr>
          <w:rFonts w:ascii="Avenir Next" w:hAnsi="Avenir Next" w:cs="Arial"/>
          <w:color w:val="7B7B7B" w:themeColor="accent3" w:themeShade="BF"/>
          <w:sz w:val="22"/>
          <w:szCs w:val="22"/>
          <w:lang w:eastAsia="zh-CN"/>
        </w:rPr>
        <w:t xml:space="preserve"> </w:t>
      </w:r>
      <w:r w:rsidRPr="00236F40">
        <w:rPr>
          <w:rFonts w:ascii="Avenir Next" w:hAnsi="Avenir Next" w:cs="Arial"/>
          <w:color w:val="7B7B7B" w:themeColor="accent3" w:themeShade="BF"/>
          <w:sz w:val="22"/>
          <w:szCs w:val="22"/>
          <w:lang w:eastAsia="zh-CN"/>
        </w:rPr>
        <w:t xml:space="preserve">d’un </w:t>
      </w:r>
      <w:proofErr w:type="spellStart"/>
      <w:r w:rsidRPr="00236F40">
        <w:rPr>
          <w:rFonts w:ascii="Avenir Next" w:hAnsi="Avenir Next" w:cs="Arial"/>
          <w:color w:val="7B7B7B" w:themeColor="accent3" w:themeShade="BF"/>
          <w:sz w:val="22"/>
          <w:szCs w:val="22"/>
          <w:lang w:eastAsia="zh-CN"/>
        </w:rPr>
        <w:t>administrateur</w:t>
      </w:r>
      <w:proofErr w:type="spellEnd"/>
      <w:r>
        <w:rPr>
          <w:rFonts w:ascii="宋体" w:eastAsia="宋体" w:hAnsi="宋体" w:cs="宋体"/>
          <w:color w:val="7B7B7B" w:themeColor="accent3" w:themeShade="BF"/>
          <w:sz w:val="22"/>
          <w:szCs w:val="22"/>
          <w:lang w:eastAsia="zh-CN"/>
        </w:rPr>
        <w:t>.</w:t>
      </w:r>
      <w:r w:rsidRPr="00236F40">
        <w:rPr>
          <w:rFonts w:ascii="Avenir Next" w:hAnsi="Avenir Next" w:cs="Arial"/>
          <w:color w:val="7B7B7B" w:themeColor="accent3" w:themeShade="BF"/>
          <w:sz w:val="22"/>
          <w:szCs w:val="22"/>
          <w:lang w:eastAsia="zh-CN"/>
        </w:rPr>
        <w:t xml:space="preserve"> </w:t>
      </w:r>
      <w:r>
        <w:rPr>
          <w:rFonts w:ascii="Avenir Next" w:hAnsi="Avenir Next" w:cs="Arial"/>
          <w:color w:val="7B7B7B" w:themeColor="accent3" w:themeShade="BF"/>
          <w:sz w:val="22"/>
          <w:szCs w:val="22"/>
          <w:lang w:eastAsia="zh-CN"/>
        </w:rPr>
        <w:t>T</w:t>
      </w:r>
      <w:r>
        <w:rPr>
          <w:rFonts w:ascii="Avenir Next" w:hAnsi="Avenir Next" w:cs="Arial"/>
          <w:color w:val="7B7B7B" w:themeColor="accent3" w:themeShade="BF"/>
          <w:sz w:val="22"/>
          <w:szCs w:val="22"/>
          <w:lang w:eastAsia="zh-CN"/>
        </w:rPr>
        <w:t>he safeguard proceeding</w:t>
      </w:r>
      <w:r>
        <w:rPr>
          <w:rFonts w:ascii="Avenir Next" w:hAnsi="Avenir Next" w:cs="Arial"/>
          <w:color w:val="7B7B7B" w:themeColor="accent3" w:themeShade="BF"/>
          <w:sz w:val="22"/>
          <w:szCs w:val="22"/>
          <w:lang w:eastAsia="zh-CN"/>
        </w:rPr>
        <w:t xml:space="preserve"> is not listed in </w:t>
      </w:r>
      <w:bookmarkStart w:id="11" w:name="OLE_LINK167"/>
      <w:bookmarkStart w:id="12" w:name="OLE_LINK168"/>
      <w:r>
        <w:rPr>
          <w:rFonts w:ascii="Avenir Next" w:hAnsi="Avenir Next" w:cs="Arial"/>
          <w:color w:val="7B7B7B" w:themeColor="accent3" w:themeShade="BF"/>
          <w:sz w:val="22"/>
          <w:szCs w:val="22"/>
          <w:lang w:eastAsia="zh-CN"/>
        </w:rPr>
        <w:t xml:space="preserve">ANNEX </w:t>
      </w:r>
      <w:proofErr w:type="gramStart"/>
      <w:r>
        <w:rPr>
          <w:rFonts w:ascii="Avenir Next" w:hAnsi="Avenir Next" w:cs="Arial"/>
          <w:color w:val="7B7B7B" w:themeColor="accent3" w:themeShade="BF"/>
          <w:sz w:val="22"/>
          <w:szCs w:val="22"/>
          <w:lang w:eastAsia="zh-CN"/>
        </w:rPr>
        <w:t>A</w:t>
      </w:r>
      <w:bookmarkEnd w:id="11"/>
      <w:bookmarkEnd w:id="12"/>
      <w:r>
        <w:rPr>
          <w:rFonts w:ascii="Avenir Next" w:hAnsi="Avenir Next" w:cs="Arial"/>
          <w:color w:val="7B7B7B" w:themeColor="accent3" w:themeShade="BF"/>
          <w:sz w:val="22"/>
          <w:szCs w:val="22"/>
          <w:lang w:eastAsia="zh-CN"/>
        </w:rPr>
        <w:t>,</w:t>
      </w:r>
      <w:proofErr w:type="gramEnd"/>
      <w:r>
        <w:rPr>
          <w:rFonts w:ascii="Avenir Next" w:hAnsi="Avenir Next" w:cs="Arial"/>
          <w:color w:val="7B7B7B" w:themeColor="accent3" w:themeShade="BF"/>
          <w:sz w:val="22"/>
          <w:szCs w:val="22"/>
          <w:lang w:eastAsia="zh-CN"/>
        </w:rPr>
        <w:t xml:space="preserve"> </w:t>
      </w:r>
      <w:r w:rsidR="00100C63">
        <w:rPr>
          <w:rFonts w:ascii="Avenir Next" w:hAnsi="Avenir Next" w:cs="Arial"/>
          <w:color w:val="7B7B7B" w:themeColor="accent3" w:themeShade="BF"/>
          <w:sz w:val="22"/>
          <w:szCs w:val="22"/>
          <w:lang w:eastAsia="zh-CN"/>
        </w:rPr>
        <w:t>thus</w:t>
      </w:r>
      <w:r>
        <w:rPr>
          <w:rFonts w:ascii="Avenir Next" w:hAnsi="Avenir Next" w:cs="Arial"/>
          <w:color w:val="7B7B7B" w:themeColor="accent3" w:themeShade="BF"/>
          <w:sz w:val="22"/>
          <w:szCs w:val="22"/>
          <w:lang w:eastAsia="zh-CN"/>
        </w:rPr>
        <w:t xml:space="preserve"> it does not trigger the application of the EIR 2000. </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0F3C3BB0" w:rsidR="000A3278" w:rsidRDefault="00100C63" w:rsidP="000A3278">
      <w:pPr>
        <w:jc w:val="both"/>
        <w:rPr>
          <w:rFonts w:ascii="Avenir Next" w:hAnsi="Avenir Next" w:cs="Arial"/>
          <w:color w:val="7B7B7B" w:themeColor="accent3" w:themeShade="BF"/>
          <w:sz w:val="22"/>
          <w:szCs w:val="22"/>
        </w:rPr>
      </w:pPr>
      <w:bookmarkStart w:id="13" w:name="OLE_LINK171"/>
      <w:bookmarkStart w:id="14" w:name="OLE_LINK172"/>
      <w:r>
        <w:rPr>
          <w:rFonts w:ascii="Avenir Next" w:hAnsi="Avenir Next" w:cs="Arial"/>
          <w:color w:val="7B7B7B" w:themeColor="accent3" w:themeShade="BF"/>
          <w:sz w:val="22"/>
          <w:szCs w:val="22"/>
        </w:rPr>
        <w:t xml:space="preserve">The EIR Recast is applicable to the proceedings. </w:t>
      </w:r>
    </w:p>
    <w:bookmarkEnd w:id="13"/>
    <w:bookmarkEnd w:id="14"/>
    <w:p w14:paraId="14CA81F7" w14:textId="4A92A741" w:rsidR="00100C63" w:rsidRDefault="00100C6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answer this question, four types of scopes should be </w:t>
      </w:r>
      <w:proofErr w:type="gramStart"/>
      <w:r>
        <w:rPr>
          <w:rFonts w:ascii="Avenir Next" w:hAnsi="Avenir Next" w:cs="Arial"/>
          <w:color w:val="7B7B7B" w:themeColor="accent3" w:themeShade="BF"/>
          <w:sz w:val="22"/>
          <w:szCs w:val="22"/>
        </w:rPr>
        <w:t>taken into account</w:t>
      </w:r>
      <w:proofErr w:type="gramEnd"/>
      <w:r>
        <w:rPr>
          <w:rFonts w:ascii="Avenir Next" w:hAnsi="Avenir Next" w:cs="Arial"/>
          <w:color w:val="7B7B7B" w:themeColor="accent3" w:themeShade="BF"/>
          <w:sz w:val="22"/>
          <w:szCs w:val="22"/>
        </w:rPr>
        <w:t xml:space="preserve">: temporal scope, personal scope, material scope, and geographical scope. </w:t>
      </w:r>
    </w:p>
    <w:p w14:paraId="6230054B" w14:textId="77273364" w:rsidR="00100C63" w:rsidRDefault="00100C63"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1</w:t>
      </w:r>
      <w:r>
        <w:rPr>
          <w:rFonts w:ascii="Avenir Next" w:hAnsi="Avenir Next" w:cs="Arial"/>
          <w:color w:val="7B7B7B" w:themeColor="accent3" w:themeShade="BF"/>
          <w:sz w:val="22"/>
          <w:szCs w:val="22"/>
        </w:rPr>
        <w:t xml:space="preserve">. The debtor has COMI in France, which is a Member State of the EU. </w:t>
      </w:r>
    </w:p>
    <w:p w14:paraId="35EB67CF" w14:textId="6CCF2B33" w:rsidR="00100C63" w:rsidRDefault="00100C63"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T</w:t>
      </w:r>
      <w:r>
        <w:rPr>
          <w:rFonts w:ascii="Avenir Next" w:hAnsi="Avenir Next" w:cs="Arial"/>
          <w:color w:val="7B7B7B" w:themeColor="accent3" w:themeShade="BF"/>
          <w:sz w:val="22"/>
          <w:szCs w:val="22"/>
        </w:rPr>
        <w:t xml:space="preserve">he EIR Recast offered several presumptions to indicate the location of COMI. One of the main presumptions is the registered office presumption. In the case of a company or a legal person, the place of the registered office shall be presumed to be the place of COMI(Article 31(1) of the EIR Recast). In this case, the debtor </w:t>
      </w:r>
      <w:r w:rsidRPr="00100C63">
        <w:rPr>
          <w:rFonts w:ascii="Avenir Next" w:hAnsi="Avenir Next" w:cs="Arial"/>
          <w:color w:val="7B7B7B" w:themeColor="accent3" w:themeShade="BF"/>
          <w:sz w:val="22"/>
          <w:szCs w:val="22"/>
        </w:rPr>
        <w:t>is incorporated in France</w:t>
      </w:r>
      <w:r>
        <w:rPr>
          <w:rFonts w:ascii="Avenir Next" w:hAnsi="Avenir Next" w:cs="Arial"/>
          <w:color w:val="7B7B7B" w:themeColor="accent3" w:themeShade="BF"/>
          <w:sz w:val="22"/>
          <w:szCs w:val="22"/>
        </w:rPr>
        <w:t xml:space="preserve"> and the registered office has not been moved to another Member State within 3 months prior to the request for the opening of insolvency proceedings. So in this case, France it the place of COMI.</w:t>
      </w:r>
    </w:p>
    <w:p w14:paraId="62B93A83" w14:textId="25226C0E" w:rsidR="00100C63" w:rsidRDefault="00100C63"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2</w:t>
      </w:r>
      <w:r>
        <w:rPr>
          <w:rFonts w:ascii="Avenir Next" w:hAnsi="Avenir Next" w:cs="Arial"/>
          <w:color w:val="7B7B7B" w:themeColor="accent3" w:themeShade="BF"/>
          <w:sz w:val="22"/>
          <w:szCs w:val="22"/>
        </w:rPr>
        <w:t xml:space="preserve">. The debtor in this case is </w:t>
      </w:r>
      <w:r w:rsidRPr="00100C63">
        <w:rPr>
          <w:rFonts w:ascii="Avenir Next" w:hAnsi="Avenir Next" w:cs="Arial"/>
          <w:color w:val="7B7B7B" w:themeColor="accent3" w:themeShade="BF"/>
          <w:sz w:val="22"/>
          <w:szCs w:val="22"/>
        </w:rPr>
        <w:t>a company selling children stuffed animals</w:t>
      </w:r>
      <w:r>
        <w:rPr>
          <w:rFonts w:ascii="Avenir Next" w:hAnsi="Avenir Next" w:cs="Arial"/>
          <w:color w:val="7B7B7B" w:themeColor="accent3" w:themeShade="BF"/>
          <w:sz w:val="22"/>
          <w:szCs w:val="22"/>
        </w:rPr>
        <w:t xml:space="preserve">, rather than a bank, insurance company or another excluded undertaking. </w:t>
      </w:r>
    </w:p>
    <w:p w14:paraId="03D403B9" w14:textId="77777777" w:rsidR="00100C63" w:rsidRDefault="00100C63"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lastRenderedPageBreak/>
        <w:t>3</w:t>
      </w:r>
      <w:r>
        <w:rPr>
          <w:rFonts w:ascii="Avenir Next" w:hAnsi="Avenir Next" w:cs="Arial"/>
          <w:color w:val="7B7B7B" w:themeColor="accent3" w:themeShade="BF"/>
          <w:sz w:val="22"/>
          <w:szCs w:val="22"/>
        </w:rPr>
        <w:t xml:space="preserve">. The proceeding opened against the debtor in this case is a safeguard proceeding, which is listed in Annex A to the EIR Recast. </w:t>
      </w:r>
    </w:p>
    <w:p w14:paraId="349815E6" w14:textId="248509A8" w:rsidR="00100C63" w:rsidRDefault="00100C6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4. The safeguard proceeding in this case  is opened on </w:t>
      </w:r>
      <w:r w:rsidRPr="00100C63">
        <w:rPr>
          <w:rFonts w:ascii="Avenir Next" w:hAnsi="Avenir Next" w:cs="Arial"/>
          <w:color w:val="7B7B7B" w:themeColor="accent3" w:themeShade="BF"/>
          <w:sz w:val="22"/>
          <w:szCs w:val="22"/>
        </w:rPr>
        <w:t>23 June 2023</w:t>
      </w:r>
      <w:r>
        <w:rPr>
          <w:rFonts w:ascii="Avenir Next" w:hAnsi="Avenir Next" w:cs="Arial"/>
          <w:color w:val="7B7B7B" w:themeColor="accent3" w:themeShade="BF"/>
          <w:sz w:val="22"/>
          <w:szCs w:val="22"/>
        </w:rPr>
        <w:t xml:space="preserve">, which is after 26 June 2017. </w:t>
      </w:r>
    </w:p>
    <w:p w14:paraId="1ED039AA" w14:textId="452821D8" w:rsidR="00100C63" w:rsidRDefault="00100C63" w:rsidP="000A3278">
      <w:pPr>
        <w:jc w:val="both"/>
        <w:rPr>
          <w:rFonts w:ascii="Avenir Next" w:hAnsi="Avenir Next" w:cs="Arial"/>
          <w:color w:val="7B7B7B" w:themeColor="accent3" w:themeShade="BF"/>
          <w:sz w:val="22"/>
          <w:szCs w:val="22"/>
        </w:rPr>
      </w:pPr>
      <w:r>
        <w:rPr>
          <w:rFonts w:ascii="Avenir Next" w:hAnsi="Avenir Next" w:cs="Arial" w:hint="eastAsia"/>
          <w:color w:val="7B7B7B" w:themeColor="accent3" w:themeShade="BF"/>
          <w:sz w:val="22"/>
          <w:szCs w:val="22"/>
        </w:rPr>
        <w:t>I</w:t>
      </w:r>
      <w:r>
        <w:rPr>
          <w:rFonts w:ascii="Avenir Next" w:hAnsi="Avenir Next" w:cs="Arial"/>
          <w:color w:val="7B7B7B" w:themeColor="accent3" w:themeShade="BF"/>
          <w:sz w:val="22"/>
          <w:szCs w:val="22"/>
        </w:rPr>
        <w:t>n summary, t</w:t>
      </w:r>
      <w:r w:rsidRPr="00100C63">
        <w:rPr>
          <w:rFonts w:ascii="Avenir Next" w:hAnsi="Avenir Next" w:cs="Arial"/>
          <w:color w:val="7B7B7B" w:themeColor="accent3" w:themeShade="BF"/>
          <w:sz w:val="22"/>
          <w:szCs w:val="22"/>
        </w:rPr>
        <w:t>he EIR Recast is applicable to the proceedings.</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2758AE32" w:rsidR="003D17A2"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01F8B9C" w14:textId="19FC1F9C" w:rsidR="0053737C" w:rsidRPr="006723E9" w:rsidRDefault="0053737C" w:rsidP="002A37BB">
      <w:pPr>
        <w:jc w:val="both"/>
        <w:rPr>
          <w:rFonts w:ascii="Avenir Next Demi Bold" w:hAnsi="Avenir Next Demi Bold" w:cs="Arial"/>
          <w:b/>
          <w:bCs/>
          <w:i/>
          <w:iCs/>
          <w:sz w:val="22"/>
          <w:szCs w:val="22"/>
          <w:lang w:val="en-GB"/>
        </w:rPr>
      </w:pPr>
      <w:r w:rsidRPr="0053737C">
        <w:rPr>
          <w:rFonts w:ascii="Avenir Next Demi Bold" w:hAnsi="Avenir Next Demi Bold" w:cs="Arial" w:hint="eastAsia"/>
          <w:b/>
          <w:bCs/>
          <w:i/>
          <w:iCs/>
          <w:sz w:val="22"/>
          <w:szCs w:val="22"/>
          <w:highlight w:val="yellow"/>
          <w:lang w:val="en-GB"/>
        </w:rPr>
        <w:t>(</w:t>
      </w:r>
      <w:r w:rsidRPr="0053737C">
        <w:rPr>
          <w:rFonts w:ascii="Avenir Next Demi Bold" w:hAnsi="Avenir Next Demi Bold" w:cs="Arial"/>
          <w:b/>
          <w:bCs/>
          <w:i/>
          <w:iCs/>
          <w:sz w:val="22"/>
          <w:szCs w:val="22"/>
          <w:highlight w:val="yellow"/>
          <w:lang w:val="en-GB"/>
        </w:rPr>
        <w:t>I assume the location in this question should be Spain, rather than Italy.)</w:t>
      </w:r>
    </w:p>
    <w:p w14:paraId="16C5B577" w14:textId="77777777" w:rsidR="006723E9" w:rsidRDefault="006723E9" w:rsidP="002A37BB">
      <w:pPr>
        <w:jc w:val="both"/>
        <w:rPr>
          <w:rFonts w:ascii="Avenir Next" w:hAnsi="Avenir Next" w:cs="Arial"/>
          <w:sz w:val="22"/>
          <w:szCs w:val="22"/>
          <w:lang w:val="en-GB"/>
        </w:rPr>
      </w:pPr>
    </w:p>
    <w:p w14:paraId="44D8DC8E" w14:textId="59F5F2A0" w:rsidR="002D0021" w:rsidRPr="0053737C" w:rsidRDefault="0053737C" w:rsidP="0053737C">
      <w:pPr>
        <w:jc w:val="both"/>
        <w:rPr>
          <w:rFonts w:ascii="宋体" w:eastAsia="宋体" w:hAnsi="宋体" w:cs="宋体" w:hint="eastAsia"/>
          <w:color w:val="7B7B7B" w:themeColor="accent3" w:themeShade="BF"/>
          <w:sz w:val="22"/>
          <w:szCs w:val="22"/>
          <w:lang w:eastAsia="zh-CN"/>
        </w:rPr>
      </w:pPr>
      <w:r>
        <w:rPr>
          <w:rFonts w:ascii="Avenir Next" w:hAnsi="Avenir Next" w:cs="Arial"/>
          <w:color w:val="7B7B7B" w:themeColor="accent3" w:themeShade="BF"/>
          <w:sz w:val="22"/>
          <w:szCs w:val="22"/>
        </w:rPr>
        <w:t xml:space="preserve">Article 3(2) of the EIR Recast is about the secondary proceeding. According to this </w:t>
      </w:r>
      <w:r>
        <w:rPr>
          <w:rFonts w:ascii="Avenir Next" w:hAnsi="Avenir Next" w:cs="Arial"/>
          <w:color w:val="7B7B7B" w:themeColor="accent3" w:themeShade="BF"/>
          <w:sz w:val="22"/>
          <w:szCs w:val="22"/>
          <w:lang w:eastAsia="zh-CN"/>
        </w:rPr>
        <w:t>Article, w</w:t>
      </w:r>
      <w:r w:rsidRPr="0053737C">
        <w:rPr>
          <w:rFonts w:ascii="Avenir Next" w:hAnsi="Avenir Next" w:cs="Arial"/>
          <w:color w:val="7B7B7B" w:themeColor="accent3" w:themeShade="BF"/>
          <w:sz w:val="22"/>
          <w:szCs w:val="22"/>
          <w:lang w:eastAsia="zh-CN"/>
        </w:rPr>
        <w:t xml:space="preserve">here the </w:t>
      </w:r>
      <w:proofErr w:type="spellStart"/>
      <w:r w:rsidRPr="0053737C">
        <w:rPr>
          <w:rFonts w:ascii="Avenir Next" w:hAnsi="Avenir Next" w:cs="Arial"/>
          <w:color w:val="7B7B7B" w:themeColor="accent3" w:themeShade="BF"/>
          <w:sz w:val="22"/>
          <w:szCs w:val="22"/>
          <w:lang w:eastAsia="zh-CN"/>
        </w:rPr>
        <w:t>centre</w:t>
      </w:r>
      <w:proofErr w:type="spellEnd"/>
      <w:r w:rsidRPr="0053737C">
        <w:rPr>
          <w:rFonts w:ascii="Avenir Next" w:hAnsi="Avenir Next" w:cs="Arial"/>
          <w:color w:val="7B7B7B" w:themeColor="accent3" w:themeShade="BF"/>
          <w:sz w:val="22"/>
          <w:szCs w:val="22"/>
          <w:lang w:eastAsia="zh-CN"/>
        </w:rPr>
        <w:t xml:space="preserv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w:t>
      </w:r>
      <w:r>
        <w:rPr>
          <w:rFonts w:ascii="Avenir Next" w:hAnsi="Avenir Next" w:cs="Arial"/>
          <w:color w:val="7B7B7B" w:themeColor="accent3" w:themeShade="BF"/>
          <w:sz w:val="22"/>
          <w:szCs w:val="22"/>
          <w:lang w:eastAsia="zh-CN"/>
        </w:rPr>
        <w:t xml:space="preserve"> Regarding the definition of establishment, Article 2 provides that </w:t>
      </w:r>
      <w:r w:rsidRPr="0053737C">
        <w:rPr>
          <w:rFonts w:ascii="Avenir Next" w:hAnsi="Avenir Next" w:cs="Arial"/>
          <w:color w:val="7B7B7B" w:themeColor="accent3" w:themeShade="BF"/>
          <w:sz w:val="22"/>
          <w:szCs w:val="22"/>
          <w:lang w:eastAsia="zh-CN"/>
        </w:rPr>
        <w:t>‘establishment’ means any place of operations where a debtor carries out or has carried out in the 3-month period prior to the request to open main insolvency proceedings a non-transitory economic activity with human means and assets</w:t>
      </w:r>
      <w:r w:rsidRPr="0053737C">
        <w:rPr>
          <w:rFonts w:ascii="Avenir Next" w:hAnsi="Avenir Next" w:cs="Arial"/>
          <w:color w:val="7B7B7B" w:themeColor="accent3" w:themeShade="BF"/>
          <w:sz w:val="22"/>
          <w:szCs w:val="22"/>
          <w:lang w:eastAsia="zh-CN"/>
        </w:rPr>
        <w:t>.</w:t>
      </w:r>
      <w:r>
        <w:rPr>
          <w:rFonts w:ascii="Avenir Next" w:hAnsi="Avenir Next" w:cs="Arial"/>
          <w:color w:val="7B7B7B" w:themeColor="accent3" w:themeShade="BF"/>
          <w:sz w:val="22"/>
          <w:szCs w:val="22"/>
          <w:lang w:eastAsia="zh-CN"/>
        </w:rPr>
        <w:t xml:space="preserve"> </w:t>
      </w:r>
      <w:r w:rsidRPr="0053737C">
        <w:rPr>
          <w:rFonts w:ascii="Avenir Next" w:hAnsi="Avenir Next" w:cs="Arial"/>
          <w:color w:val="7B7B7B" w:themeColor="accent3" w:themeShade="BF"/>
          <w:sz w:val="22"/>
          <w:szCs w:val="22"/>
          <w:lang w:eastAsia="zh-CN"/>
        </w:rPr>
        <w:t xml:space="preserve">The </w:t>
      </w:r>
      <w:r>
        <w:rPr>
          <w:rFonts w:ascii="Avenir Next" w:hAnsi="Avenir Next" w:cs="Arial"/>
          <w:color w:val="7B7B7B" w:themeColor="accent3" w:themeShade="BF"/>
          <w:sz w:val="22"/>
          <w:szCs w:val="22"/>
          <w:lang w:eastAsia="zh-CN"/>
        </w:rPr>
        <w:t>concept of establishment is essential to the opening of secondary proceedings</w:t>
      </w:r>
      <w:r>
        <w:rPr>
          <w:rFonts w:ascii="宋体" w:eastAsia="宋体" w:hAnsi="宋体" w:cs="宋体"/>
          <w:color w:val="7B7B7B" w:themeColor="accent3" w:themeShade="BF"/>
          <w:sz w:val="22"/>
          <w:szCs w:val="22"/>
          <w:lang w:eastAsia="zh-CN"/>
        </w:rPr>
        <w:t xml:space="preserve">. </w:t>
      </w:r>
      <w:r w:rsidRPr="0053737C">
        <w:rPr>
          <w:rFonts w:ascii="Avenir Next" w:hAnsi="Avenir Next" w:cs="Arial"/>
          <w:color w:val="7B7B7B" w:themeColor="accent3" w:themeShade="BF"/>
          <w:sz w:val="22"/>
          <w:szCs w:val="22"/>
          <w:lang w:eastAsia="zh-CN"/>
        </w:rPr>
        <w:t xml:space="preserve">In </w:t>
      </w:r>
      <w:proofErr w:type="spellStart"/>
      <w:r w:rsidRPr="0053737C">
        <w:rPr>
          <w:rFonts w:ascii="Avenir Next" w:hAnsi="Avenir Next" w:cs="Arial"/>
          <w:i/>
          <w:iCs/>
          <w:color w:val="7B7B7B" w:themeColor="accent3" w:themeShade="BF"/>
          <w:sz w:val="22"/>
          <w:szCs w:val="22"/>
          <w:lang w:eastAsia="zh-CN"/>
        </w:rPr>
        <w:t>Interedil</w:t>
      </w:r>
      <w:proofErr w:type="spellEnd"/>
      <w:r w:rsidRPr="0053737C">
        <w:rPr>
          <w:rFonts w:ascii="Avenir Next" w:hAnsi="Avenir Next" w:cs="Arial"/>
          <w:i/>
          <w:iCs/>
          <w:color w:val="7B7B7B" w:themeColor="accent3" w:themeShade="BF"/>
          <w:sz w:val="22"/>
          <w:szCs w:val="22"/>
          <w:lang w:eastAsia="zh-CN"/>
        </w:rPr>
        <w:t xml:space="preserve"> </w:t>
      </w:r>
      <w:r>
        <w:rPr>
          <w:rFonts w:ascii="Avenir Next" w:hAnsi="Avenir Next" w:cs="Arial"/>
          <w:color w:val="7B7B7B" w:themeColor="accent3" w:themeShade="BF"/>
          <w:sz w:val="22"/>
          <w:szCs w:val="22"/>
          <w:lang w:eastAsia="zh-CN"/>
        </w:rPr>
        <w:t xml:space="preserve">case, the CJEU examined the concept and concluded that the fact that the definition connects the pursuit of an economic activity to the presence of human resources, shows that a minimum level of organization and a degree of stability are required. It follows that, conversely, the presence alone of goods in isolation or bank accounts does not satisfy the requirements for classification as an establishment. </w:t>
      </w:r>
      <w:r w:rsidRPr="0053737C">
        <w:rPr>
          <w:rFonts w:ascii="Avenir Next" w:hAnsi="Avenir Next" w:cs="Arial"/>
          <w:color w:val="7B7B7B" w:themeColor="accent3" w:themeShade="BF"/>
          <w:sz w:val="22"/>
          <w:szCs w:val="22"/>
          <w:lang w:eastAsia="zh-CN"/>
        </w:rPr>
        <w:t>T</w:t>
      </w:r>
      <w:r w:rsidRPr="0053737C">
        <w:rPr>
          <w:rFonts w:ascii="Avenir Next" w:hAnsi="Avenir Next" w:cs="Arial" w:hint="eastAsia"/>
          <w:color w:val="7B7B7B" w:themeColor="accent3" w:themeShade="BF"/>
          <w:sz w:val="22"/>
          <w:szCs w:val="22"/>
          <w:lang w:eastAsia="zh-CN"/>
        </w:rPr>
        <w:t>h</w:t>
      </w:r>
      <w:r w:rsidRPr="0053737C">
        <w:rPr>
          <w:rFonts w:ascii="Avenir Next" w:hAnsi="Avenir Next" w:cs="Arial"/>
          <w:color w:val="7B7B7B" w:themeColor="accent3" w:themeShade="BF"/>
          <w:sz w:val="22"/>
          <w:szCs w:val="22"/>
          <w:lang w:eastAsia="zh-CN"/>
        </w:rPr>
        <w:t xml:space="preserve">e </w:t>
      </w:r>
      <w:r>
        <w:rPr>
          <w:rFonts w:ascii="Avenir Next" w:hAnsi="Avenir Next" w:cs="Arial"/>
          <w:color w:val="7B7B7B" w:themeColor="accent3" w:themeShade="BF"/>
          <w:sz w:val="22"/>
          <w:szCs w:val="22"/>
          <w:lang w:eastAsia="zh-CN"/>
        </w:rPr>
        <w:t xml:space="preserve">presence of human means and assets is another criterion for determining the establishment. It shows that the debtor shall conduct its activities with the involvement of human resources and assets, which together demonstrate the organizational presence in the forum. In this case, the debtor only has a main warehouse and a bank account in Spain. There is no minimum level of organization and a degree of stability. The debtor has no employees in Spain at the same time, which means there is no presence of human resources. In summary, the secondary insolvency proceeding cannot be opened in Spain due to the lack of establishment in Spain. </w:t>
      </w:r>
    </w:p>
    <w:p w14:paraId="6C706484" w14:textId="1DFB27C7" w:rsidR="000A3278" w:rsidRDefault="000A3278" w:rsidP="000A3278">
      <w:pPr>
        <w:jc w:val="both"/>
        <w:rPr>
          <w:rFonts w:ascii="Avenir Next" w:hAnsi="Avenir Next" w:cs="Arial"/>
          <w:color w:val="7B7B7B" w:themeColor="accent3" w:themeShade="BF"/>
          <w:sz w:val="22"/>
          <w:szCs w:val="22"/>
        </w:rPr>
      </w:pPr>
    </w:p>
    <w:p w14:paraId="2943D6F8" w14:textId="77777777" w:rsidR="00EA14EE" w:rsidRPr="00EA14EE" w:rsidRDefault="00EA14EE" w:rsidP="00EA14EE">
      <w:pPr>
        <w:pStyle w:val="a3"/>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D7D3" w14:textId="77777777" w:rsidR="006433C6" w:rsidRDefault="006433C6" w:rsidP="00241B44">
      <w:r>
        <w:separator/>
      </w:r>
    </w:p>
  </w:endnote>
  <w:endnote w:type="continuationSeparator" w:id="0">
    <w:p w14:paraId="2CF6650D" w14:textId="77777777" w:rsidR="006433C6" w:rsidRDefault="006433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25250B7C" w:rsidR="00D509A5" w:rsidRPr="009B4976" w:rsidRDefault="00D509A5" w:rsidP="00D509A5">
        <w:pPr>
          <w:pStyle w:val="af"/>
          <w:framePr w:wrap="none" w:vAnchor="text" w:hAnchor="margin" w:xAlign="right" w:y="1"/>
          <w:rPr>
            <w:rStyle w:val="af1"/>
            <w:rFonts w:ascii="Arial" w:hAnsi="Arial" w:cs="Arial"/>
            <w:sz w:val="18"/>
            <w:szCs w:val="18"/>
          </w:rPr>
        </w:pPr>
        <w:r w:rsidRPr="001B6DDC">
          <w:rPr>
            <w:rStyle w:val="af1"/>
            <w:rFonts w:ascii="Avenir Next" w:hAnsi="Avenir Next" w:cs="Arial"/>
            <w:sz w:val="22"/>
            <w:szCs w:val="22"/>
          </w:rPr>
          <w:t xml:space="preserve">Page </w:t>
        </w:r>
        <w:r w:rsidRPr="001B6DDC">
          <w:rPr>
            <w:rStyle w:val="af1"/>
            <w:rFonts w:ascii="Avenir Next" w:hAnsi="Avenir Next" w:cs="Arial"/>
            <w:sz w:val="22"/>
            <w:szCs w:val="22"/>
          </w:rPr>
          <w:fldChar w:fldCharType="begin"/>
        </w:r>
        <w:r w:rsidRPr="001B6DDC">
          <w:rPr>
            <w:rStyle w:val="af1"/>
            <w:rFonts w:ascii="Avenir Next" w:hAnsi="Avenir Next" w:cs="Arial"/>
            <w:sz w:val="22"/>
            <w:szCs w:val="22"/>
          </w:rPr>
          <w:instrText xml:space="preserve"> PAGE </w:instrText>
        </w:r>
        <w:r w:rsidRPr="001B6DDC">
          <w:rPr>
            <w:rStyle w:val="af1"/>
            <w:rFonts w:ascii="Avenir Next" w:hAnsi="Avenir Next" w:cs="Arial"/>
            <w:sz w:val="22"/>
            <w:szCs w:val="22"/>
          </w:rPr>
          <w:fldChar w:fldCharType="separate"/>
        </w:r>
        <w:r w:rsidR="00BA543A" w:rsidRPr="001B6DDC">
          <w:rPr>
            <w:rStyle w:val="af1"/>
            <w:rFonts w:ascii="Avenir Next" w:hAnsi="Avenir Next" w:cs="Arial"/>
            <w:noProof/>
            <w:sz w:val="22"/>
            <w:szCs w:val="22"/>
          </w:rPr>
          <w:t>9</w:t>
        </w:r>
        <w:r w:rsidRPr="001B6DDC">
          <w:rPr>
            <w:rStyle w:val="af1"/>
            <w:rFonts w:ascii="Avenir Next" w:hAnsi="Avenir Next" w:cs="Arial"/>
            <w:sz w:val="22"/>
            <w:szCs w:val="22"/>
          </w:rPr>
          <w:fldChar w:fldCharType="end"/>
        </w:r>
      </w:p>
    </w:sdtContent>
  </w:sdt>
  <w:p w14:paraId="30F05E79" w14:textId="6A994471" w:rsidR="00D509A5" w:rsidRPr="005418A0" w:rsidRDefault="008775A3" w:rsidP="009B4976">
    <w:pPr>
      <w:pStyle w:val="af"/>
      <w:ind w:right="360"/>
      <w:rPr>
        <w:rFonts w:ascii="Avenir Next" w:hAnsi="Avenir Next" w:cs="Arial"/>
        <w:sz w:val="22"/>
        <w:szCs w:val="22"/>
        <w:lang w:val="en-GB"/>
      </w:rPr>
    </w:pPr>
    <w:r w:rsidRPr="00B51798">
      <w:rPr>
        <w:rFonts w:ascii="Avenir Next" w:hAnsi="Avenir Next" w:cs="Arial"/>
        <w:sz w:val="22"/>
        <w:szCs w:val="22"/>
      </w:rPr>
      <w:t>202324-1397</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89F5" w14:textId="77777777" w:rsidR="006433C6" w:rsidRDefault="006433C6" w:rsidP="00241B44">
      <w:r>
        <w:separator/>
      </w:r>
    </w:p>
  </w:footnote>
  <w:footnote w:type="continuationSeparator" w:id="0">
    <w:p w14:paraId="25CFC793" w14:textId="77777777" w:rsidR="006433C6" w:rsidRDefault="006433C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0C63"/>
    <w:rsid w:val="00101707"/>
    <w:rsid w:val="00113E29"/>
    <w:rsid w:val="0011473D"/>
    <w:rsid w:val="0011548B"/>
    <w:rsid w:val="00115C85"/>
    <w:rsid w:val="00123855"/>
    <w:rsid w:val="00126A4D"/>
    <w:rsid w:val="0014171F"/>
    <w:rsid w:val="00143B65"/>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36F40"/>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37C"/>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931B7"/>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433C6"/>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2171A"/>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B17B3"/>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775A3"/>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26DDC"/>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066EA"/>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2E11"/>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283538367">
      <w:bodyDiv w:val="1"/>
      <w:marLeft w:val="0"/>
      <w:marRight w:val="0"/>
      <w:marTop w:val="0"/>
      <w:marBottom w:val="0"/>
      <w:divBdr>
        <w:top w:val="none" w:sz="0" w:space="0" w:color="auto"/>
        <w:left w:val="none" w:sz="0" w:space="0" w:color="auto"/>
        <w:bottom w:val="none" w:sz="0" w:space="0" w:color="auto"/>
        <w:right w:val="none" w:sz="0" w:space="0" w:color="auto"/>
      </w:divBdr>
      <w:divsChild>
        <w:div w:id="108359111">
          <w:marLeft w:val="0"/>
          <w:marRight w:val="0"/>
          <w:marTop w:val="0"/>
          <w:marBottom w:val="0"/>
          <w:divBdr>
            <w:top w:val="none" w:sz="0" w:space="0" w:color="auto"/>
            <w:left w:val="none" w:sz="0" w:space="0" w:color="auto"/>
            <w:bottom w:val="none" w:sz="0" w:space="0" w:color="auto"/>
            <w:right w:val="none" w:sz="0" w:space="0" w:color="auto"/>
          </w:divBdr>
          <w:divsChild>
            <w:div w:id="1789857169">
              <w:marLeft w:val="0"/>
              <w:marRight w:val="0"/>
              <w:marTop w:val="0"/>
              <w:marBottom w:val="0"/>
              <w:divBdr>
                <w:top w:val="none" w:sz="0" w:space="0" w:color="auto"/>
                <w:left w:val="none" w:sz="0" w:space="0" w:color="auto"/>
                <w:bottom w:val="none" w:sz="0" w:space="0" w:color="auto"/>
                <w:right w:val="none" w:sz="0" w:space="0" w:color="auto"/>
              </w:divBdr>
              <w:divsChild>
                <w:div w:id="3352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98117">
      <w:bodyDiv w:val="1"/>
      <w:marLeft w:val="0"/>
      <w:marRight w:val="0"/>
      <w:marTop w:val="0"/>
      <w:marBottom w:val="0"/>
      <w:divBdr>
        <w:top w:val="none" w:sz="0" w:space="0" w:color="auto"/>
        <w:left w:val="none" w:sz="0" w:space="0" w:color="auto"/>
        <w:bottom w:val="none" w:sz="0" w:space="0" w:color="auto"/>
        <w:right w:val="none" w:sz="0" w:space="0" w:color="auto"/>
      </w:divBdr>
      <w:divsChild>
        <w:div w:id="696539977">
          <w:marLeft w:val="0"/>
          <w:marRight w:val="0"/>
          <w:marTop w:val="0"/>
          <w:marBottom w:val="0"/>
          <w:divBdr>
            <w:top w:val="none" w:sz="0" w:space="0" w:color="auto"/>
            <w:left w:val="none" w:sz="0" w:space="0" w:color="auto"/>
            <w:bottom w:val="none" w:sz="0" w:space="0" w:color="auto"/>
            <w:right w:val="none" w:sz="0" w:space="0" w:color="auto"/>
          </w:divBdr>
          <w:divsChild>
            <w:div w:id="2020310449">
              <w:marLeft w:val="0"/>
              <w:marRight w:val="0"/>
              <w:marTop w:val="0"/>
              <w:marBottom w:val="0"/>
              <w:divBdr>
                <w:top w:val="none" w:sz="0" w:space="0" w:color="auto"/>
                <w:left w:val="none" w:sz="0" w:space="0" w:color="auto"/>
                <w:bottom w:val="none" w:sz="0" w:space="0" w:color="auto"/>
                <w:right w:val="none" w:sz="0" w:space="0" w:color="auto"/>
              </w:divBdr>
              <w:divsChild>
                <w:div w:id="21079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sChild>
        <w:div w:id="1826237130">
          <w:marLeft w:val="0"/>
          <w:marRight w:val="0"/>
          <w:marTop w:val="0"/>
          <w:marBottom w:val="0"/>
          <w:divBdr>
            <w:top w:val="none" w:sz="0" w:space="0" w:color="auto"/>
            <w:left w:val="none" w:sz="0" w:space="0" w:color="auto"/>
            <w:bottom w:val="none" w:sz="0" w:space="0" w:color="auto"/>
            <w:right w:val="none" w:sz="0" w:space="0" w:color="auto"/>
          </w:divBdr>
          <w:divsChild>
            <w:div w:id="411437049">
              <w:marLeft w:val="0"/>
              <w:marRight w:val="0"/>
              <w:marTop w:val="0"/>
              <w:marBottom w:val="0"/>
              <w:divBdr>
                <w:top w:val="none" w:sz="0" w:space="0" w:color="auto"/>
                <w:left w:val="none" w:sz="0" w:space="0" w:color="auto"/>
                <w:bottom w:val="none" w:sz="0" w:space="0" w:color="auto"/>
                <w:right w:val="none" w:sz="0" w:space="0" w:color="auto"/>
              </w:divBdr>
              <w:divsChild>
                <w:div w:id="14364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95838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051">
          <w:marLeft w:val="0"/>
          <w:marRight w:val="0"/>
          <w:marTop w:val="0"/>
          <w:marBottom w:val="0"/>
          <w:divBdr>
            <w:top w:val="none" w:sz="0" w:space="0" w:color="auto"/>
            <w:left w:val="none" w:sz="0" w:space="0" w:color="auto"/>
            <w:bottom w:val="none" w:sz="0" w:space="0" w:color="auto"/>
            <w:right w:val="none" w:sz="0" w:space="0" w:color="auto"/>
          </w:divBdr>
          <w:divsChild>
            <w:div w:id="1167135887">
              <w:marLeft w:val="0"/>
              <w:marRight w:val="0"/>
              <w:marTop w:val="0"/>
              <w:marBottom w:val="0"/>
              <w:divBdr>
                <w:top w:val="none" w:sz="0" w:space="0" w:color="auto"/>
                <w:left w:val="none" w:sz="0" w:space="0" w:color="auto"/>
                <w:bottom w:val="none" w:sz="0" w:space="0" w:color="auto"/>
                <w:right w:val="none" w:sz="0" w:space="0" w:color="auto"/>
              </w:divBdr>
              <w:divsChild>
                <w:div w:id="6986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596085532">
      <w:bodyDiv w:val="1"/>
      <w:marLeft w:val="0"/>
      <w:marRight w:val="0"/>
      <w:marTop w:val="0"/>
      <w:marBottom w:val="0"/>
      <w:divBdr>
        <w:top w:val="none" w:sz="0" w:space="0" w:color="auto"/>
        <w:left w:val="none" w:sz="0" w:space="0" w:color="auto"/>
        <w:bottom w:val="none" w:sz="0" w:space="0" w:color="auto"/>
        <w:right w:val="none" w:sz="0" w:space="0" w:color="auto"/>
      </w:divBdr>
      <w:divsChild>
        <w:div w:id="245845614">
          <w:marLeft w:val="0"/>
          <w:marRight w:val="0"/>
          <w:marTop w:val="0"/>
          <w:marBottom w:val="0"/>
          <w:divBdr>
            <w:top w:val="none" w:sz="0" w:space="0" w:color="auto"/>
            <w:left w:val="none" w:sz="0" w:space="0" w:color="auto"/>
            <w:bottom w:val="none" w:sz="0" w:space="0" w:color="auto"/>
            <w:right w:val="none" w:sz="0" w:space="0" w:color="auto"/>
          </w:divBdr>
          <w:divsChild>
            <w:div w:id="2027320005">
              <w:marLeft w:val="0"/>
              <w:marRight w:val="0"/>
              <w:marTop w:val="0"/>
              <w:marBottom w:val="0"/>
              <w:divBdr>
                <w:top w:val="none" w:sz="0" w:space="0" w:color="auto"/>
                <w:left w:val="none" w:sz="0" w:space="0" w:color="auto"/>
                <w:bottom w:val="none" w:sz="0" w:space="0" w:color="auto"/>
                <w:right w:val="none" w:sz="0" w:space="0" w:color="auto"/>
              </w:divBdr>
              <w:divsChild>
                <w:div w:id="6998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0041406">
      <w:bodyDiv w:val="1"/>
      <w:marLeft w:val="0"/>
      <w:marRight w:val="0"/>
      <w:marTop w:val="0"/>
      <w:marBottom w:val="0"/>
      <w:divBdr>
        <w:top w:val="none" w:sz="0" w:space="0" w:color="auto"/>
        <w:left w:val="none" w:sz="0" w:space="0" w:color="auto"/>
        <w:bottom w:val="none" w:sz="0" w:space="0" w:color="auto"/>
        <w:right w:val="none" w:sz="0" w:space="0" w:color="auto"/>
      </w:divBdr>
      <w:divsChild>
        <w:div w:id="2012368337">
          <w:marLeft w:val="0"/>
          <w:marRight w:val="0"/>
          <w:marTop w:val="0"/>
          <w:marBottom w:val="0"/>
          <w:divBdr>
            <w:top w:val="none" w:sz="0" w:space="0" w:color="auto"/>
            <w:left w:val="none" w:sz="0" w:space="0" w:color="auto"/>
            <w:bottom w:val="none" w:sz="0" w:space="0" w:color="auto"/>
            <w:right w:val="none" w:sz="0" w:space="0" w:color="auto"/>
          </w:divBdr>
          <w:divsChild>
            <w:div w:id="579752285">
              <w:marLeft w:val="0"/>
              <w:marRight w:val="0"/>
              <w:marTop w:val="0"/>
              <w:marBottom w:val="0"/>
              <w:divBdr>
                <w:top w:val="none" w:sz="0" w:space="0" w:color="auto"/>
                <w:left w:val="none" w:sz="0" w:space="0" w:color="auto"/>
                <w:bottom w:val="none" w:sz="0" w:space="0" w:color="auto"/>
                <w:right w:val="none" w:sz="0" w:space="0" w:color="auto"/>
              </w:divBdr>
              <w:divsChild>
                <w:div w:id="1275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03632801">
      <w:bodyDiv w:val="1"/>
      <w:marLeft w:val="0"/>
      <w:marRight w:val="0"/>
      <w:marTop w:val="0"/>
      <w:marBottom w:val="0"/>
      <w:divBdr>
        <w:top w:val="none" w:sz="0" w:space="0" w:color="auto"/>
        <w:left w:val="none" w:sz="0" w:space="0" w:color="auto"/>
        <w:bottom w:val="none" w:sz="0" w:space="0" w:color="auto"/>
        <w:right w:val="none" w:sz="0" w:space="0" w:color="auto"/>
      </w:divBdr>
      <w:divsChild>
        <w:div w:id="1466892728">
          <w:marLeft w:val="0"/>
          <w:marRight w:val="0"/>
          <w:marTop w:val="0"/>
          <w:marBottom w:val="0"/>
          <w:divBdr>
            <w:top w:val="none" w:sz="0" w:space="0" w:color="auto"/>
            <w:left w:val="none" w:sz="0" w:space="0" w:color="auto"/>
            <w:bottom w:val="none" w:sz="0" w:space="0" w:color="auto"/>
            <w:right w:val="none" w:sz="0" w:space="0" w:color="auto"/>
          </w:divBdr>
          <w:divsChild>
            <w:div w:id="2066442199">
              <w:marLeft w:val="0"/>
              <w:marRight w:val="0"/>
              <w:marTop w:val="0"/>
              <w:marBottom w:val="0"/>
              <w:divBdr>
                <w:top w:val="none" w:sz="0" w:space="0" w:color="auto"/>
                <w:left w:val="none" w:sz="0" w:space="0" w:color="auto"/>
                <w:bottom w:val="none" w:sz="0" w:space="0" w:color="auto"/>
                <w:right w:val="none" w:sz="0" w:space="0" w:color="auto"/>
              </w:divBdr>
              <w:divsChild>
                <w:div w:id="4044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00426614">
      <w:bodyDiv w:val="1"/>
      <w:marLeft w:val="0"/>
      <w:marRight w:val="0"/>
      <w:marTop w:val="0"/>
      <w:marBottom w:val="0"/>
      <w:divBdr>
        <w:top w:val="none" w:sz="0" w:space="0" w:color="auto"/>
        <w:left w:val="none" w:sz="0" w:space="0" w:color="auto"/>
        <w:bottom w:val="none" w:sz="0" w:space="0" w:color="auto"/>
        <w:right w:val="none" w:sz="0" w:space="0" w:color="auto"/>
      </w:divBdr>
      <w:divsChild>
        <w:div w:id="859585026">
          <w:marLeft w:val="0"/>
          <w:marRight w:val="0"/>
          <w:marTop w:val="0"/>
          <w:marBottom w:val="0"/>
          <w:divBdr>
            <w:top w:val="none" w:sz="0" w:space="0" w:color="auto"/>
            <w:left w:val="none" w:sz="0" w:space="0" w:color="auto"/>
            <w:bottom w:val="none" w:sz="0" w:space="0" w:color="auto"/>
            <w:right w:val="none" w:sz="0" w:space="0" w:color="auto"/>
          </w:divBdr>
          <w:divsChild>
            <w:div w:id="1783379636">
              <w:marLeft w:val="0"/>
              <w:marRight w:val="0"/>
              <w:marTop w:val="0"/>
              <w:marBottom w:val="0"/>
              <w:divBdr>
                <w:top w:val="none" w:sz="0" w:space="0" w:color="auto"/>
                <w:left w:val="none" w:sz="0" w:space="0" w:color="auto"/>
                <w:bottom w:val="none" w:sz="0" w:space="0" w:color="auto"/>
                <w:right w:val="none" w:sz="0" w:space="0" w:color="auto"/>
              </w:divBdr>
              <w:divsChild>
                <w:div w:id="16146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12</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Shimin Wu</cp:lastModifiedBy>
  <cp:revision>17</cp:revision>
  <cp:lastPrinted>2024-02-27T03:24:00Z</cp:lastPrinted>
  <dcterms:created xsi:type="dcterms:W3CDTF">2023-06-21T09:48:00Z</dcterms:created>
  <dcterms:modified xsi:type="dcterms:W3CDTF">2024-03-01T05:23:00Z</dcterms:modified>
</cp:coreProperties>
</file>