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375048">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A05DAA">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65445C" w:rsidRDefault="00B263D0" w:rsidP="00A05DAA">
      <w:pPr>
        <w:pStyle w:val="ListParagraph"/>
        <w:numPr>
          <w:ilvl w:val="0"/>
          <w:numId w:val="1"/>
        </w:numPr>
        <w:ind w:left="426" w:hanging="426"/>
        <w:jc w:val="both"/>
        <w:rPr>
          <w:rFonts w:ascii="Avenir Next" w:hAnsi="Avenir Next" w:cs="Arial"/>
          <w:sz w:val="22"/>
          <w:szCs w:val="22"/>
          <w:highlight w:val="yellow"/>
          <w:lang w:val="en-GB"/>
        </w:rPr>
      </w:pPr>
      <w:r w:rsidRPr="0065445C">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A05DAA">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A05DA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05DA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05DA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05DA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05DA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05DA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05DAA">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05DAA">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001425" w:rsidRDefault="00AD0E59" w:rsidP="00A05DAA">
      <w:pPr>
        <w:pStyle w:val="ListParagraph"/>
        <w:numPr>
          <w:ilvl w:val="0"/>
          <w:numId w:val="10"/>
        </w:numPr>
        <w:ind w:left="426" w:hanging="426"/>
        <w:jc w:val="both"/>
        <w:rPr>
          <w:rFonts w:ascii="Avenir Next" w:hAnsi="Avenir Next" w:cs="Arial"/>
          <w:sz w:val="22"/>
          <w:szCs w:val="22"/>
          <w:highlight w:val="yellow"/>
          <w:lang w:val="en-GB"/>
        </w:rPr>
      </w:pPr>
      <w:r w:rsidRPr="00001425">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05DAA">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A05DAA">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A05DAA">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A05DAA">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A05DAA">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A05DAA">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A05DAA">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C259AF" w:rsidRDefault="00893A03" w:rsidP="00A05DAA">
      <w:pPr>
        <w:pStyle w:val="ListParagraph"/>
        <w:numPr>
          <w:ilvl w:val="0"/>
          <w:numId w:val="2"/>
        </w:numPr>
        <w:ind w:left="426" w:hanging="426"/>
        <w:jc w:val="both"/>
        <w:rPr>
          <w:rFonts w:ascii="Avenir Next" w:hAnsi="Avenir Next" w:cs="Arial"/>
          <w:sz w:val="22"/>
          <w:szCs w:val="22"/>
          <w:highlight w:val="yellow"/>
          <w:lang w:val="en-GB"/>
        </w:rPr>
      </w:pPr>
      <w:r w:rsidRPr="00C259AF">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A05DAA">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5B79C2" w:rsidRDefault="00812AFE" w:rsidP="00A05DAA">
      <w:pPr>
        <w:pStyle w:val="ListParagraph"/>
        <w:numPr>
          <w:ilvl w:val="0"/>
          <w:numId w:val="13"/>
        </w:numPr>
        <w:ind w:left="426" w:hanging="426"/>
        <w:jc w:val="both"/>
        <w:rPr>
          <w:rFonts w:ascii="Avenir Next" w:hAnsi="Avenir Next"/>
          <w:sz w:val="22"/>
          <w:szCs w:val="32"/>
        </w:rPr>
      </w:pPr>
      <w:r w:rsidRPr="005B79C2">
        <w:rPr>
          <w:rFonts w:ascii="Avenir Next" w:hAnsi="Avenir Next"/>
          <w:sz w:val="22"/>
          <w:szCs w:val="32"/>
        </w:rPr>
        <w:t>To provide greater legal certainty for trade and investment.</w:t>
      </w:r>
    </w:p>
    <w:p w14:paraId="6108D362" w14:textId="77777777" w:rsidR="00812AFE" w:rsidRPr="005B79C2" w:rsidRDefault="00812AFE" w:rsidP="00C00111">
      <w:pPr>
        <w:pStyle w:val="ListParagraph"/>
        <w:ind w:left="426" w:hanging="426"/>
        <w:jc w:val="both"/>
        <w:rPr>
          <w:rFonts w:ascii="Avenir Next" w:hAnsi="Avenir Next"/>
          <w:sz w:val="22"/>
          <w:szCs w:val="32"/>
        </w:rPr>
      </w:pPr>
    </w:p>
    <w:p w14:paraId="2AA2541C" w14:textId="3C7E8949" w:rsidR="00812AFE" w:rsidRPr="005B79C2" w:rsidRDefault="00812AFE" w:rsidP="00A05DAA">
      <w:pPr>
        <w:pStyle w:val="ListParagraph"/>
        <w:numPr>
          <w:ilvl w:val="0"/>
          <w:numId w:val="13"/>
        </w:numPr>
        <w:ind w:left="426" w:hanging="426"/>
        <w:jc w:val="both"/>
        <w:rPr>
          <w:rFonts w:ascii="Avenir Next" w:hAnsi="Avenir Next"/>
          <w:sz w:val="22"/>
          <w:szCs w:val="32"/>
        </w:rPr>
      </w:pPr>
      <w:r w:rsidRPr="005B79C2">
        <w:rPr>
          <w:rFonts w:ascii="Avenir Next" w:hAnsi="Avenir Next"/>
          <w:sz w:val="22"/>
          <w:szCs w:val="32"/>
        </w:rPr>
        <w:t>To provide protection and maximi</w:t>
      </w:r>
      <w:r w:rsidR="00B66441" w:rsidRPr="005B79C2">
        <w:rPr>
          <w:rFonts w:ascii="Avenir Next" w:hAnsi="Avenir Next"/>
          <w:sz w:val="22"/>
          <w:szCs w:val="32"/>
        </w:rPr>
        <w:t>z</w:t>
      </w:r>
      <w:r w:rsidRPr="005B79C2">
        <w:rPr>
          <w:rFonts w:ascii="Avenir Next" w:hAnsi="Avenir Next"/>
          <w:sz w:val="22"/>
          <w:szCs w:val="32"/>
        </w:rPr>
        <w:t>ation of value of the debtor’s assets.</w:t>
      </w:r>
    </w:p>
    <w:p w14:paraId="3081732A" w14:textId="77777777" w:rsidR="00812AFE" w:rsidRPr="005B79C2" w:rsidRDefault="00812AFE" w:rsidP="00C00111">
      <w:pPr>
        <w:ind w:left="426" w:hanging="426"/>
        <w:jc w:val="both"/>
        <w:rPr>
          <w:rFonts w:ascii="Avenir Next" w:hAnsi="Avenir Next"/>
          <w:sz w:val="22"/>
          <w:szCs w:val="32"/>
        </w:rPr>
      </w:pPr>
    </w:p>
    <w:p w14:paraId="712BE68D" w14:textId="77777777" w:rsidR="00812AFE" w:rsidRPr="005B79C2" w:rsidRDefault="00812AFE" w:rsidP="00A05DAA">
      <w:pPr>
        <w:pStyle w:val="ListParagraph"/>
        <w:numPr>
          <w:ilvl w:val="0"/>
          <w:numId w:val="13"/>
        </w:numPr>
        <w:ind w:left="426" w:hanging="426"/>
        <w:jc w:val="both"/>
        <w:rPr>
          <w:rFonts w:ascii="Avenir Next" w:hAnsi="Avenir Next"/>
          <w:sz w:val="22"/>
          <w:szCs w:val="32"/>
        </w:rPr>
      </w:pPr>
      <w:r w:rsidRPr="005B79C2">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5B79C2" w:rsidRDefault="00812AFE" w:rsidP="00C00111">
      <w:pPr>
        <w:ind w:left="426" w:hanging="426"/>
        <w:jc w:val="both"/>
        <w:rPr>
          <w:rFonts w:ascii="Avenir Next" w:hAnsi="Avenir Next"/>
          <w:sz w:val="22"/>
          <w:szCs w:val="32"/>
        </w:rPr>
      </w:pPr>
    </w:p>
    <w:p w14:paraId="61EBC598" w14:textId="77777777" w:rsidR="00812AFE" w:rsidRDefault="00812AFE" w:rsidP="00A05DAA">
      <w:pPr>
        <w:pStyle w:val="ListParagraph"/>
        <w:numPr>
          <w:ilvl w:val="0"/>
          <w:numId w:val="13"/>
        </w:numPr>
        <w:ind w:left="426" w:hanging="426"/>
        <w:jc w:val="both"/>
        <w:rPr>
          <w:rFonts w:ascii="Avenir Next" w:hAnsi="Avenir Next"/>
          <w:sz w:val="22"/>
          <w:szCs w:val="32"/>
        </w:rPr>
      </w:pPr>
      <w:r w:rsidRPr="005B79C2">
        <w:rPr>
          <w:rFonts w:ascii="Avenir Next" w:hAnsi="Avenir Next"/>
          <w:sz w:val="22"/>
          <w:szCs w:val="32"/>
        </w:rPr>
        <w:t>To facilitate the</w:t>
      </w:r>
      <w:r w:rsidRPr="00851204">
        <w:rPr>
          <w:rFonts w:ascii="Avenir Next" w:hAnsi="Avenir Next"/>
          <w:sz w:val="22"/>
          <w:szCs w:val="32"/>
        </w:rPr>
        <w:t xml:space="preserv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A05DAA">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5B79C2" w:rsidRDefault="00812AFE" w:rsidP="00A05DAA">
      <w:pPr>
        <w:pStyle w:val="ListParagraph"/>
        <w:numPr>
          <w:ilvl w:val="0"/>
          <w:numId w:val="3"/>
        </w:numPr>
        <w:ind w:left="426" w:hanging="426"/>
        <w:jc w:val="both"/>
        <w:rPr>
          <w:rFonts w:ascii="Avenir Next" w:hAnsi="Avenir Next" w:cs="Arial"/>
          <w:sz w:val="22"/>
          <w:szCs w:val="22"/>
          <w:highlight w:val="yellow"/>
          <w:lang w:val="en-GB"/>
        </w:rPr>
      </w:pPr>
      <w:r w:rsidRPr="005B79C2">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A05DAA">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A05DAA">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A05DAA">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A05DA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A05DA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A05DA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A05DA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A05DA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C34DF8" w:rsidRDefault="003220BA" w:rsidP="00A05DAA">
      <w:pPr>
        <w:pStyle w:val="ListParagraph"/>
        <w:numPr>
          <w:ilvl w:val="0"/>
          <w:numId w:val="4"/>
        </w:numPr>
        <w:ind w:left="426" w:hanging="426"/>
        <w:jc w:val="both"/>
        <w:rPr>
          <w:rFonts w:ascii="Avenir Next" w:hAnsi="Avenir Next" w:cs="Arial"/>
          <w:sz w:val="22"/>
          <w:szCs w:val="22"/>
          <w:highlight w:val="yellow"/>
          <w:lang w:val="en-GB"/>
        </w:rPr>
      </w:pPr>
      <w:r w:rsidRPr="00C34DF8">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A05DA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A05DA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A05DAA">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A05DAA">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A05DAA">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A05DAA">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907AC6" w:rsidRDefault="009344C1" w:rsidP="00A05DAA">
      <w:pPr>
        <w:pStyle w:val="ListParagraph"/>
        <w:numPr>
          <w:ilvl w:val="0"/>
          <w:numId w:val="5"/>
        </w:numPr>
        <w:ind w:left="426" w:hanging="426"/>
        <w:jc w:val="both"/>
        <w:rPr>
          <w:rFonts w:ascii="Avenir Next" w:hAnsi="Avenir Next" w:cs="Arial"/>
          <w:sz w:val="22"/>
          <w:szCs w:val="22"/>
          <w:lang w:val="en-GB"/>
        </w:rPr>
      </w:pPr>
      <w:r w:rsidRPr="00907AC6">
        <w:rPr>
          <w:rFonts w:ascii="Avenir Next" w:hAnsi="Avenir Next" w:cs="Arial"/>
          <w:sz w:val="22"/>
          <w:szCs w:val="22"/>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907AC6" w:rsidRDefault="009344C1" w:rsidP="00A05DAA">
      <w:pPr>
        <w:pStyle w:val="ListParagraph"/>
        <w:numPr>
          <w:ilvl w:val="0"/>
          <w:numId w:val="5"/>
        </w:numPr>
        <w:ind w:left="426" w:hanging="426"/>
        <w:jc w:val="both"/>
        <w:rPr>
          <w:rFonts w:ascii="Avenir Next" w:hAnsi="Avenir Next" w:cs="Arial"/>
          <w:sz w:val="22"/>
          <w:szCs w:val="22"/>
          <w:highlight w:val="yellow"/>
          <w:lang w:val="en-GB"/>
        </w:rPr>
      </w:pPr>
      <w:r w:rsidRPr="00907AC6">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A05DAA">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A05DAA">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A05DAA">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A05DAA">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A05DAA">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281FD0" w:rsidRDefault="00F51EE5" w:rsidP="00A05DAA">
      <w:pPr>
        <w:pStyle w:val="ListParagraph"/>
        <w:numPr>
          <w:ilvl w:val="0"/>
          <w:numId w:val="6"/>
        </w:numPr>
        <w:ind w:left="426" w:hanging="426"/>
        <w:jc w:val="both"/>
        <w:rPr>
          <w:rFonts w:ascii="Avenir Next" w:hAnsi="Avenir Next" w:cs="Arial"/>
          <w:sz w:val="22"/>
          <w:szCs w:val="22"/>
          <w:highlight w:val="yellow"/>
          <w:lang w:val="en-GB"/>
        </w:rPr>
      </w:pPr>
      <w:r w:rsidRPr="00281FD0">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A05DAA">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A05DAA">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A05DAA">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A05DAA">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A05DAA">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A05DAA">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A05DAA">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A05DAA">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F346CF" w:rsidRDefault="0097337E" w:rsidP="00A05DAA">
      <w:pPr>
        <w:pStyle w:val="ListParagraph"/>
        <w:numPr>
          <w:ilvl w:val="0"/>
          <w:numId w:val="7"/>
        </w:numPr>
        <w:ind w:left="426" w:hanging="426"/>
        <w:jc w:val="both"/>
        <w:rPr>
          <w:rFonts w:ascii="Avenir Next" w:hAnsi="Avenir Next" w:cs="Arial"/>
          <w:sz w:val="22"/>
          <w:szCs w:val="22"/>
          <w:highlight w:val="yellow"/>
          <w:lang w:val="en-GB"/>
        </w:rPr>
      </w:pPr>
      <w:r w:rsidRPr="00F346CF">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A05DAA">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A05DAA">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A05DAA">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A05DAA">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A05DAA">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A05DAA">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8A3E4F" w:rsidRDefault="009A58D1" w:rsidP="00A05DAA">
      <w:pPr>
        <w:pStyle w:val="ListParagraph"/>
        <w:numPr>
          <w:ilvl w:val="0"/>
          <w:numId w:val="8"/>
        </w:numPr>
        <w:ind w:left="426" w:hanging="426"/>
        <w:jc w:val="both"/>
        <w:rPr>
          <w:rFonts w:ascii="Avenir Next" w:hAnsi="Avenir Next" w:cs="Arial"/>
          <w:sz w:val="22"/>
          <w:szCs w:val="22"/>
          <w:highlight w:val="yellow"/>
          <w:lang w:val="en-GB"/>
        </w:rPr>
      </w:pPr>
      <w:r w:rsidRPr="008A3E4F">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A05DAA">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A05DAA">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A05DAA">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A05DAA">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A85E57" w:rsidRDefault="00C4510C" w:rsidP="00A05DAA">
      <w:pPr>
        <w:pStyle w:val="ListParagraph"/>
        <w:numPr>
          <w:ilvl w:val="0"/>
          <w:numId w:val="9"/>
        </w:numPr>
        <w:ind w:left="426" w:hanging="426"/>
        <w:jc w:val="both"/>
        <w:rPr>
          <w:rFonts w:ascii="Avenir Next" w:hAnsi="Avenir Next" w:cs="Arial"/>
          <w:sz w:val="22"/>
          <w:szCs w:val="22"/>
          <w:highlight w:val="yellow"/>
          <w:lang w:val="en-GB"/>
        </w:rPr>
      </w:pPr>
      <w:r w:rsidRPr="00A85E57">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85AC13" w14:textId="1D92438F" w:rsidR="00EE0353" w:rsidRDefault="00B54A3E" w:rsidP="000F2BA9">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7C1D5D">
        <w:rPr>
          <w:rFonts w:ascii="Avenir Next" w:hAnsi="Avenir Next" w:cs="Arial"/>
          <w:color w:val="808080" w:themeColor="background1" w:themeShade="80"/>
          <w:sz w:val="22"/>
          <w:szCs w:val="22"/>
          <w:lang w:val="en-GB"/>
        </w:rPr>
        <w:t xml:space="preserve">key distinction between the MLCBI and the </w:t>
      </w:r>
      <w:r w:rsidR="004C4E45" w:rsidRPr="004C4E45">
        <w:rPr>
          <w:rFonts w:ascii="Avenir Next" w:hAnsi="Avenir Next" w:cs="Arial"/>
          <w:color w:val="808080" w:themeColor="background1" w:themeShade="80"/>
          <w:sz w:val="22"/>
          <w:szCs w:val="22"/>
          <w:lang w:val="en-GB"/>
        </w:rPr>
        <w:t xml:space="preserve">EU Regulation </w:t>
      </w:r>
      <w:r w:rsidR="007C1D5D">
        <w:rPr>
          <w:rFonts w:ascii="Avenir Next" w:hAnsi="Avenir Next" w:cs="Arial"/>
          <w:color w:val="808080" w:themeColor="background1" w:themeShade="80"/>
          <w:sz w:val="22"/>
          <w:szCs w:val="22"/>
          <w:lang w:val="en-GB"/>
        </w:rPr>
        <w:t>is that the</w:t>
      </w:r>
      <w:r w:rsidR="00EE0353">
        <w:rPr>
          <w:rFonts w:ascii="Avenir Next" w:hAnsi="Avenir Next" w:cs="Arial"/>
          <w:color w:val="808080" w:themeColor="background1" w:themeShade="80"/>
          <w:sz w:val="22"/>
          <w:szCs w:val="22"/>
          <w:lang w:val="en-GB"/>
        </w:rPr>
        <w:t>y are examples of “soft law” and “hard law” respectively.</w:t>
      </w:r>
    </w:p>
    <w:p w14:paraId="03A8421B" w14:textId="77777777" w:rsidR="00EE0353" w:rsidRDefault="00EE0353" w:rsidP="000F2BA9">
      <w:pPr>
        <w:pStyle w:val="NoSpacing"/>
        <w:rPr>
          <w:rFonts w:ascii="Avenir Next" w:hAnsi="Avenir Next" w:cs="Arial"/>
          <w:color w:val="808080" w:themeColor="background1" w:themeShade="80"/>
          <w:sz w:val="22"/>
          <w:szCs w:val="22"/>
          <w:lang w:val="en-GB"/>
        </w:rPr>
      </w:pPr>
    </w:p>
    <w:p w14:paraId="2DB73870" w14:textId="4C88ACB9" w:rsidR="007C1D5D" w:rsidRDefault="00EE0353" w:rsidP="00F74718">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7C1D5D">
        <w:rPr>
          <w:rFonts w:ascii="Avenir Next" w:hAnsi="Avenir Next" w:cs="Arial"/>
          <w:color w:val="808080" w:themeColor="background1" w:themeShade="80"/>
          <w:sz w:val="22"/>
          <w:szCs w:val="22"/>
          <w:lang w:val="en-GB"/>
        </w:rPr>
        <w:t xml:space="preserve"> ML</w:t>
      </w:r>
      <w:r w:rsidR="00B40524">
        <w:rPr>
          <w:rFonts w:ascii="Avenir Next" w:hAnsi="Avenir Next" w:cs="Arial"/>
          <w:color w:val="808080" w:themeColor="background1" w:themeShade="80"/>
          <w:sz w:val="22"/>
          <w:szCs w:val="22"/>
          <w:lang w:val="en-GB"/>
        </w:rPr>
        <w:t xml:space="preserve">CBI </w:t>
      </w:r>
      <w:r w:rsidR="00F04010" w:rsidRPr="001F320D">
        <w:rPr>
          <w:rFonts w:ascii="Avenir Next" w:hAnsi="Avenir Next" w:cs="Arial"/>
          <w:color w:val="808080" w:themeColor="background1" w:themeShade="80"/>
          <w:sz w:val="22"/>
          <w:szCs w:val="22"/>
          <w:lang w:val="en-GB"/>
        </w:rPr>
        <w:t>does not attempt to substantively unify the insolvency laws of States</w:t>
      </w:r>
      <w:r w:rsidR="00180E03">
        <w:rPr>
          <w:rFonts w:ascii="Avenir Next" w:hAnsi="Avenir Next" w:cs="Arial"/>
          <w:color w:val="808080" w:themeColor="background1" w:themeShade="80"/>
          <w:sz w:val="22"/>
          <w:szCs w:val="22"/>
          <w:lang w:val="en-GB"/>
        </w:rPr>
        <w:t>, but is rather a recommendation</w:t>
      </w:r>
      <w:r w:rsidR="00F04010">
        <w:rPr>
          <w:rFonts w:ascii="Avenir Next" w:hAnsi="Avenir Next" w:cs="Arial"/>
          <w:color w:val="808080" w:themeColor="background1" w:themeShade="80"/>
          <w:sz w:val="22"/>
          <w:szCs w:val="22"/>
          <w:lang w:val="en-GB"/>
        </w:rPr>
        <w:t xml:space="preserve">. </w:t>
      </w:r>
      <w:r w:rsidR="00F04010" w:rsidRPr="001F320D">
        <w:rPr>
          <w:rFonts w:ascii="Avenir Next" w:hAnsi="Avenir Next" w:cs="Arial"/>
          <w:color w:val="808080" w:themeColor="background1" w:themeShade="80"/>
          <w:sz w:val="22"/>
          <w:szCs w:val="22"/>
          <w:lang w:val="en-GB"/>
        </w:rPr>
        <w:t>It is suitable for adoption, in whole or in part, into the domestic legislation of a State</w:t>
      </w:r>
      <w:r w:rsidR="00F04010">
        <w:rPr>
          <w:rFonts w:ascii="Avenir Next" w:hAnsi="Avenir Next" w:cs="Arial"/>
          <w:color w:val="808080" w:themeColor="background1" w:themeShade="80"/>
          <w:sz w:val="22"/>
          <w:szCs w:val="22"/>
          <w:lang w:val="en-GB"/>
        </w:rPr>
        <w:t>.</w:t>
      </w:r>
    </w:p>
    <w:p w14:paraId="5FB17C31" w14:textId="77777777" w:rsidR="00D155BD" w:rsidRDefault="00D155BD" w:rsidP="00F74718">
      <w:pPr>
        <w:pStyle w:val="NoSpacing"/>
        <w:rPr>
          <w:rFonts w:ascii="Avenir Next" w:hAnsi="Avenir Next" w:cs="Arial"/>
          <w:color w:val="808080" w:themeColor="background1" w:themeShade="80"/>
          <w:sz w:val="22"/>
          <w:szCs w:val="22"/>
          <w:lang w:val="en-GB"/>
        </w:rPr>
      </w:pPr>
    </w:p>
    <w:p w14:paraId="1F5CD19D" w14:textId="3885BCED" w:rsidR="00D155BD" w:rsidRDefault="0096694D" w:rsidP="00F74718">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benefit of the MLCBI is that it is less intrusive. It does not force </w:t>
      </w:r>
      <w:r w:rsidR="00D155BD" w:rsidRPr="001F59AB">
        <w:rPr>
          <w:rFonts w:ascii="Avenir Next" w:hAnsi="Avenir Next" w:cs="Arial"/>
          <w:color w:val="808080" w:themeColor="background1" w:themeShade="80"/>
          <w:sz w:val="22"/>
          <w:szCs w:val="22"/>
          <w:lang w:val="en-GB"/>
        </w:rPr>
        <w:t xml:space="preserve">insolvency laws on States, </w:t>
      </w:r>
      <w:r w:rsidR="00B73347">
        <w:rPr>
          <w:rFonts w:ascii="Avenir Next" w:hAnsi="Avenir Next" w:cs="Arial"/>
          <w:color w:val="808080" w:themeColor="background1" w:themeShade="80"/>
          <w:sz w:val="22"/>
          <w:szCs w:val="22"/>
          <w:lang w:val="en-GB"/>
        </w:rPr>
        <w:t xml:space="preserve">but rather </w:t>
      </w:r>
      <w:r w:rsidR="00D155BD" w:rsidRPr="001F59AB">
        <w:rPr>
          <w:rFonts w:ascii="Avenir Next" w:hAnsi="Avenir Next" w:cs="Arial"/>
          <w:color w:val="808080" w:themeColor="background1" w:themeShade="80"/>
          <w:sz w:val="22"/>
          <w:szCs w:val="22"/>
          <w:lang w:val="en-GB"/>
        </w:rPr>
        <w:t>provide</w:t>
      </w:r>
      <w:r w:rsidR="00B73347">
        <w:rPr>
          <w:rFonts w:ascii="Avenir Next" w:hAnsi="Avenir Next" w:cs="Arial"/>
          <w:color w:val="808080" w:themeColor="background1" w:themeShade="80"/>
          <w:sz w:val="22"/>
          <w:szCs w:val="22"/>
          <w:lang w:val="en-GB"/>
        </w:rPr>
        <w:t>s</w:t>
      </w:r>
      <w:r w:rsidR="00D155BD" w:rsidRPr="001F59AB">
        <w:rPr>
          <w:rFonts w:ascii="Avenir Next" w:hAnsi="Avenir Next" w:cs="Arial"/>
          <w:color w:val="808080" w:themeColor="background1" w:themeShade="80"/>
          <w:sz w:val="22"/>
          <w:szCs w:val="22"/>
          <w:lang w:val="en-GB"/>
        </w:rPr>
        <w:t xml:space="preserve"> each State with a</w:t>
      </w:r>
      <w:r w:rsidR="00D155BD">
        <w:rPr>
          <w:rFonts w:ascii="Avenir Next" w:hAnsi="Avenir Next" w:cs="Arial"/>
          <w:color w:val="808080" w:themeColor="background1" w:themeShade="80"/>
          <w:sz w:val="22"/>
          <w:szCs w:val="22"/>
          <w:lang w:val="en-GB"/>
        </w:rPr>
        <w:t xml:space="preserve"> </w:t>
      </w:r>
      <w:r w:rsidR="00D155BD" w:rsidRPr="001F59AB">
        <w:rPr>
          <w:rFonts w:ascii="Avenir Next" w:hAnsi="Avenir Next" w:cs="Arial"/>
          <w:color w:val="808080" w:themeColor="background1" w:themeShade="80"/>
          <w:sz w:val="22"/>
          <w:szCs w:val="22"/>
          <w:lang w:val="en-GB"/>
        </w:rPr>
        <w:t>necessary procedural framework that brings with it a level of transparency and predictability</w:t>
      </w:r>
      <w:r w:rsidR="000742EB">
        <w:rPr>
          <w:rFonts w:ascii="Avenir Next" w:hAnsi="Avenir Next" w:cs="Arial"/>
          <w:color w:val="808080" w:themeColor="background1" w:themeShade="80"/>
          <w:sz w:val="22"/>
          <w:szCs w:val="22"/>
          <w:lang w:val="en-GB"/>
        </w:rPr>
        <w:t>.</w:t>
      </w:r>
    </w:p>
    <w:p w14:paraId="71908C58" w14:textId="77777777" w:rsidR="00B73347" w:rsidRDefault="00B73347" w:rsidP="00F74718">
      <w:pPr>
        <w:pStyle w:val="NoSpacing"/>
        <w:rPr>
          <w:rFonts w:ascii="Avenir Next" w:hAnsi="Avenir Next" w:cs="Arial"/>
          <w:color w:val="808080" w:themeColor="background1" w:themeShade="80"/>
          <w:sz w:val="22"/>
          <w:szCs w:val="22"/>
          <w:lang w:val="en-GB"/>
        </w:rPr>
      </w:pPr>
    </w:p>
    <w:p w14:paraId="3C4138B1" w14:textId="4E1F1AEF" w:rsidR="00171E61" w:rsidRDefault="002314E4" w:rsidP="00F74718">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by virtue of it only being a recommendation</w:t>
      </w:r>
      <w:r w:rsidR="00C3133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States </w:t>
      </w:r>
      <w:r w:rsidR="00171E61">
        <w:rPr>
          <w:rFonts w:ascii="Avenir Next" w:hAnsi="Avenir Next" w:cs="Arial"/>
          <w:color w:val="808080" w:themeColor="background1" w:themeShade="80"/>
          <w:sz w:val="22"/>
          <w:szCs w:val="22"/>
          <w:lang w:val="en-GB"/>
        </w:rPr>
        <w:t xml:space="preserve">are not required to adopt the MLCBI. </w:t>
      </w:r>
      <w:r w:rsidR="00C3133A">
        <w:rPr>
          <w:rFonts w:ascii="Avenir Next" w:hAnsi="Avenir Next" w:cs="Arial"/>
          <w:color w:val="808080" w:themeColor="background1" w:themeShade="80"/>
          <w:sz w:val="22"/>
          <w:szCs w:val="22"/>
          <w:lang w:val="en-GB"/>
        </w:rPr>
        <w:t>If States do not adopt the MLCBI then it is not effective, which is a disadvantage.</w:t>
      </w:r>
      <w:r w:rsidR="00171E61">
        <w:rPr>
          <w:rFonts w:ascii="Avenir Next" w:hAnsi="Avenir Next" w:cs="Arial"/>
          <w:color w:val="808080" w:themeColor="background1" w:themeShade="80"/>
          <w:sz w:val="22"/>
          <w:szCs w:val="22"/>
          <w:lang w:val="en-GB"/>
        </w:rPr>
        <w:t xml:space="preserve"> </w:t>
      </w:r>
    </w:p>
    <w:p w14:paraId="0F8E9ED9" w14:textId="77777777" w:rsidR="00171E61" w:rsidRDefault="00171E61" w:rsidP="00F74718">
      <w:pPr>
        <w:pStyle w:val="NoSpacing"/>
        <w:rPr>
          <w:rFonts w:ascii="Avenir Next" w:hAnsi="Avenir Next" w:cs="Arial"/>
          <w:color w:val="808080" w:themeColor="background1" w:themeShade="80"/>
          <w:sz w:val="22"/>
          <w:szCs w:val="22"/>
          <w:lang w:val="en-GB"/>
        </w:rPr>
      </w:pPr>
    </w:p>
    <w:p w14:paraId="654B0E66" w14:textId="2A67FDC7" w:rsidR="00CB56CE" w:rsidRDefault="00B54A3E" w:rsidP="000F2BA9">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4C4E45" w:rsidRPr="004C4E45">
        <w:rPr>
          <w:rFonts w:ascii="Avenir Next" w:hAnsi="Avenir Next" w:cs="Arial"/>
          <w:color w:val="808080" w:themeColor="background1" w:themeShade="80"/>
          <w:sz w:val="22"/>
          <w:szCs w:val="22"/>
          <w:lang w:val="en-GB"/>
        </w:rPr>
        <w:t>ollowing adoption</w:t>
      </w:r>
      <w:r w:rsidR="0021747B">
        <w:rPr>
          <w:rFonts w:ascii="Avenir Next" w:hAnsi="Avenir Next" w:cs="Arial"/>
          <w:color w:val="808080" w:themeColor="background1" w:themeShade="80"/>
          <w:sz w:val="22"/>
          <w:szCs w:val="22"/>
          <w:lang w:val="en-GB"/>
        </w:rPr>
        <w:t xml:space="preserve"> of the EU Regulation</w:t>
      </w:r>
      <w:r w:rsidR="004C4E45" w:rsidRPr="004C4E45">
        <w:rPr>
          <w:rFonts w:ascii="Avenir Next" w:hAnsi="Avenir Next" w:cs="Arial"/>
          <w:color w:val="808080" w:themeColor="background1" w:themeShade="80"/>
          <w:sz w:val="22"/>
          <w:szCs w:val="22"/>
          <w:lang w:val="en-GB"/>
        </w:rPr>
        <w:t xml:space="preserve">, </w:t>
      </w:r>
      <w:r w:rsidR="0021747B">
        <w:rPr>
          <w:rFonts w:ascii="Avenir Next" w:hAnsi="Avenir Next" w:cs="Arial"/>
          <w:color w:val="808080" w:themeColor="background1" w:themeShade="80"/>
          <w:sz w:val="22"/>
          <w:szCs w:val="22"/>
          <w:lang w:val="en-GB"/>
        </w:rPr>
        <w:t xml:space="preserve">it </w:t>
      </w:r>
      <w:r w:rsidR="004C4E45" w:rsidRPr="004C4E45">
        <w:rPr>
          <w:rFonts w:ascii="Avenir Next" w:hAnsi="Avenir Next" w:cs="Arial"/>
          <w:color w:val="808080" w:themeColor="background1" w:themeShade="80"/>
          <w:sz w:val="22"/>
          <w:szCs w:val="22"/>
          <w:lang w:val="en-GB"/>
        </w:rPr>
        <w:t xml:space="preserve">becomes part of the domestic law of </w:t>
      </w:r>
      <w:r w:rsidR="0021747B">
        <w:rPr>
          <w:rFonts w:ascii="Avenir Next" w:hAnsi="Avenir Next" w:cs="Arial"/>
          <w:color w:val="808080" w:themeColor="background1" w:themeShade="80"/>
          <w:sz w:val="22"/>
          <w:szCs w:val="22"/>
          <w:lang w:val="en-GB"/>
        </w:rPr>
        <w:t xml:space="preserve">the </w:t>
      </w:r>
      <w:r w:rsidR="004C4E45" w:rsidRPr="004C4E45">
        <w:rPr>
          <w:rFonts w:ascii="Avenir Next" w:hAnsi="Avenir Next" w:cs="Arial"/>
          <w:color w:val="808080" w:themeColor="background1" w:themeShade="80"/>
          <w:sz w:val="22"/>
          <w:szCs w:val="22"/>
          <w:lang w:val="en-GB"/>
        </w:rPr>
        <w:t>EU Member State</w:t>
      </w:r>
      <w:r w:rsidR="000F2BA9">
        <w:rPr>
          <w:rFonts w:ascii="Avenir Next" w:hAnsi="Avenir Next" w:cs="Arial"/>
          <w:color w:val="808080" w:themeColor="background1" w:themeShade="80"/>
          <w:sz w:val="22"/>
          <w:szCs w:val="22"/>
          <w:lang w:val="en-GB"/>
        </w:rPr>
        <w:t xml:space="preserve">. </w:t>
      </w:r>
      <w:r w:rsidR="000742EB">
        <w:rPr>
          <w:rFonts w:ascii="Avenir Next" w:hAnsi="Avenir Next" w:cs="Arial"/>
          <w:color w:val="808080" w:themeColor="background1" w:themeShade="80"/>
          <w:sz w:val="22"/>
          <w:szCs w:val="22"/>
          <w:lang w:val="en-GB"/>
        </w:rPr>
        <w:t>The EU Regulation e</w:t>
      </w:r>
      <w:r w:rsidR="000F2BA9" w:rsidRPr="000F2BA9">
        <w:rPr>
          <w:rFonts w:ascii="Avenir Next" w:hAnsi="Avenir Next" w:cs="Arial"/>
          <w:color w:val="808080" w:themeColor="background1" w:themeShade="80"/>
          <w:sz w:val="22"/>
          <w:szCs w:val="22"/>
          <w:lang w:val="en-GB"/>
        </w:rPr>
        <w:t>stablish</w:t>
      </w:r>
      <w:r w:rsidR="000F2BA9">
        <w:rPr>
          <w:rFonts w:ascii="Avenir Next" w:hAnsi="Avenir Next" w:cs="Arial"/>
          <w:color w:val="808080" w:themeColor="background1" w:themeShade="80"/>
          <w:sz w:val="22"/>
          <w:szCs w:val="22"/>
          <w:lang w:val="en-GB"/>
        </w:rPr>
        <w:t>es</w:t>
      </w:r>
      <w:r w:rsidR="000F2BA9" w:rsidRPr="000F2BA9">
        <w:rPr>
          <w:rFonts w:ascii="Avenir Next" w:hAnsi="Avenir Next" w:cs="Arial"/>
          <w:color w:val="808080" w:themeColor="background1" w:themeShade="80"/>
          <w:sz w:val="22"/>
          <w:szCs w:val="22"/>
          <w:lang w:val="en-GB"/>
        </w:rPr>
        <w:t xml:space="preserve"> a framework within which insolvency proceedings taking place in any EU</w:t>
      </w:r>
      <w:r w:rsidR="000F2BA9">
        <w:rPr>
          <w:rFonts w:ascii="Avenir Next" w:hAnsi="Avenir Next" w:cs="Arial"/>
          <w:color w:val="808080" w:themeColor="background1" w:themeShade="80"/>
          <w:sz w:val="22"/>
          <w:szCs w:val="22"/>
          <w:lang w:val="en-GB"/>
        </w:rPr>
        <w:t xml:space="preserve"> </w:t>
      </w:r>
      <w:r w:rsidR="000F2BA9" w:rsidRPr="000F2BA9">
        <w:rPr>
          <w:rFonts w:ascii="Avenir Next" w:hAnsi="Avenir Next" w:cs="Arial"/>
          <w:color w:val="808080" w:themeColor="background1" w:themeShade="80"/>
          <w:sz w:val="22"/>
          <w:szCs w:val="22"/>
          <w:lang w:val="en-GB"/>
        </w:rPr>
        <w:t xml:space="preserve">Member State </w:t>
      </w:r>
      <w:r w:rsidR="000F2BA9">
        <w:rPr>
          <w:rFonts w:ascii="Avenir Next" w:hAnsi="Avenir Next" w:cs="Arial"/>
          <w:color w:val="808080" w:themeColor="background1" w:themeShade="80"/>
          <w:sz w:val="22"/>
          <w:szCs w:val="22"/>
          <w:lang w:val="en-GB"/>
        </w:rPr>
        <w:t xml:space="preserve">can </w:t>
      </w:r>
      <w:r w:rsidR="000F2BA9" w:rsidRPr="000F2BA9">
        <w:rPr>
          <w:rFonts w:ascii="Avenir Next" w:hAnsi="Avenir Next" w:cs="Arial"/>
          <w:color w:val="808080" w:themeColor="background1" w:themeShade="80"/>
          <w:sz w:val="22"/>
          <w:szCs w:val="22"/>
          <w:lang w:val="en-GB"/>
        </w:rPr>
        <w:t xml:space="preserve">be recognised and enforced throughout the rest of the </w:t>
      </w:r>
      <w:r w:rsidR="000F2BA9">
        <w:rPr>
          <w:rFonts w:ascii="Avenir Next" w:hAnsi="Avenir Next" w:cs="Arial"/>
          <w:color w:val="808080" w:themeColor="background1" w:themeShade="80"/>
          <w:sz w:val="22"/>
          <w:szCs w:val="22"/>
          <w:lang w:val="en-GB"/>
        </w:rPr>
        <w:t>EU.</w:t>
      </w:r>
    </w:p>
    <w:p w14:paraId="204CD44C" w14:textId="77777777" w:rsidR="000742EB" w:rsidRDefault="000742EB" w:rsidP="000F2BA9">
      <w:pPr>
        <w:pStyle w:val="NoSpacing"/>
        <w:rPr>
          <w:rFonts w:ascii="Avenir Next" w:hAnsi="Avenir Next" w:cs="Arial"/>
          <w:color w:val="808080" w:themeColor="background1" w:themeShade="80"/>
          <w:sz w:val="22"/>
          <w:szCs w:val="22"/>
          <w:lang w:val="en-GB"/>
        </w:rPr>
      </w:pPr>
    </w:p>
    <w:p w14:paraId="49BD0DE2" w14:textId="53B04CDD" w:rsidR="000742EB" w:rsidRDefault="000742EB" w:rsidP="000F2BA9">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benefit of this is that </w:t>
      </w:r>
      <w:r w:rsidR="00BA3335">
        <w:rPr>
          <w:rFonts w:ascii="Avenir Next" w:hAnsi="Avenir Next" w:cs="Arial"/>
          <w:color w:val="808080" w:themeColor="background1" w:themeShade="80"/>
          <w:sz w:val="22"/>
          <w:szCs w:val="22"/>
          <w:lang w:val="en-GB"/>
        </w:rPr>
        <w:t>insolvency laws are unified</w:t>
      </w:r>
      <w:r w:rsidR="00873028">
        <w:rPr>
          <w:rFonts w:ascii="Avenir Next" w:hAnsi="Avenir Next" w:cs="Arial"/>
          <w:color w:val="808080" w:themeColor="background1" w:themeShade="80"/>
          <w:sz w:val="22"/>
          <w:szCs w:val="22"/>
          <w:lang w:val="en-GB"/>
        </w:rPr>
        <w:t xml:space="preserve"> and binding</w:t>
      </w:r>
      <w:r w:rsidR="00BA3335">
        <w:rPr>
          <w:rFonts w:ascii="Avenir Next" w:hAnsi="Avenir Next" w:cs="Arial"/>
          <w:color w:val="808080" w:themeColor="background1" w:themeShade="80"/>
          <w:sz w:val="22"/>
          <w:szCs w:val="22"/>
          <w:lang w:val="en-GB"/>
        </w:rPr>
        <w:t xml:space="preserve"> which allows for </w:t>
      </w:r>
      <w:r w:rsidRPr="001F59AB">
        <w:rPr>
          <w:rFonts w:ascii="Avenir Next" w:hAnsi="Avenir Next" w:cs="Arial"/>
          <w:color w:val="808080" w:themeColor="background1" w:themeShade="80"/>
          <w:sz w:val="22"/>
          <w:szCs w:val="22"/>
          <w:lang w:val="en-GB"/>
        </w:rPr>
        <w:t>cross-border insolvencies to be dealt with in a cost and time efficient manner</w:t>
      </w:r>
      <w:r>
        <w:rPr>
          <w:rFonts w:ascii="Avenir Next" w:hAnsi="Avenir Next" w:cs="Arial"/>
          <w:color w:val="808080" w:themeColor="background1" w:themeShade="80"/>
          <w:sz w:val="22"/>
          <w:szCs w:val="22"/>
          <w:lang w:val="en-GB"/>
        </w:rPr>
        <w:t>.</w:t>
      </w:r>
    </w:p>
    <w:p w14:paraId="7C1764F0" w14:textId="77777777" w:rsidR="002F3C3B" w:rsidRDefault="002F3C3B" w:rsidP="000F2BA9">
      <w:pPr>
        <w:pStyle w:val="NoSpacing"/>
        <w:rPr>
          <w:rFonts w:ascii="Avenir Next" w:hAnsi="Avenir Next" w:cs="Arial"/>
          <w:color w:val="808080" w:themeColor="background1" w:themeShade="80"/>
          <w:sz w:val="22"/>
          <w:szCs w:val="22"/>
          <w:lang w:val="en-GB"/>
        </w:rPr>
      </w:pPr>
    </w:p>
    <w:p w14:paraId="69F88049" w14:textId="61F462B6" w:rsidR="002F3C3B" w:rsidRDefault="002F3C3B" w:rsidP="000F2BA9">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disadvantage is that </w:t>
      </w:r>
      <w:r w:rsidR="002E17B5">
        <w:rPr>
          <w:rFonts w:ascii="Avenir Next" w:hAnsi="Avenir Next" w:cs="Arial"/>
          <w:color w:val="808080" w:themeColor="background1" w:themeShade="80"/>
          <w:sz w:val="22"/>
          <w:szCs w:val="22"/>
          <w:lang w:val="en-GB"/>
        </w:rPr>
        <w:t xml:space="preserve">hard law approaches can be considered intrusive, </w:t>
      </w:r>
      <w:r w:rsidR="002E17B5" w:rsidRPr="001F59AB">
        <w:rPr>
          <w:rFonts w:ascii="Avenir Next" w:hAnsi="Avenir Next" w:cs="Arial"/>
          <w:color w:val="808080" w:themeColor="background1" w:themeShade="80"/>
          <w:sz w:val="22"/>
          <w:szCs w:val="22"/>
          <w:lang w:val="en-GB"/>
        </w:rPr>
        <w:t>forcing new (foreign)</w:t>
      </w:r>
      <w:r w:rsidR="002E17B5">
        <w:rPr>
          <w:rFonts w:ascii="Avenir Next" w:hAnsi="Avenir Next" w:cs="Arial"/>
          <w:color w:val="808080" w:themeColor="background1" w:themeShade="80"/>
          <w:sz w:val="22"/>
          <w:szCs w:val="22"/>
          <w:lang w:val="en-GB"/>
        </w:rPr>
        <w:t xml:space="preserve"> </w:t>
      </w:r>
      <w:r w:rsidR="002E17B5" w:rsidRPr="001F59AB">
        <w:rPr>
          <w:rFonts w:ascii="Avenir Next" w:hAnsi="Avenir Next" w:cs="Arial"/>
          <w:color w:val="808080" w:themeColor="background1" w:themeShade="80"/>
          <w:sz w:val="22"/>
          <w:szCs w:val="22"/>
          <w:lang w:val="en-GB"/>
        </w:rPr>
        <w:t>substantive insolvency laws on States</w:t>
      </w:r>
      <w:r w:rsidR="00B91153">
        <w:rPr>
          <w:rFonts w:ascii="Avenir Next" w:hAnsi="Avenir Next" w:cs="Arial"/>
          <w:color w:val="808080" w:themeColor="background1" w:themeShade="80"/>
          <w:sz w:val="22"/>
          <w:szCs w:val="22"/>
          <w:lang w:val="en-GB"/>
        </w:rPr>
        <w:t xml:space="preserve"> which will each have different </w:t>
      </w:r>
      <w:r w:rsidR="00347D24" w:rsidRPr="00775713">
        <w:rPr>
          <w:rFonts w:ascii="Avenir Next" w:hAnsi="Avenir Next" w:cs="Arial"/>
          <w:color w:val="808080" w:themeColor="background1" w:themeShade="80"/>
          <w:sz w:val="22"/>
          <w:szCs w:val="22"/>
          <w:lang w:val="en-GB"/>
        </w:rPr>
        <w:t>approaches in national insolvency laws</w:t>
      </w:r>
      <w:r w:rsidR="00B91153">
        <w:rPr>
          <w:rFonts w:ascii="Avenir Next" w:hAnsi="Avenir Next" w:cs="Arial"/>
          <w:color w:val="808080" w:themeColor="background1" w:themeShade="80"/>
          <w:sz w:val="22"/>
          <w:szCs w:val="22"/>
          <w:lang w:val="en-GB"/>
        </w:rPr>
        <w:t>.</w:t>
      </w:r>
    </w:p>
    <w:p w14:paraId="7716EC51" w14:textId="77777777" w:rsidR="00B77352" w:rsidRPr="00E2622D" w:rsidRDefault="00B77352" w:rsidP="00AB77D5">
      <w:pPr>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063FA0EA" w14:textId="25ABD413" w:rsidR="00150309" w:rsidRDefault="001F1DEA" w:rsidP="007A3577">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request of the foreign representative, in </w:t>
      </w:r>
      <w:r w:rsidR="006F73EB" w:rsidRPr="006F73EB">
        <w:rPr>
          <w:rFonts w:ascii="Avenir Next" w:hAnsi="Avenir Next" w:cs="Arial"/>
          <w:color w:val="808080" w:themeColor="background1" w:themeShade="80"/>
          <w:sz w:val="22"/>
          <w:szCs w:val="22"/>
          <w:lang w:val="en-GB"/>
        </w:rPr>
        <w:t>granting</w:t>
      </w:r>
      <w:r w:rsidR="006F73EB">
        <w:rPr>
          <w:rFonts w:ascii="Avenir Next" w:hAnsi="Avenir Next" w:cs="Arial"/>
          <w:color w:val="808080" w:themeColor="background1" w:themeShade="80"/>
          <w:sz w:val="22"/>
          <w:szCs w:val="22"/>
          <w:lang w:val="en-GB"/>
        </w:rPr>
        <w:t xml:space="preserve"> </w:t>
      </w:r>
      <w:r w:rsidR="006F73EB" w:rsidRPr="006F73EB">
        <w:rPr>
          <w:rFonts w:ascii="Avenir Next" w:hAnsi="Avenir Next" w:cs="Arial"/>
          <w:color w:val="808080" w:themeColor="background1" w:themeShade="80"/>
          <w:sz w:val="22"/>
          <w:szCs w:val="22"/>
          <w:lang w:val="en-GB"/>
        </w:rPr>
        <w:t xml:space="preserve">or denying </w:t>
      </w:r>
      <w:r w:rsidR="00150309" w:rsidRPr="006F73EB">
        <w:rPr>
          <w:rFonts w:ascii="Avenir Next" w:hAnsi="Avenir Next" w:cs="Arial"/>
          <w:color w:val="808080" w:themeColor="background1" w:themeShade="80"/>
          <w:sz w:val="22"/>
          <w:szCs w:val="22"/>
          <w:lang w:val="en-GB"/>
        </w:rPr>
        <w:t xml:space="preserve">discretionary post-recognition relief </w:t>
      </w:r>
      <w:r w:rsidR="00150309">
        <w:rPr>
          <w:rFonts w:ascii="Avenir Next" w:hAnsi="Avenir Next" w:cs="Arial"/>
          <w:color w:val="808080" w:themeColor="background1" w:themeShade="80"/>
          <w:sz w:val="22"/>
          <w:szCs w:val="22"/>
          <w:lang w:val="en-GB"/>
        </w:rPr>
        <w:t xml:space="preserve">under </w:t>
      </w:r>
      <w:r w:rsidR="006F73EB" w:rsidRPr="006F73EB">
        <w:rPr>
          <w:rFonts w:ascii="Avenir Next" w:hAnsi="Avenir Next" w:cs="Arial"/>
          <w:color w:val="808080" w:themeColor="background1" w:themeShade="80"/>
          <w:sz w:val="22"/>
          <w:szCs w:val="22"/>
          <w:lang w:val="en-GB"/>
        </w:rPr>
        <w:t>Article 2</w:t>
      </w:r>
      <w:r w:rsidR="000F0627">
        <w:rPr>
          <w:rFonts w:ascii="Avenir Next" w:hAnsi="Avenir Next" w:cs="Arial"/>
          <w:color w:val="808080" w:themeColor="background1" w:themeShade="80"/>
          <w:sz w:val="22"/>
          <w:szCs w:val="22"/>
          <w:lang w:val="en-GB"/>
        </w:rPr>
        <w:t>1</w:t>
      </w:r>
      <w:r w:rsidR="00150309">
        <w:rPr>
          <w:rFonts w:ascii="Avenir Next" w:hAnsi="Avenir Next" w:cs="Arial"/>
          <w:color w:val="808080" w:themeColor="background1" w:themeShade="80"/>
          <w:sz w:val="22"/>
          <w:szCs w:val="22"/>
          <w:lang w:val="en-GB"/>
        </w:rPr>
        <w:t xml:space="preserve"> of the MLCBI</w:t>
      </w:r>
      <w:r w:rsidR="006F73EB" w:rsidRPr="006F73EB">
        <w:rPr>
          <w:rFonts w:ascii="Avenir Next" w:hAnsi="Avenir Next" w:cs="Arial"/>
          <w:color w:val="808080" w:themeColor="background1" w:themeShade="80"/>
          <w:sz w:val="22"/>
          <w:szCs w:val="22"/>
          <w:lang w:val="en-GB"/>
        </w:rPr>
        <w:t xml:space="preserve">, the court </w:t>
      </w:r>
      <w:r w:rsidR="00150309">
        <w:rPr>
          <w:rFonts w:ascii="Avenir Next" w:hAnsi="Avenir Next" w:cs="Arial"/>
          <w:color w:val="808080" w:themeColor="background1" w:themeShade="80"/>
          <w:sz w:val="22"/>
          <w:szCs w:val="22"/>
          <w:lang w:val="en-GB"/>
        </w:rPr>
        <w:t>should primarily consider</w:t>
      </w:r>
      <w:r w:rsidR="007A3577">
        <w:rPr>
          <w:rFonts w:ascii="Avenir Next" w:hAnsi="Avenir Next" w:cs="Arial"/>
          <w:color w:val="808080" w:themeColor="background1" w:themeShade="80"/>
          <w:sz w:val="22"/>
          <w:szCs w:val="22"/>
          <w:lang w:val="en-GB"/>
        </w:rPr>
        <w:t xml:space="preserve"> whether the relief is necessary to adequately protect the</w:t>
      </w:r>
      <w:r w:rsidR="00150309">
        <w:rPr>
          <w:rFonts w:ascii="Avenir Next" w:hAnsi="Avenir Next" w:cs="Arial"/>
          <w:color w:val="808080" w:themeColor="background1" w:themeShade="80"/>
          <w:sz w:val="22"/>
          <w:szCs w:val="22"/>
          <w:lang w:val="en-GB"/>
        </w:rPr>
        <w:t>:</w:t>
      </w:r>
    </w:p>
    <w:p w14:paraId="5184134A" w14:textId="77777777" w:rsidR="00150309" w:rsidRDefault="00150309" w:rsidP="006F73EB">
      <w:pPr>
        <w:ind w:left="720" w:hanging="720"/>
        <w:jc w:val="both"/>
        <w:rPr>
          <w:rFonts w:ascii="Avenir Next" w:hAnsi="Avenir Next" w:cs="Arial"/>
          <w:color w:val="808080" w:themeColor="background1" w:themeShade="80"/>
          <w:sz w:val="22"/>
          <w:szCs w:val="22"/>
          <w:lang w:val="en-GB"/>
        </w:rPr>
      </w:pPr>
    </w:p>
    <w:p w14:paraId="1FA14D26" w14:textId="0124E42C" w:rsidR="0083210E" w:rsidRDefault="0083210E" w:rsidP="00A05DAA">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assets of the debtor; and</w:t>
      </w:r>
      <w:r w:rsidR="007A3577">
        <w:rPr>
          <w:rFonts w:ascii="Avenir Next" w:hAnsi="Avenir Next" w:cs="Arial"/>
          <w:color w:val="808080" w:themeColor="background1" w:themeShade="80"/>
          <w:sz w:val="22"/>
          <w:szCs w:val="22"/>
          <w:lang w:val="en-GB"/>
        </w:rPr>
        <w:t>/or</w:t>
      </w:r>
    </w:p>
    <w:p w14:paraId="75A84368" w14:textId="383BD1BB" w:rsidR="003E198E" w:rsidRPr="00B77352" w:rsidRDefault="007A3577" w:rsidP="00A05DAA">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interests of creditors.</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5EF79F76" w14:textId="77777777" w:rsidR="00346399" w:rsidRDefault="0063202A" w:rsidP="00B16A66">
      <w:pPr>
        <w:pStyle w:val="NoSpacing"/>
        <w:rPr>
          <w:rFonts w:ascii="Avenir Next" w:hAnsi="Avenir Next" w:cs="Arial"/>
          <w:color w:val="808080" w:themeColor="background1" w:themeShade="80"/>
          <w:sz w:val="22"/>
          <w:szCs w:val="22"/>
          <w:lang w:val="en-GB"/>
        </w:rPr>
      </w:pPr>
      <w:r w:rsidRPr="0063202A">
        <w:rPr>
          <w:rFonts w:ascii="Avenir Next" w:hAnsi="Avenir Next" w:cs="Arial"/>
          <w:color w:val="808080" w:themeColor="background1" w:themeShade="80"/>
          <w:sz w:val="22"/>
          <w:szCs w:val="22"/>
          <w:lang w:val="en-GB"/>
        </w:rPr>
        <w:t>Article 13 of the Model Law gives foreign creditors the same rights as creditors</w:t>
      </w:r>
      <w:r>
        <w:rPr>
          <w:rFonts w:ascii="Avenir Next" w:hAnsi="Avenir Next" w:cs="Arial"/>
          <w:color w:val="808080" w:themeColor="background1" w:themeShade="80"/>
          <w:sz w:val="22"/>
          <w:szCs w:val="22"/>
          <w:lang w:val="en-GB"/>
        </w:rPr>
        <w:t xml:space="preserve"> </w:t>
      </w:r>
      <w:r w:rsidRPr="0063202A">
        <w:rPr>
          <w:rFonts w:ascii="Avenir Next" w:hAnsi="Avenir Next" w:cs="Arial"/>
          <w:color w:val="808080" w:themeColor="background1" w:themeShade="80"/>
          <w:sz w:val="22"/>
          <w:szCs w:val="22"/>
          <w:lang w:val="en-GB"/>
        </w:rPr>
        <w:t xml:space="preserve">domiciled in the enacting State </w:t>
      </w:r>
      <w:r w:rsidR="009D3E25" w:rsidRPr="00B16A66">
        <w:rPr>
          <w:rFonts w:ascii="Avenir Next" w:hAnsi="Avenir Next" w:cs="Arial"/>
          <w:color w:val="808080" w:themeColor="background1" w:themeShade="80"/>
          <w:sz w:val="22"/>
          <w:szCs w:val="22"/>
          <w:lang w:val="en-GB"/>
        </w:rPr>
        <w:t>regarding</w:t>
      </w:r>
      <w:r w:rsidR="009D3E25">
        <w:rPr>
          <w:rFonts w:ascii="Avenir Next" w:hAnsi="Avenir Next" w:cs="Arial"/>
          <w:color w:val="808080" w:themeColor="background1" w:themeShade="80"/>
          <w:sz w:val="22"/>
          <w:szCs w:val="22"/>
          <w:lang w:val="en-GB"/>
        </w:rPr>
        <w:t xml:space="preserve"> </w:t>
      </w:r>
      <w:r w:rsidR="009D3E25" w:rsidRPr="00B16A66">
        <w:rPr>
          <w:rFonts w:ascii="Avenir Next" w:hAnsi="Avenir Next" w:cs="Arial"/>
          <w:color w:val="808080" w:themeColor="background1" w:themeShade="80"/>
          <w:sz w:val="22"/>
          <w:szCs w:val="22"/>
          <w:lang w:val="en-GB"/>
        </w:rPr>
        <w:t>the commencement of, and participation in, local proceedings regarding the debtor under the</w:t>
      </w:r>
      <w:r w:rsidR="009D3E25">
        <w:rPr>
          <w:rFonts w:ascii="Avenir Next" w:hAnsi="Avenir Next" w:cs="Arial"/>
          <w:color w:val="808080" w:themeColor="background1" w:themeShade="80"/>
          <w:sz w:val="22"/>
          <w:szCs w:val="22"/>
          <w:lang w:val="en-GB"/>
        </w:rPr>
        <w:t xml:space="preserve"> </w:t>
      </w:r>
      <w:r w:rsidR="009D3E25" w:rsidRPr="00B16A66">
        <w:rPr>
          <w:rFonts w:ascii="Avenir Next" w:hAnsi="Avenir Next" w:cs="Arial"/>
          <w:color w:val="808080" w:themeColor="background1" w:themeShade="80"/>
          <w:sz w:val="22"/>
          <w:szCs w:val="22"/>
          <w:lang w:val="en-GB"/>
        </w:rPr>
        <w:t>insolvency law of the enacting State.</w:t>
      </w:r>
    </w:p>
    <w:p w14:paraId="00A2A065" w14:textId="77777777" w:rsidR="00346399" w:rsidRDefault="00346399" w:rsidP="00B16A66">
      <w:pPr>
        <w:pStyle w:val="NoSpacing"/>
        <w:rPr>
          <w:rFonts w:ascii="Avenir Next" w:hAnsi="Avenir Next" w:cs="Arial"/>
          <w:color w:val="808080" w:themeColor="background1" w:themeShade="80"/>
          <w:sz w:val="22"/>
          <w:szCs w:val="22"/>
          <w:lang w:val="en-GB"/>
        </w:rPr>
      </w:pPr>
    </w:p>
    <w:p w14:paraId="741D1873" w14:textId="677F166E" w:rsidR="00867A8F" w:rsidRPr="00B77352" w:rsidRDefault="00346399" w:rsidP="00B16A66">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access does not </w:t>
      </w:r>
      <w:r w:rsidR="0063202A" w:rsidRPr="0063202A">
        <w:rPr>
          <w:rFonts w:ascii="Avenir Next" w:hAnsi="Avenir Next" w:cs="Arial"/>
          <w:color w:val="808080" w:themeColor="background1" w:themeShade="80"/>
          <w:sz w:val="22"/>
          <w:szCs w:val="22"/>
          <w:lang w:val="en-GB"/>
        </w:rPr>
        <w:t>affect the ranking of claims in the enacting State.</w:t>
      </w:r>
      <w:r w:rsidR="0063202A">
        <w:rPr>
          <w:rFonts w:ascii="Avenir Next" w:hAnsi="Avenir Next" w:cs="Arial"/>
          <w:color w:val="808080" w:themeColor="background1" w:themeShade="80"/>
          <w:sz w:val="22"/>
          <w:szCs w:val="22"/>
          <w:lang w:val="en-GB"/>
        </w:rPr>
        <w:t xml:space="preserve"> </w:t>
      </w:r>
      <w:r w:rsidR="0063202A" w:rsidRPr="0063202A">
        <w:rPr>
          <w:rFonts w:ascii="Avenir Next" w:hAnsi="Avenir Next" w:cs="Arial"/>
          <w:color w:val="808080" w:themeColor="background1" w:themeShade="80"/>
          <w:sz w:val="22"/>
          <w:szCs w:val="22"/>
          <w:lang w:val="en-GB"/>
        </w:rPr>
        <w:t>However, a claim of a foreign creditor cannot be given a lower priority than that of general</w:t>
      </w:r>
      <w:r w:rsidR="0063202A">
        <w:rPr>
          <w:rFonts w:ascii="Avenir Next" w:hAnsi="Avenir Next" w:cs="Arial"/>
          <w:color w:val="808080" w:themeColor="background1" w:themeShade="80"/>
          <w:sz w:val="22"/>
          <w:szCs w:val="22"/>
          <w:lang w:val="en-GB"/>
        </w:rPr>
        <w:t xml:space="preserve"> </w:t>
      </w:r>
      <w:r w:rsidR="0063202A" w:rsidRPr="0063202A">
        <w:rPr>
          <w:rFonts w:ascii="Avenir Next" w:hAnsi="Avenir Next" w:cs="Arial"/>
          <w:color w:val="808080" w:themeColor="background1" w:themeShade="80"/>
          <w:sz w:val="22"/>
          <w:szCs w:val="22"/>
          <w:lang w:val="en-GB"/>
        </w:rPr>
        <w:t>unsecured claims solely because the holder of such claim is a foreign creditor.</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2482B256" w14:textId="0EC0F78A" w:rsidR="00630263" w:rsidRDefault="006F6634" w:rsidP="00CE1208">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foreign proceedings are opened in the jurisdiction of a debtor’s COMI</w:t>
      </w:r>
      <w:r w:rsidR="00CE1208">
        <w:rPr>
          <w:rFonts w:ascii="Avenir Next" w:hAnsi="Avenir Next" w:cs="Arial"/>
          <w:color w:val="808080" w:themeColor="background1" w:themeShade="80"/>
          <w:sz w:val="22"/>
          <w:szCs w:val="22"/>
          <w:lang w:val="en-GB"/>
        </w:rPr>
        <w:t>, these are referred to as “f</w:t>
      </w:r>
      <w:r w:rsidR="00D23C3B" w:rsidRPr="00D23C3B">
        <w:rPr>
          <w:rFonts w:ascii="Avenir Next" w:hAnsi="Avenir Next" w:cs="Arial"/>
          <w:color w:val="808080" w:themeColor="background1" w:themeShade="80"/>
          <w:sz w:val="22"/>
          <w:szCs w:val="22"/>
          <w:lang w:val="en-GB"/>
        </w:rPr>
        <w:t>oreign main proceeding</w:t>
      </w:r>
      <w:r w:rsidR="00CE1208">
        <w:rPr>
          <w:rFonts w:ascii="Avenir Next" w:hAnsi="Avenir Next" w:cs="Arial"/>
          <w:color w:val="808080" w:themeColor="background1" w:themeShade="80"/>
          <w:sz w:val="22"/>
          <w:szCs w:val="22"/>
          <w:lang w:val="en-GB"/>
        </w:rPr>
        <w:t>s”.</w:t>
      </w:r>
    </w:p>
    <w:p w14:paraId="422ADFF4" w14:textId="77777777" w:rsidR="00B1698F" w:rsidRDefault="00B1698F" w:rsidP="00CE1208">
      <w:pPr>
        <w:pStyle w:val="NoSpacing"/>
        <w:rPr>
          <w:rFonts w:ascii="Avenir Next" w:hAnsi="Avenir Next" w:cs="Arial"/>
          <w:color w:val="808080" w:themeColor="background1" w:themeShade="80"/>
          <w:sz w:val="22"/>
          <w:szCs w:val="22"/>
          <w:lang w:val="en-GB"/>
        </w:rPr>
      </w:pPr>
    </w:p>
    <w:p w14:paraId="4BA24A4C" w14:textId="2E1E8C2C" w:rsidR="00B1698F" w:rsidRDefault="00E267BD" w:rsidP="00B1698F">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foreign proceedings are opened in the jurisdiction that is not the debtor’s COMI but is a jurisdiction that the debtor has an establishment </w:t>
      </w:r>
      <w:r w:rsidR="0062412A">
        <w:rPr>
          <w:rFonts w:ascii="Avenir Next" w:hAnsi="Avenir Next" w:cs="Arial"/>
          <w:color w:val="808080" w:themeColor="background1" w:themeShade="80"/>
          <w:sz w:val="22"/>
          <w:szCs w:val="22"/>
          <w:lang w:val="en-GB"/>
        </w:rPr>
        <w:t xml:space="preserve">(a place where a debtor carries out a </w:t>
      </w:r>
      <w:r w:rsidR="001D0696">
        <w:rPr>
          <w:rFonts w:ascii="Avenir Next" w:hAnsi="Avenir Next" w:cs="Arial"/>
          <w:color w:val="808080" w:themeColor="background1" w:themeShade="80"/>
          <w:sz w:val="22"/>
          <w:szCs w:val="22"/>
          <w:lang w:val="en-GB"/>
        </w:rPr>
        <w:t>non-transitory</w:t>
      </w:r>
      <w:r w:rsidR="0062412A">
        <w:rPr>
          <w:rFonts w:ascii="Avenir Next" w:hAnsi="Avenir Next" w:cs="Arial"/>
          <w:color w:val="808080" w:themeColor="background1" w:themeShade="80"/>
          <w:sz w:val="22"/>
          <w:szCs w:val="22"/>
          <w:lang w:val="en-GB"/>
        </w:rPr>
        <w:t xml:space="preserve"> economic activit</w:t>
      </w:r>
      <w:r w:rsidR="001D0696">
        <w:rPr>
          <w:rFonts w:ascii="Avenir Next" w:hAnsi="Avenir Next" w:cs="Arial"/>
          <w:color w:val="808080" w:themeColor="background1" w:themeShade="80"/>
          <w:sz w:val="22"/>
          <w:szCs w:val="22"/>
          <w:lang w:val="en-GB"/>
        </w:rPr>
        <w:t xml:space="preserve">y) </w:t>
      </w:r>
      <w:r>
        <w:rPr>
          <w:rFonts w:ascii="Avenir Next" w:hAnsi="Avenir Next" w:cs="Arial"/>
          <w:color w:val="808080" w:themeColor="background1" w:themeShade="80"/>
          <w:sz w:val="22"/>
          <w:szCs w:val="22"/>
          <w:lang w:val="en-GB"/>
        </w:rPr>
        <w:t>in</w:t>
      </w:r>
      <w:r w:rsidR="0062412A">
        <w:rPr>
          <w:rFonts w:ascii="Avenir Next" w:hAnsi="Avenir Next" w:cs="Arial"/>
          <w:color w:val="808080" w:themeColor="background1" w:themeShade="80"/>
          <w:sz w:val="22"/>
          <w:szCs w:val="22"/>
          <w:lang w:val="en-GB"/>
        </w:rPr>
        <w:t xml:space="preserve">, these are referred to as </w:t>
      </w:r>
      <w:r w:rsidR="00B1698F" w:rsidRPr="00B1698F">
        <w:rPr>
          <w:rFonts w:ascii="Avenir Next" w:hAnsi="Avenir Next" w:cs="Arial"/>
          <w:color w:val="808080" w:themeColor="background1" w:themeShade="80"/>
          <w:sz w:val="22"/>
          <w:szCs w:val="22"/>
          <w:lang w:val="en-GB"/>
        </w:rPr>
        <w:t>“foreign non-main proceeding”</w:t>
      </w:r>
      <w:r w:rsidR="0062412A">
        <w:rPr>
          <w:rFonts w:ascii="Avenir Next" w:hAnsi="Avenir Next" w:cs="Arial"/>
          <w:color w:val="808080" w:themeColor="background1" w:themeShade="80"/>
          <w:sz w:val="22"/>
          <w:szCs w:val="22"/>
          <w:lang w:val="en-GB"/>
        </w:rPr>
        <w:t>.</w:t>
      </w:r>
    </w:p>
    <w:p w14:paraId="4D01086B" w14:textId="77777777" w:rsidR="00B1698F" w:rsidRDefault="00B1698F" w:rsidP="00B1698F">
      <w:pPr>
        <w:pStyle w:val="NoSpacing"/>
        <w:rPr>
          <w:rFonts w:ascii="Avenir Next" w:hAnsi="Avenir Next" w:cs="Arial"/>
          <w:color w:val="808080" w:themeColor="background1" w:themeShade="80"/>
          <w:sz w:val="22"/>
          <w:szCs w:val="22"/>
          <w:lang w:val="en-GB"/>
        </w:rPr>
      </w:pPr>
    </w:p>
    <w:p w14:paraId="2BE84971" w14:textId="6CB9625A" w:rsidR="009175CA" w:rsidRDefault="000D1959" w:rsidP="009175CA">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both types of proceedings, t</w:t>
      </w:r>
      <w:r w:rsidR="009175CA">
        <w:rPr>
          <w:rFonts w:ascii="Avenir Next" w:hAnsi="Avenir Next" w:cs="Arial"/>
          <w:color w:val="808080" w:themeColor="background1" w:themeShade="80"/>
          <w:sz w:val="22"/>
          <w:szCs w:val="22"/>
          <w:lang w:val="en-GB"/>
        </w:rPr>
        <w:t>he Court has discretionary power to grant</w:t>
      </w:r>
      <w:r w:rsidR="00971676">
        <w:rPr>
          <w:rFonts w:ascii="Avenir Next" w:hAnsi="Avenir Next" w:cs="Arial"/>
          <w:color w:val="808080" w:themeColor="background1" w:themeShade="80"/>
          <w:sz w:val="22"/>
          <w:szCs w:val="22"/>
          <w:lang w:val="en-GB"/>
        </w:rPr>
        <w:t xml:space="preserve"> interim</w:t>
      </w:r>
      <w:r w:rsidR="008F7E01">
        <w:rPr>
          <w:rFonts w:ascii="Avenir Next" w:hAnsi="Avenir Next" w:cs="Arial"/>
          <w:color w:val="808080" w:themeColor="background1" w:themeShade="80"/>
          <w:sz w:val="22"/>
          <w:szCs w:val="22"/>
          <w:lang w:val="en-GB"/>
        </w:rPr>
        <w:t xml:space="preserve"> </w:t>
      </w:r>
      <w:r w:rsidR="009175CA" w:rsidRPr="004A4948">
        <w:rPr>
          <w:rFonts w:ascii="Avenir Next" w:hAnsi="Avenir Next" w:cs="Arial"/>
          <w:color w:val="808080" w:themeColor="background1" w:themeShade="80"/>
          <w:sz w:val="22"/>
          <w:szCs w:val="22"/>
          <w:lang w:val="en-GB"/>
        </w:rPr>
        <w:t xml:space="preserve">relief </w:t>
      </w:r>
      <w:r w:rsidR="008F7E01">
        <w:rPr>
          <w:rFonts w:ascii="Avenir Next" w:hAnsi="Avenir Next" w:cs="Arial"/>
          <w:color w:val="808080" w:themeColor="background1" w:themeShade="80"/>
          <w:sz w:val="22"/>
          <w:szCs w:val="22"/>
          <w:lang w:val="en-GB"/>
        </w:rPr>
        <w:t xml:space="preserve">prior to recognition </w:t>
      </w:r>
      <w:r w:rsidR="009175CA" w:rsidRPr="004A4948">
        <w:rPr>
          <w:rFonts w:ascii="Avenir Next" w:hAnsi="Avenir Next" w:cs="Arial"/>
          <w:color w:val="808080" w:themeColor="background1" w:themeShade="80"/>
          <w:sz w:val="22"/>
          <w:szCs w:val="22"/>
          <w:lang w:val="en-GB"/>
        </w:rPr>
        <w:t xml:space="preserve">under Article </w:t>
      </w:r>
      <w:r w:rsidR="008F7E01">
        <w:rPr>
          <w:rFonts w:ascii="Avenir Next" w:hAnsi="Avenir Next" w:cs="Arial"/>
          <w:color w:val="808080" w:themeColor="background1" w:themeShade="80"/>
          <w:sz w:val="22"/>
          <w:szCs w:val="22"/>
          <w:lang w:val="en-GB"/>
        </w:rPr>
        <w:t xml:space="preserve">19 </w:t>
      </w:r>
      <w:r w:rsidR="009175CA" w:rsidRPr="004A4948">
        <w:rPr>
          <w:rFonts w:ascii="Avenir Next" w:hAnsi="Avenir Next" w:cs="Arial"/>
          <w:color w:val="808080" w:themeColor="background1" w:themeShade="80"/>
          <w:sz w:val="22"/>
          <w:szCs w:val="22"/>
          <w:lang w:val="en-GB"/>
        </w:rPr>
        <w:t>of the MLCBI</w:t>
      </w:r>
      <w:r w:rsidR="009175CA">
        <w:rPr>
          <w:rFonts w:ascii="Avenir Next" w:hAnsi="Avenir Next" w:cs="Arial"/>
          <w:color w:val="808080" w:themeColor="background1" w:themeShade="80"/>
          <w:sz w:val="22"/>
          <w:szCs w:val="22"/>
          <w:lang w:val="en-GB"/>
        </w:rPr>
        <w:t xml:space="preserve"> to foreign representatives in both foreign main and non-main proceedings.</w:t>
      </w:r>
    </w:p>
    <w:p w14:paraId="60DA9F8F" w14:textId="77777777" w:rsidR="00CB0A32" w:rsidRDefault="00CB0A32" w:rsidP="00CE1208">
      <w:pPr>
        <w:pStyle w:val="NoSpacing"/>
        <w:rPr>
          <w:rFonts w:ascii="Avenir Next" w:hAnsi="Avenir Next" w:cs="Arial"/>
          <w:color w:val="808080" w:themeColor="background1" w:themeShade="80"/>
          <w:sz w:val="22"/>
          <w:szCs w:val="22"/>
          <w:lang w:val="en-GB"/>
        </w:rPr>
      </w:pPr>
    </w:p>
    <w:p w14:paraId="119A74BC" w14:textId="77777777" w:rsidR="0049664C" w:rsidRDefault="0049664C" w:rsidP="0049664C">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regards to foreign main proceedings only, under Article 20 of the MLCBI certain automatic reliefs take effect when </w:t>
      </w:r>
      <w:r w:rsidRPr="002E6F3B">
        <w:rPr>
          <w:rFonts w:ascii="Avenir Next" w:hAnsi="Avenir Next" w:cs="Arial"/>
          <w:color w:val="808080" w:themeColor="background1" w:themeShade="80"/>
          <w:sz w:val="22"/>
          <w:szCs w:val="22"/>
          <w:lang w:val="en-GB"/>
        </w:rPr>
        <w:t>foreign main proceedings</w:t>
      </w:r>
      <w:r>
        <w:rPr>
          <w:rFonts w:ascii="Avenir Next" w:hAnsi="Avenir Next" w:cs="Arial"/>
          <w:color w:val="808080" w:themeColor="background1" w:themeShade="80"/>
          <w:sz w:val="22"/>
          <w:szCs w:val="22"/>
          <w:lang w:val="en-GB"/>
        </w:rPr>
        <w:t xml:space="preserve"> are recognised,</w:t>
      </w:r>
      <w:r w:rsidRPr="0046283C">
        <w:t xml:space="preserve"> </w:t>
      </w:r>
      <w:r w:rsidRPr="0046283C">
        <w:rPr>
          <w:rFonts w:ascii="Avenir Next" w:hAnsi="Avenir Next" w:cs="Arial"/>
          <w:color w:val="808080" w:themeColor="background1" w:themeShade="80"/>
          <w:sz w:val="22"/>
          <w:szCs w:val="22"/>
          <w:lang w:val="en-GB"/>
        </w:rPr>
        <w:t>intended to allow time for steps to be taken to organise an</w:t>
      </w:r>
      <w:r>
        <w:rPr>
          <w:rFonts w:ascii="Avenir Next" w:hAnsi="Avenir Next" w:cs="Arial"/>
          <w:color w:val="808080" w:themeColor="background1" w:themeShade="80"/>
          <w:sz w:val="22"/>
          <w:szCs w:val="22"/>
          <w:lang w:val="en-GB"/>
        </w:rPr>
        <w:t xml:space="preserve"> </w:t>
      </w:r>
      <w:r w:rsidRPr="0046283C">
        <w:rPr>
          <w:rFonts w:ascii="Avenir Next" w:hAnsi="Avenir Next" w:cs="Arial"/>
          <w:color w:val="808080" w:themeColor="background1" w:themeShade="80"/>
          <w:sz w:val="22"/>
          <w:szCs w:val="22"/>
          <w:lang w:val="en-GB"/>
        </w:rPr>
        <w:t>orderly and fair cross-border insolvency proceeding</w:t>
      </w:r>
      <w:r>
        <w:rPr>
          <w:rFonts w:ascii="Avenir Next" w:hAnsi="Avenir Next" w:cs="Arial"/>
          <w:color w:val="808080" w:themeColor="background1" w:themeShade="80"/>
          <w:sz w:val="22"/>
          <w:szCs w:val="22"/>
          <w:lang w:val="en-GB"/>
        </w:rPr>
        <w:t>. The three automatic effects are:</w:t>
      </w:r>
    </w:p>
    <w:p w14:paraId="6D7D1288" w14:textId="77777777" w:rsidR="0049664C" w:rsidRDefault="0049664C" w:rsidP="0049664C">
      <w:pPr>
        <w:pStyle w:val="NoSpacing"/>
        <w:rPr>
          <w:rFonts w:ascii="Avenir Next" w:hAnsi="Avenir Next" w:cs="Arial"/>
          <w:color w:val="808080" w:themeColor="background1" w:themeShade="80"/>
          <w:sz w:val="22"/>
          <w:szCs w:val="22"/>
          <w:lang w:val="en-GB"/>
        </w:rPr>
      </w:pPr>
    </w:p>
    <w:p w14:paraId="723CDB1F" w14:textId="77777777" w:rsidR="0049664C" w:rsidRPr="000D1959" w:rsidRDefault="0049664C" w:rsidP="0049664C">
      <w:pPr>
        <w:pStyle w:val="NoSpacing"/>
        <w:numPr>
          <w:ilvl w:val="0"/>
          <w:numId w:val="20"/>
        </w:numPr>
        <w:rPr>
          <w:rFonts w:ascii="Avenir Next" w:hAnsi="Avenir Next" w:cs="Arial"/>
          <w:color w:val="808080" w:themeColor="background1" w:themeShade="80"/>
          <w:sz w:val="22"/>
          <w:szCs w:val="22"/>
          <w:lang w:val="en-GB"/>
        </w:rPr>
      </w:pPr>
      <w:r w:rsidRPr="000D1959">
        <w:rPr>
          <w:rFonts w:ascii="Avenir Next" w:hAnsi="Avenir Next" w:cs="Arial"/>
          <w:color w:val="808080" w:themeColor="background1" w:themeShade="80"/>
          <w:sz w:val="22"/>
          <w:szCs w:val="22"/>
          <w:lang w:val="en-GB"/>
        </w:rPr>
        <w:lastRenderedPageBreak/>
        <w:t>a stay of the commencement or continuation of individual actions or individual proceedings</w:t>
      </w:r>
      <w:r>
        <w:rPr>
          <w:rFonts w:ascii="Avenir Next" w:hAnsi="Avenir Next" w:cs="Arial"/>
          <w:color w:val="808080" w:themeColor="background1" w:themeShade="80"/>
          <w:sz w:val="22"/>
          <w:szCs w:val="22"/>
          <w:lang w:val="en-GB"/>
        </w:rPr>
        <w:t xml:space="preserve"> </w:t>
      </w:r>
      <w:r w:rsidRPr="000D1959">
        <w:rPr>
          <w:rFonts w:ascii="Avenir Next" w:hAnsi="Avenir Next" w:cs="Arial"/>
          <w:color w:val="808080" w:themeColor="background1" w:themeShade="80"/>
          <w:sz w:val="22"/>
          <w:szCs w:val="22"/>
          <w:lang w:val="en-GB"/>
        </w:rPr>
        <w:t>concerning the debtor’s assets, rights, obligations or liabilities;</w:t>
      </w:r>
    </w:p>
    <w:p w14:paraId="23AF2DDF" w14:textId="77777777" w:rsidR="0049664C" w:rsidRPr="000D1959" w:rsidRDefault="0049664C" w:rsidP="0049664C">
      <w:pPr>
        <w:pStyle w:val="NoSpacing"/>
        <w:numPr>
          <w:ilvl w:val="0"/>
          <w:numId w:val="20"/>
        </w:numPr>
        <w:rPr>
          <w:rFonts w:ascii="Avenir Next" w:hAnsi="Avenir Next" w:cs="Arial"/>
          <w:color w:val="808080" w:themeColor="background1" w:themeShade="80"/>
          <w:sz w:val="22"/>
          <w:szCs w:val="22"/>
          <w:lang w:val="en-GB"/>
        </w:rPr>
      </w:pPr>
      <w:r w:rsidRPr="000D1959">
        <w:rPr>
          <w:rFonts w:ascii="Avenir Next" w:hAnsi="Avenir Next" w:cs="Arial"/>
          <w:color w:val="808080" w:themeColor="background1" w:themeShade="80"/>
          <w:sz w:val="22"/>
          <w:szCs w:val="22"/>
          <w:lang w:val="en-GB"/>
        </w:rPr>
        <w:t>a stay of execution against the debtor’s assets; and</w:t>
      </w:r>
    </w:p>
    <w:p w14:paraId="127F965C" w14:textId="77777777" w:rsidR="0049664C" w:rsidRPr="000D1959" w:rsidRDefault="0049664C" w:rsidP="0049664C">
      <w:pPr>
        <w:pStyle w:val="NoSpacing"/>
        <w:numPr>
          <w:ilvl w:val="0"/>
          <w:numId w:val="20"/>
        </w:numPr>
        <w:rPr>
          <w:rFonts w:ascii="Avenir Next" w:hAnsi="Avenir Next" w:cs="Arial"/>
          <w:b/>
          <w:bCs/>
          <w:color w:val="808080" w:themeColor="background1" w:themeShade="80"/>
          <w:sz w:val="22"/>
          <w:szCs w:val="22"/>
          <w:lang w:val="en-GB"/>
        </w:rPr>
      </w:pPr>
      <w:r w:rsidRPr="000D1959">
        <w:rPr>
          <w:rFonts w:ascii="Avenir Next" w:hAnsi="Avenir Next" w:cs="Arial"/>
          <w:color w:val="808080" w:themeColor="background1" w:themeShade="80"/>
          <w:sz w:val="22"/>
          <w:szCs w:val="22"/>
          <w:lang w:val="en-GB"/>
        </w:rPr>
        <w:t>a suspension of the right to transfer, encumber or otherwise dispose of any assets of the</w:t>
      </w:r>
      <w:r>
        <w:rPr>
          <w:rFonts w:ascii="Avenir Next" w:hAnsi="Avenir Next" w:cs="Arial"/>
          <w:color w:val="808080" w:themeColor="background1" w:themeShade="80"/>
          <w:sz w:val="22"/>
          <w:szCs w:val="22"/>
          <w:lang w:val="en-GB"/>
        </w:rPr>
        <w:t xml:space="preserve"> </w:t>
      </w:r>
      <w:r w:rsidRPr="000D1959">
        <w:rPr>
          <w:rFonts w:ascii="Avenir Next" w:hAnsi="Avenir Next" w:cs="Arial"/>
          <w:color w:val="808080" w:themeColor="background1" w:themeShade="80"/>
          <w:sz w:val="22"/>
          <w:szCs w:val="22"/>
          <w:lang w:val="en-GB"/>
        </w:rPr>
        <w:t>debtor.</w:t>
      </w:r>
    </w:p>
    <w:p w14:paraId="4AC20DDB" w14:textId="77777777" w:rsidR="0049664C" w:rsidRDefault="0049664C" w:rsidP="00CE1208">
      <w:pPr>
        <w:pStyle w:val="NoSpacing"/>
        <w:rPr>
          <w:rFonts w:ascii="Avenir Next" w:hAnsi="Avenir Next" w:cs="Arial"/>
          <w:color w:val="808080" w:themeColor="background1" w:themeShade="80"/>
          <w:sz w:val="22"/>
          <w:szCs w:val="22"/>
          <w:lang w:val="en-GB"/>
        </w:rPr>
      </w:pPr>
    </w:p>
    <w:p w14:paraId="23F8B91D" w14:textId="10E663CB" w:rsidR="00CB0A32" w:rsidRDefault="00CB0A32" w:rsidP="00CE1208">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t>
      </w:r>
      <w:r w:rsidR="004A4948">
        <w:rPr>
          <w:rFonts w:ascii="Avenir Next" w:hAnsi="Avenir Next" w:cs="Arial"/>
          <w:color w:val="808080" w:themeColor="background1" w:themeShade="80"/>
          <w:sz w:val="22"/>
          <w:szCs w:val="22"/>
          <w:lang w:val="en-GB"/>
        </w:rPr>
        <w:t xml:space="preserve">has discretionary power to grant </w:t>
      </w:r>
      <w:r w:rsidR="004A4948" w:rsidRPr="004A4948">
        <w:rPr>
          <w:rFonts w:ascii="Avenir Next" w:hAnsi="Avenir Next" w:cs="Arial"/>
          <w:color w:val="808080" w:themeColor="background1" w:themeShade="80"/>
          <w:sz w:val="22"/>
          <w:szCs w:val="22"/>
          <w:lang w:val="en-GB"/>
        </w:rPr>
        <w:t>post-recognition relief under Article 21 of the MLCBI</w:t>
      </w:r>
      <w:r w:rsidR="00171D48">
        <w:rPr>
          <w:rFonts w:ascii="Avenir Next" w:hAnsi="Avenir Next" w:cs="Arial"/>
          <w:color w:val="808080" w:themeColor="background1" w:themeShade="80"/>
          <w:sz w:val="22"/>
          <w:szCs w:val="22"/>
          <w:lang w:val="en-GB"/>
        </w:rPr>
        <w:t xml:space="preserve"> to foreign representatives in both foreign main and non-main proceedings</w:t>
      </w:r>
      <w:r w:rsidR="0091524D" w:rsidRPr="0091524D">
        <w:t xml:space="preserve"> </w:t>
      </w:r>
      <w:r w:rsidR="0091524D" w:rsidRPr="0091524D">
        <w:rPr>
          <w:rFonts w:ascii="Avenir Next" w:hAnsi="Avenir Next" w:cs="Arial"/>
          <w:color w:val="808080" w:themeColor="background1" w:themeShade="80"/>
          <w:sz w:val="22"/>
          <w:szCs w:val="22"/>
          <w:lang w:val="en-GB"/>
        </w:rPr>
        <w:t>to protect the assets of the debtor or the interest of creditors</w:t>
      </w:r>
      <w:r w:rsidR="0091524D">
        <w:rPr>
          <w:rFonts w:ascii="Avenir Next" w:hAnsi="Avenir Next" w:cs="Arial"/>
          <w:color w:val="808080" w:themeColor="background1" w:themeShade="80"/>
          <w:sz w:val="22"/>
          <w:szCs w:val="22"/>
          <w:lang w:val="en-GB"/>
        </w:rPr>
        <w:t xml:space="preserve"> at the request of the foreign representative (where deemed necessary)</w:t>
      </w:r>
      <w:r w:rsidR="004A4948">
        <w:rPr>
          <w:rFonts w:ascii="Avenir Next" w:hAnsi="Avenir Next" w:cs="Arial"/>
          <w:color w:val="808080" w:themeColor="background1" w:themeShade="80"/>
          <w:sz w:val="22"/>
          <w:szCs w:val="22"/>
          <w:lang w:val="en-GB"/>
        </w:rPr>
        <w:t>.</w:t>
      </w:r>
      <w:r w:rsidR="003D1D90">
        <w:rPr>
          <w:rFonts w:ascii="Avenir Next" w:hAnsi="Avenir Next" w:cs="Arial"/>
          <w:color w:val="808080" w:themeColor="background1" w:themeShade="80"/>
          <w:sz w:val="22"/>
          <w:szCs w:val="22"/>
          <w:lang w:val="en-GB"/>
        </w:rPr>
        <w:t xml:space="preserve"> Therefore, in the absence of Article 20 being available</w:t>
      </w:r>
      <w:r w:rsidR="003D1D90" w:rsidRPr="003D1D90">
        <w:rPr>
          <w:rFonts w:ascii="Avenir Next" w:hAnsi="Avenir Next" w:cs="Arial"/>
          <w:color w:val="808080" w:themeColor="background1" w:themeShade="80"/>
          <w:sz w:val="22"/>
          <w:szCs w:val="22"/>
          <w:lang w:val="en-GB"/>
        </w:rPr>
        <w:t xml:space="preserve"> </w:t>
      </w:r>
      <w:r w:rsidR="003D1D90">
        <w:rPr>
          <w:rFonts w:ascii="Avenir Next" w:hAnsi="Avenir Next" w:cs="Arial"/>
          <w:color w:val="808080" w:themeColor="background1" w:themeShade="80"/>
          <w:sz w:val="22"/>
          <w:szCs w:val="22"/>
          <w:lang w:val="en-GB"/>
        </w:rPr>
        <w:t>in foreign non-main proceedings, the Court can look to this Article.</w:t>
      </w:r>
      <w:r w:rsidR="0091524D">
        <w:rPr>
          <w:rFonts w:ascii="Avenir Next" w:hAnsi="Avenir Next" w:cs="Arial"/>
          <w:color w:val="808080" w:themeColor="background1" w:themeShade="80"/>
          <w:sz w:val="22"/>
          <w:szCs w:val="22"/>
          <w:lang w:val="en-GB"/>
        </w:rPr>
        <w:t xml:space="preserve"> The reliefs include</w:t>
      </w:r>
      <w:r w:rsidR="00875513">
        <w:rPr>
          <w:rFonts w:ascii="Avenir Next" w:hAnsi="Avenir Next" w:cs="Arial"/>
          <w:color w:val="808080" w:themeColor="background1" w:themeShade="80"/>
          <w:sz w:val="22"/>
          <w:szCs w:val="22"/>
          <w:lang w:val="en-GB"/>
        </w:rPr>
        <w:t>:</w:t>
      </w:r>
    </w:p>
    <w:p w14:paraId="18884390" w14:textId="77777777" w:rsidR="00875513" w:rsidRDefault="00875513" w:rsidP="00CE1208">
      <w:pPr>
        <w:pStyle w:val="NoSpacing"/>
        <w:rPr>
          <w:rFonts w:ascii="Avenir Next" w:hAnsi="Avenir Next" w:cs="Arial"/>
          <w:color w:val="808080" w:themeColor="background1" w:themeShade="80"/>
          <w:sz w:val="22"/>
          <w:szCs w:val="22"/>
          <w:lang w:val="en-GB"/>
        </w:rPr>
      </w:pPr>
    </w:p>
    <w:p w14:paraId="38032F9E" w14:textId="794EC4CA" w:rsidR="00875513" w:rsidRPr="00875513" w:rsidRDefault="00875513" w:rsidP="00756BAF">
      <w:pPr>
        <w:pStyle w:val="NoSpacing"/>
        <w:numPr>
          <w:ilvl w:val="0"/>
          <w:numId w:val="21"/>
        </w:numPr>
        <w:rPr>
          <w:rFonts w:ascii="Avenir Next" w:hAnsi="Avenir Next" w:cs="Arial"/>
          <w:color w:val="808080" w:themeColor="background1" w:themeShade="80"/>
          <w:sz w:val="22"/>
          <w:szCs w:val="22"/>
          <w:lang w:val="en-GB"/>
        </w:rPr>
      </w:pPr>
      <w:r w:rsidRPr="00875513">
        <w:rPr>
          <w:rFonts w:ascii="Avenir Next" w:hAnsi="Avenir Next" w:cs="Arial"/>
          <w:color w:val="808080" w:themeColor="background1" w:themeShade="80"/>
          <w:sz w:val="22"/>
          <w:szCs w:val="22"/>
          <w:lang w:val="en-GB"/>
        </w:rPr>
        <w:t>staying the commencement or continuation of individual actions or individual proceedings concerning the debtor’s assets, rights, obligations or liabilities, to the extent they have not</w:t>
      </w:r>
      <w:r>
        <w:rPr>
          <w:rFonts w:ascii="Avenir Next" w:hAnsi="Avenir Next" w:cs="Arial"/>
          <w:color w:val="808080" w:themeColor="background1" w:themeShade="80"/>
          <w:sz w:val="22"/>
          <w:szCs w:val="22"/>
          <w:lang w:val="en-GB"/>
        </w:rPr>
        <w:t xml:space="preserve"> </w:t>
      </w:r>
      <w:r w:rsidRPr="00875513">
        <w:rPr>
          <w:rFonts w:ascii="Avenir Next" w:hAnsi="Avenir Next" w:cs="Arial"/>
          <w:color w:val="808080" w:themeColor="background1" w:themeShade="80"/>
          <w:sz w:val="22"/>
          <w:szCs w:val="22"/>
          <w:lang w:val="en-GB"/>
        </w:rPr>
        <w:t>been (automatically) stayed under Article 20(1)(a) of the Model Law;</w:t>
      </w:r>
    </w:p>
    <w:p w14:paraId="7A39411B" w14:textId="77777777" w:rsidR="005F52C9" w:rsidRDefault="00875513" w:rsidP="00417077">
      <w:pPr>
        <w:pStyle w:val="NoSpacing"/>
        <w:numPr>
          <w:ilvl w:val="0"/>
          <w:numId w:val="21"/>
        </w:numPr>
        <w:rPr>
          <w:rFonts w:ascii="Avenir Next" w:hAnsi="Avenir Next" w:cs="Arial"/>
          <w:color w:val="808080" w:themeColor="background1" w:themeShade="80"/>
          <w:sz w:val="22"/>
          <w:szCs w:val="22"/>
          <w:lang w:val="en-GB"/>
        </w:rPr>
      </w:pPr>
      <w:r w:rsidRPr="00875513">
        <w:rPr>
          <w:rFonts w:ascii="Avenir Next" w:hAnsi="Avenir Next" w:cs="Arial"/>
          <w:color w:val="808080" w:themeColor="background1" w:themeShade="80"/>
          <w:sz w:val="22"/>
          <w:szCs w:val="22"/>
          <w:lang w:val="en-GB"/>
        </w:rPr>
        <w:t>staying execution against the debtor’s assets to the extent it has not been stayed (automatically) under Article 20(1)(b) of the Model Law;</w:t>
      </w:r>
    </w:p>
    <w:p w14:paraId="025B826C" w14:textId="77777777" w:rsidR="005F52C9" w:rsidRDefault="00875513" w:rsidP="00384326">
      <w:pPr>
        <w:pStyle w:val="NoSpacing"/>
        <w:numPr>
          <w:ilvl w:val="0"/>
          <w:numId w:val="21"/>
        </w:numPr>
        <w:rPr>
          <w:rFonts w:ascii="Avenir Next" w:hAnsi="Avenir Next" w:cs="Arial"/>
          <w:color w:val="808080" w:themeColor="background1" w:themeShade="80"/>
          <w:sz w:val="22"/>
          <w:szCs w:val="22"/>
          <w:lang w:val="en-GB"/>
        </w:rPr>
      </w:pPr>
      <w:r w:rsidRPr="005F52C9">
        <w:rPr>
          <w:rFonts w:ascii="Avenir Next" w:hAnsi="Avenir Next" w:cs="Arial"/>
          <w:color w:val="808080" w:themeColor="background1" w:themeShade="80"/>
          <w:sz w:val="22"/>
          <w:szCs w:val="22"/>
          <w:lang w:val="en-GB"/>
        </w:rPr>
        <w:t>suspending the right to transfer, encumber or otherwise dispose of any assets of the debtor</w:t>
      </w:r>
      <w:r w:rsidR="005F52C9" w:rsidRPr="005F52C9">
        <w:rPr>
          <w:rFonts w:ascii="Avenir Next" w:hAnsi="Avenir Next" w:cs="Arial"/>
          <w:color w:val="808080" w:themeColor="background1" w:themeShade="80"/>
          <w:sz w:val="22"/>
          <w:szCs w:val="22"/>
          <w:lang w:val="en-GB"/>
        </w:rPr>
        <w:t xml:space="preserve"> </w:t>
      </w:r>
      <w:r w:rsidRPr="005F52C9">
        <w:rPr>
          <w:rFonts w:ascii="Avenir Next" w:hAnsi="Avenir Next" w:cs="Arial"/>
          <w:color w:val="808080" w:themeColor="background1" w:themeShade="80"/>
          <w:sz w:val="22"/>
          <w:szCs w:val="22"/>
          <w:lang w:val="en-GB"/>
        </w:rPr>
        <w:t>to the extent this right has not been (automatically) suspended under Article 20(1)(c) of the</w:t>
      </w:r>
      <w:r w:rsidR="005F52C9" w:rsidRPr="005F52C9">
        <w:rPr>
          <w:rFonts w:ascii="Avenir Next" w:hAnsi="Avenir Next" w:cs="Arial"/>
          <w:color w:val="808080" w:themeColor="background1" w:themeShade="80"/>
          <w:sz w:val="22"/>
          <w:szCs w:val="22"/>
          <w:lang w:val="en-GB"/>
        </w:rPr>
        <w:t xml:space="preserve"> </w:t>
      </w:r>
      <w:r w:rsidRPr="005F52C9">
        <w:rPr>
          <w:rFonts w:ascii="Avenir Next" w:hAnsi="Avenir Next" w:cs="Arial"/>
          <w:color w:val="808080" w:themeColor="background1" w:themeShade="80"/>
          <w:sz w:val="22"/>
          <w:szCs w:val="22"/>
          <w:lang w:val="en-GB"/>
        </w:rPr>
        <w:t>Model Law;</w:t>
      </w:r>
    </w:p>
    <w:p w14:paraId="6A28D42F" w14:textId="0B90CD66" w:rsidR="00875513" w:rsidRDefault="00875513" w:rsidP="007442BD">
      <w:pPr>
        <w:pStyle w:val="NoSpacing"/>
        <w:numPr>
          <w:ilvl w:val="0"/>
          <w:numId w:val="21"/>
        </w:numPr>
        <w:rPr>
          <w:rFonts w:ascii="Avenir Next" w:hAnsi="Avenir Next" w:cs="Arial"/>
          <w:color w:val="808080" w:themeColor="background1" w:themeShade="80"/>
          <w:sz w:val="22"/>
          <w:szCs w:val="22"/>
          <w:lang w:val="en-GB"/>
        </w:rPr>
      </w:pPr>
      <w:r w:rsidRPr="005F52C9">
        <w:rPr>
          <w:rFonts w:ascii="Avenir Next" w:hAnsi="Avenir Next" w:cs="Arial"/>
          <w:color w:val="808080" w:themeColor="background1" w:themeShade="80"/>
          <w:sz w:val="22"/>
          <w:szCs w:val="22"/>
          <w:lang w:val="en-GB"/>
        </w:rPr>
        <w:t>providing for the examination of witnesses, the taking of evidence or the delivery of</w:t>
      </w:r>
      <w:r w:rsidR="005F52C9">
        <w:rPr>
          <w:rFonts w:ascii="Avenir Next" w:hAnsi="Avenir Next" w:cs="Arial"/>
          <w:color w:val="808080" w:themeColor="background1" w:themeShade="80"/>
          <w:sz w:val="22"/>
          <w:szCs w:val="22"/>
          <w:lang w:val="en-GB"/>
        </w:rPr>
        <w:t xml:space="preserve"> </w:t>
      </w:r>
      <w:r w:rsidRPr="005F52C9">
        <w:rPr>
          <w:rFonts w:ascii="Avenir Next" w:hAnsi="Avenir Next" w:cs="Arial"/>
          <w:color w:val="808080" w:themeColor="background1" w:themeShade="80"/>
          <w:sz w:val="22"/>
          <w:szCs w:val="22"/>
          <w:lang w:val="en-GB"/>
        </w:rPr>
        <w:t>information concerning the debtor’s assets, affairs, rights, obligations or liabilities;</w:t>
      </w:r>
    </w:p>
    <w:p w14:paraId="0904184B" w14:textId="6ECB8F47" w:rsidR="005F52C9" w:rsidRPr="005F52C9" w:rsidRDefault="005F52C9" w:rsidP="00F81E44">
      <w:pPr>
        <w:pStyle w:val="NoSpacing"/>
        <w:numPr>
          <w:ilvl w:val="0"/>
          <w:numId w:val="21"/>
        </w:numPr>
        <w:rPr>
          <w:rFonts w:ascii="Avenir Next" w:hAnsi="Avenir Next" w:cs="Arial"/>
          <w:color w:val="808080" w:themeColor="background1" w:themeShade="80"/>
          <w:sz w:val="22"/>
          <w:szCs w:val="22"/>
          <w:lang w:val="en-GB"/>
        </w:rPr>
      </w:pPr>
      <w:r w:rsidRPr="005F52C9">
        <w:rPr>
          <w:rFonts w:ascii="Avenir Next" w:hAnsi="Avenir Next" w:cs="Arial"/>
          <w:color w:val="808080" w:themeColor="background1" w:themeShade="80"/>
          <w:sz w:val="22"/>
          <w:szCs w:val="22"/>
          <w:lang w:val="en-GB"/>
        </w:rPr>
        <w:t>entrusting the administration or realisation of all or part of the debtor’s assets in the enacting</w:t>
      </w:r>
      <w:r>
        <w:rPr>
          <w:rFonts w:ascii="Avenir Next" w:hAnsi="Avenir Next" w:cs="Arial"/>
          <w:color w:val="808080" w:themeColor="background1" w:themeShade="80"/>
          <w:sz w:val="22"/>
          <w:szCs w:val="22"/>
          <w:lang w:val="en-GB"/>
        </w:rPr>
        <w:t xml:space="preserve"> </w:t>
      </w:r>
      <w:r w:rsidRPr="005F52C9">
        <w:rPr>
          <w:rFonts w:ascii="Avenir Next" w:hAnsi="Avenir Next" w:cs="Arial"/>
          <w:color w:val="808080" w:themeColor="background1" w:themeShade="80"/>
          <w:sz w:val="22"/>
          <w:szCs w:val="22"/>
          <w:lang w:val="en-GB"/>
        </w:rPr>
        <w:t>State to the foreign representative or another person designated by the court;</w:t>
      </w:r>
    </w:p>
    <w:p w14:paraId="7D24A50C" w14:textId="6CE2E07D" w:rsidR="005F52C9" w:rsidRPr="005F52C9" w:rsidRDefault="005F52C9" w:rsidP="005F52C9">
      <w:pPr>
        <w:pStyle w:val="NoSpacing"/>
        <w:numPr>
          <w:ilvl w:val="0"/>
          <w:numId w:val="21"/>
        </w:numPr>
        <w:rPr>
          <w:rFonts w:ascii="Avenir Next" w:hAnsi="Avenir Next" w:cs="Arial"/>
          <w:color w:val="808080" w:themeColor="background1" w:themeShade="80"/>
          <w:sz w:val="22"/>
          <w:szCs w:val="22"/>
          <w:lang w:val="en-GB"/>
        </w:rPr>
      </w:pPr>
      <w:r w:rsidRPr="005F52C9">
        <w:rPr>
          <w:rFonts w:ascii="Avenir Next" w:hAnsi="Avenir Next" w:cs="Arial"/>
          <w:color w:val="808080" w:themeColor="background1" w:themeShade="80"/>
          <w:sz w:val="22"/>
          <w:szCs w:val="22"/>
          <w:lang w:val="en-GB"/>
        </w:rPr>
        <w:t>extending any interim relief granted pursuant to Article 19(1) of the Model Law; and</w:t>
      </w:r>
    </w:p>
    <w:p w14:paraId="0B646C95" w14:textId="61DE89E4" w:rsidR="005F52C9" w:rsidRPr="005F52C9" w:rsidRDefault="005F52C9" w:rsidP="005F52C9">
      <w:pPr>
        <w:pStyle w:val="NoSpacing"/>
        <w:numPr>
          <w:ilvl w:val="0"/>
          <w:numId w:val="21"/>
        </w:numPr>
        <w:rPr>
          <w:rFonts w:ascii="Avenir Next" w:hAnsi="Avenir Next" w:cs="Arial"/>
          <w:color w:val="808080" w:themeColor="background1" w:themeShade="80"/>
          <w:sz w:val="22"/>
          <w:szCs w:val="22"/>
          <w:lang w:val="en-GB"/>
        </w:rPr>
      </w:pPr>
      <w:r w:rsidRPr="005F52C9">
        <w:rPr>
          <w:rFonts w:ascii="Avenir Next" w:hAnsi="Avenir Next" w:cs="Arial"/>
          <w:color w:val="808080" w:themeColor="background1" w:themeShade="80"/>
          <w:sz w:val="22"/>
          <w:szCs w:val="22"/>
          <w:lang w:val="en-GB"/>
        </w:rPr>
        <w:t>granting any additional relief that may be available to a domestic liquidator / office holder</w:t>
      </w:r>
      <w:r>
        <w:rPr>
          <w:rFonts w:ascii="Avenir Next" w:hAnsi="Avenir Next" w:cs="Arial"/>
          <w:color w:val="808080" w:themeColor="background1" w:themeShade="80"/>
          <w:sz w:val="22"/>
          <w:szCs w:val="22"/>
          <w:lang w:val="en-GB"/>
        </w:rPr>
        <w:t xml:space="preserve"> </w:t>
      </w:r>
      <w:r w:rsidRPr="005F52C9">
        <w:rPr>
          <w:rFonts w:ascii="Avenir Next" w:hAnsi="Avenir Next" w:cs="Arial"/>
          <w:color w:val="808080" w:themeColor="background1" w:themeShade="80"/>
          <w:sz w:val="22"/>
          <w:szCs w:val="22"/>
          <w:lang w:val="en-GB"/>
        </w:rPr>
        <w:t>under the laws of the enacting State.</w:t>
      </w:r>
    </w:p>
    <w:p w14:paraId="2F227ADB" w14:textId="77777777" w:rsidR="0014136C" w:rsidRDefault="0014136C" w:rsidP="00CE1208">
      <w:pPr>
        <w:pStyle w:val="NoSpacing"/>
        <w:rPr>
          <w:rFonts w:ascii="Avenir Next" w:hAnsi="Avenir Next" w:cs="Arial"/>
          <w:color w:val="808080" w:themeColor="background1" w:themeShade="80"/>
          <w:sz w:val="22"/>
          <w:szCs w:val="22"/>
          <w:lang w:val="en-GB"/>
        </w:rPr>
      </w:pPr>
    </w:p>
    <w:p w14:paraId="617BF121" w14:textId="244B82C3" w:rsidR="00BA647D" w:rsidRDefault="001D0696" w:rsidP="0014136C">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regards to </w:t>
      </w:r>
      <w:r w:rsidR="0014136C" w:rsidRPr="0014136C">
        <w:rPr>
          <w:rFonts w:ascii="Avenir Next" w:hAnsi="Avenir Next" w:cs="Arial"/>
          <w:color w:val="808080" w:themeColor="background1" w:themeShade="80"/>
          <w:sz w:val="22"/>
          <w:szCs w:val="22"/>
          <w:lang w:val="en-GB"/>
        </w:rPr>
        <w:t>granting relief to a foreign representative of a foreign non-main proceeding is concerned, the court must be</w:t>
      </w:r>
      <w:r w:rsidR="0014136C">
        <w:rPr>
          <w:rFonts w:ascii="Avenir Next" w:hAnsi="Avenir Next" w:cs="Arial"/>
          <w:color w:val="808080" w:themeColor="background1" w:themeShade="80"/>
          <w:sz w:val="22"/>
          <w:szCs w:val="22"/>
          <w:lang w:val="en-GB"/>
        </w:rPr>
        <w:t xml:space="preserve"> </w:t>
      </w:r>
      <w:r w:rsidR="0014136C" w:rsidRPr="0014136C">
        <w:rPr>
          <w:rFonts w:ascii="Avenir Next" w:hAnsi="Avenir Next" w:cs="Arial"/>
          <w:color w:val="808080" w:themeColor="background1" w:themeShade="80"/>
          <w:sz w:val="22"/>
          <w:szCs w:val="22"/>
          <w:lang w:val="en-GB"/>
        </w:rPr>
        <w:t>satisfied that the relief relates to assets that – under the law of the enacting State</w:t>
      </w:r>
      <w:r w:rsidR="00BA647D">
        <w:rPr>
          <w:rFonts w:ascii="Avenir Next" w:hAnsi="Avenir Next" w:cs="Arial"/>
          <w:color w:val="808080" w:themeColor="background1" w:themeShade="80"/>
          <w:sz w:val="22"/>
          <w:szCs w:val="22"/>
          <w:lang w:val="en-GB"/>
        </w:rPr>
        <w:t>:</w:t>
      </w:r>
    </w:p>
    <w:p w14:paraId="710DB726" w14:textId="77777777" w:rsidR="00BA647D" w:rsidRDefault="00BA647D" w:rsidP="0014136C">
      <w:pPr>
        <w:pStyle w:val="NoSpacing"/>
        <w:rPr>
          <w:rFonts w:ascii="Avenir Next" w:hAnsi="Avenir Next" w:cs="Arial"/>
          <w:color w:val="808080" w:themeColor="background1" w:themeShade="80"/>
          <w:sz w:val="22"/>
          <w:szCs w:val="22"/>
          <w:lang w:val="en-GB"/>
        </w:rPr>
      </w:pPr>
    </w:p>
    <w:p w14:paraId="63DD8D78" w14:textId="625CFC64" w:rsidR="00BA647D" w:rsidRDefault="00934836" w:rsidP="00BA647D">
      <w:pPr>
        <w:pStyle w:val="NoSpacing"/>
        <w:numPr>
          <w:ilvl w:val="0"/>
          <w:numId w:val="22"/>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w:t>
      </w:r>
      <w:r w:rsidR="0014136C" w:rsidRPr="0014136C">
        <w:rPr>
          <w:rFonts w:ascii="Avenir Next" w:hAnsi="Avenir Next" w:cs="Arial"/>
          <w:color w:val="808080" w:themeColor="background1" w:themeShade="80"/>
          <w:sz w:val="22"/>
          <w:szCs w:val="22"/>
          <w:lang w:val="en-GB"/>
        </w:rPr>
        <w:t>be</w:t>
      </w:r>
      <w:r w:rsidR="0014136C">
        <w:rPr>
          <w:rFonts w:ascii="Avenir Next" w:hAnsi="Avenir Next" w:cs="Arial"/>
          <w:color w:val="808080" w:themeColor="background1" w:themeShade="80"/>
          <w:sz w:val="22"/>
          <w:szCs w:val="22"/>
          <w:lang w:val="en-GB"/>
        </w:rPr>
        <w:t xml:space="preserve"> </w:t>
      </w:r>
      <w:r w:rsidR="0014136C" w:rsidRPr="0014136C">
        <w:rPr>
          <w:rFonts w:ascii="Avenir Next" w:hAnsi="Avenir Next" w:cs="Arial"/>
          <w:color w:val="808080" w:themeColor="background1" w:themeShade="80"/>
          <w:sz w:val="22"/>
          <w:szCs w:val="22"/>
          <w:lang w:val="en-GB"/>
        </w:rPr>
        <w:t>administered in the foreign non-main proceeding</w:t>
      </w:r>
      <w:r w:rsidR="00BA647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or</w:t>
      </w:r>
    </w:p>
    <w:p w14:paraId="1A759280" w14:textId="77777777" w:rsidR="00CB7809" w:rsidRDefault="0014136C" w:rsidP="00BA647D">
      <w:pPr>
        <w:pStyle w:val="NoSpacing"/>
        <w:numPr>
          <w:ilvl w:val="0"/>
          <w:numId w:val="22"/>
        </w:numPr>
        <w:rPr>
          <w:rFonts w:ascii="Avenir Next" w:hAnsi="Avenir Next" w:cs="Arial"/>
          <w:color w:val="808080" w:themeColor="background1" w:themeShade="80"/>
          <w:sz w:val="22"/>
          <w:szCs w:val="22"/>
          <w:lang w:val="en-GB"/>
        </w:rPr>
      </w:pPr>
      <w:r w:rsidRPr="0014136C">
        <w:rPr>
          <w:rFonts w:ascii="Avenir Next" w:hAnsi="Avenir Next" w:cs="Arial"/>
          <w:color w:val="808080" w:themeColor="background1" w:themeShade="80"/>
          <w:sz w:val="22"/>
          <w:szCs w:val="22"/>
          <w:lang w:val="en-GB"/>
        </w:rPr>
        <w:t>concerns information required in that</w:t>
      </w:r>
      <w:r>
        <w:rPr>
          <w:rFonts w:ascii="Avenir Next" w:hAnsi="Avenir Next" w:cs="Arial"/>
          <w:color w:val="808080" w:themeColor="background1" w:themeShade="80"/>
          <w:sz w:val="22"/>
          <w:szCs w:val="22"/>
          <w:lang w:val="en-GB"/>
        </w:rPr>
        <w:t xml:space="preserve"> </w:t>
      </w:r>
      <w:r w:rsidRPr="0014136C">
        <w:rPr>
          <w:rFonts w:ascii="Avenir Next" w:hAnsi="Avenir Next" w:cs="Arial"/>
          <w:color w:val="808080" w:themeColor="background1" w:themeShade="80"/>
          <w:sz w:val="22"/>
          <w:szCs w:val="22"/>
          <w:lang w:val="en-GB"/>
        </w:rPr>
        <w:t>proceeding.</w:t>
      </w:r>
    </w:p>
    <w:p w14:paraId="09942D0C" w14:textId="77777777" w:rsidR="00CB7809" w:rsidRDefault="00CB7809" w:rsidP="00CB7809">
      <w:pPr>
        <w:pStyle w:val="NoSpacing"/>
        <w:rPr>
          <w:rFonts w:ascii="Avenir Next" w:hAnsi="Avenir Next" w:cs="Arial"/>
          <w:color w:val="808080" w:themeColor="background1" w:themeShade="80"/>
          <w:sz w:val="22"/>
          <w:szCs w:val="22"/>
          <w:lang w:val="en-GB"/>
        </w:rPr>
      </w:pPr>
    </w:p>
    <w:p w14:paraId="4127391E" w14:textId="2639919E" w:rsidR="00100E8F" w:rsidRPr="00CB7809" w:rsidRDefault="00F929F5" w:rsidP="00CB7809">
      <w:pPr>
        <w:pStyle w:val="NoSpacing"/>
        <w:rPr>
          <w:rFonts w:ascii="Avenir Next" w:hAnsi="Avenir Next" w:cs="Arial"/>
          <w:color w:val="808080" w:themeColor="background1" w:themeShade="80"/>
          <w:sz w:val="22"/>
          <w:szCs w:val="22"/>
          <w:lang w:val="en-GB"/>
        </w:rPr>
      </w:pPr>
      <w:r w:rsidRPr="00CB7809">
        <w:rPr>
          <w:rFonts w:ascii="Avenir Next" w:hAnsi="Avenir Next" w:cs="Arial"/>
          <w:color w:val="808080" w:themeColor="background1" w:themeShade="80"/>
          <w:sz w:val="22"/>
          <w:szCs w:val="22"/>
          <w:lang w:val="en-GB"/>
        </w:rPr>
        <w:t xml:space="preserve">I.e., the key distinction between the relief available in foreign main versus foreign non-main proceedings is that </w:t>
      </w:r>
      <w:r w:rsidR="0014136C" w:rsidRPr="00CB7809">
        <w:rPr>
          <w:rFonts w:ascii="Avenir Next" w:hAnsi="Avenir Next" w:cs="Arial"/>
          <w:color w:val="808080" w:themeColor="background1" w:themeShade="80"/>
          <w:sz w:val="22"/>
          <w:szCs w:val="22"/>
          <w:lang w:val="en-GB"/>
        </w:rPr>
        <w:t xml:space="preserve">such relief </w:t>
      </w:r>
      <w:r w:rsidR="006029CA" w:rsidRPr="00CB7809">
        <w:rPr>
          <w:rFonts w:ascii="Avenir Next" w:hAnsi="Avenir Next" w:cs="Arial"/>
          <w:color w:val="808080" w:themeColor="background1" w:themeShade="80"/>
          <w:sz w:val="22"/>
          <w:szCs w:val="22"/>
          <w:lang w:val="en-GB"/>
        </w:rPr>
        <w:t xml:space="preserve">granted to foreign representatives in foreign non-main proceedings under Article 21 </w:t>
      </w:r>
      <w:r w:rsidR="0014136C" w:rsidRPr="00CB7809">
        <w:rPr>
          <w:rFonts w:ascii="Avenir Next" w:hAnsi="Avenir Next" w:cs="Arial"/>
          <w:color w:val="808080" w:themeColor="background1" w:themeShade="80"/>
          <w:sz w:val="22"/>
          <w:szCs w:val="22"/>
          <w:lang w:val="en-GB"/>
        </w:rPr>
        <w:t xml:space="preserve">should not interfere with the administration of another insolvency proceeding, in particular the </w:t>
      </w:r>
      <w:r w:rsidR="006029CA" w:rsidRPr="00CB7809">
        <w:rPr>
          <w:rFonts w:ascii="Avenir Next" w:hAnsi="Avenir Next" w:cs="Arial"/>
          <w:color w:val="808080" w:themeColor="background1" w:themeShade="80"/>
          <w:sz w:val="22"/>
          <w:szCs w:val="22"/>
          <w:lang w:val="en-GB"/>
        </w:rPr>
        <w:t xml:space="preserve">foreign </w:t>
      </w:r>
      <w:r w:rsidR="0014136C" w:rsidRPr="00CB7809">
        <w:rPr>
          <w:rFonts w:ascii="Avenir Next" w:hAnsi="Avenir Next" w:cs="Arial"/>
          <w:color w:val="808080" w:themeColor="background1" w:themeShade="80"/>
          <w:sz w:val="22"/>
          <w:szCs w:val="22"/>
          <w:lang w:val="en-GB"/>
        </w:rPr>
        <w:t>main proceeding.</w:t>
      </w:r>
      <w:r w:rsidR="004E4179" w:rsidRPr="00CB7809">
        <w:rPr>
          <w:rFonts w:ascii="Avenir Next" w:hAnsi="Avenir Next" w:cs="Arial"/>
          <w:color w:val="808080" w:themeColor="background1" w:themeShade="80"/>
          <w:sz w:val="22"/>
          <w:szCs w:val="22"/>
          <w:lang w:val="en-GB"/>
        </w:rPr>
        <w:t xml:space="preserve"> </w:t>
      </w:r>
    </w:p>
    <w:p w14:paraId="53E37249" w14:textId="77777777" w:rsidR="008F7E01" w:rsidRPr="00E2622D" w:rsidRDefault="008F7E01"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0D1C81F5" w:rsidR="00867A8F" w:rsidRDefault="00CC3AE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067467">
        <w:rPr>
          <w:rFonts w:ascii="Avenir Next" w:hAnsi="Avenir Next" w:cs="Arial"/>
          <w:color w:val="808080" w:themeColor="background1" w:themeShade="80"/>
          <w:sz w:val="22"/>
          <w:szCs w:val="22"/>
          <w:lang w:val="en-GB"/>
        </w:rPr>
        <w:t xml:space="preserve">oreign main </w:t>
      </w:r>
      <w:r>
        <w:rPr>
          <w:rFonts w:ascii="Avenir Next" w:hAnsi="Avenir Next" w:cs="Arial"/>
          <w:color w:val="808080" w:themeColor="background1" w:themeShade="80"/>
          <w:sz w:val="22"/>
          <w:szCs w:val="22"/>
          <w:lang w:val="en-GB"/>
        </w:rPr>
        <w:t xml:space="preserve">proceedings have been opened in </w:t>
      </w:r>
      <w:r w:rsidR="00067467">
        <w:rPr>
          <w:rFonts w:ascii="Avenir Next" w:hAnsi="Avenir Next" w:cs="Arial"/>
          <w:color w:val="808080" w:themeColor="background1" w:themeShade="80"/>
          <w:sz w:val="22"/>
          <w:szCs w:val="22"/>
          <w:lang w:val="en-GB"/>
        </w:rPr>
        <w:t>Germany</w:t>
      </w:r>
      <w:r>
        <w:rPr>
          <w:rFonts w:ascii="Avenir Next" w:hAnsi="Avenir Next" w:cs="Arial"/>
          <w:color w:val="808080" w:themeColor="background1" w:themeShade="80"/>
          <w:sz w:val="22"/>
          <w:szCs w:val="22"/>
          <w:lang w:val="en-GB"/>
        </w:rPr>
        <w:t xml:space="preserve">, where the debtor has </w:t>
      </w:r>
      <w:r w:rsidR="00067467">
        <w:rPr>
          <w:rFonts w:ascii="Avenir Next" w:hAnsi="Avenir Next" w:cs="Arial"/>
          <w:color w:val="808080" w:themeColor="background1" w:themeShade="80"/>
          <w:sz w:val="22"/>
          <w:szCs w:val="22"/>
          <w:lang w:val="en-GB"/>
        </w:rPr>
        <w:t>COMI</w:t>
      </w:r>
      <w:r>
        <w:rPr>
          <w:rFonts w:ascii="Avenir Next" w:hAnsi="Avenir Next" w:cs="Arial"/>
          <w:color w:val="808080" w:themeColor="background1" w:themeShade="80"/>
          <w:sz w:val="22"/>
          <w:szCs w:val="22"/>
          <w:lang w:val="en-GB"/>
        </w:rPr>
        <w:t>.</w:t>
      </w:r>
    </w:p>
    <w:p w14:paraId="61514465" w14:textId="77777777" w:rsidR="00131AC7" w:rsidRDefault="00131AC7" w:rsidP="00867A8F">
      <w:pPr>
        <w:ind w:left="720" w:hanging="720"/>
        <w:jc w:val="both"/>
        <w:rPr>
          <w:rFonts w:ascii="Avenir Next" w:hAnsi="Avenir Next" w:cs="Arial"/>
          <w:color w:val="808080" w:themeColor="background1" w:themeShade="80"/>
          <w:sz w:val="22"/>
          <w:szCs w:val="22"/>
          <w:lang w:val="en-GB"/>
        </w:rPr>
      </w:pPr>
    </w:p>
    <w:p w14:paraId="425F646E" w14:textId="11B9ABA6" w:rsidR="00131AC7" w:rsidRDefault="00131AC7" w:rsidP="00131AC7">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We can assume that </w:t>
      </w:r>
      <w:r w:rsidR="00F02708">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foreign non-main proceedings in this case have been opened in Bermuda, where the debtor has an establishment. </w:t>
      </w:r>
      <w:r w:rsidRPr="005D4403">
        <w:rPr>
          <w:rFonts w:ascii="Avenir Next" w:hAnsi="Avenir Next" w:cs="Arial"/>
          <w:color w:val="808080" w:themeColor="background1" w:themeShade="80"/>
          <w:sz w:val="22"/>
          <w:szCs w:val="22"/>
          <w:lang w:val="en-GB"/>
        </w:rPr>
        <w:t xml:space="preserve">It is possible that other foreign non-main proceedings have been opened </w:t>
      </w:r>
      <w:r w:rsidR="00470A52" w:rsidRPr="005D4403">
        <w:rPr>
          <w:rFonts w:ascii="Avenir Next" w:hAnsi="Avenir Next" w:cs="Arial"/>
          <w:color w:val="808080" w:themeColor="background1" w:themeShade="80"/>
          <w:sz w:val="22"/>
          <w:szCs w:val="22"/>
          <w:lang w:val="en-GB"/>
        </w:rPr>
        <w:t>if the debtor has establishments in other jurisdictions.</w:t>
      </w:r>
    </w:p>
    <w:p w14:paraId="31886E82" w14:textId="77777777" w:rsidR="00CC3AE6" w:rsidRDefault="00CC3AE6" w:rsidP="00131AC7">
      <w:pPr>
        <w:pStyle w:val="NoSpacing"/>
        <w:rPr>
          <w:rFonts w:ascii="Avenir Next" w:hAnsi="Avenir Next" w:cs="Arial"/>
          <w:color w:val="808080" w:themeColor="background1" w:themeShade="80"/>
          <w:sz w:val="22"/>
          <w:szCs w:val="22"/>
          <w:lang w:val="en-GB"/>
        </w:rPr>
      </w:pPr>
    </w:p>
    <w:p w14:paraId="0AAC3CB0" w14:textId="0CAB184D" w:rsidR="00F33E9A" w:rsidRDefault="00DE7CF2" w:rsidP="00131AC7">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w:t>
      </w:r>
      <w:r w:rsidR="007812E5">
        <w:rPr>
          <w:rFonts w:ascii="Avenir Next" w:hAnsi="Avenir Next" w:cs="Arial"/>
          <w:color w:val="808080" w:themeColor="background1" w:themeShade="80"/>
          <w:sz w:val="22"/>
          <w:szCs w:val="22"/>
          <w:lang w:val="en-GB"/>
        </w:rPr>
        <w:t>proceedings</w:t>
      </w:r>
      <w:r w:rsidR="00F32497">
        <w:rPr>
          <w:rFonts w:ascii="Avenir Next" w:hAnsi="Avenir Next" w:cs="Arial"/>
          <w:color w:val="808080" w:themeColor="background1" w:themeShade="80"/>
          <w:sz w:val="22"/>
          <w:szCs w:val="22"/>
          <w:lang w:val="en-GB"/>
        </w:rPr>
        <w:t xml:space="preserve"> in the US must have been </w:t>
      </w:r>
      <w:r w:rsidR="00A105F0">
        <w:rPr>
          <w:rFonts w:ascii="Avenir Next" w:hAnsi="Avenir Next" w:cs="Arial"/>
          <w:color w:val="808080" w:themeColor="background1" w:themeShade="80"/>
          <w:sz w:val="22"/>
          <w:szCs w:val="22"/>
          <w:lang w:val="en-GB"/>
        </w:rPr>
        <w:t>filed in the US</w:t>
      </w:r>
      <w:r w:rsidR="00983FC2">
        <w:rPr>
          <w:rFonts w:ascii="Avenir Next" w:hAnsi="Avenir Next" w:cs="Arial"/>
          <w:color w:val="808080" w:themeColor="background1" w:themeShade="80"/>
          <w:sz w:val="22"/>
          <w:szCs w:val="22"/>
          <w:lang w:val="en-GB"/>
        </w:rPr>
        <w:t>.</w:t>
      </w:r>
      <w:r w:rsidR="00717330">
        <w:rPr>
          <w:rFonts w:ascii="Avenir Next" w:hAnsi="Avenir Next" w:cs="Arial"/>
          <w:color w:val="808080" w:themeColor="background1" w:themeShade="80"/>
          <w:sz w:val="22"/>
          <w:szCs w:val="22"/>
          <w:lang w:val="en-GB"/>
        </w:rPr>
        <w:t xml:space="preserve"> </w:t>
      </w:r>
    </w:p>
    <w:p w14:paraId="35646155" w14:textId="77777777" w:rsidR="007568C4" w:rsidRDefault="007568C4" w:rsidP="00131AC7">
      <w:pPr>
        <w:pStyle w:val="NoSpacing"/>
        <w:rPr>
          <w:rFonts w:ascii="Avenir Next" w:hAnsi="Avenir Next" w:cs="Arial"/>
          <w:color w:val="808080" w:themeColor="background1" w:themeShade="80"/>
          <w:sz w:val="22"/>
          <w:szCs w:val="22"/>
          <w:lang w:val="en-GB"/>
        </w:rPr>
      </w:pPr>
    </w:p>
    <w:p w14:paraId="2442213F" w14:textId="47AFA131" w:rsidR="007568C4" w:rsidRDefault="007568C4" w:rsidP="00CC3D48">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has adopted the </w:t>
      </w:r>
      <w:r w:rsidRPr="004A4948">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and therefore </w:t>
      </w:r>
      <w:r w:rsidR="002747C0">
        <w:rPr>
          <w:rFonts w:ascii="Avenir Next" w:hAnsi="Avenir Next" w:cs="Arial"/>
          <w:color w:val="808080" w:themeColor="background1" w:themeShade="80"/>
          <w:sz w:val="22"/>
          <w:szCs w:val="22"/>
          <w:lang w:val="en-GB"/>
        </w:rPr>
        <w:t xml:space="preserve">assuming that </w:t>
      </w:r>
      <w:r w:rsidR="00CC3D48" w:rsidRPr="00CC3D48">
        <w:rPr>
          <w:rFonts w:ascii="Avenir Next" w:hAnsi="Avenir Next" w:cs="Arial"/>
          <w:color w:val="808080" w:themeColor="background1" w:themeShade="80"/>
          <w:sz w:val="22"/>
          <w:szCs w:val="22"/>
          <w:lang w:val="en-GB"/>
        </w:rPr>
        <w:t xml:space="preserve">(i) both the foreign </w:t>
      </w:r>
      <w:r w:rsidR="00001AEB">
        <w:rPr>
          <w:rFonts w:ascii="Avenir Next" w:hAnsi="Avenir Next" w:cs="Arial"/>
          <w:color w:val="808080" w:themeColor="background1" w:themeShade="80"/>
          <w:sz w:val="22"/>
          <w:szCs w:val="22"/>
          <w:lang w:val="en-GB"/>
        </w:rPr>
        <w:t xml:space="preserve">(main and non-main) </w:t>
      </w:r>
      <w:r w:rsidR="00CC3D48" w:rsidRPr="00CC3D48">
        <w:rPr>
          <w:rFonts w:ascii="Avenir Next" w:hAnsi="Avenir Next" w:cs="Arial"/>
          <w:color w:val="808080" w:themeColor="background1" w:themeShade="80"/>
          <w:sz w:val="22"/>
          <w:szCs w:val="22"/>
          <w:lang w:val="en-GB"/>
        </w:rPr>
        <w:t>proceeding</w:t>
      </w:r>
      <w:r w:rsidR="00CC3D48">
        <w:rPr>
          <w:rFonts w:ascii="Avenir Next" w:hAnsi="Avenir Next" w:cs="Arial"/>
          <w:color w:val="808080" w:themeColor="background1" w:themeShade="80"/>
          <w:sz w:val="22"/>
          <w:szCs w:val="22"/>
          <w:lang w:val="en-GB"/>
        </w:rPr>
        <w:t>s</w:t>
      </w:r>
      <w:r w:rsidR="00CC3D48" w:rsidRPr="00CC3D48">
        <w:rPr>
          <w:rFonts w:ascii="Avenir Next" w:hAnsi="Avenir Next" w:cs="Arial"/>
          <w:color w:val="808080" w:themeColor="background1" w:themeShade="80"/>
          <w:sz w:val="22"/>
          <w:szCs w:val="22"/>
          <w:lang w:val="en-GB"/>
        </w:rPr>
        <w:t xml:space="preserve"> and the foreign representative</w:t>
      </w:r>
      <w:r w:rsidR="00001AEB">
        <w:rPr>
          <w:rFonts w:ascii="Avenir Next" w:hAnsi="Avenir Next" w:cs="Arial"/>
          <w:color w:val="808080" w:themeColor="background1" w:themeShade="80"/>
          <w:sz w:val="22"/>
          <w:szCs w:val="22"/>
          <w:lang w:val="en-GB"/>
        </w:rPr>
        <w:t>s</w:t>
      </w:r>
      <w:r w:rsidR="00CC3D48" w:rsidRPr="00CC3D48">
        <w:rPr>
          <w:rFonts w:ascii="Avenir Next" w:hAnsi="Avenir Next" w:cs="Arial"/>
          <w:color w:val="808080" w:themeColor="background1" w:themeShade="80"/>
          <w:sz w:val="22"/>
          <w:szCs w:val="22"/>
          <w:lang w:val="en-GB"/>
        </w:rPr>
        <w:t xml:space="preserve"> meet all required</w:t>
      </w:r>
      <w:r w:rsidR="00CC3D48">
        <w:rPr>
          <w:rFonts w:ascii="Avenir Next" w:hAnsi="Avenir Next" w:cs="Arial"/>
          <w:color w:val="808080" w:themeColor="background1" w:themeShade="80"/>
          <w:sz w:val="22"/>
          <w:szCs w:val="22"/>
          <w:lang w:val="en-GB"/>
        </w:rPr>
        <w:t xml:space="preserve"> </w:t>
      </w:r>
      <w:r w:rsidR="00CC3D48" w:rsidRPr="00CC3D48">
        <w:rPr>
          <w:rFonts w:ascii="Avenir Next" w:hAnsi="Avenir Next" w:cs="Arial"/>
          <w:color w:val="808080" w:themeColor="background1" w:themeShade="80"/>
          <w:sz w:val="22"/>
          <w:szCs w:val="22"/>
          <w:lang w:val="en-GB"/>
        </w:rPr>
        <w:t>characteristics, (ii) there are no grounds to invoke the public policy exception of Article 6</w:t>
      </w:r>
      <w:r w:rsidR="00C7525F">
        <w:rPr>
          <w:rFonts w:ascii="Avenir Next" w:hAnsi="Avenir Next" w:cs="Arial"/>
          <w:color w:val="808080" w:themeColor="background1" w:themeShade="80"/>
          <w:sz w:val="22"/>
          <w:szCs w:val="22"/>
          <w:lang w:val="en-GB"/>
        </w:rPr>
        <w:t xml:space="preserve">, </w:t>
      </w:r>
      <w:r w:rsidR="00CC3D48" w:rsidRPr="00CC3D48">
        <w:rPr>
          <w:rFonts w:ascii="Avenir Next" w:hAnsi="Avenir Next" w:cs="Arial"/>
          <w:color w:val="808080" w:themeColor="background1" w:themeShade="80"/>
          <w:sz w:val="22"/>
          <w:szCs w:val="22"/>
          <w:lang w:val="en-GB"/>
        </w:rPr>
        <w:t>(iii) the requirements set forth in Article 17(1)(c) and (d) of the Model Law</w:t>
      </w:r>
      <w:r w:rsidR="00CC3D48">
        <w:rPr>
          <w:rFonts w:ascii="Avenir Next" w:hAnsi="Avenir Next" w:cs="Arial"/>
          <w:color w:val="808080" w:themeColor="background1" w:themeShade="80"/>
          <w:sz w:val="22"/>
          <w:szCs w:val="22"/>
          <w:lang w:val="en-GB"/>
        </w:rPr>
        <w:t xml:space="preserve"> </w:t>
      </w:r>
      <w:r w:rsidR="00CC3D48" w:rsidRPr="00CC3D48">
        <w:rPr>
          <w:rFonts w:ascii="Avenir Next" w:hAnsi="Avenir Next" w:cs="Arial"/>
          <w:color w:val="808080" w:themeColor="background1" w:themeShade="80"/>
          <w:sz w:val="22"/>
          <w:szCs w:val="22"/>
          <w:lang w:val="en-GB"/>
        </w:rPr>
        <w:t>are met</w:t>
      </w:r>
      <w:r w:rsidR="00C7525F">
        <w:rPr>
          <w:rFonts w:ascii="Avenir Next" w:hAnsi="Avenir Next" w:cs="Arial"/>
          <w:color w:val="808080" w:themeColor="background1" w:themeShade="80"/>
          <w:sz w:val="22"/>
          <w:szCs w:val="22"/>
          <w:lang w:val="en-GB"/>
        </w:rPr>
        <w:t xml:space="preserve">, and (iv) the US Court is satisfied </w:t>
      </w:r>
      <w:r w:rsidR="00FB2073">
        <w:rPr>
          <w:rFonts w:ascii="Avenir Next" w:hAnsi="Avenir Next" w:cs="Arial"/>
          <w:color w:val="808080" w:themeColor="background1" w:themeShade="80"/>
          <w:sz w:val="22"/>
          <w:szCs w:val="22"/>
          <w:lang w:val="en-GB"/>
        </w:rPr>
        <w:t>that COMI and establishment exists in the jurisdictions of the main and foreign non-main respectively</w:t>
      </w:r>
      <w:r w:rsidR="004B261B">
        <w:rPr>
          <w:rFonts w:ascii="Avenir Next" w:hAnsi="Avenir Next" w:cs="Arial"/>
          <w:color w:val="808080" w:themeColor="background1" w:themeShade="80"/>
          <w:sz w:val="22"/>
          <w:szCs w:val="22"/>
          <w:lang w:val="en-GB"/>
        </w:rPr>
        <w:t>, the recognition applications will be granted.</w:t>
      </w:r>
    </w:p>
    <w:p w14:paraId="674010ED" w14:textId="77777777" w:rsidR="00F95D75" w:rsidRDefault="00F95D75" w:rsidP="00131AC7">
      <w:pPr>
        <w:pStyle w:val="NoSpacing"/>
        <w:rPr>
          <w:rFonts w:ascii="Avenir Next" w:hAnsi="Avenir Next" w:cs="Arial"/>
          <w:color w:val="808080" w:themeColor="background1" w:themeShade="80"/>
          <w:sz w:val="22"/>
          <w:szCs w:val="22"/>
          <w:lang w:val="en-GB"/>
        </w:rPr>
      </w:pPr>
    </w:p>
    <w:p w14:paraId="278C1F5F" w14:textId="2B5CDCB1" w:rsidR="00F52811" w:rsidRDefault="00FB2073" w:rsidP="008C4F60">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German foreign main proceedings will benefit from </w:t>
      </w:r>
      <w:r w:rsidR="000F71C3">
        <w:rPr>
          <w:rFonts w:ascii="Avenir Next" w:hAnsi="Avenir Next" w:cs="Arial"/>
          <w:color w:val="808080" w:themeColor="background1" w:themeShade="80"/>
          <w:sz w:val="22"/>
          <w:szCs w:val="22"/>
          <w:lang w:val="en-GB"/>
        </w:rPr>
        <w:t xml:space="preserve">automatic </w:t>
      </w:r>
      <w:r>
        <w:rPr>
          <w:rFonts w:ascii="Avenir Next" w:hAnsi="Avenir Next" w:cs="Arial"/>
          <w:color w:val="808080" w:themeColor="background1" w:themeShade="80"/>
          <w:sz w:val="22"/>
          <w:szCs w:val="22"/>
          <w:lang w:val="en-GB"/>
        </w:rPr>
        <w:t>post recognition</w:t>
      </w:r>
      <w:r w:rsidR="000F71C3">
        <w:rPr>
          <w:rFonts w:ascii="Avenir Next" w:hAnsi="Avenir Next" w:cs="Arial"/>
          <w:color w:val="808080" w:themeColor="background1" w:themeShade="80"/>
          <w:sz w:val="22"/>
          <w:szCs w:val="22"/>
          <w:lang w:val="en-GB"/>
        </w:rPr>
        <w:t xml:space="preserve"> relief </w:t>
      </w:r>
      <w:r w:rsidR="00EA3FBF">
        <w:rPr>
          <w:rFonts w:ascii="Avenir Next" w:hAnsi="Avenir Next" w:cs="Arial"/>
          <w:color w:val="808080" w:themeColor="background1" w:themeShade="80"/>
          <w:sz w:val="22"/>
          <w:szCs w:val="22"/>
          <w:lang w:val="en-GB"/>
        </w:rPr>
        <w:t>per Article 20</w:t>
      </w:r>
      <w:r w:rsidR="00CD5AE8">
        <w:rPr>
          <w:rFonts w:ascii="Avenir Next" w:hAnsi="Avenir Next" w:cs="Arial"/>
          <w:color w:val="808080" w:themeColor="background1" w:themeShade="80"/>
          <w:sz w:val="22"/>
          <w:szCs w:val="22"/>
          <w:lang w:val="en-GB"/>
        </w:rPr>
        <w:t xml:space="preserve"> which includes, but is not limited to, </w:t>
      </w:r>
      <w:r w:rsidR="00CD5AE8" w:rsidRPr="000D1959">
        <w:rPr>
          <w:rFonts w:ascii="Avenir Next" w:hAnsi="Avenir Next" w:cs="Arial"/>
          <w:color w:val="808080" w:themeColor="background1" w:themeShade="80"/>
          <w:sz w:val="22"/>
          <w:szCs w:val="22"/>
          <w:lang w:val="en-GB"/>
        </w:rPr>
        <w:t>a suspension of the right to transfer, encumber or otherwise dispose of any assets of the</w:t>
      </w:r>
      <w:r w:rsidR="00CD5AE8">
        <w:rPr>
          <w:rFonts w:ascii="Avenir Next" w:hAnsi="Avenir Next" w:cs="Arial"/>
          <w:color w:val="808080" w:themeColor="background1" w:themeShade="80"/>
          <w:sz w:val="22"/>
          <w:szCs w:val="22"/>
          <w:lang w:val="en-GB"/>
        </w:rPr>
        <w:t xml:space="preserve"> </w:t>
      </w:r>
      <w:r w:rsidR="00CD5AE8" w:rsidRPr="000D1959">
        <w:rPr>
          <w:rFonts w:ascii="Avenir Next" w:hAnsi="Avenir Next" w:cs="Arial"/>
          <w:color w:val="808080" w:themeColor="background1" w:themeShade="80"/>
          <w:sz w:val="22"/>
          <w:szCs w:val="22"/>
          <w:lang w:val="en-GB"/>
        </w:rPr>
        <w:t>debtor</w:t>
      </w:r>
      <w:r w:rsidR="00180286">
        <w:rPr>
          <w:rFonts w:ascii="Avenir Next" w:hAnsi="Avenir Next" w:cs="Arial"/>
          <w:color w:val="808080" w:themeColor="background1" w:themeShade="80"/>
          <w:sz w:val="22"/>
          <w:szCs w:val="22"/>
          <w:lang w:val="en-GB"/>
        </w:rPr>
        <w:t xml:space="preserve"> that are located in the US</w:t>
      </w:r>
      <w:r w:rsidR="008C4F60">
        <w:rPr>
          <w:rFonts w:ascii="Avenir Next" w:hAnsi="Avenir Next" w:cs="Arial"/>
          <w:color w:val="808080" w:themeColor="background1" w:themeShade="80"/>
          <w:sz w:val="22"/>
          <w:szCs w:val="22"/>
          <w:lang w:val="en-GB"/>
        </w:rPr>
        <w:t>.</w:t>
      </w:r>
    </w:p>
    <w:p w14:paraId="15067DF4" w14:textId="77777777" w:rsidR="00F52811" w:rsidRDefault="00F52811" w:rsidP="00131AC7">
      <w:pPr>
        <w:pStyle w:val="NoSpacing"/>
        <w:rPr>
          <w:rFonts w:ascii="Avenir Next" w:hAnsi="Avenir Next" w:cs="Arial"/>
          <w:color w:val="808080" w:themeColor="background1" w:themeShade="80"/>
          <w:sz w:val="22"/>
          <w:szCs w:val="22"/>
          <w:lang w:val="en-GB"/>
        </w:rPr>
      </w:pPr>
    </w:p>
    <w:p w14:paraId="17B1CFB2" w14:textId="7AEDBCEC" w:rsidR="00FB2073" w:rsidRDefault="00EA3FBF" w:rsidP="00131AC7">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Bermuda proceedings will not</w:t>
      </w:r>
      <w:r w:rsidR="00F52811">
        <w:rPr>
          <w:rFonts w:ascii="Avenir Next" w:hAnsi="Avenir Next" w:cs="Arial"/>
          <w:color w:val="808080" w:themeColor="background1" w:themeShade="80"/>
          <w:sz w:val="22"/>
          <w:szCs w:val="22"/>
          <w:lang w:val="en-GB"/>
        </w:rPr>
        <w:t xml:space="preserve"> benefit from this automatic relief</w:t>
      </w:r>
      <w:r>
        <w:rPr>
          <w:rFonts w:ascii="Avenir Next" w:hAnsi="Avenir Next" w:cs="Arial"/>
          <w:color w:val="808080" w:themeColor="background1" w:themeShade="80"/>
          <w:sz w:val="22"/>
          <w:szCs w:val="22"/>
          <w:lang w:val="en-GB"/>
        </w:rPr>
        <w:t>, as foreign non-main proceedings.</w:t>
      </w:r>
    </w:p>
    <w:p w14:paraId="17F23A35" w14:textId="77777777" w:rsidR="00EA3FBF" w:rsidRDefault="00EA3FBF" w:rsidP="00131AC7">
      <w:pPr>
        <w:pStyle w:val="NoSpacing"/>
        <w:rPr>
          <w:rFonts w:ascii="Avenir Next" w:hAnsi="Avenir Next" w:cs="Arial"/>
          <w:color w:val="808080" w:themeColor="background1" w:themeShade="80"/>
          <w:sz w:val="22"/>
          <w:szCs w:val="22"/>
          <w:lang w:val="en-GB"/>
        </w:rPr>
      </w:pPr>
    </w:p>
    <w:p w14:paraId="6C3DFBDE" w14:textId="032366C5" w:rsidR="00EA3FBF" w:rsidRDefault="008C4F60" w:rsidP="00131AC7">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t</w:t>
      </w:r>
      <w:r w:rsidR="00F52811">
        <w:rPr>
          <w:rFonts w:ascii="Avenir Next" w:hAnsi="Avenir Next" w:cs="Arial"/>
          <w:color w:val="808080" w:themeColor="background1" w:themeShade="80"/>
          <w:sz w:val="22"/>
          <w:szCs w:val="22"/>
          <w:lang w:val="en-GB"/>
        </w:rPr>
        <w:t>he US Court</w:t>
      </w:r>
      <w:r w:rsidR="0050015E">
        <w:rPr>
          <w:rFonts w:ascii="Avenir Next" w:hAnsi="Avenir Next" w:cs="Arial"/>
          <w:color w:val="808080" w:themeColor="background1" w:themeShade="80"/>
          <w:sz w:val="22"/>
          <w:szCs w:val="22"/>
          <w:lang w:val="en-GB"/>
        </w:rPr>
        <w:t>s</w:t>
      </w:r>
      <w:r w:rsidR="00F52811">
        <w:rPr>
          <w:rFonts w:ascii="Avenir Next" w:hAnsi="Avenir Next" w:cs="Arial"/>
          <w:color w:val="808080" w:themeColor="background1" w:themeShade="80"/>
          <w:sz w:val="22"/>
          <w:szCs w:val="22"/>
          <w:lang w:val="en-GB"/>
        </w:rPr>
        <w:t xml:space="preserve"> at its discretion can grant post recognition relief to the Bermuda proceedings under Article 21 </w:t>
      </w:r>
      <w:r w:rsidR="00F52811" w:rsidRPr="00CB7809">
        <w:rPr>
          <w:rFonts w:ascii="Avenir Next" w:hAnsi="Avenir Next" w:cs="Arial"/>
          <w:color w:val="808080" w:themeColor="background1" w:themeShade="80"/>
          <w:sz w:val="22"/>
          <w:szCs w:val="22"/>
          <w:lang w:val="en-GB"/>
        </w:rPr>
        <w:t xml:space="preserve">should </w:t>
      </w:r>
      <w:r w:rsidR="00F52811">
        <w:rPr>
          <w:rFonts w:ascii="Avenir Next" w:hAnsi="Avenir Next" w:cs="Arial"/>
          <w:color w:val="808080" w:themeColor="background1" w:themeShade="80"/>
          <w:sz w:val="22"/>
          <w:szCs w:val="22"/>
          <w:lang w:val="en-GB"/>
        </w:rPr>
        <w:t xml:space="preserve">it deem that the proceedings will not </w:t>
      </w:r>
      <w:r w:rsidR="00F52811" w:rsidRPr="00CB7809">
        <w:rPr>
          <w:rFonts w:ascii="Avenir Next" w:hAnsi="Avenir Next" w:cs="Arial"/>
          <w:color w:val="808080" w:themeColor="background1" w:themeShade="80"/>
          <w:sz w:val="22"/>
          <w:szCs w:val="22"/>
          <w:lang w:val="en-GB"/>
        </w:rPr>
        <w:t>interfere with the administration of another insolvency proceeding, in particular the foreign main proceeding</w:t>
      </w:r>
      <w:r w:rsidR="00981D55">
        <w:rPr>
          <w:rFonts w:ascii="Avenir Next" w:hAnsi="Avenir Next" w:cs="Arial"/>
          <w:color w:val="808080" w:themeColor="background1" w:themeShade="80"/>
          <w:sz w:val="22"/>
          <w:szCs w:val="22"/>
          <w:lang w:val="en-GB"/>
        </w:rPr>
        <w:t>. I</w:t>
      </w:r>
      <w:r w:rsidR="00F52811">
        <w:rPr>
          <w:rFonts w:ascii="Avenir Next" w:hAnsi="Avenir Next" w:cs="Arial"/>
          <w:color w:val="808080" w:themeColor="background1" w:themeShade="80"/>
          <w:sz w:val="22"/>
          <w:szCs w:val="22"/>
          <w:lang w:val="en-GB"/>
        </w:rPr>
        <w:t xml:space="preserve">.e., </w:t>
      </w:r>
      <w:r w:rsidR="008874D0">
        <w:rPr>
          <w:rFonts w:ascii="Avenir Next" w:hAnsi="Avenir Next" w:cs="Arial"/>
          <w:color w:val="808080" w:themeColor="background1" w:themeShade="80"/>
          <w:sz w:val="22"/>
          <w:szCs w:val="22"/>
          <w:lang w:val="en-GB"/>
        </w:rPr>
        <w:t>S</w:t>
      </w:r>
      <w:r w:rsidR="00981D55">
        <w:rPr>
          <w:rFonts w:ascii="Avenir Next" w:hAnsi="Avenir Next" w:cs="Arial"/>
          <w:color w:val="808080" w:themeColor="background1" w:themeShade="80"/>
          <w:sz w:val="22"/>
          <w:szCs w:val="22"/>
          <w:lang w:val="en-GB"/>
        </w:rPr>
        <w:t xml:space="preserve">uch relief will only be available to the Bermuda non-main proceedings if it can prove that the proceedings will not interfere with </w:t>
      </w:r>
      <w:r w:rsidR="00F52811">
        <w:rPr>
          <w:rFonts w:ascii="Avenir Next" w:hAnsi="Avenir Next" w:cs="Arial"/>
          <w:color w:val="808080" w:themeColor="background1" w:themeShade="80"/>
          <w:sz w:val="22"/>
          <w:szCs w:val="22"/>
          <w:lang w:val="en-GB"/>
        </w:rPr>
        <w:t>the German foreign main proceedings</w:t>
      </w:r>
      <w:r w:rsidR="00A0504F">
        <w:rPr>
          <w:rFonts w:ascii="Avenir Next" w:hAnsi="Avenir Next" w:cs="Arial"/>
          <w:color w:val="808080" w:themeColor="background1" w:themeShade="80"/>
          <w:sz w:val="22"/>
          <w:szCs w:val="22"/>
          <w:lang w:val="en-GB"/>
        </w:rPr>
        <w:t xml:space="preserve">. In my view, it is unlikely that the </w:t>
      </w:r>
      <w:r w:rsidR="008874D0">
        <w:rPr>
          <w:rFonts w:ascii="Avenir Next" w:hAnsi="Avenir Next" w:cs="Arial"/>
          <w:color w:val="808080" w:themeColor="background1" w:themeShade="80"/>
          <w:sz w:val="22"/>
          <w:szCs w:val="22"/>
          <w:lang w:val="en-GB"/>
        </w:rPr>
        <w:t xml:space="preserve">Bermuda </w:t>
      </w:r>
      <w:r w:rsidR="00A0504F">
        <w:rPr>
          <w:rFonts w:ascii="Avenir Next" w:hAnsi="Avenir Next" w:cs="Arial"/>
          <w:color w:val="808080" w:themeColor="background1" w:themeShade="80"/>
          <w:sz w:val="22"/>
          <w:szCs w:val="22"/>
          <w:lang w:val="en-GB"/>
        </w:rPr>
        <w:t>non-main proceedings will be granted relief under Article 21 on this basis.</w:t>
      </w:r>
      <w:r>
        <w:rPr>
          <w:rFonts w:ascii="Avenir Next" w:hAnsi="Avenir Next" w:cs="Arial"/>
          <w:color w:val="808080" w:themeColor="background1" w:themeShade="80"/>
          <w:sz w:val="22"/>
          <w:szCs w:val="22"/>
          <w:lang w:val="en-GB"/>
        </w:rPr>
        <w:t xml:space="preserve"> </w:t>
      </w:r>
    </w:p>
    <w:p w14:paraId="79FA580D" w14:textId="77777777" w:rsidR="006B13F4" w:rsidRPr="00F33E9A" w:rsidRDefault="006B13F4" w:rsidP="006D264D">
      <w:pPr>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EF89A62" w14:textId="632350DF" w:rsidR="009859DE" w:rsidRDefault="009859DE" w:rsidP="009859DE">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 haven’t been told of the proceedings have been opened in jurisdictions where the debtor has COMI or an establishment. If they do not, then recognition will not be granted by the US Courts.</w:t>
      </w:r>
      <w:r w:rsidR="00B25BCF">
        <w:rPr>
          <w:rFonts w:ascii="Avenir Next" w:hAnsi="Avenir Next" w:cs="Arial"/>
          <w:color w:val="808080" w:themeColor="background1" w:themeShade="80"/>
          <w:sz w:val="22"/>
          <w:szCs w:val="22"/>
          <w:lang w:val="en-GB"/>
        </w:rPr>
        <w:t xml:space="preserve"> We therefore require further information.</w:t>
      </w:r>
    </w:p>
    <w:p w14:paraId="764061E6" w14:textId="77777777" w:rsidR="009859DE" w:rsidRDefault="009859DE" w:rsidP="00396815">
      <w:pPr>
        <w:pStyle w:val="NoSpacing"/>
        <w:rPr>
          <w:rFonts w:ascii="Avenir Next" w:hAnsi="Avenir Next" w:cs="Arial"/>
          <w:color w:val="808080" w:themeColor="background1" w:themeShade="80"/>
          <w:sz w:val="22"/>
          <w:szCs w:val="22"/>
          <w:lang w:val="en-GB"/>
        </w:rPr>
      </w:pPr>
    </w:p>
    <w:p w14:paraId="23FB1A68" w14:textId="2A075479" w:rsidR="00F5730F" w:rsidRDefault="00F94078" w:rsidP="00396815">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joint provisional liquidators’ proceedings have been opened in the jurisdiction where the debtor has COMI</w:t>
      </w:r>
      <w:r w:rsidR="00ED09D7">
        <w:rPr>
          <w:rFonts w:ascii="Avenir Next" w:hAnsi="Avenir Next" w:cs="Arial"/>
          <w:color w:val="808080" w:themeColor="background1" w:themeShade="80"/>
          <w:sz w:val="22"/>
          <w:szCs w:val="22"/>
          <w:lang w:val="en-GB"/>
        </w:rPr>
        <w:t xml:space="preserve"> or an establishment</w:t>
      </w:r>
      <w:r>
        <w:rPr>
          <w:rFonts w:ascii="Avenir Next" w:hAnsi="Avenir Next" w:cs="Arial"/>
          <w:color w:val="808080" w:themeColor="background1" w:themeShade="80"/>
          <w:sz w:val="22"/>
          <w:szCs w:val="22"/>
          <w:lang w:val="en-GB"/>
        </w:rPr>
        <w:t xml:space="preserve">, then these are foreign main </w:t>
      </w:r>
      <w:r w:rsidR="00ED09D7">
        <w:rPr>
          <w:rFonts w:ascii="Avenir Next" w:hAnsi="Avenir Next" w:cs="Arial"/>
          <w:color w:val="808080" w:themeColor="background1" w:themeShade="80"/>
          <w:sz w:val="22"/>
          <w:szCs w:val="22"/>
          <w:lang w:val="en-GB"/>
        </w:rPr>
        <w:t xml:space="preserve">and non-main </w:t>
      </w:r>
      <w:r>
        <w:rPr>
          <w:rFonts w:ascii="Avenir Next" w:hAnsi="Avenir Next" w:cs="Arial"/>
          <w:color w:val="808080" w:themeColor="background1" w:themeShade="80"/>
          <w:sz w:val="22"/>
          <w:szCs w:val="22"/>
          <w:lang w:val="en-GB"/>
        </w:rPr>
        <w:t>proceedings</w:t>
      </w:r>
      <w:r w:rsidR="00ED09D7">
        <w:rPr>
          <w:rFonts w:ascii="Avenir Next" w:hAnsi="Avenir Next" w:cs="Arial"/>
          <w:color w:val="808080" w:themeColor="background1" w:themeShade="80"/>
          <w:sz w:val="22"/>
          <w:szCs w:val="22"/>
          <w:lang w:val="en-GB"/>
        </w:rPr>
        <w:t xml:space="preserve"> respectively</w:t>
      </w:r>
      <w:r>
        <w:rPr>
          <w:rFonts w:ascii="Avenir Next" w:hAnsi="Avenir Next" w:cs="Arial"/>
          <w:color w:val="808080" w:themeColor="background1" w:themeShade="80"/>
          <w:sz w:val="22"/>
          <w:szCs w:val="22"/>
          <w:lang w:val="en-GB"/>
        </w:rPr>
        <w:t>. Given that the US has adopted the MLCBI</w:t>
      </w:r>
      <w:r w:rsidR="002E367B">
        <w:rPr>
          <w:rFonts w:ascii="Avenir Next" w:hAnsi="Avenir Next" w:cs="Arial"/>
          <w:color w:val="808080" w:themeColor="background1" w:themeShade="80"/>
          <w:sz w:val="22"/>
          <w:szCs w:val="22"/>
          <w:lang w:val="en-GB"/>
        </w:rPr>
        <w:t xml:space="preserve">, subject to </w:t>
      </w:r>
      <w:r w:rsidR="002E367B" w:rsidRPr="00CC3D48">
        <w:rPr>
          <w:rFonts w:ascii="Avenir Next" w:hAnsi="Avenir Next" w:cs="Arial"/>
          <w:color w:val="808080" w:themeColor="background1" w:themeShade="80"/>
          <w:sz w:val="22"/>
          <w:szCs w:val="22"/>
          <w:lang w:val="en-GB"/>
        </w:rPr>
        <w:t>(i) both the foreign proceeding</w:t>
      </w:r>
      <w:r w:rsidR="00ED09D7">
        <w:rPr>
          <w:rFonts w:ascii="Avenir Next" w:hAnsi="Avenir Next" w:cs="Arial"/>
          <w:color w:val="808080" w:themeColor="background1" w:themeShade="80"/>
          <w:sz w:val="22"/>
          <w:szCs w:val="22"/>
          <w:lang w:val="en-GB"/>
        </w:rPr>
        <w:t>s</w:t>
      </w:r>
      <w:r w:rsidR="002E367B" w:rsidRPr="00CC3D48">
        <w:rPr>
          <w:rFonts w:ascii="Avenir Next" w:hAnsi="Avenir Next" w:cs="Arial"/>
          <w:color w:val="808080" w:themeColor="background1" w:themeShade="80"/>
          <w:sz w:val="22"/>
          <w:szCs w:val="22"/>
          <w:lang w:val="en-GB"/>
        </w:rPr>
        <w:t xml:space="preserve"> and the foreign representative</w:t>
      </w:r>
      <w:r w:rsidR="002E367B">
        <w:rPr>
          <w:rFonts w:ascii="Avenir Next" w:hAnsi="Avenir Next" w:cs="Arial"/>
          <w:color w:val="808080" w:themeColor="background1" w:themeShade="80"/>
          <w:sz w:val="22"/>
          <w:szCs w:val="22"/>
          <w:lang w:val="en-GB"/>
        </w:rPr>
        <w:t>s</w:t>
      </w:r>
      <w:r w:rsidR="002E367B" w:rsidRPr="00CC3D48">
        <w:rPr>
          <w:rFonts w:ascii="Avenir Next" w:hAnsi="Avenir Next" w:cs="Arial"/>
          <w:color w:val="808080" w:themeColor="background1" w:themeShade="80"/>
          <w:sz w:val="22"/>
          <w:szCs w:val="22"/>
          <w:lang w:val="en-GB"/>
        </w:rPr>
        <w:t xml:space="preserve"> meet all required</w:t>
      </w:r>
      <w:r w:rsidR="002E367B">
        <w:rPr>
          <w:rFonts w:ascii="Avenir Next" w:hAnsi="Avenir Next" w:cs="Arial"/>
          <w:color w:val="808080" w:themeColor="background1" w:themeShade="80"/>
          <w:sz w:val="22"/>
          <w:szCs w:val="22"/>
          <w:lang w:val="en-GB"/>
        </w:rPr>
        <w:t xml:space="preserve"> </w:t>
      </w:r>
      <w:r w:rsidR="002E367B" w:rsidRPr="00CC3D48">
        <w:rPr>
          <w:rFonts w:ascii="Avenir Next" w:hAnsi="Avenir Next" w:cs="Arial"/>
          <w:color w:val="808080" w:themeColor="background1" w:themeShade="80"/>
          <w:sz w:val="22"/>
          <w:szCs w:val="22"/>
          <w:lang w:val="en-GB"/>
        </w:rPr>
        <w:t>characteristics, (ii) there are no grounds to invoke the public policy exception of Article 6</w:t>
      </w:r>
      <w:r w:rsidR="002E367B">
        <w:rPr>
          <w:rFonts w:ascii="Avenir Next" w:hAnsi="Avenir Next" w:cs="Arial"/>
          <w:color w:val="808080" w:themeColor="background1" w:themeShade="80"/>
          <w:sz w:val="22"/>
          <w:szCs w:val="22"/>
          <w:lang w:val="en-GB"/>
        </w:rPr>
        <w:t xml:space="preserve">, </w:t>
      </w:r>
      <w:r w:rsidR="002E367B" w:rsidRPr="00CC3D48">
        <w:rPr>
          <w:rFonts w:ascii="Avenir Next" w:hAnsi="Avenir Next" w:cs="Arial"/>
          <w:color w:val="808080" w:themeColor="background1" w:themeShade="80"/>
          <w:sz w:val="22"/>
          <w:szCs w:val="22"/>
          <w:lang w:val="en-GB"/>
        </w:rPr>
        <w:t>(iii) the requirements set forth in Article 17(1)(c) and (d) of the Model Law</w:t>
      </w:r>
      <w:r w:rsidR="002E367B">
        <w:rPr>
          <w:rFonts w:ascii="Avenir Next" w:hAnsi="Avenir Next" w:cs="Arial"/>
          <w:color w:val="808080" w:themeColor="background1" w:themeShade="80"/>
          <w:sz w:val="22"/>
          <w:szCs w:val="22"/>
          <w:lang w:val="en-GB"/>
        </w:rPr>
        <w:t xml:space="preserve"> </w:t>
      </w:r>
      <w:r w:rsidR="002E367B" w:rsidRPr="00CC3D48">
        <w:rPr>
          <w:rFonts w:ascii="Avenir Next" w:hAnsi="Avenir Next" w:cs="Arial"/>
          <w:color w:val="808080" w:themeColor="background1" w:themeShade="80"/>
          <w:sz w:val="22"/>
          <w:szCs w:val="22"/>
          <w:lang w:val="en-GB"/>
        </w:rPr>
        <w:t>are met</w:t>
      </w:r>
      <w:r w:rsidR="002E367B">
        <w:rPr>
          <w:rFonts w:ascii="Avenir Next" w:hAnsi="Avenir Next" w:cs="Arial"/>
          <w:color w:val="808080" w:themeColor="background1" w:themeShade="80"/>
          <w:sz w:val="22"/>
          <w:szCs w:val="22"/>
          <w:lang w:val="en-GB"/>
        </w:rPr>
        <w:t xml:space="preserve">, and (iv) the US Court is satisfied that </w:t>
      </w:r>
      <w:r w:rsidR="002514A8">
        <w:rPr>
          <w:rFonts w:ascii="Avenir Next" w:hAnsi="Avenir Next" w:cs="Arial"/>
          <w:color w:val="808080" w:themeColor="background1" w:themeShade="80"/>
          <w:sz w:val="22"/>
          <w:szCs w:val="22"/>
          <w:lang w:val="en-GB"/>
        </w:rPr>
        <w:t>these are foreign main and non-main proceedings</w:t>
      </w:r>
      <w:r w:rsidR="00E560A0">
        <w:rPr>
          <w:rFonts w:ascii="Avenir Next" w:hAnsi="Avenir Next" w:cs="Arial"/>
          <w:color w:val="808080" w:themeColor="background1" w:themeShade="80"/>
          <w:sz w:val="22"/>
          <w:szCs w:val="22"/>
          <w:lang w:val="en-GB"/>
        </w:rPr>
        <w:t xml:space="preserve">, </w:t>
      </w:r>
      <w:r w:rsidR="002E367B">
        <w:rPr>
          <w:rFonts w:ascii="Avenir Next" w:hAnsi="Avenir Next" w:cs="Arial"/>
          <w:color w:val="808080" w:themeColor="background1" w:themeShade="80"/>
          <w:sz w:val="22"/>
          <w:szCs w:val="22"/>
          <w:lang w:val="en-GB"/>
        </w:rPr>
        <w:t>the recognition application will be granted.</w:t>
      </w:r>
    </w:p>
    <w:p w14:paraId="1F206C1B" w14:textId="77777777" w:rsidR="00812306" w:rsidRDefault="00812306" w:rsidP="00396815">
      <w:pPr>
        <w:pStyle w:val="NoSpacing"/>
        <w:rPr>
          <w:rFonts w:ascii="Avenir Next" w:hAnsi="Avenir Next" w:cs="Arial"/>
          <w:color w:val="808080" w:themeColor="background1" w:themeShade="80"/>
          <w:sz w:val="22"/>
          <w:szCs w:val="22"/>
          <w:lang w:val="en-GB"/>
        </w:rPr>
      </w:pPr>
    </w:p>
    <w:p w14:paraId="46CF6685" w14:textId="219B8380" w:rsidR="00E560A0" w:rsidRDefault="00E560A0" w:rsidP="00416375">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regards to point (</w:t>
      </w:r>
      <w:r w:rsidR="00F76E99">
        <w:rPr>
          <w:rFonts w:ascii="Avenir Next" w:hAnsi="Avenir Next" w:cs="Arial"/>
          <w:color w:val="808080" w:themeColor="background1" w:themeShade="80"/>
          <w:sz w:val="22"/>
          <w:szCs w:val="22"/>
          <w:lang w:val="en-GB"/>
        </w:rPr>
        <w:t>ii)</w:t>
      </w:r>
      <w:r w:rsidR="007C19FF">
        <w:rPr>
          <w:rFonts w:ascii="Avenir Next" w:hAnsi="Avenir Next" w:cs="Arial"/>
          <w:color w:val="808080" w:themeColor="background1" w:themeShade="80"/>
          <w:sz w:val="22"/>
          <w:szCs w:val="22"/>
          <w:lang w:val="en-GB"/>
        </w:rPr>
        <w:t xml:space="preserve"> if there has </w:t>
      </w:r>
      <w:r w:rsidR="007353E1">
        <w:rPr>
          <w:rFonts w:ascii="Avenir Next" w:hAnsi="Avenir Next" w:cs="Arial"/>
          <w:color w:val="808080" w:themeColor="background1" w:themeShade="80"/>
          <w:sz w:val="22"/>
          <w:szCs w:val="22"/>
          <w:lang w:val="en-GB"/>
        </w:rPr>
        <w:t xml:space="preserve">been a of </w:t>
      </w:r>
      <w:r w:rsidR="007C19FF" w:rsidRPr="007C19FF">
        <w:rPr>
          <w:rFonts w:ascii="Avenir Next" w:hAnsi="Avenir Next" w:cs="Arial"/>
          <w:color w:val="808080" w:themeColor="background1" w:themeShade="80"/>
          <w:sz w:val="22"/>
          <w:szCs w:val="22"/>
          <w:lang w:val="en-GB"/>
        </w:rPr>
        <w:t>breach of the full and frank disclosure obligation a foreign representative has towards the court</w:t>
      </w:r>
      <w:r w:rsidR="007353E1">
        <w:rPr>
          <w:rFonts w:ascii="Avenir Next" w:hAnsi="Avenir Next" w:cs="Arial"/>
          <w:color w:val="808080" w:themeColor="background1" w:themeShade="80"/>
          <w:sz w:val="22"/>
          <w:szCs w:val="22"/>
          <w:lang w:val="en-GB"/>
        </w:rPr>
        <w:t xml:space="preserve"> with regards to the </w:t>
      </w:r>
      <w:r w:rsidR="007353E1" w:rsidRPr="004F6D85">
        <w:rPr>
          <w:rFonts w:ascii="Avenir Next" w:hAnsi="Avenir Next" w:cs="Arial"/>
          <w:color w:val="808080" w:themeColor="background1" w:themeShade="80"/>
          <w:sz w:val="22"/>
          <w:szCs w:val="22"/>
          <w:lang w:val="en-GB"/>
        </w:rPr>
        <w:t>contract rights of the US-based vendors</w:t>
      </w:r>
      <w:r w:rsidR="00416375" w:rsidRPr="00416375">
        <w:rPr>
          <w:rFonts w:ascii="Avenir Next" w:hAnsi="Avenir Next" w:cs="Arial"/>
          <w:color w:val="808080" w:themeColor="background1" w:themeShade="80"/>
          <w:sz w:val="22"/>
          <w:szCs w:val="22"/>
          <w:lang w:val="en-GB"/>
        </w:rPr>
        <w:t xml:space="preserve">, </w:t>
      </w:r>
      <w:r w:rsidR="007353E1">
        <w:rPr>
          <w:rFonts w:ascii="Avenir Next" w:hAnsi="Avenir Next" w:cs="Arial"/>
          <w:color w:val="808080" w:themeColor="background1" w:themeShade="80"/>
          <w:sz w:val="22"/>
          <w:szCs w:val="22"/>
          <w:lang w:val="en-GB"/>
        </w:rPr>
        <w:t xml:space="preserve">this </w:t>
      </w:r>
      <w:r w:rsidR="00416375" w:rsidRPr="00416375">
        <w:rPr>
          <w:rFonts w:ascii="Avenir Next" w:hAnsi="Avenir Next" w:cs="Arial"/>
          <w:color w:val="808080" w:themeColor="background1" w:themeShade="80"/>
          <w:sz w:val="22"/>
          <w:szCs w:val="22"/>
          <w:lang w:val="en-GB"/>
        </w:rPr>
        <w:t>may amount to an abuse of</w:t>
      </w:r>
      <w:r w:rsidR="00416375">
        <w:rPr>
          <w:rFonts w:ascii="Avenir Next" w:hAnsi="Avenir Next" w:cs="Arial"/>
          <w:color w:val="808080" w:themeColor="background1" w:themeShade="80"/>
          <w:sz w:val="22"/>
          <w:szCs w:val="22"/>
          <w:lang w:val="en-GB"/>
        </w:rPr>
        <w:t xml:space="preserve"> </w:t>
      </w:r>
      <w:r w:rsidR="00416375" w:rsidRPr="00416375">
        <w:rPr>
          <w:rFonts w:ascii="Avenir Next" w:hAnsi="Avenir Next" w:cs="Arial"/>
          <w:color w:val="808080" w:themeColor="background1" w:themeShade="80"/>
          <w:sz w:val="22"/>
          <w:szCs w:val="22"/>
          <w:lang w:val="en-GB"/>
        </w:rPr>
        <w:t>process and as such justify a denial of the requested recognition based on the public policy</w:t>
      </w:r>
      <w:r w:rsidR="00417628">
        <w:rPr>
          <w:rFonts w:ascii="Avenir Next" w:hAnsi="Avenir Next" w:cs="Arial"/>
          <w:color w:val="808080" w:themeColor="background1" w:themeShade="80"/>
          <w:sz w:val="22"/>
          <w:szCs w:val="22"/>
          <w:lang w:val="en-GB"/>
        </w:rPr>
        <w:t xml:space="preserve"> </w:t>
      </w:r>
      <w:r w:rsidR="00416375" w:rsidRPr="00416375">
        <w:rPr>
          <w:rFonts w:ascii="Avenir Next" w:hAnsi="Avenir Next" w:cs="Arial"/>
          <w:color w:val="808080" w:themeColor="background1" w:themeShade="80"/>
          <w:sz w:val="22"/>
          <w:szCs w:val="22"/>
          <w:lang w:val="en-GB"/>
        </w:rPr>
        <w:t>exception</w:t>
      </w:r>
      <w:r w:rsidR="00417628">
        <w:rPr>
          <w:rFonts w:ascii="Avenir Next" w:hAnsi="Avenir Next" w:cs="Arial"/>
          <w:color w:val="808080" w:themeColor="background1" w:themeShade="80"/>
          <w:sz w:val="22"/>
          <w:szCs w:val="22"/>
          <w:lang w:val="en-GB"/>
        </w:rPr>
        <w:t>.</w:t>
      </w:r>
    </w:p>
    <w:p w14:paraId="021864C4" w14:textId="77777777" w:rsidR="005A69A0" w:rsidRDefault="005A69A0" w:rsidP="001063E8">
      <w:pPr>
        <w:pStyle w:val="NoSpacing"/>
        <w:rPr>
          <w:rFonts w:ascii="Avenir Next" w:hAnsi="Avenir Next" w:cs="Arial"/>
          <w:color w:val="808080" w:themeColor="background1" w:themeShade="80"/>
          <w:sz w:val="22"/>
          <w:szCs w:val="22"/>
          <w:lang w:val="en-GB"/>
        </w:rPr>
      </w:pPr>
    </w:p>
    <w:p w14:paraId="7B726BAA" w14:textId="43206DD7" w:rsidR="001D3443" w:rsidRDefault="001D3443" w:rsidP="001D3443">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Another consideration is whether the foreign proceedings recognise ipso facto clauses – allowing termination of contracts upon one of the contracted parties entering into insolvency proceedings. The </w:t>
      </w:r>
      <w:r w:rsidRPr="00D00967">
        <w:rPr>
          <w:rFonts w:ascii="Avenir Next" w:hAnsi="Avenir Next" w:cs="Arial"/>
          <w:color w:val="808080" w:themeColor="background1" w:themeShade="80"/>
          <w:sz w:val="22"/>
          <w:szCs w:val="22"/>
          <w:lang w:val="en-GB"/>
        </w:rPr>
        <w:t>US Bankruptcy Code address</w:t>
      </w:r>
      <w:r>
        <w:rPr>
          <w:rFonts w:ascii="Avenir Next" w:hAnsi="Avenir Next" w:cs="Arial"/>
          <w:color w:val="808080" w:themeColor="background1" w:themeShade="80"/>
          <w:sz w:val="22"/>
          <w:szCs w:val="22"/>
          <w:lang w:val="en-GB"/>
        </w:rPr>
        <w:t xml:space="preserve">es </w:t>
      </w:r>
      <w:r w:rsidRPr="00D00967">
        <w:rPr>
          <w:rFonts w:ascii="Avenir Next" w:hAnsi="Avenir Next" w:cs="Arial"/>
          <w:color w:val="808080" w:themeColor="background1" w:themeShade="80"/>
          <w:sz w:val="22"/>
          <w:szCs w:val="22"/>
          <w:lang w:val="en-GB"/>
        </w:rPr>
        <w:t>ipso facto clauses and render</w:t>
      </w:r>
      <w:r>
        <w:rPr>
          <w:rFonts w:ascii="Avenir Next" w:hAnsi="Avenir Next" w:cs="Arial"/>
          <w:color w:val="808080" w:themeColor="background1" w:themeShade="80"/>
          <w:sz w:val="22"/>
          <w:szCs w:val="22"/>
          <w:lang w:val="en-GB"/>
        </w:rPr>
        <w:t>s</w:t>
      </w:r>
      <w:r w:rsidRPr="00D00967">
        <w:rPr>
          <w:rFonts w:ascii="Avenir Next" w:hAnsi="Avenir Next" w:cs="Arial"/>
          <w:color w:val="808080" w:themeColor="background1" w:themeShade="80"/>
          <w:sz w:val="22"/>
          <w:szCs w:val="22"/>
          <w:lang w:val="en-GB"/>
        </w:rPr>
        <w:t xml:space="preserve"> them unenforceable</w:t>
      </w:r>
      <w:r>
        <w:rPr>
          <w:rFonts w:ascii="Avenir Next" w:hAnsi="Avenir Next" w:cs="Arial"/>
          <w:color w:val="808080" w:themeColor="background1" w:themeShade="80"/>
          <w:sz w:val="22"/>
          <w:szCs w:val="22"/>
          <w:lang w:val="en-GB"/>
        </w:rPr>
        <w:t>. However,</w:t>
      </w:r>
    </w:p>
    <w:p w14:paraId="77FC9693" w14:textId="22CB5A2D" w:rsidR="005A69A0" w:rsidRDefault="001D3443" w:rsidP="001063E8">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5A69A0">
        <w:rPr>
          <w:rFonts w:ascii="Avenir Next" w:hAnsi="Avenir Next" w:cs="Arial"/>
          <w:color w:val="808080" w:themeColor="background1" w:themeShade="80"/>
          <w:sz w:val="22"/>
          <w:szCs w:val="22"/>
          <w:lang w:val="en-GB"/>
        </w:rPr>
        <w:t xml:space="preserve">f recognition is granted, </w:t>
      </w:r>
      <w:r>
        <w:rPr>
          <w:rFonts w:ascii="Avenir Next" w:hAnsi="Avenir Next" w:cs="Arial"/>
          <w:color w:val="808080" w:themeColor="background1" w:themeShade="80"/>
          <w:sz w:val="22"/>
          <w:szCs w:val="22"/>
          <w:lang w:val="en-GB"/>
        </w:rPr>
        <w:t xml:space="preserve">it does not automatically apply the US Bankruptcy Code to the foreign proceedings. </w:t>
      </w:r>
    </w:p>
    <w:p w14:paraId="4FF83B7C" w14:textId="77777777" w:rsidR="001D3443" w:rsidRDefault="001D3443" w:rsidP="001063E8">
      <w:pPr>
        <w:pStyle w:val="NoSpacing"/>
        <w:rPr>
          <w:rFonts w:ascii="Avenir Next" w:hAnsi="Avenir Next" w:cs="Arial"/>
          <w:color w:val="808080" w:themeColor="background1" w:themeShade="80"/>
          <w:sz w:val="22"/>
          <w:szCs w:val="22"/>
          <w:lang w:val="en-GB"/>
        </w:rPr>
      </w:pPr>
    </w:p>
    <w:p w14:paraId="76A0CA08" w14:textId="3B737EBD" w:rsidR="00B25BCF" w:rsidRDefault="00B25BCF" w:rsidP="001063E8">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these are foreign main proceedings, </w:t>
      </w:r>
      <w:r w:rsidR="001D3443">
        <w:rPr>
          <w:rFonts w:ascii="Avenir Next" w:hAnsi="Avenir Next" w:cs="Arial"/>
          <w:color w:val="808080" w:themeColor="background1" w:themeShade="80"/>
          <w:sz w:val="22"/>
          <w:szCs w:val="22"/>
          <w:lang w:val="en-GB"/>
        </w:rPr>
        <w:t>automatic relief will be granted post recognition</w:t>
      </w:r>
      <w:r w:rsidR="00B46602">
        <w:rPr>
          <w:rFonts w:ascii="Avenir Next" w:hAnsi="Avenir Next" w:cs="Arial"/>
          <w:color w:val="808080" w:themeColor="background1" w:themeShade="80"/>
          <w:sz w:val="22"/>
          <w:szCs w:val="22"/>
          <w:lang w:val="en-GB"/>
        </w:rPr>
        <w:t xml:space="preserve"> under Article 20. This includes a stay </w:t>
      </w:r>
      <w:r w:rsidR="00243059">
        <w:rPr>
          <w:rFonts w:ascii="Avenir Next" w:hAnsi="Avenir Next" w:cs="Arial"/>
          <w:color w:val="808080" w:themeColor="background1" w:themeShade="80"/>
          <w:sz w:val="22"/>
          <w:szCs w:val="22"/>
          <w:lang w:val="en-GB"/>
        </w:rPr>
        <w:t xml:space="preserve">of the continuation of individual actions or proceedings concerning the debtors assets, rights, obligations or liabilities – I.e., The debtor will succeed over the </w:t>
      </w:r>
      <w:r w:rsidR="00C82A2F">
        <w:rPr>
          <w:rFonts w:ascii="Avenir Next" w:hAnsi="Avenir Next" w:cs="Arial"/>
          <w:color w:val="808080" w:themeColor="background1" w:themeShade="80"/>
          <w:sz w:val="22"/>
          <w:szCs w:val="22"/>
          <w:lang w:val="en-GB"/>
        </w:rPr>
        <w:t>US-based vendors.</w:t>
      </w:r>
    </w:p>
    <w:p w14:paraId="15B05D6F" w14:textId="77777777" w:rsidR="00C82A2F" w:rsidRDefault="00C82A2F" w:rsidP="001063E8">
      <w:pPr>
        <w:pStyle w:val="NoSpacing"/>
        <w:rPr>
          <w:rFonts w:ascii="Avenir Next" w:hAnsi="Avenir Next" w:cs="Arial"/>
          <w:color w:val="808080" w:themeColor="background1" w:themeShade="80"/>
          <w:sz w:val="22"/>
          <w:szCs w:val="22"/>
          <w:lang w:val="en-GB"/>
        </w:rPr>
      </w:pPr>
    </w:p>
    <w:p w14:paraId="6FA1A3FC" w14:textId="310211A7" w:rsidR="00C82A2F" w:rsidRDefault="00C82A2F" w:rsidP="001063E8">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these are foreign non-main, such relief is not automatically available.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bookmarkStart w:id="1" w:name="_Hlk159056615"/>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bankruptcy-triggered terminations</w:t>
      </w:r>
      <w:bookmarkEnd w:id="1"/>
      <w:r w:rsidRPr="002E7702">
        <w:rPr>
          <w:rFonts w:ascii="Avenir Next" w:hAnsi="Avenir Next" w:cs="Arial"/>
          <w:sz w:val="22"/>
          <w:szCs w:val="22"/>
          <w:lang w:val="en-GB"/>
        </w:rPr>
        <w:t xml:space="preserve">)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578009A8" w14:textId="137888E0" w:rsidR="00127E1D" w:rsidRDefault="00891B97" w:rsidP="00D5287F">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Debtor-in-possession proceedings allow the debtor to continue operations which it </w:t>
      </w:r>
      <w:r w:rsidR="00D5287F">
        <w:rPr>
          <w:rFonts w:ascii="Avenir Next" w:hAnsi="Avenir Next" w:cs="Arial"/>
          <w:color w:val="808080" w:themeColor="background1" w:themeShade="80"/>
          <w:sz w:val="22"/>
          <w:szCs w:val="22"/>
          <w:lang w:val="en-GB"/>
        </w:rPr>
        <w:t>implements a restructuring.</w:t>
      </w:r>
    </w:p>
    <w:p w14:paraId="606E51FF" w14:textId="77777777" w:rsidR="00D5287F" w:rsidRDefault="00D5287F" w:rsidP="00D5287F">
      <w:pPr>
        <w:pStyle w:val="NoSpacing"/>
        <w:rPr>
          <w:rFonts w:ascii="Avenir Next" w:hAnsi="Avenir Next" w:cs="Arial"/>
          <w:color w:val="808080" w:themeColor="background1" w:themeShade="80"/>
          <w:sz w:val="22"/>
          <w:szCs w:val="22"/>
          <w:lang w:val="en-GB"/>
        </w:rPr>
      </w:pPr>
    </w:p>
    <w:p w14:paraId="54C9A8EE" w14:textId="7A94506C" w:rsidR="00712EE2" w:rsidRDefault="00301B12" w:rsidP="00D5287F">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D5287F" w:rsidRPr="00D5287F">
        <w:rPr>
          <w:rFonts w:ascii="Avenir Next" w:hAnsi="Avenir Next" w:cs="Arial"/>
          <w:color w:val="808080" w:themeColor="background1" w:themeShade="80"/>
          <w:sz w:val="22"/>
          <w:szCs w:val="22"/>
          <w:lang w:val="en-GB"/>
        </w:rPr>
        <w:t xml:space="preserve">pso facto clauses </w:t>
      </w:r>
      <w:r>
        <w:rPr>
          <w:rFonts w:ascii="Avenir Next" w:hAnsi="Avenir Next" w:cs="Arial"/>
          <w:color w:val="808080" w:themeColor="background1" w:themeShade="80"/>
          <w:sz w:val="22"/>
          <w:szCs w:val="22"/>
          <w:lang w:val="en-GB"/>
        </w:rPr>
        <w:t>allow for contracts to be terminated or altered upon one of the contracted parties entering into insolvency proceedings.</w:t>
      </w:r>
      <w:r w:rsidR="00712EE2">
        <w:rPr>
          <w:rFonts w:ascii="Avenir Next" w:hAnsi="Avenir Next" w:cs="Arial"/>
          <w:color w:val="808080" w:themeColor="background1" w:themeShade="80"/>
          <w:sz w:val="22"/>
          <w:szCs w:val="22"/>
          <w:lang w:val="en-GB"/>
        </w:rPr>
        <w:t xml:space="preserve"> For the debtor to continue </w:t>
      </w:r>
      <w:r w:rsidR="00056BF4">
        <w:rPr>
          <w:rFonts w:ascii="Avenir Next" w:hAnsi="Avenir Next" w:cs="Arial"/>
          <w:color w:val="808080" w:themeColor="background1" w:themeShade="80"/>
          <w:sz w:val="22"/>
          <w:szCs w:val="22"/>
          <w:lang w:val="en-GB"/>
        </w:rPr>
        <w:t>operations</w:t>
      </w:r>
      <w:r w:rsidR="00712EE2">
        <w:rPr>
          <w:rFonts w:ascii="Avenir Next" w:hAnsi="Avenir Next" w:cs="Arial"/>
          <w:color w:val="808080" w:themeColor="background1" w:themeShade="80"/>
          <w:sz w:val="22"/>
          <w:szCs w:val="22"/>
          <w:lang w:val="en-GB"/>
        </w:rPr>
        <w:t>,</w:t>
      </w:r>
      <w:r w:rsidR="00056BF4">
        <w:rPr>
          <w:rFonts w:ascii="Avenir Next" w:hAnsi="Avenir Next" w:cs="Arial"/>
          <w:color w:val="808080" w:themeColor="background1" w:themeShade="80"/>
          <w:sz w:val="22"/>
          <w:szCs w:val="22"/>
          <w:lang w:val="en-GB"/>
        </w:rPr>
        <w:t xml:space="preserve"> it </w:t>
      </w:r>
      <w:r w:rsidR="00CD60C3">
        <w:rPr>
          <w:rFonts w:ascii="Avenir Next" w:hAnsi="Avenir Next" w:cs="Arial"/>
          <w:color w:val="808080" w:themeColor="background1" w:themeShade="80"/>
          <w:sz w:val="22"/>
          <w:szCs w:val="22"/>
          <w:lang w:val="en-GB"/>
        </w:rPr>
        <w:t xml:space="preserve">will be </w:t>
      </w:r>
      <w:r w:rsidR="00056BF4">
        <w:rPr>
          <w:rFonts w:ascii="Avenir Next" w:hAnsi="Avenir Next" w:cs="Arial"/>
          <w:color w:val="808080" w:themeColor="background1" w:themeShade="80"/>
          <w:sz w:val="22"/>
          <w:szCs w:val="22"/>
          <w:lang w:val="en-GB"/>
        </w:rPr>
        <w:t xml:space="preserve">important that it retains </w:t>
      </w:r>
      <w:r w:rsidR="00CD60C3">
        <w:rPr>
          <w:rFonts w:ascii="Avenir Next" w:hAnsi="Avenir Next" w:cs="Arial"/>
          <w:color w:val="808080" w:themeColor="background1" w:themeShade="80"/>
          <w:sz w:val="22"/>
          <w:szCs w:val="22"/>
          <w:lang w:val="en-GB"/>
        </w:rPr>
        <w:t>its key contracts and leases.</w:t>
      </w:r>
    </w:p>
    <w:p w14:paraId="2FC1C5B1" w14:textId="77777777" w:rsidR="00AD54D6" w:rsidRDefault="00AD54D6" w:rsidP="00D5287F">
      <w:pPr>
        <w:pStyle w:val="NoSpacing"/>
        <w:rPr>
          <w:rFonts w:ascii="Avenir Next" w:hAnsi="Avenir Next" w:cs="Arial"/>
          <w:color w:val="808080" w:themeColor="background1" w:themeShade="80"/>
          <w:sz w:val="22"/>
          <w:szCs w:val="22"/>
          <w:lang w:val="en-GB"/>
        </w:rPr>
      </w:pPr>
    </w:p>
    <w:p w14:paraId="041B0441" w14:textId="4EBC9362" w:rsidR="00512D17" w:rsidRDefault="00AD54D6" w:rsidP="00D5287F">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apply for interim relief prior to recognition </w:t>
      </w:r>
      <w:r w:rsidRPr="004A4948">
        <w:rPr>
          <w:rFonts w:ascii="Avenir Next" w:hAnsi="Avenir Next" w:cs="Arial"/>
          <w:color w:val="808080" w:themeColor="background1" w:themeShade="80"/>
          <w:sz w:val="22"/>
          <w:szCs w:val="22"/>
          <w:lang w:val="en-GB"/>
        </w:rPr>
        <w:t xml:space="preserve">under Article </w:t>
      </w:r>
      <w:r>
        <w:rPr>
          <w:rFonts w:ascii="Avenir Next" w:hAnsi="Avenir Next" w:cs="Arial"/>
          <w:color w:val="808080" w:themeColor="background1" w:themeShade="80"/>
          <w:sz w:val="22"/>
          <w:szCs w:val="22"/>
          <w:lang w:val="en-GB"/>
        </w:rPr>
        <w:t xml:space="preserve">19 </w:t>
      </w:r>
      <w:r w:rsidRPr="004A4948">
        <w:rPr>
          <w:rFonts w:ascii="Avenir Next" w:hAnsi="Avenir Next" w:cs="Arial"/>
          <w:color w:val="808080" w:themeColor="background1" w:themeShade="80"/>
          <w:sz w:val="22"/>
          <w:szCs w:val="22"/>
          <w:lang w:val="en-GB"/>
        </w:rPr>
        <w:t>of the MLCBI</w:t>
      </w:r>
      <w:r w:rsidR="006A7E40">
        <w:rPr>
          <w:rFonts w:ascii="Avenir Next" w:hAnsi="Avenir Next" w:cs="Arial"/>
          <w:color w:val="808080" w:themeColor="background1" w:themeShade="80"/>
          <w:sz w:val="22"/>
          <w:szCs w:val="22"/>
          <w:lang w:val="en-GB"/>
        </w:rPr>
        <w:t xml:space="preserve"> – available to both foreign main and non-main proceedings.</w:t>
      </w:r>
      <w:r w:rsidR="00512D17">
        <w:rPr>
          <w:rFonts w:ascii="Avenir Next" w:hAnsi="Avenir Next" w:cs="Arial"/>
          <w:color w:val="808080" w:themeColor="background1" w:themeShade="80"/>
          <w:sz w:val="22"/>
          <w:szCs w:val="22"/>
          <w:lang w:val="en-GB"/>
        </w:rPr>
        <w:t xml:space="preserve"> This is particularly important given th</w:t>
      </w:r>
      <w:r w:rsidR="001A28C8">
        <w:rPr>
          <w:rFonts w:ascii="Avenir Next" w:hAnsi="Avenir Next" w:cs="Arial"/>
          <w:color w:val="808080" w:themeColor="background1" w:themeShade="80"/>
          <w:sz w:val="22"/>
          <w:szCs w:val="22"/>
          <w:lang w:val="en-GB"/>
        </w:rPr>
        <w:t xml:space="preserve">at the application will not be heard for 35 days. In this time, contracted parties may become aware of the insolvency proceedings and enforce </w:t>
      </w:r>
      <w:r w:rsidR="003703F3">
        <w:rPr>
          <w:rFonts w:ascii="Avenir Next" w:hAnsi="Avenir Next" w:cs="Arial"/>
          <w:color w:val="808080" w:themeColor="background1" w:themeShade="80"/>
          <w:sz w:val="22"/>
          <w:szCs w:val="22"/>
          <w:lang w:val="en-GB"/>
        </w:rPr>
        <w:t>any ipso facto clauses in their contracts.</w:t>
      </w:r>
    </w:p>
    <w:p w14:paraId="6FFEDFD1" w14:textId="77777777" w:rsidR="00512D17" w:rsidRDefault="00512D17" w:rsidP="00D5287F">
      <w:pPr>
        <w:pStyle w:val="NoSpacing"/>
        <w:rPr>
          <w:rFonts w:ascii="Avenir Next" w:hAnsi="Avenir Next" w:cs="Arial"/>
          <w:color w:val="808080" w:themeColor="background1" w:themeShade="80"/>
          <w:sz w:val="22"/>
          <w:szCs w:val="22"/>
          <w:lang w:val="en-GB"/>
        </w:rPr>
      </w:pPr>
    </w:p>
    <w:p w14:paraId="56BF4012" w14:textId="1B7EF161" w:rsidR="00AD54D6" w:rsidRDefault="00323B06" w:rsidP="00D5287F">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will need to demonstrate to the US Courts that the </w:t>
      </w:r>
      <w:r w:rsidR="00E50047">
        <w:rPr>
          <w:rFonts w:ascii="Avenir Next" w:hAnsi="Avenir Next" w:cs="Arial"/>
          <w:color w:val="808080" w:themeColor="background1" w:themeShade="80"/>
          <w:sz w:val="22"/>
          <w:szCs w:val="22"/>
          <w:lang w:val="en-GB"/>
        </w:rPr>
        <w:t xml:space="preserve">relief is urgently required to protect </w:t>
      </w:r>
      <w:r w:rsidR="00AE58E3">
        <w:rPr>
          <w:rFonts w:ascii="Avenir Next" w:hAnsi="Avenir Next" w:cs="Arial"/>
          <w:color w:val="808080" w:themeColor="background1" w:themeShade="80"/>
          <w:sz w:val="22"/>
          <w:szCs w:val="22"/>
          <w:lang w:val="en-GB"/>
        </w:rPr>
        <w:t>the debtor</w:t>
      </w:r>
      <w:r w:rsidR="00EB0D70">
        <w:rPr>
          <w:rFonts w:ascii="Avenir Next" w:hAnsi="Avenir Next" w:cs="Arial"/>
          <w:color w:val="808080" w:themeColor="background1" w:themeShade="80"/>
          <w:sz w:val="22"/>
          <w:szCs w:val="22"/>
          <w:lang w:val="en-GB"/>
        </w:rPr>
        <w:t>’</w:t>
      </w:r>
      <w:r w:rsidR="00AE58E3">
        <w:rPr>
          <w:rFonts w:ascii="Avenir Next" w:hAnsi="Avenir Next" w:cs="Arial"/>
          <w:color w:val="808080" w:themeColor="background1" w:themeShade="80"/>
          <w:sz w:val="22"/>
          <w:szCs w:val="22"/>
          <w:lang w:val="en-GB"/>
        </w:rPr>
        <w:t>s operations</w:t>
      </w:r>
      <w:r w:rsidR="00EB0D70">
        <w:rPr>
          <w:rFonts w:ascii="Avenir Next" w:hAnsi="Avenir Next" w:cs="Arial"/>
          <w:color w:val="808080" w:themeColor="background1" w:themeShade="80"/>
          <w:sz w:val="22"/>
          <w:szCs w:val="22"/>
          <w:lang w:val="en-GB"/>
        </w:rPr>
        <w:t>, therefore the debtor’s assets</w:t>
      </w:r>
      <w:r w:rsidR="00AE58E3">
        <w:rPr>
          <w:rFonts w:ascii="Avenir Next" w:hAnsi="Avenir Next" w:cs="Arial"/>
          <w:color w:val="808080" w:themeColor="background1" w:themeShade="80"/>
          <w:sz w:val="22"/>
          <w:szCs w:val="22"/>
          <w:lang w:val="en-GB"/>
        </w:rPr>
        <w:t xml:space="preserve">, </w:t>
      </w:r>
      <w:r w:rsidR="00EB0D70">
        <w:rPr>
          <w:rFonts w:ascii="Avenir Next" w:hAnsi="Avenir Next" w:cs="Arial"/>
          <w:color w:val="808080" w:themeColor="background1" w:themeShade="80"/>
          <w:sz w:val="22"/>
          <w:szCs w:val="22"/>
          <w:lang w:val="en-GB"/>
        </w:rPr>
        <w:t xml:space="preserve">and </w:t>
      </w:r>
      <w:r w:rsidR="00AE58E3">
        <w:rPr>
          <w:rFonts w:ascii="Avenir Next" w:hAnsi="Avenir Next" w:cs="Arial"/>
          <w:color w:val="808080" w:themeColor="background1" w:themeShade="80"/>
          <w:sz w:val="22"/>
          <w:szCs w:val="22"/>
          <w:lang w:val="en-GB"/>
        </w:rPr>
        <w:t xml:space="preserve">ultimately protecting the </w:t>
      </w:r>
      <w:r w:rsidR="00EB0D70">
        <w:rPr>
          <w:rFonts w:ascii="Avenir Next" w:hAnsi="Avenir Next" w:cs="Arial"/>
          <w:color w:val="808080" w:themeColor="background1" w:themeShade="80"/>
          <w:sz w:val="22"/>
          <w:szCs w:val="22"/>
          <w:lang w:val="en-GB"/>
        </w:rPr>
        <w:t xml:space="preserve">interests </w:t>
      </w:r>
      <w:r w:rsidR="00E50047">
        <w:rPr>
          <w:rFonts w:ascii="Avenir Next" w:hAnsi="Avenir Next" w:cs="Arial"/>
          <w:color w:val="808080" w:themeColor="background1" w:themeShade="80"/>
          <w:sz w:val="22"/>
          <w:szCs w:val="22"/>
          <w:lang w:val="en-GB"/>
        </w:rPr>
        <w:t>creditors</w:t>
      </w:r>
      <w:r w:rsidR="00AE58E3">
        <w:rPr>
          <w:rFonts w:ascii="Avenir Next" w:hAnsi="Avenir Next" w:cs="Arial"/>
          <w:color w:val="808080" w:themeColor="background1" w:themeShade="80"/>
          <w:sz w:val="22"/>
          <w:szCs w:val="22"/>
          <w:lang w:val="en-GB"/>
        </w:rPr>
        <w:t xml:space="preserve"> who should benefit from a better outcome </w:t>
      </w:r>
      <w:r w:rsidR="0007300C">
        <w:rPr>
          <w:rFonts w:ascii="Avenir Next" w:hAnsi="Avenir Next" w:cs="Arial"/>
          <w:color w:val="808080" w:themeColor="background1" w:themeShade="80"/>
          <w:sz w:val="22"/>
          <w:szCs w:val="22"/>
          <w:lang w:val="en-GB"/>
        </w:rPr>
        <w:t>once the debtor’s debt is restructured versus the alternative of liquidation</w:t>
      </w:r>
      <w:r w:rsidR="00E50047">
        <w:rPr>
          <w:rFonts w:ascii="Avenir Next" w:hAnsi="Avenir Next" w:cs="Arial"/>
          <w:color w:val="808080" w:themeColor="background1" w:themeShade="80"/>
          <w:sz w:val="22"/>
          <w:szCs w:val="22"/>
          <w:lang w:val="en-GB"/>
        </w:rPr>
        <w:t>.</w:t>
      </w:r>
    </w:p>
    <w:p w14:paraId="6C449CC8" w14:textId="77777777" w:rsidR="0007300C" w:rsidRDefault="0007300C" w:rsidP="00D5287F">
      <w:pPr>
        <w:pStyle w:val="NoSpacing"/>
        <w:rPr>
          <w:rFonts w:ascii="Avenir Next" w:hAnsi="Avenir Next" w:cs="Arial"/>
          <w:color w:val="808080" w:themeColor="background1" w:themeShade="80"/>
          <w:sz w:val="22"/>
          <w:szCs w:val="22"/>
          <w:lang w:val="en-GB"/>
        </w:rPr>
      </w:pPr>
    </w:p>
    <w:p w14:paraId="66AA48D8" w14:textId="18ADDB59" w:rsidR="0007300C" w:rsidRDefault="0007300C" w:rsidP="00D5287F">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the </w:t>
      </w:r>
      <w:r w:rsidR="0037539B">
        <w:rPr>
          <w:rFonts w:ascii="Avenir Next" w:hAnsi="Avenir Next" w:cs="Arial"/>
          <w:color w:val="808080" w:themeColor="background1" w:themeShade="80"/>
          <w:sz w:val="22"/>
          <w:szCs w:val="22"/>
          <w:lang w:val="en-GB"/>
        </w:rPr>
        <w:t xml:space="preserve">ipso facto clauses are not enforceable per the </w:t>
      </w:r>
      <w:r>
        <w:rPr>
          <w:rFonts w:ascii="Avenir Next" w:hAnsi="Avenir Next" w:cs="Arial"/>
          <w:color w:val="808080" w:themeColor="background1" w:themeShade="80"/>
          <w:sz w:val="22"/>
          <w:szCs w:val="22"/>
          <w:lang w:val="en-GB"/>
        </w:rPr>
        <w:t xml:space="preserve">US Bankruptcy </w:t>
      </w:r>
      <w:r w:rsidR="0037539B">
        <w:rPr>
          <w:rFonts w:ascii="Avenir Next" w:hAnsi="Avenir Next" w:cs="Arial"/>
          <w:color w:val="808080" w:themeColor="background1" w:themeShade="80"/>
          <w:sz w:val="22"/>
          <w:szCs w:val="22"/>
          <w:lang w:val="en-GB"/>
        </w:rPr>
        <w:t xml:space="preserve">Code, the US Court will likely </w:t>
      </w:r>
      <w:r w:rsidR="00512D17">
        <w:rPr>
          <w:rFonts w:ascii="Avenir Next" w:hAnsi="Avenir Next" w:cs="Arial"/>
          <w:color w:val="808080" w:themeColor="background1" w:themeShade="80"/>
          <w:sz w:val="22"/>
          <w:szCs w:val="22"/>
          <w:lang w:val="en-GB"/>
        </w:rPr>
        <w:t>provide this relief provided they are satisfied with the points set out above regarding the protection of assets and creditor interests.</w:t>
      </w:r>
    </w:p>
    <w:p w14:paraId="1DE2ECA3" w14:textId="77777777" w:rsidR="00651E54" w:rsidRDefault="00651E54" w:rsidP="003703F3">
      <w:pPr>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 xml:space="preserve">e the foreign proceeding as the foreign main proceeding in order to sell certain assets within the territorial jurisdiction of Country B, but unfortunately the insolvency court considering the petition for recognition denied the recognition of </w:t>
      </w:r>
      <w:r w:rsidRPr="000A7632">
        <w:rPr>
          <w:rFonts w:ascii="Avenir Next" w:hAnsi="Avenir Next" w:cs="Arial"/>
          <w:sz w:val="22"/>
          <w:szCs w:val="22"/>
          <w:lang w:val="en-GB"/>
        </w:rPr>
        <w:lastRenderedPageBreak/>
        <w:t>the foreign proceeding as a foreign main proceeding. Explain what may or should the foreign representative do next? What should the foreign representative have done at the outset?</w:t>
      </w:r>
    </w:p>
    <w:p w14:paraId="0BBA86B8" w14:textId="4204DA62" w:rsidR="00980314" w:rsidRPr="00CC3A17" w:rsidRDefault="00980314" w:rsidP="00CC3A17">
      <w:pPr>
        <w:pStyle w:val="NoSpacing"/>
        <w:rPr>
          <w:rFonts w:ascii="Avenir Next" w:hAnsi="Avenir Next" w:cs="Arial"/>
          <w:color w:val="808080" w:themeColor="background1" w:themeShade="80"/>
          <w:sz w:val="22"/>
          <w:szCs w:val="22"/>
          <w:lang w:val="en-GB"/>
        </w:rPr>
      </w:pPr>
    </w:p>
    <w:p w14:paraId="008882EE" w14:textId="3355B5B8" w:rsidR="00061BB5" w:rsidRDefault="00CC3A17" w:rsidP="00CC3A17">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outset, the foreign representative should have properly </w:t>
      </w:r>
      <w:r w:rsidR="00895B52">
        <w:rPr>
          <w:rFonts w:ascii="Avenir Next" w:hAnsi="Avenir Next" w:cs="Arial"/>
          <w:color w:val="808080" w:themeColor="background1" w:themeShade="80"/>
          <w:sz w:val="22"/>
          <w:szCs w:val="22"/>
          <w:lang w:val="en-GB"/>
        </w:rPr>
        <w:t xml:space="preserve">and holistically </w:t>
      </w:r>
      <w:r>
        <w:rPr>
          <w:rFonts w:ascii="Avenir Next" w:hAnsi="Avenir Next" w:cs="Arial"/>
          <w:color w:val="808080" w:themeColor="background1" w:themeShade="80"/>
          <w:sz w:val="22"/>
          <w:szCs w:val="22"/>
          <w:lang w:val="en-GB"/>
        </w:rPr>
        <w:t xml:space="preserve">assessed </w:t>
      </w:r>
      <w:r w:rsidR="003A4E9C">
        <w:rPr>
          <w:rFonts w:ascii="Avenir Next" w:hAnsi="Avenir Next" w:cs="Arial"/>
          <w:color w:val="808080" w:themeColor="background1" w:themeShade="80"/>
          <w:sz w:val="22"/>
          <w:szCs w:val="22"/>
          <w:lang w:val="en-GB"/>
        </w:rPr>
        <w:t>where the debtor’s COMI is located.</w:t>
      </w:r>
      <w:r w:rsidR="00966D32">
        <w:rPr>
          <w:rFonts w:ascii="Avenir Next" w:hAnsi="Avenir Next" w:cs="Arial"/>
          <w:color w:val="808080" w:themeColor="background1" w:themeShade="80"/>
          <w:sz w:val="22"/>
          <w:szCs w:val="22"/>
          <w:lang w:val="en-GB"/>
        </w:rPr>
        <w:t xml:space="preserve"> In doing so, it will have been able to demonstrate to the Court of Country B that </w:t>
      </w:r>
      <w:r w:rsidR="00F4428A">
        <w:rPr>
          <w:rFonts w:ascii="Avenir Next" w:hAnsi="Avenir Next" w:cs="Arial"/>
          <w:color w:val="808080" w:themeColor="background1" w:themeShade="80"/>
          <w:sz w:val="22"/>
          <w:szCs w:val="22"/>
          <w:lang w:val="en-GB"/>
        </w:rPr>
        <w:t>Country A is the location of the debtor’s COMI</w:t>
      </w:r>
      <w:r w:rsidR="0050535F">
        <w:rPr>
          <w:rFonts w:ascii="Avenir Next" w:hAnsi="Avenir Next" w:cs="Arial"/>
          <w:color w:val="808080" w:themeColor="background1" w:themeShade="80"/>
          <w:sz w:val="22"/>
          <w:szCs w:val="22"/>
          <w:lang w:val="en-GB"/>
        </w:rPr>
        <w:t xml:space="preserve"> and the proceedings should therefore be considered foreign main proceedings – to the extent their assessment is correct.</w:t>
      </w:r>
    </w:p>
    <w:p w14:paraId="38CC6060" w14:textId="77777777" w:rsidR="00657884" w:rsidRDefault="00657884" w:rsidP="00CC3A17">
      <w:pPr>
        <w:pStyle w:val="NoSpacing"/>
        <w:rPr>
          <w:rFonts w:ascii="Avenir Next" w:hAnsi="Avenir Next" w:cs="Arial"/>
          <w:color w:val="808080" w:themeColor="background1" w:themeShade="80"/>
          <w:sz w:val="22"/>
          <w:szCs w:val="22"/>
          <w:lang w:val="en-GB"/>
        </w:rPr>
      </w:pPr>
    </w:p>
    <w:p w14:paraId="1B941B69" w14:textId="7C82F18C" w:rsidR="00657884" w:rsidRDefault="0050535F" w:rsidP="00CC3A17">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COMI is in a different jurisdiction to Country A, then the foreign representative should not </w:t>
      </w:r>
      <w:r w:rsidR="002E7BB8">
        <w:rPr>
          <w:rFonts w:ascii="Avenir Next" w:hAnsi="Avenir Next" w:cs="Arial"/>
          <w:color w:val="808080" w:themeColor="background1" w:themeShade="80"/>
          <w:sz w:val="22"/>
          <w:szCs w:val="22"/>
          <w:lang w:val="en-GB"/>
        </w:rPr>
        <w:t xml:space="preserve">commence proceedings in Country B as foreign main proceedings. </w:t>
      </w:r>
    </w:p>
    <w:p w14:paraId="7C3942E9" w14:textId="77777777" w:rsidR="00DA11FC" w:rsidRDefault="00DA11FC" w:rsidP="007501FC">
      <w:pPr>
        <w:jc w:val="both"/>
        <w:rPr>
          <w:rFonts w:ascii="Avenir Next" w:hAnsi="Avenir Next" w:cs="Arial"/>
          <w:color w:val="808080" w:themeColor="background1" w:themeShade="80"/>
          <w:sz w:val="22"/>
          <w:szCs w:val="22"/>
          <w:lang w:val="en-GB"/>
        </w:rPr>
      </w:pPr>
    </w:p>
    <w:p w14:paraId="78FB8925" w14:textId="7B5DD205" w:rsidR="00426B49" w:rsidRDefault="00426B49" w:rsidP="007501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the denial of Country A’s recognition application in Country B on the basis that Country B does not consider it to be foreign main proceedings, the Country A foreign representative has the following options:</w:t>
      </w:r>
    </w:p>
    <w:p w14:paraId="45F8ADBE" w14:textId="77777777" w:rsidR="00426B49" w:rsidRDefault="00426B49" w:rsidP="007501FC">
      <w:pPr>
        <w:jc w:val="both"/>
        <w:rPr>
          <w:rFonts w:ascii="Avenir Next" w:hAnsi="Avenir Next" w:cs="Arial"/>
          <w:color w:val="808080" w:themeColor="background1" w:themeShade="80"/>
          <w:sz w:val="22"/>
          <w:szCs w:val="22"/>
          <w:lang w:val="en-GB"/>
        </w:rPr>
      </w:pPr>
    </w:p>
    <w:p w14:paraId="084CD7F0" w14:textId="77777777" w:rsidR="00FC2FCF" w:rsidRDefault="00FC2FCF" w:rsidP="00426B49">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debtor has an establishment in Country A (rather than COMI), proceedings can be commenced in Country B as foreign non-main proceedings.</w:t>
      </w:r>
    </w:p>
    <w:p w14:paraId="6E0DE2BA" w14:textId="77777777" w:rsidR="000016DA" w:rsidRDefault="000016DA" w:rsidP="000016DA">
      <w:pPr>
        <w:pStyle w:val="ListParagraph"/>
        <w:jc w:val="both"/>
        <w:rPr>
          <w:rFonts w:ascii="Avenir Next" w:hAnsi="Avenir Next" w:cs="Arial"/>
          <w:color w:val="808080" w:themeColor="background1" w:themeShade="80"/>
          <w:sz w:val="22"/>
          <w:szCs w:val="22"/>
          <w:lang w:val="en-GB"/>
        </w:rPr>
      </w:pPr>
    </w:p>
    <w:p w14:paraId="3527BC8A" w14:textId="61655310" w:rsidR="00426B49" w:rsidRDefault="009524A4" w:rsidP="00426B49">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foreign representative is comfortable</w:t>
      </w:r>
      <w:r w:rsidR="000016DA">
        <w:rPr>
          <w:rFonts w:ascii="Avenir Next" w:hAnsi="Avenir Next" w:cs="Arial"/>
          <w:color w:val="808080" w:themeColor="background1" w:themeShade="80"/>
          <w:sz w:val="22"/>
          <w:szCs w:val="22"/>
          <w:lang w:val="en-GB"/>
        </w:rPr>
        <w:t>, after proper assessment,</w:t>
      </w:r>
      <w:r>
        <w:rPr>
          <w:rFonts w:ascii="Avenir Next" w:hAnsi="Avenir Next" w:cs="Arial"/>
          <w:color w:val="808080" w:themeColor="background1" w:themeShade="80"/>
          <w:sz w:val="22"/>
          <w:szCs w:val="22"/>
          <w:lang w:val="en-GB"/>
        </w:rPr>
        <w:t xml:space="preserve"> that COMI is located in Country A, they can appeal the decision of Cou</w:t>
      </w:r>
      <w:r w:rsidR="005C597F">
        <w:rPr>
          <w:rFonts w:ascii="Avenir Next" w:hAnsi="Avenir Next" w:cs="Arial"/>
          <w:color w:val="808080" w:themeColor="background1" w:themeShade="80"/>
          <w:sz w:val="22"/>
          <w:szCs w:val="22"/>
          <w:lang w:val="en-GB"/>
        </w:rPr>
        <w:t xml:space="preserve">ntry B’s Court. </w:t>
      </w:r>
      <w:r w:rsidR="00A9211B">
        <w:rPr>
          <w:rFonts w:ascii="Avenir Next" w:hAnsi="Avenir Next" w:cs="Arial"/>
          <w:color w:val="808080" w:themeColor="background1" w:themeShade="80"/>
          <w:sz w:val="22"/>
          <w:szCs w:val="22"/>
          <w:lang w:val="en-GB"/>
        </w:rPr>
        <w:t>Given there are assets in another jurisdiction</w:t>
      </w:r>
      <w:r w:rsidR="00284901">
        <w:rPr>
          <w:rFonts w:ascii="Avenir Next" w:hAnsi="Avenir Next" w:cs="Arial"/>
          <w:color w:val="808080" w:themeColor="background1" w:themeShade="80"/>
          <w:sz w:val="22"/>
          <w:szCs w:val="22"/>
          <w:lang w:val="en-GB"/>
        </w:rPr>
        <w:t xml:space="preserve"> (potentially its principal assets)</w:t>
      </w:r>
      <w:r w:rsidR="00A9211B">
        <w:rPr>
          <w:rFonts w:ascii="Avenir Next" w:hAnsi="Avenir Next" w:cs="Arial"/>
          <w:color w:val="808080" w:themeColor="background1" w:themeShade="80"/>
          <w:sz w:val="22"/>
          <w:szCs w:val="22"/>
          <w:lang w:val="en-GB"/>
        </w:rPr>
        <w:t>, in my view it is unlikely that the debtor</w:t>
      </w:r>
      <w:r w:rsidR="00A3408C">
        <w:rPr>
          <w:rFonts w:ascii="Avenir Next" w:hAnsi="Avenir Next" w:cs="Arial"/>
          <w:color w:val="808080" w:themeColor="background1" w:themeShade="80"/>
          <w:sz w:val="22"/>
          <w:szCs w:val="22"/>
          <w:lang w:val="en-GB"/>
        </w:rPr>
        <w:t>’s COMI is in Country A. However, i</w:t>
      </w:r>
      <w:r w:rsidR="009B63C0">
        <w:rPr>
          <w:rFonts w:ascii="Avenir Next" w:hAnsi="Avenir Next" w:cs="Arial"/>
          <w:color w:val="808080" w:themeColor="background1" w:themeShade="80"/>
          <w:sz w:val="22"/>
          <w:szCs w:val="22"/>
          <w:lang w:val="en-GB"/>
        </w:rPr>
        <w:t xml:space="preserve">n the absence of any other proof/factors, the registered office is </w:t>
      </w:r>
      <w:r w:rsidR="000016DA">
        <w:rPr>
          <w:rFonts w:ascii="Avenir Next" w:hAnsi="Avenir Next" w:cs="Arial"/>
          <w:color w:val="808080" w:themeColor="background1" w:themeShade="80"/>
          <w:sz w:val="22"/>
          <w:szCs w:val="22"/>
          <w:lang w:val="en-GB"/>
        </w:rPr>
        <w:t>presumed to be a debtors COMI</w:t>
      </w:r>
      <w:r w:rsidR="00A3408C">
        <w:rPr>
          <w:rFonts w:ascii="Avenir Next" w:hAnsi="Avenir Next" w:cs="Arial"/>
          <w:color w:val="808080" w:themeColor="background1" w:themeShade="80"/>
          <w:sz w:val="22"/>
          <w:szCs w:val="22"/>
          <w:lang w:val="en-GB"/>
        </w:rPr>
        <w:t>, so the foreign representative’s assessment might be correct</w:t>
      </w:r>
      <w:r w:rsidR="000016DA">
        <w:rPr>
          <w:rFonts w:ascii="Avenir Next" w:hAnsi="Avenir Next" w:cs="Arial"/>
          <w:color w:val="808080" w:themeColor="background1" w:themeShade="80"/>
          <w:sz w:val="22"/>
          <w:szCs w:val="22"/>
          <w:lang w:val="en-GB"/>
        </w:rPr>
        <w:t>.</w:t>
      </w:r>
    </w:p>
    <w:p w14:paraId="3C354273" w14:textId="77777777" w:rsidR="00F6695E" w:rsidRPr="00F6695E" w:rsidRDefault="00F6695E" w:rsidP="00F6695E">
      <w:pPr>
        <w:pStyle w:val="ListParagraph"/>
        <w:rPr>
          <w:rFonts w:ascii="Avenir Next" w:hAnsi="Avenir Next" w:cs="Arial"/>
          <w:color w:val="808080" w:themeColor="background1" w:themeShade="80"/>
          <w:sz w:val="22"/>
          <w:szCs w:val="22"/>
          <w:lang w:val="en-GB"/>
        </w:rPr>
      </w:pPr>
    </w:p>
    <w:p w14:paraId="086C4239" w14:textId="5157E248" w:rsidR="00F6695E" w:rsidRPr="00FC2FCF" w:rsidRDefault="00F6695E" w:rsidP="00426B49">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COMI is determine to be in a jurisdiction other than Country A, insolvency proceedings could be commenced in that jurisdiction.</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 xml:space="preserve">lient also maintains its books and records in the Cayman Islands.  Its public filings with the SEC as well as the prospectus provided in connection with the issuance of the Notes disclosed that Globe Holdings is a Cayman Islands </w:t>
      </w:r>
      <w:r w:rsidRPr="00E61F6E">
        <w:rPr>
          <w:rFonts w:ascii="Avenir Next" w:hAnsi="Avenir Next"/>
          <w:sz w:val="22"/>
          <w:szCs w:val="28"/>
        </w:rPr>
        <w:lastRenderedPageBreak/>
        <w:t>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w:t>
      </w:r>
      <w:r w:rsidRPr="00E61F6E">
        <w:rPr>
          <w:rFonts w:ascii="Avenir Next" w:hAnsi="Avenir Next"/>
          <w:sz w:val="22"/>
          <w:szCs w:val="28"/>
        </w:rPr>
        <w:lastRenderedPageBreak/>
        <w:t>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0A93F510" w14:textId="3000C8EC" w:rsidR="00BE6292" w:rsidRDefault="00BE6292" w:rsidP="009E3CA7">
      <w:pPr>
        <w:jc w:val="both"/>
        <w:rPr>
          <w:rFonts w:ascii="Avenir Next" w:hAnsi="Avenir Next"/>
          <w:b/>
          <w:bCs/>
          <w:color w:val="808080" w:themeColor="background1" w:themeShade="80"/>
          <w:sz w:val="22"/>
          <w:szCs w:val="28"/>
          <w:u w:val="single"/>
        </w:rPr>
      </w:pPr>
      <w:r>
        <w:rPr>
          <w:rFonts w:ascii="Avenir Next" w:hAnsi="Avenir Next"/>
          <w:b/>
          <w:bCs/>
          <w:color w:val="808080" w:themeColor="background1" w:themeShade="80"/>
          <w:sz w:val="22"/>
          <w:szCs w:val="28"/>
          <w:u w:val="single"/>
        </w:rPr>
        <w:t>COMI</w:t>
      </w:r>
    </w:p>
    <w:p w14:paraId="1F3B65E8" w14:textId="77777777" w:rsidR="00BE6292" w:rsidRDefault="00BE6292" w:rsidP="009E3CA7">
      <w:pPr>
        <w:jc w:val="both"/>
        <w:rPr>
          <w:rFonts w:ascii="Avenir Next" w:hAnsi="Avenir Next"/>
          <w:b/>
          <w:bCs/>
          <w:color w:val="808080" w:themeColor="background1" w:themeShade="80"/>
          <w:sz w:val="22"/>
          <w:szCs w:val="28"/>
          <w:u w:val="single"/>
        </w:rPr>
      </w:pPr>
    </w:p>
    <w:p w14:paraId="4225A210" w14:textId="3ED0973C" w:rsidR="00BE6292" w:rsidRDefault="00AE04E6"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We must properly assess the location of Global Holding’s COMI. Factors </w:t>
      </w:r>
      <w:r w:rsidR="00BD3D0F">
        <w:rPr>
          <w:rFonts w:ascii="Avenir Next" w:hAnsi="Avenir Next"/>
          <w:color w:val="808080" w:themeColor="background1" w:themeShade="80"/>
          <w:sz w:val="22"/>
          <w:szCs w:val="28"/>
        </w:rPr>
        <w:t>I have</w:t>
      </w:r>
      <w:r>
        <w:rPr>
          <w:rFonts w:ascii="Avenir Next" w:hAnsi="Avenir Next"/>
          <w:color w:val="808080" w:themeColor="background1" w:themeShade="80"/>
          <w:sz w:val="22"/>
          <w:szCs w:val="28"/>
        </w:rPr>
        <w:t xml:space="preserve"> consider</w:t>
      </w:r>
      <w:r w:rsidR="00BD3D0F">
        <w:rPr>
          <w:rFonts w:ascii="Avenir Next" w:hAnsi="Avenir Next"/>
          <w:color w:val="808080" w:themeColor="background1" w:themeShade="80"/>
          <w:sz w:val="22"/>
          <w:szCs w:val="28"/>
        </w:rPr>
        <w:t>ed in determining COMI</w:t>
      </w:r>
      <w:r>
        <w:rPr>
          <w:rFonts w:ascii="Avenir Next" w:hAnsi="Avenir Next"/>
          <w:color w:val="808080" w:themeColor="background1" w:themeShade="80"/>
          <w:sz w:val="22"/>
          <w:szCs w:val="28"/>
        </w:rPr>
        <w:t xml:space="preserve"> include:</w:t>
      </w:r>
    </w:p>
    <w:p w14:paraId="30977416" w14:textId="77777777" w:rsidR="00AE04E6" w:rsidRDefault="00AE04E6" w:rsidP="009E3CA7">
      <w:pPr>
        <w:jc w:val="both"/>
        <w:rPr>
          <w:rFonts w:ascii="Avenir Next" w:hAnsi="Avenir Next"/>
          <w:color w:val="808080" w:themeColor="background1" w:themeShade="80"/>
          <w:sz w:val="22"/>
          <w:szCs w:val="28"/>
        </w:rPr>
      </w:pPr>
    </w:p>
    <w:p w14:paraId="574D369D" w14:textId="3388D235" w:rsidR="00AE04E6" w:rsidRDefault="00332568" w:rsidP="00AE04E6">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of its books and records – the Cayman Islands.</w:t>
      </w:r>
    </w:p>
    <w:p w14:paraId="023B2302" w14:textId="324AD0F3" w:rsidR="00FA1ABC" w:rsidRPr="00FA1ABC" w:rsidRDefault="005C6411" w:rsidP="00FA1ABC">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location where financing was organized or authorized </w:t>
      </w:r>
      <w:r w:rsidR="00D814D4">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w:t>
      </w:r>
      <w:r w:rsidR="00D814D4">
        <w:rPr>
          <w:rFonts w:ascii="Avenir Next" w:hAnsi="Avenir Next"/>
          <w:color w:val="808080" w:themeColor="background1" w:themeShade="80"/>
          <w:sz w:val="22"/>
          <w:szCs w:val="28"/>
        </w:rPr>
        <w:t xml:space="preserve">Global Holding’s </w:t>
      </w:r>
      <w:r w:rsidR="00B42FE7">
        <w:rPr>
          <w:rFonts w:ascii="Avenir Next" w:hAnsi="Avenir Next"/>
          <w:color w:val="808080" w:themeColor="background1" w:themeShade="80"/>
          <w:sz w:val="22"/>
          <w:szCs w:val="28"/>
        </w:rPr>
        <w:t>unsecured notes issued in 2017 are governed by New York law.</w:t>
      </w:r>
      <w:r w:rsidR="00081997">
        <w:rPr>
          <w:rFonts w:ascii="Avenir Next" w:hAnsi="Avenir Next"/>
          <w:color w:val="808080" w:themeColor="background1" w:themeShade="80"/>
          <w:sz w:val="22"/>
          <w:szCs w:val="28"/>
        </w:rPr>
        <w:t xml:space="preserve"> </w:t>
      </w:r>
    </w:p>
    <w:p w14:paraId="15CF04B2" w14:textId="63641308" w:rsidR="00265690" w:rsidRDefault="00265690" w:rsidP="00AE04E6">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of the debtor’s primary bank - Global Holdings has a bank account in the Cayman Islands however this was only opened a few days ago and only pays “certain” of its operating expenses. In my view it is unlikely that this is the entity’s primary bank account.</w:t>
      </w:r>
    </w:p>
    <w:p w14:paraId="7326A596" w14:textId="234DE423" w:rsidR="004404B6" w:rsidRDefault="00BC3F2C" w:rsidP="00AE04E6">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location </w:t>
      </w:r>
      <w:r w:rsidRPr="00BC3F2C">
        <w:rPr>
          <w:rFonts w:ascii="Avenir Next" w:hAnsi="Avenir Next"/>
          <w:color w:val="808080" w:themeColor="background1" w:themeShade="80"/>
          <w:sz w:val="22"/>
          <w:szCs w:val="28"/>
        </w:rPr>
        <w:t>from where the cash management system was run</w:t>
      </w:r>
      <w:r>
        <w:rPr>
          <w:rFonts w:ascii="Avenir Next" w:hAnsi="Avenir Next"/>
          <w:color w:val="808080" w:themeColor="background1" w:themeShade="80"/>
          <w:sz w:val="22"/>
          <w:szCs w:val="28"/>
        </w:rPr>
        <w:t xml:space="preserve"> </w:t>
      </w:r>
      <w:r w:rsidR="00084389">
        <w:rPr>
          <w:rFonts w:ascii="Avenir Next" w:hAnsi="Avenir Next"/>
          <w:color w:val="808080" w:themeColor="background1" w:themeShade="80"/>
          <w:sz w:val="22"/>
          <w:szCs w:val="28"/>
        </w:rPr>
        <w:t>–</w:t>
      </w:r>
      <w:r w:rsidR="00265690">
        <w:rPr>
          <w:rFonts w:ascii="Avenir Next" w:hAnsi="Avenir Next"/>
          <w:color w:val="808080" w:themeColor="background1" w:themeShade="80"/>
          <w:sz w:val="22"/>
          <w:szCs w:val="28"/>
        </w:rPr>
        <w:t xml:space="preserve"> </w:t>
      </w:r>
      <w:r w:rsidR="006E446E">
        <w:rPr>
          <w:rFonts w:ascii="Avenir Next" w:hAnsi="Avenir Next"/>
          <w:color w:val="808080" w:themeColor="background1" w:themeShade="80"/>
          <w:sz w:val="22"/>
          <w:szCs w:val="28"/>
        </w:rPr>
        <w:t>There are no employees in the Cayman Islands. Given th</w:t>
      </w:r>
      <w:r w:rsidR="00E34208">
        <w:rPr>
          <w:rFonts w:ascii="Avenir Next" w:hAnsi="Avenir Next"/>
          <w:color w:val="808080" w:themeColor="background1" w:themeShade="80"/>
          <w:sz w:val="22"/>
          <w:szCs w:val="28"/>
        </w:rPr>
        <w:t>is information, i</w:t>
      </w:r>
      <w:r w:rsidR="006E446E">
        <w:rPr>
          <w:rFonts w:ascii="Avenir Next" w:hAnsi="Avenir Next"/>
          <w:color w:val="808080" w:themeColor="background1" w:themeShade="80"/>
          <w:sz w:val="22"/>
          <w:szCs w:val="28"/>
        </w:rPr>
        <w:t>n my view its cash management system is not run out of the Cayman Islands</w:t>
      </w:r>
      <w:r w:rsidR="00E34208">
        <w:rPr>
          <w:rFonts w:ascii="Avenir Next" w:hAnsi="Avenir Next"/>
          <w:color w:val="808080" w:themeColor="background1" w:themeShade="80"/>
          <w:sz w:val="22"/>
          <w:szCs w:val="28"/>
        </w:rPr>
        <w:t xml:space="preserve"> and it is likely run out of the US</w:t>
      </w:r>
      <w:r w:rsidR="006E446E">
        <w:rPr>
          <w:rFonts w:ascii="Avenir Next" w:hAnsi="Avenir Next"/>
          <w:color w:val="808080" w:themeColor="background1" w:themeShade="80"/>
          <w:sz w:val="22"/>
          <w:szCs w:val="28"/>
        </w:rPr>
        <w:t>.</w:t>
      </w:r>
      <w:r w:rsidR="00E34208">
        <w:rPr>
          <w:rFonts w:ascii="Avenir Next" w:hAnsi="Avenir Next"/>
          <w:color w:val="808080" w:themeColor="background1" w:themeShade="80"/>
          <w:sz w:val="22"/>
          <w:szCs w:val="28"/>
        </w:rPr>
        <w:t xml:space="preserve"> </w:t>
      </w:r>
      <w:r w:rsidR="00F707FE">
        <w:rPr>
          <w:rFonts w:ascii="Avenir Next" w:hAnsi="Avenir Next"/>
          <w:color w:val="808080" w:themeColor="background1" w:themeShade="80"/>
          <w:sz w:val="22"/>
          <w:szCs w:val="28"/>
        </w:rPr>
        <w:t>However, given it has no operations, and therefore I’d expect minimal cash management required, I’m of the view that this factor shouldn’t hold much weight.</w:t>
      </w:r>
    </w:p>
    <w:p w14:paraId="3C32E52A" w14:textId="02A904FF" w:rsidR="006E446E" w:rsidRDefault="00552311" w:rsidP="00AE04E6">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w:t>
      </w:r>
      <w:r w:rsidRPr="00552311">
        <w:rPr>
          <w:rFonts w:ascii="Avenir Next" w:hAnsi="Avenir Next"/>
          <w:color w:val="808080" w:themeColor="background1" w:themeShade="80"/>
          <w:sz w:val="22"/>
          <w:szCs w:val="28"/>
        </w:rPr>
        <w:t>he location in which the debtor’s principal assets or operations are found</w:t>
      </w:r>
      <w:r>
        <w:rPr>
          <w:rFonts w:ascii="Avenir Next" w:hAnsi="Avenir Next"/>
          <w:color w:val="808080" w:themeColor="background1" w:themeShade="80"/>
          <w:sz w:val="22"/>
          <w:szCs w:val="28"/>
        </w:rPr>
        <w:t xml:space="preserve"> – Global Holding’s principal assets are its subsidiaries which are all based in the US. It does not have </w:t>
      </w:r>
      <w:r w:rsidR="00E6777C">
        <w:rPr>
          <w:rFonts w:ascii="Avenir Next" w:hAnsi="Avenir Next"/>
          <w:color w:val="808080" w:themeColor="background1" w:themeShade="80"/>
          <w:sz w:val="22"/>
          <w:szCs w:val="28"/>
        </w:rPr>
        <w:t xml:space="preserve">business </w:t>
      </w:r>
      <w:r>
        <w:rPr>
          <w:rFonts w:ascii="Avenir Next" w:hAnsi="Avenir Next"/>
          <w:color w:val="808080" w:themeColor="background1" w:themeShade="80"/>
          <w:sz w:val="22"/>
          <w:szCs w:val="28"/>
        </w:rPr>
        <w:t>operations</w:t>
      </w:r>
      <w:r w:rsidR="00E6777C">
        <w:rPr>
          <w:rFonts w:ascii="Avenir Next" w:hAnsi="Avenir Next"/>
          <w:color w:val="808080" w:themeColor="background1" w:themeShade="80"/>
          <w:sz w:val="22"/>
          <w:szCs w:val="28"/>
        </w:rPr>
        <w:t xml:space="preserve"> of its own</w:t>
      </w:r>
      <w:r w:rsidR="009046F8">
        <w:rPr>
          <w:rFonts w:ascii="Avenir Next" w:hAnsi="Avenir Next"/>
          <w:color w:val="808080" w:themeColor="background1" w:themeShade="80"/>
          <w:sz w:val="22"/>
          <w:szCs w:val="28"/>
        </w:rPr>
        <w:t xml:space="preserve">. </w:t>
      </w:r>
      <w:r w:rsidR="00475D45">
        <w:rPr>
          <w:rFonts w:ascii="Avenir Next" w:hAnsi="Avenir Next"/>
          <w:color w:val="808080" w:themeColor="background1" w:themeShade="80"/>
          <w:sz w:val="22"/>
          <w:szCs w:val="28"/>
        </w:rPr>
        <w:t xml:space="preserve">Its </w:t>
      </w:r>
      <w:r w:rsidR="002A2C3A">
        <w:rPr>
          <w:rFonts w:ascii="Avenir Next" w:hAnsi="Avenir Next"/>
          <w:color w:val="808080" w:themeColor="background1" w:themeShade="80"/>
          <w:sz w:val="22"/>
          <w:szCs w:val="28"/>
        </w:rPr>
        <w:t xml:space="preserve">headquarters </w:t>
      </w:r>
      <w:r w:rsidR="00B73E18">
        <w:rPr>
          <w:rFonts w:ascii="Avenir Next" w:hAnsi="Avenir Next"/>
          <w:color w:val="808080" w:themeColor="background1" w:themeShade="80"/>
          <w:sz w:val="22"/>
          <w:szCs w:val="28"/>
        </w:rPr>
        <w:t xml:space="preserve">(including land, building, improvements and contents) </w:t>
      </w:r>
      <w:r w:rsidR="002A2C3A">
        <w:rPr>
          <w:rFonts w:ascii="Avenir Next" w:hAnsi="Avenir Next"/>
          <w:color w:val="808080" w:themeColor="background1" w:themeShade="80"/>
          <w:sz w:val="22"/>
          <w:szCs w:val="28"/>
        </w:rPr>
        <w:t xml:space="preserve">are in New York. </w:t>
      </w:r>
      <w:r w:rsidR="0095219E">
        <w:rPr>
          <w:rFonts w:ascii="Avenir Next" w:hAnsi="Avenir Next"/>
          <w:color w:val="808080" w:themeColor="background1" w:themeShade="80"/>
          <w:sz w:val="22"/>
          <w:szCs w:val="28"/>
        </w:rPr>
        <w:t xml:space="preserve">However, </w:t>
      </w:r>
      <w:r w:rsidR="002A2C3A">
        <w:rPr>
          <w:rFonts w:ascii="Avenir Next" w:hAnsi="Avenir Next"/>
          <w:color w:val="808080" w:themeColor="background1" w:themeShade="80"/>
          <w:sz w:val="22"/>
          <w:szCs w:val="28"/>
        </w:rPr>
        <w:t xml:space="preserve">the information does not specify that </w:t>
      </w:r>
      <w:r w:rsidR="00B73E18">
        <w:rPr>
          <w:rFonts w:ascii="Avenir Next" w:hAnsi="Avenir Next"/>
          <w:color w:val="808080" w:themeColor="background1" w:themeShade="80"/>
          <w:sz w:val="22"/>
          <w:szCs w:val="28"/>
        </w:rPr>
        <w:t>this is an asset of Global Holdings</w:t>
      </w:r>
      <w:r w:rsidR="0095219E">
        <w:rPr>
          <w:rFonts w:ascii="Avenir Next" w:hAnsi="Avenir Next"/>
          <w:color w:val="808080" w:themeColor="background1" w:themeShade="80"/>
          <w:sz w:val="22"/>
          <w:szCs w:val="28"/>
        </w:rPr>
        <w:t>.</w:t>
      </w:r>
    </w:p>
    <w:p w14:paraId="4031349F" w14:textId="515E5546" w:rsidR="00552311" w:rsidRDefault="00265690" w:rsidP="00AE04E6">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location of employees </w:t>
      </w:r>
      <w:r w:rsidR="002064D8">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w:t>
      </w:r>
      <w:r w:rsidR="002064D8">
        <w:rPr>
          <w:rFonts w:ascii="Avenir Next" w:hAnsi="Avenir Next"/>
          <w:color w:val="808080" w:themeColor="background1" w:themeShade="80"/>
          <w:sz w:val="22"/>
          <w:szCs w:val="28"/>
        </w:rPr>
        <w:t>All employees are in the US</w:t>
      </w:r>
      <w:r w:rsidR="0054250E">
        <w:rPr>
          <w:rFonts w:ascii="Avenir Next" w:hAnsi="Avenir Next"/>
          <w:color w:val="808080" w:themeColor="background1" w:themeShade="80"/>
          <w:sz w:val="22"/>
          <w:szCs w:val="28"/>
        </w:rPr>
        <w:t>, albeit, given it has no operations, and therefore I’d expect minimal number of employees required, I’m of the view that this factor shouldn’t hold much weight</w:t>
      </w:r>
      <w:r w:rsidR="002064D8">
        <w:rPr>
          <w:rFonts w:ascii="Avenir Next" w:hAnsi="Avenir Next"/>
          <w:color w:val="808080" w:themeColor="background1" w:themeShade="80"/>
          <w:sz w:val="22"/>
          <w:szCs w:val="28"/>
        </w:rPr>
        <w:t>.</w:t>
      </w:r>
    </w:p>
    <w:p w14:paraId="4A7A989F" w14:textId="6AC4817E" w:rsidR="002064D8" w:rsidRDefault="002064D8" w:rsidP="00AE04E6">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in which commercial policy was determined – This was likely Canada, where the entity was first incorporated.</w:t>
      </w:r>
      <w:r w:rsidR="003E0CB2">
        <w:rPr>
          <w:rFonts w:ascii="Avenir Next" w:hAnsi="Avenir Next"/>
          <w:color w:val="808080" w:themeColor="background1" w:themeShade="80"/>
          <w:sz w:val="22"/>
          <w:szCs w:val="28"/>
        </w:rPr>
        <w:t xml:space="preserve"> The entity has no other link to Canada so in my view we can be comfortable that COMI is not in Canada.</w:t>
      </w:r>
    </w:p>
    <w:p w14:paraId="33CC9B0A" w14:textId="29D2FB02" w:rsidR="00FA1ABC" w:rsidRDefault="00FA1ABC" w:rsidP="00AE04E6">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When Global Holdings was re-</w:t>
      </w:r>
      <w:r w:rsidR="001667A7">
        <w:rPr>
          <w:rFonts w:ascii="Avenir Next" w:hAnsi="Avenir Next"/>
          <w:color w:val="808080" w:themeColor="background1" w:themeShade="80"/>
          <w:sz w:val="22"/>
          <w:szCs w:val="28"/>
        </w:rPr>
        <w:t>incorporated</w:t>
      </w:r>
      <w:r>
        <w:rPr>
          <w:rFonts w:ascii="Avenir Next" w:hAnsi="Avenir Next"/>
          <w:color w:val="808080" w:themeColor="background1" w:themeShade="80"/>
          <w:sz w:val="22"/>
          <w:szCs w:val="28"/>
        </w:rPr>
        <w:t xml:space="preserve"> </w:t>
      </w:r>
      <w:r w:rsidR="001667A7">
        <w:rPr>
          <w:rFonts w:ascii="Avenir Next" w:hAnsi="Avenir Next"/>
          <w:color w:val="808080" w:themeColor="background1" w:themeShade="80"/>
          <w:sz w:val="22"/>
          <w:szCs w:val="28"/>
        </w:rPr>
        <w:t xml:space="preserve">in </w:t>
      </w:r>
      <w:r>
        <w:rPr>
          <w:rFonts w:ascii="Avenir Next" w:hAnsi="Avenir Next"/>
          <w:color w:val="808080" w:themeColor="background1" w:themeShade="80"/>
          <w:sz w:val="22"/>
          <w:szCs w:val="28"/>
        </w:rPr>
        <w:t xml:space="preserve">the Cayman Islands, </w:t>
      </w:r>
      <w:r w:rsidR="00656FED">
        <w:rPr>
          <w:rFonts w:ascii="Avenir Next" w:hAnsi="Avenir Next"/>
          <w:color w:val="808080" w:themeColor="background1" w:themeShade="80"/>
          <w:sz w:val="22"/>
          <w:szCs w:val="28"/>
        </w:rPr>
        <w:t xml:space="preserve">public filings were made to the SEC (US based) </w:t>
      </w:r>
      <w:r w:rsidR="008B7FB7">
        <w:rPr>
          <w:rFonts w:ascii="Avenir Next" w:hAnsi="Avenir Next"/>
          <w:color w:val="808080" w:themeColor="background1" w:themeShade="80"/>
          <w:sz w:val="22"/>
          <w:szCs w:val="28"/>
        </w:rPr>
        <w:t xml:space="preserve">further </w:t>
      </w:r>
      <w:r w:rsidR="005F481C">
        <w:rPr>
          <w:rFonts w:ascii="Avenir Next" w:hAnsi="Avenir Next"/>
          <w:color w:val="808080" w:themeColor="background1" w:themeShade="80"/>
          <w:sz w:val="22"/>
          <w:szCs w:val="28"/>
        </w:rPr>
        <w:t>implying that the</w:t>
      </w:r>
      <w:r w:rsidR="008B7FB7">
        <w:rPr>
          <w:rFonts w:ascii="Avenir Next" w:hAnsi="Avenir Next"/>
          <w:color w:val="808080" w:themeColor="background1" w:themeShade="80"/>
          <w:sz w:val="22"/>
          <w:szCs w:val="28"/>
        </w:rPr>
        <w:t xml:space="preserve"> entity has interests in the US</w:t>
      </w:r>
      <w:r w:rsidR="00AD7B89">
        <w:rPr>
          <w:rFonts w:ascii="Avenir Next" w:hAnsi="Avenir Next"/>
          <w:color w:val="808080" w:themeColor="background1" w:themeShade="80"/>
          <w:sz w:val="22"/>
          <w:szCs w:val="28"/>
        </w:rPr>
        <w:t>, albeit I’m of the view that this is because on a consolidated basis</w:t>
      </w:r>
      <w:r w:rsidR="00540B8C">
        <w:rPr>
          <w:rFonts w:ascii="Avenir Next" w:hAnsi="Avenir Next"/>
          <w:color w:val="808080" w:themeColor="background1" w:themeShade="80"/>
          <w:sz w:val="22"/>
          <w:szCs w:val="28"/>
        </w:rPr>
        <w:t xml:space="preserve"> interests are in the US.</w:t>
      </w:r>
    </w:p>
    <w:p w14:paraId="0F13A0E9" w14:textId="53DF0031" w:rsidR="008B7FB7" w:rsidRDefault="008B7FB7" w:rsidP="00AE04E6">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Shares in </w:t>
      </w:r>
      <w:r w:rsidR="00734D1B">
        <w:rPr>
          <w:rFonts w:ascii="Avenir Next" w:hAnsi="Avenir Next"/>
          <w:color w:val="808080" w:themeColor="background1" w:themeShade="80"/>
          <w:sz w:val="22"/>
          <w:szCs w:val="28"/>
        </w:rPr>
        <w:t>Global Holdings were listed on NASDAQ in the US, prior to being delisted.</w:t>
      </w:r>
    </w:p>
    <w:p w14:paraId="32A45AA2" w14:textId="180D7C3D" w:rsidR="001354B4" w:rsidRDefault="001354B4" w:rsidP="00AE04E6">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w:t>
      </w:r>
      <w:r w:rsidRPr="001354B4">
        <w:rPr>
          <w:rFonts w:ascii="Avenir Next" w:hAnsi="Avenir Next"/>
          <w:color w:val="808080" w:themeColor="background1" w:themeShade="80"/>
          <w:sz w:val="22"/>
          <w:szCs w:val="28"/>
        </w:rPr>
        <w:t>he location from which reorganisation of the debtor was being conducted</w:t>
      </w:r>
      <w:r>
        <w:rPr>
          <w:rFonts w:ascii="Avenir Next" w:hAnsi="Avenir Next"/>
          <w:color w:val="808080" w:themeColor="background1" w:themeShade="80"/>
          <w:sz w:val="22"/>
          <w:szCs w:val="28"/>
        </w:rPr>
        <w:t xml:space="preserve"> – Global Holding’s restructuring advisors, Cedar and Wood are based in the Cayman Islands.</w:t>
      </w:r>
      <w:r w:rsidR="007418BA">
        <w:rPr>
          <w:rFonts w:ascii="Avenir Next" w:hAnsi="Avenir Next"/>
          <w:color w:val="808080" w:themeColor="background1" w:themeShade="80"/>
          <w:sz w:val="22"/>
          <w:szCs w:val="28"/>
        </w:rPr>
        <w:t xml:space="preserve"> Cedar and Wood have been the entity’s legal counsel for over a decade.</w:t>
      </w:r>
    </w:p>
    <w:p w14:paraId="06BD6CD5" w14:textId="482C5CCF" w:rsidR="003F1F6A" w:rsidRDefault="003F1F6A" w:rsidP="00AE04E6">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location of board meetings </w:t>
      </w:r>
      <w:r w:rsidR="00977DB5">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w:t>
      </w:r>
      <w:r w:rsidR="00977DB5">
        <w:rPr>
          <w:rFonts w:ascii="Avenir Next" w:hAnsi="Avenir Next"/>
          <w:color w:val="808080" w:themeColor="background1" w:themeShade="80"/>
          <w:sz w:val="22"/>
          <w:szCs w:val="28"/>
        </w:rPr>
        <w:t xml:space="preserve">The meetings regarding the restructuring of Global Holding’s notes are </w:t>
      </w:r>
      <w:r w:rsidR="003F1D58">
        <w:rPr>
          <w:rFonts w:ascii="Avenir Next" w:hAnsi="Avenir Next"/>
          <w:color w:val="808080" w:themeColor="background1" w:themeShade="80"/>
          <w:sz w:val="22"/>
          <w:szCs w:val="28"/>
        </w:rPr>
        <w:t xml:space="preserve">organized by local Cayman Islands counsel. The reason these meetings are occurring virtually is due to the Covid-19 pandemic. </w:t>
      </w:r>
      <w:r w:rsidR="00977DB5">
        <w:rPr>
          <w:rFonts w:ascii="Avenir Next" w:hAnsi="Avenir Next"/>
          <w:color w:val="808080" w:themeColor="background1" w:themeShade="80"/>
          <w:sz w:val="22"/>
          <w:szCs w:val="28"/>
        </w:rPr>
        <w:t xml:space="preserve"> </w:t>
      </w:r>
    </w:p>
    <w:p w14:paraId="04B4DF45" w14:textId="77777777" w:rsidR="00BE6292" w:rsidRDefault="00BE6292" w:rsidP="009E3CA7">
      <w:pPr>
        <w:jc w:val="both"/>
        <w:rPr>
          <w:rFonts w:ascii="Avenir Next" w:hAnsi="Avenir Next"/>
          <w:color w:val="808080" w:themeColor="background1" w:themeShade="80"/>
          <w:sz w:val="22"/>
          <w:szCs w:val="28"/>
        </w:rPr>
      </w:pPr>
    </w:p>
    <w:p w14:paraId="19874DFC" w14:textId="34A7B3DD" w:rsidR="00AE04E6" w:rsidRDefault="00AE04E6"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Considering the above on a holistic basis, </w:t>
      </w:r>
      <w:r w:rsidR="004C1595">
        <w:rPr>
          <w:rFonts w:ascii="Avenir Next" w:hAnsi="Avenir Next"/>
          <w:color w:val="808080" w:themeColor="background1" w:themeShade="80"/>
          <w:sz w:val="22"/>
          <w:szCs w:val="28"/>
        </w:rPr>
        <w:t xml:space="preserve">I am of the view that </w:t>
      </w:r>
      <w:r w:rsidR="004A3670">
        <w:rPr>
          <w:rFonts w:ascii="Avenir Next" w:hAnsi="Avenir Next"/>
          <w:color w:val="808080" w:themeColor="background1" w:themeShade="80"/>
          <w:sz w:val="22"/>
          <w:szCs w:val="28"/>
        </w:rPr>
        <w:t xml:space="preserve">COMI </w:t>
      </w:r>
      <w:r w:rsidR="004C1595">
        <w:rPr>
          <w:rFonts w:ascii="Avenir Next" w:hAnsi="Avenir Next"/>
          <w:color w:val="808080" w:themeColor="background1" w:themeShade="80"/>
          <w:sz w:val="22"/>
          <w:szCs w:val="28"/>
        </w:rPr>
        <w:t xml:space="preserve">of Global Holdings is located in the </w:t>
      </w:r>
      <w:r w:rsidR="004A3670">
        <w:rPr>
          <w:rFonts w:ascii="Avenir Next" w:hAnsi="Avenir Next"/>
          <w:color w:val="808080" w:themeColor="background1" w:themeShade="80"/>
          <w:sz w:val="22"/>
          <w:szCs w:val="28"/>
        </w:rPr>
        <w:t>Cayman</w:t>
      </w:r>
      <w:r w:rsidR="004C1595">
        <w:rPr>
          <w:rFonts w:ascii="Avenir Next" w:hAnsi="Avenir Next"/>
          <w:color w:val="808080" w:themeColor="background1" w:themeShade="80"/>
          <w:sz w:val="22"/>
          <w:szCs w:val="28"/>
        </w:rPr>
        <w:t xml:space="preserve"> Islands</w:t>
      </w:r>
      <w:r w:rsidR="004A3670">
        <w:rPr>
          <w:rFonts w:ascii="Avenir Next" w:hAnsi="Avenir Next"/>
          <w:color w:val="808080" w:themeColor="background1" w:themeShade="80"/>
          <w:sz w:val="22"/>
          <w:szCs w:val="28"/>
        </w:rPr>
        <w:t xml:space="preserve">. </w:t>
      </w:r>
      <w:r w:rsidR="004C1595">
        <w:rPr>
          <w:rFonts w:ascii="Avenir Next" w:hAnsi="Avenir Next"/>
          <w:color w:val="808080" w:themeColor="background1" w:themeShade="80"/>
          <w:sz w:val="22"/>
          <w:szCs w:val="28"/>
        </w:rPr>
        <w:t xml:space="preserve">Whilst there are </w:t>
      </w:r>
      <w:r w:rsidR="004A3670">
        <w:rPr>
          <w:rFonts w:ascii="Avenir Next" w:hAnsi="Avenir Next"/>
          <w:color w:val="808080" w:themeColor="background1" w:themeShade="80"/>
          <w:sz w:val="22"/>
          <w:szCs w:val="28"/>
        </w:rPr>
        <w:t xml:space="preserve">factors that indicate that </w:t>
      </w:r>
      <w:r w:rsidR="004C1595">
        <w:rPr>
          <w:rFonts w:ascii="Avenir Next" w:hAnsi="Avenir Next"/>
          <w:color w:val="808080" w:themeColor="background1" w:themeShade="80"/>
          <w:sz w:val="22"/>
          <w:szCs w:val="28"/>
        </w:rPr>
        <w:t xml:space="preserve">COMI is located in the </w:t>
      </w:r>
      <w:r w:rsidR="004A3670">
        <w:rPr>
          <w:rFonts w:ascii="Avenir Next" w:hAnsi="Avenir Next"/>
          <w:color w:val="808080" w:themeColor="background1" w:themeShade="80"/>
          <w:sz w:val="22"/>
          <w:szCs w:val="28"/>
        </w:rPr>
        <w:t>US</w:t>
      </w:r>
      <w:r w:rsidR="004C1595">
        <w:rPr>
          <w:rFonts w:ascii="Avenir Next" w:hAnsi="Avenir Next"/>
          <w:color w:val="808080" w:themeColor="background1" w:themeShade="80"/>
          <w:sz w:val="22"/>
          <w:szCs w:val="28"/>
        </w:rPr>
        <w:t xml:space="preserve">, these </w:t>
      </w:r>
      <w:r w:rsidR="002431F6">
        <w:rPr>
          <w:rFonts w:ascii="Avenir Next" w:hAnsi="Avenir Next"/>
          <w:color w:val="808080" w:themeColor="background1" w:themeShade="80"/>
          <w:sz w:val="22"/>
          <w:szCs w:val="28"/>
        </w:rPr>
        <w:t xml:space="preserve">are more relevant when looking at the group on a consolidated basis. From a holding company only perspective, the </w:t>
      </w:r>
      <w:r w:rsidR="008858F8">
        <w:rPr>
          <w:rFonts w:ascii="Avenir Next" w:hAnsi="Avenir Next"/>
          <w:color w:val="808080" w:themeColor="background1" w:themeShade="80"/>
          <w:sz w:val="22"/>
          <w:szCs w:val="28"/>
        </w:rPr>
        <w:t xml:space="preserve">key influencing factors – the </w:t>
      </w:r>
      <w:r w:rsidR="002B5EE5">
        <w:rPr>
          <w:rFonts w:ascii="Avenir Next" w:hAnsi="Avenir Next"/>
          <w:color w:val="808080" w:themeColor="background1" w:themeShade="80"/>
          <w:sz w:val="22"/>
          <w:szCs w:val="28"/>
        </w:rPr>
        <w:t xml:space="preserve">notes and </w:t>
      </w:r>
      <w:r w:rsidR="008858F8">
        <w:rPr>
          <w:rFonts w:ascii="Avenir Next" w:hAnsi="Avenir Next"/>
          <w:color w:val="808080" w:themeColor="background1" w:themeShade="80"/>
          <w:sz w:val="22"/>
          <w:szCs w:val="28"/>
        </w:rPr>
        <w:t xml:space="preserve">restructuring of the </w:t>
      </w:r>
      <w:r w:rsidR="002B5EE5">
        <w:rPr>
          <w:rFonts w:ascii="Avenir Next" w:hAnsi="Avenir Next"/>
          <w:color w:val="808080" w:themeColor="background1" w:themeShade="80"/>
          <w:sz w:val="22"/>
          <w:szCs w:val="28"/>
        </w:rPr>
        <w:t xml:space="preserve">same </w:t>
      </w:r>
      <w:r w:rsidR="0043394D">
        <w:rPr>
          <w:rFonts w:ascii="Avenir Next" w:hAnsi="Avenir Next"/>
          <w:color w:val="808080" w:themeColor="background1" w:themeShade="80"/>
          <w:sz w:val="22"/>
          <w:szCs w:val="28"/>
        </w:rPr>
        <w:t>–</w:t>
      </w:r>
      <w:r w:rsidR="002B5EE5">
        <w:rPr>
          <w:rFonts w:ascii="Avenir Next" w:hAnsi="Avenir Next"/>
          <w:color w:val="808080" w:themeColor="background1" w:themeShade="80"/>
          <w:sz w:val="22"/>
          <w:szCs w:val="28"/>
        </w:rPr>
        <w:t xml:space="preserve"> </w:t>
      </w:r>
      <w:r w:rsidR="0043394D">
        <w:rPr>
          <w:rFonts w:ascii="Avenir Next" w:hAnsi="Avenir Next"/>
          <w:color w:val="808080" w:themeColor="background1" w:themeShade="80"/>
          <w:sz w:val="22"/>
          <w:szCs w:val="28"/>
        </w:rPr>
        <w:t>indicate that</w:t>
      </w:r>
      <w:r w:rsidR="006D53B3">
        <w:rPr>
          <w:rFonts w:ascii="Avenir Next" w:hAnsi="Avenir Next"/>
          <w:color w:val="808080" w:themeColor="background1" w:themeShade="80"/>
          <w:sz w:val="22"/>
          <w:szCs w:val="28"/>
        </w:rPr>
        <w:t>, on balance,</w:t>
      </w:r>
      <w:r w:rsidR="0043394D">
        <w:rPr>
          <w:rFonts w:ascii="Avenir Next" w:hAnsi="Avenir Next"/>
          <w:color w:val="808080" w:themeColor="background1" w:themeShade="80"/>
          <w:sz w:val="22"/>
          <w:szCs w:val="28"/>
        </w:rPr>
        <w:t xml:space="preserve"> COMI is most likely located in the Cayman Islands.</w:t>
      </w:r>
    </w:p>
    <w:p w14:paraId="5C11A2E2" w14:textId="77777777" w:rsidR="009328E7" w:rsidRDefault="009328E7" w:rsidP="009E3CA7">
      <w:pPr>
        <w:jc w:val="both"/>
        <w:rPr>
          <w:rFonts w:ascii="Avenir Next" w:hAnsi="Avenir Next"/>
          <w:color w:val="808080" w:themeColor="background1" w:themeShade="80"/>
          <w:sz w:val="22"/>
          <w:szCs w:val="28"/>
        </w:rPr>
      </w:pPr>
    </w:p>
    <w:p w14:paraId="19A57B1E" w14:textId="1EDF82DA" w:rsidR="009328E7" w:rsidRDefault="009328E7"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is arguably clear that the COMI of the underlying subsidiaries of Global Holdings is located in the US.</w:t>
      </w:r>
    </w:p>
    <w:p w14:paraId="5D406AB0" w14:textId="77777777" w:rsidR="009B07C1" w:rsidRDefault="009B07C1" w:rsidP="009E3CA7">
      <w:pPr>
        <w:jc w:val="both"/>
        <w:rPr>
          <w:rFonts w:ascii="Avenir Next" w:hAnsi="Avenir Next"/>
          <w:color w:val="808080" w:themeColor="background1" w:themeShade="80"/>
          <w:sz w:val="22"/>
          <w:szCs w:val="28"/>
        </w:rPr>
      </w:pPr>
    </w:p>
    <w:p w14:paraId="016B2044" w14:textId="34400EC8" w:rsidR="006D53B3" w:rsidRDefault="006D53B3" w:rsidP="009E3CA7">
      <w:pPr>
        <w:jc w:val="both"/>
        <w:rPr>
          <w:rFonts w:ascii="Avenir Next" w:hAnsi="Avenir Next"/>
          <w:color w:val="808080" w:themeColor="background1" w:themeShade="80"/>
          <w:sz w:val="22"/>
          <w:szCs w:val="28"/>
        </w:rPr>
      </w:pPr>
      <w:r>
        <w:rPr>
          <w:rFonts w:ascii="Avenir Next" w:hAnsi="Avenir Next"/>
          <w:b/>
          <w:bCs/>
          <w:color w:val="808080" w:themeColor="background1" w:themeShade="80"/>
          <w:sz w:val="22"/>
          <w:szCs w:val="28"/>
          <w:u w:val="single"/>
        </w:rPr>
        <w:t>Establishment</w:t>
      </w:r>
    </w:p>
    <w:p w14:paraId="163EF00A" w14:textId="77777777" w:rsidR="006D53B3" w:rsidRDefault="006D53B3" w:rsidP="009E3CA7">
      <w:pPr>
        <w:jc w:val="both"/>
        <w:rPr>
          <w:rFonts w:ascii="Avenir Next" w:hAnsi="Avenir Next"/>
          <w:color w:val="808080" w:themeColor="background1" w:themeShade="80"/>
          <w:sz w:val="22"/>
          <w:szCs w:val="28"/>
        </w:rPr>
      </w:pPr>
    </w:p>
    <w:p w14:paraId="68D89551" w14:textId="5EAF3278" w:rsidR="00F245A8" w:rsidRDefault="00C61F94" w:rsidP="00532A7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An Establishment is defined as </w:t>
      </w:r>
      <w:r w:rsidRPr="00C61F94">
        <w:rPr>
          <w:rFonts w:ascii="Avenir Next" w:hAnsi="Avenir Next"/>
          <w:i/>
          <w:iCs/>
          <w:color w:val="808080" w:themeColor="background1" w:themeShade="80"/>
          <w:sz w:val="22"/>
          <w:szCs w:val="28"/>
        </w:rPr>
        <w:t>“any place of operations where the debtor carries out a non-transitory economic activity with human means and goods or services</w:t>
      </w:r>
      <w:r>
        <w:rPr>
          <w:rFonts w:ascii="Avenir Next" w:hAnsi="Avenir Next"/>
          <w:color w:val="808080" w:themeColor="background1" w:themeShade="80"/>
          <w:sz w:val="22"/>
          <w:szCs w:val="28"/>
        </w:rPr>
        <w:t>”</w:t>
      </w:r>
      <w:r w:rsidRPr="00C61F94">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w:t>
      </w:r>
      <w:r w:rsidR="009328E7">
        <w:rPr>
          <w:rFonts w:ascii="Avenir Next" w:hAnsi="Avenir Next"/>
          <w:color w:val="808080" w:themeColor="background1" w:themeShade="80"/>
          <w:sz w:val="22"/>
          <w:szCs w:val="28"/>
        </w:rPr>
        <w:t xml:space="preserve">In this case, Global Holdings </w:t>
      </w:r>
      <w:r w:rsidR="002747A0">
        <w:rPr>
          <w:rFonts w:ascii="Avenir Next" w:hAnsi="Avenir Next"/>
          <w:color w:val="808080" w:themeColor="background1" w:themeShade="80"/>
          <w:sz w:val="22"/>
          <w:szCs w:val="28"/>
        </w:rPr>
        <w:t>does not have operations of its own</w:t>
      </w:r>
      <w:r w:rsidR="00532A7D">
        <w:rPr>
          <w:rFonts w:ascii="Avenir Next" w:hAnsi="Avenir Next"/>
          <w:color w:val="808080" w:themeColor="background1" w:themeShade="80"/>
          <w:sz w:val="22"/>
          <w:szCs w:val="28"/>
        </w:rPr>
        <w:t>. Per case law, having a bank account in the jurisdiction is not enough to determine that the jurisdiction is an establishment.</w:t>
      </w:r>
    </w:p>
    <w:p w14:paraId="1964420D" w14:textId="77777777" w:rsidR="00F245A8" w:rsidRDefault="00F245A8" w:rsidP="009E3CA7">
      <w:pPr>
        <w:jc w:val="both"/>
        <w:rPr>
          <w:rFonts w:ascii="Avenir Next" w:hAnsi="Avenir Next"/>
          <w:color w:val="808080" w:themeColor="background1" w:themeShade="80"/>
          <w:sz w:val="22"/>
          <w:szCs w:val="28"/>
        </w:rPr>
      </w:pPr>
    </w:p>
    <w:p w14:paraId="0B327FC7" w14:textId="45C62A82" w:rsidR="00532A7D" w:rsidRDefault="00532A7D" w:rsidP="009E3CA7">
      <w:pPr>
        <w:jc w:val="both"/>
        <w:rPr>
          <w:rFonts w:ascii="Avenir Next" w:hAnsi="Avenir Next"/>
          <w:color w:val="808080" w:themeColor="background1" w:themeShade="80"/>
          <w:sz w:val="22"/>
          <w:szCs w:val="28"/>
        </w:rPr>
      </w:pPr>
      <w:r>
        <w:rPr>
          <w:rFonts w:ascii="Avenir Next" w:hAnsi="Avenir Next"/>
          <w:b/>
          <w:bCs/>
          <w:color w:val="808080" w:themeColor="background1" w:themeShade="80"/>
          <w:sz w:val="22"/>
          <w:szCs w:val="28"/>
          <w:u w:val="single"/>
        </w:rPr>
        <w:t>Foreign main or non-main proceedings</w:t>
      </w:r>
    </w:p>
    <w:p w14:paraId="2F136CB1" w14:textId="77777777" w:rsidR="00532A7D" w:rsidRDefault="00532A7D" w:rsidP="009E3CA7">
      <w:pPr>
        <w:jc w:val="both"/>
        <w:rPr>
          <w:rFonts w:ascii="Avenir Next" w:hAnsi="Avenir Next"/>
          <w:color w:val="808080" w:themeColor="background1" w:themeShade="80"/>
          <w:sz w:val="22"/>
          <w:szCs w:val="28"/>
        </w:rPr>
      </w:pPr>
    </w:p>
    <w:p w14:paraId="30FAE9FE" w14:textId="5ED984C2" w:rsidR="00532A7D" w:rsidRPr="00532A7D" w:rsidRDefault="00532A7D"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Given that we have determined that Global Holdings has COMI located in the Cayman Islands, </w:t>
      </w:r>
      <w:r w:rsidR="006127A9">
        <w:rPr>
          <w:rFonts w:ascii="Avenir Next" w:hAnsi="Avenir Next"/>
          <w:color w:val="808080" w:themeColor="background1" w:themeShade="80"/>
          <w:sz w:val="22"/>
          <w:szCs w:val="28"/>
        </w:rPr>
        <w:t xml:space="preserve">we should seek </w:t>
      </w:r>
      <w:r w:rsidR="009165C3">
        <w:rPr>
          <w:rFonts w:ascii="Avenir Next" w:hAnsi="Avenir Next"/>
          <w:color w:val="808080" w:themeColor="background1" w:themeShade="80"/>
          <w:sz w:val="22"/>
          <w:szCs w:val="28"/>
        </w:rPr>
        <w:t xml:space="preserve">US </w:t>
      </w:r>
      <w:r w:rsidR="006127A9">
        <w:rPr>
          <w:rFonts w:ascii="Avenir Next" w:hAnsi="Avenir Next"/>
          <w:color w:val="808080" w:themeColor="background1" w:themeShade="80"/>
          <w:sz w:val="22"/>
          <w:szCs w:val="28"/>
        </w:rPr>
        <w:t xml:space="preserve">recognition </w:t>
      </w:r>
      <w:r w:rsidR="009165C3">
        <w:rPr>
          <w:rFonts w:ascii="Avenir Next" w:hAnsi="Avenir Next"/>
          <w:color w:val="808080" w:themeColor="background1" w:themeShade="80"/>
          <w:sz w:val="22"/>
          <w:szCs w:val="28"/>
        </w:rPr>
        <w:t>of the Sanction Order as foreign main proceedings</w:t>
      </w:r>
      <w:r w:rsidR="00E53E75">
        <w:rPr>
          <w:rFonts w:ascii="Avenir Next" w:hAnsi="Avenir Next"/>
          <w:color w:val="808080" w:themeColor="background1" w:themeShade="80"/>
          <w:sz w:val="22"/>
          <w:szCs w:val="28"/>
        </w:rPr>
        <w:t xml:space="preserve"> </w:t>
      </w:r>
      <w:r w:rsidR="00B02FDA">
        <w:rPr>
          <w:rFonts w:ascii="Avenir Next" w:hAnsi="Avenir Next"/>
          <w:color w:val="808080" w:themeColor="background1" w:themeShade="80"/>
          <w:sz w:val="22"/>
          <w:szCs w:val="28"/>
        </w:rPr>
        <w:t>–</w:t>
      </w:r>
      <w:r w:rsidR="00E53E75">
        <w:rPr>
          <w:rFonts w:ascii="Avenir Next" w:hAnsi="Avenir Next"/>
          <w:color w:val="808080" w:themeColor="background1" w:themeShade="80"/>
          <w:sz w:val="22"/>
          <w:szCs w:val="28"/>
        </w:rPr>
        <w:t xml:space="preserve"> </w:t>
      </w:r>
      <w:r w:rsidR="00B02FDA">
        <w:rPr>
          <w:rFonts w:ascii="Avenir Next" w:hAnsi="Avenir Next"/>
          <w:color w:val="808080" w:themeColor="background1" w:themeShade="80"/>
          <w:sz w:val="22"/>
          <w:szCs w:val="28"/>
        </w:rPr>
        <w:t>so that the scheme, compromising creditors, can be enforced in the US.</w:t>
      </w:r>
    </w:p>
    <w:p w14:paraId="1D72CE58" w14:textId="77777777" w:rsidR="00532A7D" w:rsidRDefault="00532A7D" w:rsidP="009E3CA7">
      <w:pPr>
        <w:jc w:val="both"/>
        <w:rPr>
          <w:rFonts w:ascii="Avenir Next" w:hAnsi="Avenir Next"/>
          <w:color w:val="808080" w:themeColor="background1" w:themeShade="80"/>
          <w:sz w:val="22"/>
          <w:szCs w:val="28"/>
        </w:rPr>
      </w:pPr>
    </w:p>
    <w:p w14:paraId="44E03E78" w14:textId="5C914FEE" w:rsidR="009165C3" w:rsidRDefault="009165C3" w:rsidP="009E3CA7">
      <w:pPr>
        <w:jc w:val="both"/>
        <w:rPr>
          <w:rFonts w:ascii="Avenir Next" w:hAnsi="Avenir Next"/>
          <w:b/>
          <w:bCs/>
          <w:color w:val="808080" w:themeColor="background1" w:themeShade="80"/>
          <w:sz w:val="22"/>
          <w:szCs w:val="28"/>
          <w:u w:val="single"/>
        </w:rPr>
      </w:pPr>
      <w:r>
        <w:rPr>
          <w:rFonts w:ascii="Avenir Next" w:hAnsi="Avenir Next"/>
          <w:b/>
          <w:bCs/>
          <w:color w:val="808080" w:themeColor="background1" w:themeShade="80"/>
          <w:sz w:val="22"/>
          <w:szCs w:val="28"/>
          <w:u w:val="single"/>
        </w:rPr>
        <w:t>Papers to be submitted</w:t>
      </w:r>
    </w:p>
    <w:p w14:paraId="17134721" w14:textId="77777777" w:rsidR="009165C3" w:rsidRDefault="009165C3" w:rsidP="009E3CA7">
      <w:pPr>
        <w:jc w:val="both"/>
        <w:rPr>
          <w:rFonts w:ascii="Avenir Next" w:hAnsi="Avenir Next"/>
          <w:b/>
          <w:bCs/>
          <w:color w:val="808080" w:themeColor="background1" w:themeShade="80"/>
          <w:sz w:val="22"/>
          <w:szCs w:val="28"/>
          <w:u w:val="single"/>
        </w:rPr>
      </w:pPr>
    </w:p>
    <w:p w14:paraId="6223106F" w14:textId="3AAA715E" w:rsidR="009165C3" w:rsidRDefault="00246862"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Article 15 of the MLCBI requires that the </w:t>
      </w:r>
      <w:r w:rsidR="008E39C5">
        <w:rPr>
          <w:rFonts w:ascii="Avenir Next" w:hAnsi="Avenir Next"/>
          <w:color w:val="808080" w:themeColor="background1" w:themeShade="80"/>
          <w:sz w:val="22"/>
          <w:szCs w:val="28"/>
        </w:rPr>
        <w:t>recognition application made by the foreign representative</w:t>
      </w:r>
      <w:r>
        <w:rPr>
          <w:rFonts w:ascii="Avenir Next" w:hAnsi="Avenir Next"/>
          <w:color w:val="808080" w:themeColor="background1" w:themeShade="80"/>
          <w:sz w:val="22"/>
          <w:szCs w:val="28"/>
        </w:rPr>
        <w:t xml:space="preserve"> </w:t>
      </w:r>
      <w:r w:rsidR="00AA2703">
        <w:rPr>
          <w:rFonts w:ascii="Avenir Next" w:hAnsi="Avenir Next"/>
          <w:color w:val="808080" w:themeColor="background1" w:themeShade="80"/>
          <w:sz w:val="22"/>
          <w:szCs w:val="28"/>
        </w:rPr>
        <w:t xml:space="preserve">is </w:t>
      </w:r>
      <w:r>
        <w:rPr>
          <w:rFonts w:ascii="Avenir Next" w:hAnsi="Avenir Next"/>
          <w:color w:val="808080" w:themeColor="background1" w:themeShade="80"/>
          <w:sz w:val="22"/>
          <w:szCs w:val="28"/>
        </w:rPr>
        <w:t>accompanied by:</w:t>
      </w:r>
    </w:p>
    <w:p w14:paraId="5BD3F5CD" w14:textId="77777777" w:rsidR="008E39C5" w:rsidRPr="009165C3" w:rsidRDefault="008E39C5" w:rsidP="009E3CA7">
      <w:pPr>
        <w:jc w:val="both"/>
        <w:rPr>
          <w:rFonts w:ascii="Avenir Next" w:hAnsi="Avenir Next"/>
          <w:color w:val="808080" w:themeColor="background1" w:themeShade="80"/>
          <w:sz w:val="22"/>
          <w:szCs w:val="28"/>
        </w:rPr>
      </w:pPr>
    </w:p>
    <w:p w14:paraId="7EA1F6EB" w14:textId="247AEFC6" w:rsidR="008E39C5" w:rsidRPr="00AA2703" w:rsidRDefault="008E39C5" w:rsidP="00120B95">
      <w:pPr>
        <w:pStyle w:val="ListParagraph"/>
        <w:numPr>
          <w:ilvl w:val="0"/>
          <w:numId w:val="25"/>
        </w:numPr>
        <w:jc w:val="both"/>
        <w:rPr>
          <w:rFonts w:ascii="Avenir Next" w:hAnsi="Avenir Next"/>
          <w:color w:val="808080" w:themeColor="background1" w:themeShade="80"/>
          <w:sz w:val="22"/>
          <w:szCs w:val="28"/>
        </w:rPr>
      </w:pPr>
      <w:r w:rsidRPr="00AA2703">
        <w:rPr>
          <w:rFonts w:ascii="Avenir Next" w:hAnsi="Avenir Next"/>
          <w:color w:val="808080" w:themeColor="background1" w:themeShade="80"/>
          <w:sz w:val="22"/>
          <w:szCs w:val="28"/>
        </w:rPr>
        <w:t>a certified copy of the decision commencing the foreign proceeding and appointing</w:t>
      </w:r>
      <w:r w:rsidR="00AA2703">
        <w:rPr>
          <w:rFonts w:ascii="Avenir Next" w:hAnsi="Avenir Next"/>
          <w:color w:val="808080" w:themeColor="background1" w:themeShade="80"/>
          <w:sz w:val="22"/>
          <w:szCs w:val="28"/>
        </w:rPr>
        <w:t xml:space="preserve"> </w:t>
      </w:r>
      <w:r w:rsidRPr="00AA2703">
        <w:rPr>
          <w:rFonts w:ascii="Avenir Next" w:hAnsi="Avenir Next"/>
          <w:color w:val="808080" w:themeColor="background1" w:themeShade="80"/>
          <w:sz w:val="22"/>
          <w:szCs w:val="28"/>
        </w:rPr>
        <w:t>the foreign representative; or</w:t>
      </w:r>
    </w:p>
    <w:p w14:paraId="2A5D1F66" w14:textId="1A245959" w:rsidR="008E39C5" w:rsidRPr="00AA2703" w:rsidRDefault="008E39C5" w:rsidP="00335E52">
      <w:pPr>
        <w:pStyle w:val="ListParagraph"/>
        <w:numPr>
          <w:ilvl w:val="0"/>
          <w:numId w:val="25"/>
        </w:numPr>
        <w:jc w:val="both"/>
        <w:rPr>
          <w:rFonts w:ascii="Avenir Next" w:hAnsi="Avenir Next"/>
          <w:color w:val="808080" w:themeColor="background1" w:themeShade="80"/>
          <w:sz w:val="22"/>
          <w:szCs w:val="28"/>
        </w:rPr>
      </w:pPr>
      <w:r w:rsidRPr="00AA2703">
        <w:rPr>
          <w:rFonts w:ascii="Avenir Next" w:hAnsi="Avenir Next"/>
          <w:color w:val="808080" w:themeColor="background1" w:themeShade="80"/>
          <w:sz w:val="22"/>
          <w:szCs w:val="28"/>
        </w:rPr>
        <w:t>a certificate from the foreign court affirming the existence of the foreign proceeding</w:t>
      </w:r>
      <w:r w:rsidR="00AA2703">
        <w:rPr>
          <w:rFonts w:ascii="Avenir Next" w:hAnsi="Avenir Next"/>
          <w:color w:val="808080" w:themeColor="background1" w:themeShade="80"/>
          <w:sz w:val="22"/>
          <w:szCs w:val="28"/>
        </w:rPr>
        <w:t xml:space="preserve"> </w:t>
      </w:r>
      <w:r w:rsidRPr="00AA2703">
        <w:rPr>
          <w:rFonts w:ascii="Avenir Next" w:hAnsi="Avenir Next"/>
          <w:color w:val="808080" w:themeColor="background1" w:themeShade="80"/>
          <w:sz w:val="22"/>
          <w:szCs w:val="28"/>
        </w:rPr>
        <w:t>and of the appointment of the foreign representative; or</w:t>
      </w:r>
    </w:p>
    <w:p w14:paraId="6DCDF718" w14:textId="7A413277" w:rsidR="009165C3" w:rsidRPr="00A635F7" w:rsidRDefault="008E39C5" w:rsidP="000E0233">
      <w:pPr>
        <w:pStyle w:val="ListParagraph"/>
        <w:numPr>
          <w:ilvl w:val="0"/>
          <w:numId w:val="25"/>
        </w:numPr>
        <w:jc w:val="both"/>
        <w:rPr>
          <w:rFonts w:ascii="Avenir Next" w:hAnsi="Avenir Next"/>
          <w:color w:val="808080" w:themeColor="background1" w:themeShade="80"/>
          <w:sz w:val="22"/>
          <w:szCs w:val="28"/>
        </w:rPr>
      </w:pPr>
      <w:r w:rsidRPr="00A635F7">
        <w:rPr>
          <w:rFonts w:ascii="Avenir Next" w:hAnsi="Avenir Next"/>
          <w:color w:val="808080" w:themeColor="background1" w:themeShade="80"/>
          <w:sz w:val="22"/>
          <w:szCs w:val="28"/>
        </w:rPr>
        <w:t xml:space="preserve">in the absence of evidence referred to </w:t>
      </w:r>
      <w:r w:rsidR="00A635F7" w:rsidRPr="00A635F7">
        <w:rPr>
          <w:rFonts w:ascii="Avenir Next" w:hAnsi="Avenir Next"/>
          <w:color w:val="808080" w:themeColor="background1" w:themeShade="80"/>
          <w:sz w:val="22"/>
          <w:szCs w:val="28"/>
        </w:rPr>
        <w:t>above</w:t>
      </w:r>
      <w:r w:rsidRPr="00A635F7">
        <w:rPr>
          <w:rFonts w:ascii="Avenir Next" w:hAnsi="Avenir Next"/>
          <w:color w:val="808080" w:themeColor="background1" w:themeShade="80"/>
          <w:sz w:val="22"/>
          <w:szCs w:val="28"/>
        </w:rPr>
        <w:t>, any other evidence</w:t>
      </w:r>
      <w:r w:rsidR="00A635F7" w:rsidRPr="00A635F7">
        <w:rPr>
          <w:rFonts w:ascii="Avenir Next" w:hAnsi="Avenir Next"/>
          <w:color w:val="808080" w:themeColor="background1" w:themeShade="80"/>
          <w:sz w:val="22"/>
          <w:szCs w:val="28"/>
        </w:rPr>
        <w:t xml:space="preserve"> </w:t>
      </w:r>
      <w:r w:rsidRPr="00A635F7">
        <w:rPr>
          <w:rFonts w:ascii="Avenir Next" w:hAnsi="Avenir Next"/>
          <w:color w:val="808080" w:themeColor="background1" w:themeShade="80"/>
          <w:sz w:val="22"/>
          <w:szCs w:val="28"/>
        </w:rPr>
        <w:t>acceptable to the court of the existence of the foreign proceeding and the appointment</w:t>
      </w:r>
      <w:r w:rsidR="00A635F7">
        <w:rPr>
          <w:rFonts w:ascii="Avenir Next" w:hAnsi="Avenir Next"/>
          <w:color w:val="808080" w:themeColor="background1" w:themeShade="80"/>
          <w:sz w:val="22"/>
          <w:szCs w:val="28"/>
        </w:rPr>
        <w:t xml:space="preserve"> </w:t>
      </w:r>
      <w:r w:rsidRPr="00A635F7">
        <w:rPr>
          <w:rFonts w:ascii="Avenir Next" w:hAnsi="Avenir Next"/>
          <w:color w:val="808080" w:themeColor="background1" w:themeShade="80"/>
          <w:sz w:val="22"/>
          <w:szCs w:val="28"/>
        </w:rPr>
        <w:t>of the foreign representative</w:t>
      </w:r>
      <w:r w:rsidR="00A635F7">
        <w:rPr>
          <w:rFonts w:ascii="Avenir Next" w:hAnsi="Avenir Next"/>
          <w:color w:val="808080" w:themeColor="background1" w:themeShade="80"/>
          <w:sz w:val="22"/>
          <w:szCs w:val="28"/>
        </w:rPr>
        <w:t>.</w:t>
      </w:r>
    </w:p>
    <w:p w14:paraId="513436E7" w14:textId="67BBDE59" w:rsidR="00F245A8" w:rsidRDefault="00F245A8" w:rsidP="009E3CA7">
      <w:pPr>
        <w:jc w:val="both"/>
        <w:rPr>
          <w:rFonts w:ascii="Avenir Next" w:hAnsi="Avenir Next"/>
          <w:color w:val="808080" w:themeColor="background1" w:themeShade="80"/>
          <w:sz w:val="22"/>
          <w:szCs w:val="28"/>
        </w:rPr>
      </w:pPr>
    </w:p>
    <w:p w14:paraId="208B0BB9" w14:textId="046C058F" w:rsidR="00A635F7" w:rsidRDefault="005B3C7A" w:rsidP="009E3CA7">
      <w:pPr>
        <w:jc w:val="both"/>
        <w:rPr>
          <w:rFonts w:ascii="Avenir Next" w:hAnsi="Avenir Next"/>
          <w:b/>
          <w:bCs/>
          <w:color w:val="808080" w:themeColor="background1" w:themeShade="80"/>
          <w:sz w:val="22"/>
          <w:szCs w:val="28"/>
          <w:u w:val="single"/>
        </w:rPr>
      </w:pPr>
      <w:r>
        <w:rPr>
          <w:rFonts w:ascii="Avenir Next" w:hAnsi="Avenir Next"/>
          <w:b/>
          <w:bCs/>
          <w:color w:val="808080" w:themeColor="background1" w:themeShade="80"/>
          <w:sz w:val="22"/>
          <w:szCs w:val="28"/>
          <w:u w:val="single"/>
        </w:rPr>
        <w:t>Relief to be requested</w:t>
      </w:r>
    </w:p>
    <w:p w14:paraId="7A4BF861" w14:textId="77777777" w:rsidR="005B3C7A" w:rsidRDefault="005B3C7A" w:rsidP="009E3CA7">
      <w:pPr>
        <w:jc w:val="both"/>
        <w:rPr>
          <w:rFonts w:ascii="Avenir Next" w:hAnsi="Avenir Next"/>
          <w:b/>
          <w:bCs/>
          <w:color w:val="808080" w:themeColor="background1" w:themeShade="80"/>
          <w:sz w:val="22"/>
          <w:szCs w:val="28"/>
          <w:u w:val="single"/>
        </w:rPr>
      </w:pPr>
    </w:p>
    <w:p w14:paraId="2B9B37ED" w14:textId="77777777" w:rsidR="00730764" w:rsidRDefault="00730764" w:rsidP="00730764">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apply for interim relief prior to recognition </w:t>
      </w:r>
      <w:r w:rsidRPr="004A4948">
        <w:rPr>
          <w:rFonts w:ascii="Avenir Next" w:hAnsi="Avenir Next" w:cs="Arial"/>
          <w:color w:val="808080" w:themeColor="background1" w:themeShade="80"/>
          <w:sz w:val="22"/>
          <w:szCs w:val="22"/>
          <w:lang w:val="en-GB"/>
        </w:rPr>
        <w:t xml:space="preserve">under Article </w:t>
      </w:r>
      <w:r>
        <w:rPr>
          <w:rFonts w:ascii="Avenir Next" w:hAnsi="Avenir Next" w:cs="Arial"/>
          <w:color w:val="808080" w:themeColor="background1" w:themeShade="80"/>
          <w:sz w:val="22"/>
          <w:szCs w:val="22"/>
          <w:lang w:val="en-GB"/>
        </w:rPr>
        <w:t xml:space="preserve">19 </w:t>
      </w:r>
      <w:r w:rsidRPr="004A4948">
        <w:rPr>
          <w:rFonts w:ascii="Avenir Next" w:hAnsi="Avenir Next" w:cs="Arial"/>
          <w:color w:val="808080" w:themeColor="background1" w:themeShade="80"/>
          <w:sz w:val="22"/>
          <w:szCs w:val="22"/>
          <w:lang w:val="en-GB"/>
        </w:rPr>
        <w:t>of the MLCBI</w:t>
      </w:r>
      <w:r>
        <w:rPr>
          <w:rFonts w:ascii="Avenir Next" w:hAnsi="Avenir Next" w:cs="Arial"/>
          <w:color w:val="808080" w:themeColor="background1" w:themeShade="80"/>
          <w:sz w:val="22"/>
          <w:szCs w:val="22"/>
          <w:lang w:val="en-GB"/>
        </w:rPr>
        <w:t xml:space="preserve"> – available to both foreign main proceedings.</w:t>
      </w:r>
    </w:p>
    <w:p w14:paraId="03F6244C" w14:textId="77777777" w:rsidR="00730764" w:rsidRDefault="00730764" w:rsidP="00730764">
      <w:pPr>
        <w:pStyle w:val="NoSpacing"/>
        <w:rPr>
          <w:rFonts w:ascii="Avenir Next" w:hAnsi="Avenir Next" w:cs="Arial"/>
          <w:color w:val="808080" w:themeColor="background1" w:themeShade="80"/>
          <w:sz w:val="22"/>
          <w:szCs w:val="22"/>
          <w:lang w:val="en-GB"/>
        </w:rPr>
      </w:pPr>
    </w:p>
    <w:p w14:paraId="110769FB" w14:textId="59C6EB2E" w:rsidR="00730764" w:rsidRDefault="00730764" w:rsidP="00730764">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particularly important </w:t>
      </w:r>
      <w:r w:rsidR="00D92833">
        <w:rPr>
          <w:rFonts w:ascii="Avenir Next" w:hAnsi="Avenir Next" w:cs="Arial"/>
          <w:color w:val="808080" w:themeColor="background1" w:themeShade="80"/>
          <w:sz w:val="22"/>
          <w:szCs w:val="22"/>
          <w:lang w:val="en-GB"/>
        </w:rPr>
        <w:t xml:space="preserve">if there is a </w:t>
      </w:r>
      <w:r w:rsidR="00E53E75">
        <w:rPr>
          <w:rFonts w:ascii="Avenir Next" w:hAnsi="Avenir Next" w:cs="Arial"/>
          <w:color w:val="808080" w:themeColor="background1" w:themeShade="80"/>
          <w:sz w:val="22"/>
          <w:szCs w:val="22"/>
          <w:lang w:val="en-GB"/>
        </w:rPr>
        <w:t xml:space="preserve">significant delay between the filing and hearing date. </w:t>
      </w:r>
    </w:p>
    <w:p w14:paraId="0DE7739F" w14:textId="77777777" w:rsidR="00B02FDA" w:rsidRDefault="00B02FDA" w:rsidP="00730764">
      <w:pPr>
        <w:pStyle w:val="NoSpacing"/>
        <w:rPr>
          <w:rFonts w:ascii="Avenir Next" w:hAnsi="Avenir Next" w:cs="Arial"/>
          <w:color w:val="808080" w:themeColor="background1" w:themeShade="80"/>
          <w:sz w:val="22"/>
          <w:szCs w:val="22"/>
          <w:lang w:val="en-GB"/>
        </w:rPr>
      </w:pPr>
    </w:p>
    <w:p w14:paraId="7BAC0454" w14:textId="6B4FAA36" w:rsidR="00B02FDA" w:rsidRDefault="00475D45" w:rsidP="00730764">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relief can include </w:t>
      </w:r>
      <w:r w:rsidRPr="00475D45">
        <w:rPr>
          <w:rFonts w:ascii="Avenir Next" w:hAnsi="Avenir Next" w:cs="Arial"/>
          <w:color w:val="808080" w:themeColor="background1" w:themeShade="80"/>
          <w:sz w:val="22"/>
          <w:szCs w:val="22"/>
          <w:lang w:val="en-GB"/>
        </w:rPr>
        <w:t>a stay of execution against the debtor’s assets</w:t>
      </w:r>
      <w:r>
        <w:rPr>
          <w:rFonts w:ascii="Avenir Next" w:hAnsi="Avenir Next" w:cs="Arial"/>
          <w:color w:val="808080" w:themeColor="background1" w:themeShade="80"/>
          <w:sz w:val="22"/>
          <w:szCs w:val="22"/>
          <w:lang w:val="en-GB"/>
        </w:rPr>
        <w:t xml:space="preserve">. </w:t>
      </w:r>
      <w:r w:rsidR="0095219E">
        <w:rPr>
          <w:rFonts w:ascii="Avenir Next" w:hAnsi="Avenir Next" w:cs="Arial"/>
          <w:color w:val="808080" w:themeColor="background1" w:themeShade="80"/>
          <w:sz w:val="22"/>
          <w:szCs w:val="22"/>
          <w:lang w:val="en-GB"/>
        </w:rPr>
        <w:t xml:space="preserve">If the New York head quarters </w:t>
      </w:r>
      <w:r w:rsidR="007442BA">
        <w:rPr>
          <w:rFonts w:ascii="Avenir Next" w:hAnsi="Avenir Next" w:cs="Arial"/>
          <w:color w:val="808080" w:themeColor="background1" w:themeShade="80"/>
          <w:sz w:val="22"/>
          <w:szCs w:val="22"/>
          <w:lang w:val="en-GB"/>
        </w:rPr>
        <w:t>are an asset of Global Holdings, the interim relief can halt the sake of this asset</w:t>
      </w:r>
      <w:r w:rsidR="00403446">
        <w:rPr>
          <w:rFonts w:ascii="Avenir Next" w:hAnsi="Avenir Next" w:cs="Arial"/>
          <w:color w:val="808080" w:themeColor="background1" w:themeShade="80"/>
          <w:sz w:val="22"/>
          <w:szCs w:val="22"/>
          <w:lang w:val="en-GB"/>
        </w:rPr>
        <w:t xml:space="preserve"> which is currently being </w:t>
      </w:r>
      <w:r w:rsidR="00403446" w:rsidRPr="00403446">
        <w:rPr>
          <w:rFonts w:ascii="Avenir Next" w:hAnsi="Avenir Next" w:cs="Arial"/>
          <w:color w:val="808080" w:themeColor="background1" w:themeShade="80"/>
          <w:sz w:val="22"/>
          <w:szCs w:val="22"/>
          <w:lang w:val="en-GB"/>
        </w:rPr>
        <w:t>actively market</w:t>
      </w:r>
      <w:r w:rsidR="00403446">
        <w:rPr>
          <w:rFonts w:ascii="Avenir Next" w:hAnsi="Avenir Next" w:cs="Arial"/>
          <w:color w:val="808080" w:themeColor="background1" w:themeShade="80"/>
          <w:sz w:val="22"/>
          <w:szCs w:val="22"/>
          <w:lang w:val="en-GB"/>
        </w:rPr>
        <w:t xml:space="preserve">ed by an </w:t>
      </w:r>
      <w:r w:rsidR="00403446" w:rsidRPr="00403446">
        <w:rPr>
          <w:rFonts w:ascii="Avenir Next" w:hAnsi="Avenir Next" w:cs="Arial"/>
          <w:color w:val="808080" w:themeColor="background1" w:themeShade="80"/>
          <w:sz w:val="22"/>
          <w:szCs w:val="22"/>
          <w:lang w:val="en-GB"/>
        </w:rPr>
        <w:t>independent third party</w:t>
      </w:r>
      <w:r w:rsidR="00403446">
        <w:rPr>
          <w:rFonts w:ascii="Avenir Next" w:hAnsi="Avenir Next" w:cs="Arial"/>
          <w:color w:val="808080" w:themeColor="background1" w:themeShade="80"/>
          <w:sz w:val="22"/>
          <w:szCs w:val="22"/>
          <w:lang w:val="en-GB"/>
        </w:rPr>
        <w:t>.</w:t>
      </w:r>
    </w:p>
    <w:p w14:paraId="2D99E4BA" w14:textId="77777777" w:rsidR="005B3C7A" w:rsidRPr="00730764" w:rsidRDefault="005B3C7A" w:rsidP="009E3CA7">
      <w:pPr>
        <w:jc w:val="both"/>
        <w:rPr>
          <w:rFonts w:ascii="Avenir Next" w:hAnsi="Avenir Next"/>
          <w:color w:val="808080" w:themeColor="background1" w:themeShade="80"/>
          <w:sz w:val="22"/>
          <w:szCs w:val="28"/>
          <w:lang w:val="en-GB"/>
        </w:rPr>
      </w:pPr>
    </w:p>
    <w:bookmarkEnd w:id="2"/>
    <w:p w14:paraId="1AAD6B87" w14:textId="77777777" w:rsidR="006A2FC0" w:rsidRPr="00E2622D" w:rsidRDefault="006A2FC0" w:rsidP="006A2FC0">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375048">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040F" w14:textId="77777777" w:rsidR="00375048" w:rsidRDefault="00375048" w:rsidP="00241B44">
      <w:r>
        <w:separator/>
      </w:r>
    </w:p>
  </w:endnote>
  <w:endnote w:type="continuationSeparator" w:id="0">
    <w:p w14:paraId="3694F800" w14:textId="77777777" w:rsidR="00375048" w:rsidRDefault="0037504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3A177D8" w:rsidR="000300E0" w:rsidRPr="00B46CE2" w:rsidRDefault="00570831" w:rsidP="000300E0">
    <w:pPr>
      <w:pStyle w:val="Footer"/>
      <w:ind w:right="360"/>
      <w:rPr>
        <w:rFonts w:ascii="Avenir Next" w:hAnsi="Avenir Next"/>
        <w:sz w:val="22"/>
        <w:szCs w:val="22"/>
      </w:rPr>
    </w:pPr>
    <w:r w:rsidRPr="00570831">
      <w:rPr>
        <w:rFonts w:ascii="Avenir Next" w:hAnsi="Avenir Next"/>
        <w:sz w:val="22"/>
        <w:szCs w:val="22"/>
      </w:rPr>
      <w:t>FC202324-1436</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2A4D" w14:textId="77777777" w:rsidR="00375048" w:rsidRDefault="00375048" w:rsidP="00241B44">
      <w:r>
        <w:separator/>
      </w:r>
    </w:p>
  </w:footnote>
  <w:footnote w:type="continuationSeparator" w:id="0">
    <w:p w14:paraId="7943BB6C" w14:textId="77777777" w:rsidR="00375048" w:rsidRDefault="0037504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014C18"/>
    <w:multiLevelType w:val="hybridMultilevel"/>
    <w:tmpl w:val="8C9CB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4912"/>
    <w:multiLevelType w:val="hybridMultilevel"/>
    <w:tmpl w:val="BA3E8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1E03F0"/>
    <w:multiLevelType w:val="hybridMultilevel"/>
    <w:tmpl w:val="9F5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180215"/>
    <w:multiLevelType w:val="hybridMultilevel"/>
    <w:tmpl w:val="7D9A050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C24565"/>
    <w:multiLevelType w:val="hybridMultilevel"/>
    <w:tmpl w:val="DF10EB78"/>
    <w:lvl w:ilvl="0" w:tplc="B1406EF2">
      <w:start w:val="1"/>
      <w:numFmt w:val="decimal"/>
      <w:lvlText w:val="%1."/>
      <w:lvlJc w:val="left"/>
      <w:pPr>
        <w:ind w:left="720" w:hanging="360"/>
      </w:pPr>
      <w:rPr>
        <w:rFonts w:hint="default"/>
        <w:color w:val="808080" w:themeColor="background1" w:themeShade="80"/>
      </w:rPr>
    </w:lvl>
    <w:lvl w:ilvl="1" w:tplc="08F288C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904311"/>
    <w:multiLevelType w:val="hybridMultilevel"/>
    <w:tmpl w:val="62781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C17B91"/>
    <w:multiLevelType w:val="hybridMultilevel"/>
    <w:tmpl w:val="196EE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CE204A"/>
    <w:multiLevelType w:val="hybridMultilevel"/>
    <w:tmpl w:val="D9FEA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8598104">
    <w:abstractNumId w:val="17"/>
  </w:num>
  <w:num w:numId="2" w16cid:durableId="1164055646">
    <w:abstractNumId w:val="9"/>
  </w:num>
  <w:num w:numId="3" w16cid:durableId="970591766">
    <w:abstractNumId w:val="4"/>
  </w:num>
  <w:num w:numId="4" w16cid:durableId="1327175081">
    <w:abstractNumId w:val="23"/>
  </w:num>
  <w:num w:numId="5" w16cid:durableId="998270126">
    <w:abstractNumId w:val="22"/>
  </w:num>
  <w:num w:numId="6" w16cid:durableId="657656171">
    <w:abstractNumId w:val="21"/>
  </w:num>
  <w:num w:numId="7" w16cid:durableId="1116829249">
    <w:abstractNumId w:val="7"/>
  </w:num>
  <w:num w:numId="8" w16cid:durableId="1055274873">
    <w:abstractNumId w:val="8"/>
  </w:num>
  <w:num w:numId="9" w16cid:durableId="790785319">
    <w:abstractNumId w:val="15"/>
  </w:num>
  <w:num w:numId="10" w16cid:durableId="59720369">
    <w:abstractNumId w:val="14"/>
  </w:num>
  <w:num w:numId="11" w16cid:durableId="1379276728">
    <w:abstractNumId w:val="5"/>
  </w:num>
  <w:num w:numId="12" w16cid:durableId="921179279">
    <w:abstractNumId w:val="12"/>
  </w:num>
  <w:num w:numId="13" w16cid:durableId="1060514793">
    <w:abstractNumId w:val="13"/>
  </w:num>
  <w:num w:numId="14" w16cid:durableId="64230155">
    <w:abstractNumId w:val="3"/>
  </w:num>
  <w:num w:numId="15" w16cid:durableId="1681084025">
    <w:abstractNumId w:val="0"/>
  </w:num>
  <w:num w:numId="16" w16cid:durableId="1275090443">
    <w:abstractNumId w:val="11"/>
  </w:num>
  <w:num w:numId="17" w16cid:durableId="269969236">
    <w:abstractNumId w:val="18"/>
  </w:num>
  <w:num w:numId="18" w16cid:durableId="790168594">
    <w:abstractNumId w:val="2"/>
  </w:num>
  <w:num w:numId="19" w16cid:durableId="1495536303">
    <w:abstractNumId w:val="24"/>
  </w:num>
  <w:num w:numId="20" w16cid:durableId="1157460253">
    <w:abstractNumId w:val="10"/>
  </w:num>
  <w:num w:numId="21" w16cid:durableId="1438794725">
    <w:abstractNumId w:val="16"/>
  </w:num>
  <w:num w:numId="22" w16cid:durableId="1096050032">
    <w:abstractNumId w:val="1"/>
  </w:num>
  <w:num w:numId="23" w16cid:durableId="59713471">
    <w:abstractNumId w:val="20"/>
  </w:num>
  <w:num w:numId="24" w16cid:durableId="1925798327">
    <w:abstractNumId w:val="6"/>
  </w:num>
  <w:num w:numId="25" w16cid:durableId="21497231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425"/>
    <w:rsid w:val="000016DA"/>
    <w:rsid w:val="00001AEB"/>
    <w:rsid w:val="00001E0C"/>
    <w:rsid w:val="000077DD"/>
    <w:rsid w:val="00010BA0"/>
    <w:rsid w:val="00011778"/>
    <w:rsid w:val="0001365B"/>
    <w:rsid w:val="00020557"/>
    <w:rsid w:val="00020855"/>
    <w:rsid w:val="00021038"/>
    <w:rsid w:val="000232A1"/>
    <w:rsid w:val="000250C7"/>
    <w:rsid w:val="0002516A"/>
    <w:rsid w:val="00025CCF"/>
    <w:rsid w:val="000300E0"/>
    <w:rsid w:val="0003114A"/>
    <w:rsid w:val="000352C1"/>
    <w:rsid w:val="0003619C"/>
    <w:rsid w:val="0003743B"/>
    <w:rsid w:val="00037621"/>
    <w:rsid w:val="0004114E"/>
    <w:rsid w:val="00044D46"/>
    <w:rsid w:val="00045088"/>
    <w:rsid w:val="00045904"/>
    <w:rsid w:val="000464F7"/>
    <w:rsid w:val="0005141D"/>
    <w:rsid w:val="00056BF4"/>
    <w:rsid w:val="00060878"/>
    <w:rsid w:val="00060E02"/>
    <w:rsid w:val="00061BB5"/>
    <w:rsid w:val="00065166"/>
    <w:rsid w:val="000672FD"/>
    <w:rsid w:val="00067467"/>
    <w:rsid w:val="00067A88"/>
    <w:rsid w:val="00070B92"/>
    <w:rsid w:val="0007300C"/>
    <w:rsid w:val="00073474"/>
    <w:rsid w:val="000742EB"/>
    <w:rsid w:val="00077D49"/>
    <w:rsid w:val="00080178"/>
    <w:rsid w:val="00081997"/>
    <w:rsid w:val="00082609"/>
    <w:rsid w:val="00083B38"/>
    <w:rsid w:val="00084389"/>
    <w:rsid w:val="000851CC"/>
    <w:rsid w:val="00093BE8"/>
    <w:rsid w:val="000A5B13"/>
    <w:rsid w:val="000A68ED"/>
    <w:rsid w:val="000B4FEB"/>
    <w:rsid w:val="000B5FF1"/>
    <w:rsid w:val="000B609F"/>
    <w:rsid w:val="000C147F"/>
    <w:rsid w:val="000C6BB9"/>
    <w:rsid w:val="000D1959"/>
    <w:rsid w:val="000D32A9"/>
    <w:rsid w:val="000D55A8"/>
    <w:rsid w:val="000E4841"/>
    <w:rsid w:val="000E6325"/>
    <w:rsid w:val="000F060E"/>
    <w:rsid w:val="000F0627"/>
    <w:rsid w:val="000F1677"/>
    <w:rsid w:val="000F2BA9"/>
    <w:rsid w:val="000F3D6C"/>
    <w:rsid w:val="000F579C"/>
    <w:rsid w:val="000F71C3"/>
    <w:rsid w:val="00100E8F"/>
    <w:rsid w:val="00101707"/>
    <w:rsid w:val="00101A9E"/>
    <w:rsid w:val="001063E8"/>
    <w:rsid w:val="00114082"/>
    <w:rsid w:val="0011473D"/>
    <w:rsid w:val="00115C85"/>
    <w:rsid w:val="00115EE2"/>
    <w:rsid w:val="00123855"/>
    <w:rsid w:val="00126A4D"/>
    <w:rsid w:val="00126E19"/>
    <w:rsid w:val="00127E1D"/>
    <w:rsid w:val="00131AC7"/>
    <w:rsid w:val="00135159"/>
    <w:rsid w:val="001354B4"/>
    <w:rsid w:val="001374D8"/>
    <w:rsid w:val="00140E0A"/>
    <w:rsid w:val="0014136C"/>
    <w:rsid w:val="0014171F"/>
    <w:rsid w:val="0014622C"/>
    <w:rsid w:val="00150309"/>
    <w:rsid w:val="00151F58"/>
    <w:rsid w:val="00152348"/>
    <w:rsid w:val="0015275B"/>
    <w:rsid w:val="00152845"/>
    <w:rsid w:val="0015456D"/>
    <w:rsid w:val="0015549B"/>
    <w:rsid w:val="00155FA2"/>
    <w:rsid w:val="001578CB"/>
    <w:rsid w:val="001579E0"/>
    <w:rsid w:val="00161F1B"/>
    <w:rsid w:val="00162829"/>
    <w:rsid w:val="001667A7"/>
    <w:rsid w:val="001672E0"/>
    <w:rsid w:val="00167C32"/>
    <w:rsid w:val="00171D48"/>
    <w:rsid w:val="00171E61"/>
    <w:rsid w:val="0017257C"/>
    <w:rsid w:val="00176079"/>
    <w:rsid w:val="0017652E"/>
    <w:rsid w:val="00180286"/>
    <w:rsid w:val="00180548"/>
    <w:rsid w:val="00180AC4"/>
    <w:rsid w:val="00180CCE"/>
    <w:rsid w:val="00180E03"/>
    <w:rsid w:val="00182648"/>
    <w:rsid w:val="0018267A"/>
    <w:rsid w:val="00182779"/>
    <w:rsid w:val="001830DF"/>
    <w:rsid w:val="00190FD2"/>
    <w:rsid w:val="001966D9"/>
    <w:rsid w:val="001A24E7"/>
    <w:rsid w:val="001A28C8"/>
    <w:rsid w:val="001A2B78"/>
    <w:rsid w:val="001A7E9A"/>
    <w:rsid w:val="001B0F70"/>
    <w:rsid w:val="001B4DF9"/>
    <w:rsid w:val="001B5016"/>
    <w:rsid w:val="001C0188"/>
    <w:rsid w:val="001C3D4F"/>
    <w:rsid w:val="001C45FC"/>
    <w:rsid w:val="001C6830"/>
    <w:rsid w:val="001D02C5"/>
    <w:rsid w:val="001D0696"/>
    <w:rsid w:val="001D3443"/>
    <w:rsid w:val="001D4862"/>
    <w:rsid w:val="001E25B9"/>
    <w:rsid w:val="001E49E0"/>
    <w:rsid w:val="001E52F9"/>
    <w:rsid w:val="001E60C3"/>
    <w:rsid w:val="001E7B5A"/>
    <w:rsid w:val="001F1DEA"/>
    <w:rsid w:val="001F320D"/>
    <w:rsid w:val="001F3335"/>
    <w:rsid w:val="001F59AB"/>
    <w:rsid w:val="001F7412"/>
    <w:rsid w:val="00200FDD"/>
    <w:rsid w:val="00201874"/>
    <w:rsid w:val="00202133"/>
    <w:rsid w:val="0020264E"/>
    <w:rsid w:val="002064D8"/>
    <w:rsid w:val="0020725B"/>
    <w:rsid w:val="0021207A"/>
    <w:rsid w:val="00213F58"/>
    <w:rsid w:val="0021747B"/>
    <w:rsid w:val="002175BA"/>
    <w:rsid w:val="0022599E"/>
    <w:rsid w:val="00227C5E"/>
    <w:rsid w:val="002305E8"/>
    <w:rsid w:val="002314E4"/>
    <w:rsid w:val="0023198D"/>
    <w:rsid w:val="0023317E"/>
    <w:rsid w:val="00234F2C"/>
    <w:rsid w:val="00237524"/>
    <w:rsid w:val="00240B0E"/>
    <w:rsid w:val="0024116D"/>
    <w:rsid w:val="00241B44"/>
    <w:rsid w:val="00243059"/>
    <w:rsid w:val="002431F6"/>
    <w:rsid w:val="00245EFB"/>
    <w:rsid w:val="00246862"/>
    <w:rsid w:val="00250E19"/>
    <w:rsid w:val="002514A8"/>
    <w:rsid w:val="0025347C"/>
    <w:rsid w:val="0025386E"/>
    <w:rsid w:val="002539D7"/>
    <w:rsid w:val="00254AA0"/>
    <w:rsid w:val="00257437"/>
    <w:rsid w:val="002638B0"/>
    <w:rsid w:val="00264FFF"/>
    <w:rsid w:val="002650D7"/>
    <w:rsid w:val="002654E8"/>
    <w:rsid w:val="00265690"/>
    <w:rsid w:val="0026647A"/>
    <w:rsid w:val="002668D3"/>
    <w:rsid w:val="002675BE"/>
    <w:rsid w:val="0027299F"/>
    <w:rsid w:val="002747A0"/>
    <w:rsid w:val="002747C0"/>
    <w:rsid w:val="00276913"/>
    <w:rsid w:val="002800F6"/>
    <w:rsid w:val="0028135B"/>
    <w:rsid w:val="0028162E"/>
    <w:rsid w:val="00281FD0"/>
    <w:rsid w:val="00282480"/>
    <w:rsid w:val="00284901"/>
    <w:rsid w:val="00284EBE"/>
    <w:rsid w:val="002915AE"/>
    <w:rsid w:val="0029433F"/>
    <w:rsid w:val="00294829"/>
    <w:rsid w:val="00294F3B"/>
    <w:rsid w:val="0029690F"/>
    <w:rsid w:val="002A1EEC"/>
    <w:rsid w:val="002A2934"/>
    <w:rsid w:val="002A29FB"/>
    <w:rsid w:val="002A2A60"/>
    <w:rsid w:val="002A2C3A"/>
    <w:rsid w:val="002A3B46"/>
    <w:rsid w:val="002A4F4D"/>
    <w:rsid w:val="002B1C45"/>
    <w:rsid w:val="002B2263"/>
    <w:rsid w:val="002B2A91"/>
    <w:rsid w:val="002B5EE5"/>
    <w:rsid w:val="002C13C8"/>
    <w:rsid w:val="002C3547"/>
    <w:rsid w:val="002D0021"/>
    <w:rsid w:val="002D3473"/>
    <w:rsid w:val="002D34BA"/>
    <w:rsid w:val="002D5C95"/>
    <w:rsid w:val="002E00F8"/>
    <w:rsid w:val="002E17B5"/>
    <w:rsid w:val="002E1BB5"/>
    <w:rsid w:val="002E2322"/>
    <w:rsid w:val="002E367B"/>
    <w:rsid w:val="002E38E2"/>
    <w:rsid w:val="002E6F3B"/>
    <w:rsid w:val="002E7BB8"/>
    <w:rsid w:val="002F1956"/>
    <w:rsid w:val="002F3440"/>
    <w:rsid w:val="002F3C3B"/>
    <w:rsid w:val="002F4EC0"/>
    <w:rsid w:val="002F71BE"/>
    <w:rsid w:val="002F75A3"/>
    <w:rsid w:val="002F78CA"/>
    <w:rsid w:val="00301B12"/>
    <w:rsid w:val="00303C2F"/>
    <w:rsid w:val="00312911"/>
    <w:rsid w:val="003144EF"/>
    <w:rsid w:val="003148CA"/>
    <w:rsid w:val="00315506"/>
    <w:rsid w:val="003220BA"/>
    <w:rsid w:val="00322F3B"/>
    <w:rsid w:val="00323940"/>
    <w:rsid w:val="00323B06"/>
    <w:rsid w:val="00326292"/>
    <w:rsid w:val="00326415"/>
    <w:rsid w:val="00330937"/>
    <w:rsid w:val="00330F31"/>
    <w:rsid w:val="00332568"/>
    <w:rsid w:val="0033442A"/>
    <w:rsid w:val="00334648"/>
    <w:rsid w:val="0033768C"/>
    <w:rsid w:val="00337938"/>
    <w:rsid w:val="00340769"/>
    <w:rsid w:val="00341700"/>
    <w:rsid w:val="00341AA6"/>
    <w:rsid w:val="00342459"/>
    <w:rsid w:val="003427B9"/>
    <w:rsid w:val="00346399"/>
    <w:rsid w:val="00346B16"/>
    <w:rsid w:val="00347D24"/>
    <w:rsid w:val="00361A0A"/>
    <w:rsid w:val="0036565C"/>
    <w:rsid w:val="0036625E"/>
    <w:rsid w:val="0036760B"/>
    <w:rsid w:val="003703F3"/>
    <w:rsid w:val="0037465A"/>
    <w:rsid w:val="00375048"/>
    <w:rsid w:val="0037539B"/>
    <w:rsid w:val="0037544E"/>
    <w:rsid w:val="00380BAB"/>
    <w:rsid w:val="00382C98"/>
    <w:rsid w:val="0038533C"/>
    <w:rsid w:val="00386568"/>
    <w:rsid w:val="00387106"/>
    <w:rsid w:val="00391F3E"/>
    <w:rsid w:val="003948D5"/>
    <w:rsid w:val="003963D4"/>
    <w:rsid w:val="00396815"/>
    <w:rsid w:val="00396821"/>
    <w:rsid w:val="00397D3A"/>
    <w:rsid w:val="003A051E"/>
    <w:rsid w:val="003A2FEE"/>
    <w:rsid w:val="003A4E9C"/>
    <w:rsid w:val="003B1310"/>
    <w:rsid w:val="003B170F"/>
    <w:rsid w:val="003B3C5F"/>
    <w:rsid w:val="003B6051"/>
    <w:rsid w:val="003C089D"/>
    <w:rsid w:val="003C4471"/>
    <w:rsid w:val="003C4F6B"/>
    <w:rsid w:val="003C66B1"/>
    <w:rsid w:val="003D0A6D"/>
    <w:rsid w:val="003D1D90"/>
    <w:rsid w:val="003D4BCE"/>
    <w:rsid w:val="003E0B16"/>
    <w:rsid w:val="003E0CB2"/>
    <w:rsid w:val="003E198E"/>
    <w:rsid w:val="003E67D1"/>
    <w:rsid w:val="003E7866"/>
    <w:rsid w:val="003F1D58"/>
    <w:rsid w:val="003F1F6A"/>
    <w:rsid w:val="00403446"/>
    <w:rsid w:val="00405DC1"/>
    <w:rsid w:val="0040710D"/>
    <w:rsid w:val="0041139B"/>
    <w:rsid w:val="004137C3"/>
    <w:rsid w:val="00413D3A"/>
    <w:rsid w:val="00415F1F"/>
    <w:rsid w:val="00416375"/>
    <w:rsid w:val="00417628"/>
    <w:rsid w:val="00417B0F"/>
    <w:rsid w:val="0042108F"/>
    <w:rsid w:val="00422242"/>
    <w:rsid w:val="00424D07"/>
    <w:rsid w:val="00426B49"/>
    <w:rsid w:val="00430FED"/>
    <w:rsid w:val="00432179"/>
    <w:rsid w:val="0043394D"/>
    <w:rsid w:val="00434292"/>
    <w:rsid w:val="00434A8C"/>
    <w:rsid w:val="00435583"/>
    <w:rsid w:val="00436884"/>
    <w:rsid w:val="00437297"/>
    <w:rsid w:val="004404B6"/>
    <w:rsid w:val="00443403"/>
    <w:rsid w:val="00444284"/>
    <w:rsid w:val="00445CE6"/>
    <w:rsid w:val="00447FE6"/>
    <w:rsid w:val="004534C2"/>
    <w:rsid w:val="0045446F"/>
    <w:rsid w:val="0045683E"/>
    <w:rsid w:val="0046283C"/>
    <w:rsid w:val="0047025B"/>
    <w:rsid w:val="00470A52"/>
    <w:rsid w:val="00475D45"/>
    <w:rsid w:val="00491675"/>
    <w:rsid w:val="00492DCA"/>
    <w:rsid w:val="00493855"/>
    <w:rsid w:val="0049508F"/>
    <w:rsid w:val="0049664C"/>
    <w:rsid w:val="004A171E"/>
    <w:rsid w:val="004A3670"/>
    <w:rsid w:val="004A4948"/>
    <w:rsid w:val="004A57DD"/>
    <w:rsid w:val="004A7B51"/>
    <w:rsid w:val="004A7D71"/>
    <w:rsid w:val="004A7EF3"/>
    <w:rsid w:val="004B11FD"/>
    <w:rsid w:val="004B23A2"/>
    <w:rsid w:val="004B261B"/>
    <w:rsid w:val="004C13A2"/>
    <w:rsid w:val="004C1595"/>
    <w:rsid w:val="004C4E45"/>
    <w:rsid w:val="004C4E97"/>
    <w:rsid w:val="004C6006"/>
    <w:rsid w:val="004D1691"/>
    <w:rsid w:val="004D1A5A"/>
    <w:rsid w:val="004D2FFF"/>
    <w:rsid w:val="004D3721"/>
    <w:rsid w:val="004D64F9"/>
    <w:rsid w:val="004E0549"/>
    <w:rsid w:val="004E1674"/>
    <w:rsid w:val="004E1C65"/>
    <w:rsid w:val="004E2E92"/>
    <w:rsid w:val="004E30B0"/>
    <w:rsid w:val="004E4179"/>
    <w:rsid w:val="004E58BF"/>
    <w:rsid w:val="004E622C"/>
    <w:rsid w:val="004F5FDF"/>
    <w:rsid w:val="004F6D85"/>
    <w:rsid w:val="0050015E"/>
    <w:rsid w:val="0050157D"/>
    <w:rsid w:val="0050535F"/>
    <w:rsid w:val="00506803"/>
    <w:rsid w:val="0050682B"/>
    <w:rsid w:val="00506B09"/>
    <w:rsid w:val="00507AAC"/>
    <w:rsid w:val="00512B81"/>
    <w:rsid w:val="00512D17"/>
    <w:rsid w:val="005147B7"/>
    <w:rsid w:val="005177FE"/>
    <w:rsid w:val="0052263B"/>
    <w:rsid w:val="00524728"/>
    <w:rsid w:val="00530003"/>
    <w:rsid w:val="00530E88"/>
    <w:rsid w:val="00532A7D"/>
    <w:rsid w:val="005331CA"/>
    <w:rsid w:val="0053353F"/>
    <w:rsid w:val="00533739"/>
    <w:rsid w:val="00533A5C"/>
    <w:rsid w:val="00537970"/>
    <w:rsid w:val="00540B44"/>
    <w:rsid w:val="00540B8C"/>
    <w:rsid w:val="00540CCF"/>
    <w:rsid w:val="00540E3A"/>
    <w:rsid w:val="0054250E"/>
    <w:rsid w:val="00544127"/>
    <w:rsid w:val="00544273"/>
    <w:rsid w:val="005463A9"/>
    <w:rsid w:val="00547993"/>
    <w:rsid w:val="00552311"/>
    <w:rsid w:val="00553EB2"/>
    <w:rsid w:val="00556777"/>
    <w:rsid w:val="0055688E"/>
    <w:rsid w:val="00560534"/>
    <w:rsid w:val="0056391B"/>
    <w:rsid w:val="005650E2"/>
    <w:rsid w:val="00565292"/>
    <w:rsid w:val="0056535A"/>
    <w:rsid w:val="00565DEE"/>
    <w:rsid w:val="00566717"/>
    <w:rsid w:val="00567AD7"/>
    <w:rsid w:val="00567F31"/>
    <w:rsid w:val="00570831"/>
    <w:rsid w:val="00573E73"/>
    <w:rsid w:val="00575B2D"/>
    <w:rsid w:val="005833D0"/>
    <w:rsid w:val="005846F3"/>
    <w:rsid w:val="0058622F"/>
    <w:rsid w:val="00587461"/>
    <w:rsid w:val="00590023"/>
    <w:rsid w:val="00592F82"/>
    <w:rsid w:val="005941CE"/>
    <w:rsid w:val="005A0CCA"/>
    <w:rsid w:val="005A69A0"/>
    <w:rsid w:val="005A726D"/>
    <w:rsid w:val="005B3C7A"/>
    <w:rsid w:val="005B4B90"/>
    <w:rsid w:val="005B6110"/>
    <w:rsid w:val="005B67AC"/>
    <w:rsid w:val="005B79C2"/>
    <w:rsid w:val="005B7A32"/>
    <w:rsid w:val="005C19B7"/>
    <w:rsid w:val="005C2C94"/>
    <w:rsid w:val="005C36BC"/>
    <w:rsid w:val="005C4865"/>
    <w:rsid w:val="005C597F"/>
    <w:rsid w:val="005C6411"/>
    <w:rsid w:val="005D43E0"/>
    <w:rsid w:val="005D4403"/>
    <w:rsid w:val="005D58A3"/>
    <w:rsid w:val="005E1B79"/>
    <w:rsid w:val="005E5A6C"/>
    <w:rsid w:val="005E5C28"/>
    <w:rsid w:val="005F026D"/>
    <w:rsid w:val="005F21F4"/>
    <w:rsid w:val="005F2D0B"/>
    <w:rsid w:val="005F481C"/>
    <w:rsid w:val="005F4B31"/>
    <w:rsid w:val="005F52C9"/>
    <w:rsid w:val="006025A0"/>
    <w:rsid w:val="006029CA"/>
    <w:rsid w:val="006078BB"/>
    <w:rsid w:val="00610388"/>
    <w:rsid w:val="0061184E"/>
    <w:rsid w:val="006127A9"/>
    <w:rsid w:val="00612CA5"/>
    <w:rsid w:val="006153EC"/>
    <w:rsid w:val="00621A17"/>
    <w:rsid w:val="00622586"/>
    <w:rsid w:val="00622C2B"/>
    <w:rsid w:val="00622DCB"/>
    <w:rsid w:val="0062412A"/>
    <w:rsid w:val="00627CC9"/>
    <w:rsid w:val="00627E7B"/>
    <w:rsid w:val="00630263"/>
    <w:rsid w:val="00630542"/>
    <w:rsid w:val="0063202A"/>
    <w:rsid w:val="00632E44"/>
    <w:rsid w:val="00634622"/>
    <w:rsid w:val="00636808"/>
    <w:rsid w:val="00641002"/>
    <w:rsid w:val="00641515"/>
    <w:rsid w:val="00651AE3"/>
    <w:rsid w:val="00651E54"/>
    <w:rsid w:val="0065445C"/>
    <w:rsid w:val="00654C2F"/>
    <w:rsid w:val="00656FED"/>
    <w:rsid w:val="00657087"/>
    <w:rsid w:val="00657884"/>
    <w:rsid w:val="006618C6"/>
    <w:rsid w:val="0066252C"/>
    <w:rsid w:val="00665B8E"/>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2FC0"/>
    <w:rsid w:val="006A3DF0"/>
    <w:rsid w:val="006A472F"/>
    <w:rsid w:val="006A6530"/>
    <w:rsid w:val="006A7E40"/>
    <w:rsid w:val="006B13F4"/>
    <w:rsid w:val="006B435A"/>
    <w:rsid w:val="006B4C64"/>
    <w:rsid w:val="006B4FFC"/>
    <w:rsid w:val="006C5677"/>
    <w:rsid w:val="006D0E6E"/>
    <w:rsid w:val="006D264D"/>
    <w:rsid w:val="006D53B3"/>
    <w:rsid w:val="006D6BD5"/>
    <w:rsid w:val="006E446E"/>
    <w:rsid w:val="006E481A"/>
    <w:rsid w:val="006E5298"/>
    <w:rsid w:val="006F1134"/>
    <w:rsid w:val="006F2CE3"/>
    <w:rsid w:val="006F6634"/>
    <w:rsid w:val="006F734A"/>
    <w:rsid w:val="006F73EB"/>
    <w:rsid w:val="00700D83"/>
    <w:rsid w:val="00703819"/>
    <w:rsid w:val="00704852"/>
    <w:rsid w:val="00704EFC"/>
    <w:rsid w:val="00706297"/>
    <w:rsid w:val="00706AD5"/>
    <w:rsid w:val="007074E9"/>
    <w:rsid w:val="00707FC8"/>
    <w:rsid w:val="00712EE2"/>
    <w:rsid w:val="00713DA4"/>
    <w:rsid w:val="00714BF1"/>
    <w:rsid w:val="00715C67"/>
    <w:rsid w:val="00717330"/>
    <w:rsid w:val="00721383"/>
    <w:rsid w:val="0072554C"/>
    <w:rsid w:val="00725911"/>
    <w:rsid w:val="00730764"/>
    <w:rsid w:val="00731DBD"/>
    <w:rsid w:val="007333CC"/>
    <w:rsid w:val="0073399A"/>
    <w:rsid w:val="00734D1B"/>
    <w:rsid w:val="007353E1"/>
    <w:rsid w:val="007418BA"/>
    <w:rsid w:val="007442BA"/>
    <w:rsid w:val="007501FC"/>
    <w:rsid w:val="00751F66"/>
    <w:rsid w:val="0075571A"/>
    <w:rsid w:val="007568C4"/>
    <w:rsid w:val="007603F5"/>
    <w:rsid w:val="00764DB0"/>
    <w:rsid w:val="00766F8A"/>
    <w:rsid w:val="0076764D"/>
    <w:rsid w:val="0077498C"/>
    <w:rsid w:val="00775713"/>
    <w:rsid w:val="00777183"/>
    <w:rsid w:val="00780194"/>
    <w:rsid w:val="007812E5"/>
    <w:rsid w:val="007835BF"/>
    <w:rsid w:val="00784128"/>
    <w:rsid w:val="00784B4B"/>
    <w:rsid w:val="007854ED"/>
    <w:rsid w:val="00793173"/>
    <w:rsid w:val="007A119A"/>
    <w:rsid w:val="007A3577"/>
    <w:rsid w:val="007A7340"/>
    <w:rsid w:val="007A7978"/>
    <w:rsid w:val="007B3AC7"/>
    <w:rsid w:val="007B497A"/>
    <w:rsid w:val="007C19FF"/>
    <w:rsid w:val="007C1D5D"/>
    <w:rsid w:val="007C1FCC"/>
    <w:rsid w:val="007C2691"/>
    <w:rsid w:val="007C32A8"/>
    <w:rsid w:val="007C3FE5"/>
    <w:rsid w:val="007C6201"/>
    <w:rsid w:val="007C6988"/>
    <w:rsid w:val="007C7AF3"/>
    <w:rsid w:val="007D28A1"/>
    <w:rsid w:val="007D7C92"/>
    <w:rsid w:val="007E1154"/>
    <w:rsid w:val="007E6BA4"/>
    <w:rsid w:val="007E7678"/>
    <w:rsid w:val="007F41F8"/>
    <w:rsid w:val="007F60D0"/>
    <w:rsid w:val="0080454E"/>
    <w:rsid w:val="00804C32"/>
    <w:rsid w:val="00806302"/>
    <w:rsid w:val="00807119"/>
    <w:rsid w:val="00807BAF"/>
    <w:rsid w:val="00812306"/>
    <w:rsid w:val="00812AFE"/>
    <w:rsid w:val="00817D57"/>
    <w:rsid w:val="00822764"/>
    <w:rsid w:val="008241C4"/>
    <w:rsid w:val="0082483F"/>
    <w:rsid w:val="008264CB"/>
    <w:rsid w:val="008279C0"/>
    <w:rsid w:val="0083210E"/>
    <w:rsid w:val="00835FD1"/>
    <w:rsid w:val="0084683C"/>
    <w:rsid w:val="008512FA"/>
    <w:rsid w:val="00853A74"/>
    <w:rsid w:val="00857763"/>
    <w:rsid w:val="00860E61"/>
    <w:rsid w:val="0086427D"/>
    <w:rsid w:val="00865AB2"/>
    <w:rsid w:val="00867A8F"/>
    <w:rsid w:val="008723F3"/>
    <w:rsid w:val="00873028"/>
    <w:rsid w:val="00875513"/>
    <w:rsid w:val="00881DE6"/>
    <w:rsid w:val="008837A6"/>
    <w:rsid w:val="008858F8"/>
    <w:rsid w:val="008874D0"/>
    <w:rsid w:val="0089145D"/>
    <w:rsid w:val="00891B97"/>
    <w:rsid w:val="00893A03"/>
    <w:rsid w:val="00894A85"/>
    <w:rsid w:val="00895B52"/>
    <w:rsid w:val="008A0C6E"/>
    <w:rsid w:val="008A3E4F"/>
    <w:rsid w:val="008A46CF"/>
    <w:rsid w:val="008A4DF2"/>
    <w:rsid w:val="008A6CFE"/>
    <w:rsid w:val="008A7470"/>
    <w:rsid w:val="008B1A08"/>
    <w:rsid w:val="008B2DE3"/>
    <w:rsid w:val="008B494B"/>
    <w:rsid w:val="008B5333"/>
    <w:rsid w:val="008B6223"/>
    <w:rsid w:val="008B7FB7"/>
    <w:rsid w:val="008C4F60"/>
    <w:rsid w:val="008C66E0"/>
    <w:rsid w:val="008E2DFA"/>
    <w:rsid w:val="008E3339"/>
    <w:rsid w:val="008E39C5"/>
    <w:rsid w:val="008E549B"/>
    <w:rsid w:val="008F18EF"/>
    <w:rsid w:val="008F20FC"/>
    <w:rsid w:val="008F2B24"/>
    <w:rsid w:val="008F5FFE"/>
    <w:rsid w:val="008F7E01"/>
    <w:rsid w:val="00901488"/>
    <w:rsid w:val="0090421A"/>
    <w:rsid w:val="009046F8"/>
    <w:rsid w:val="00905A43"/>
    <w:rsid w:val="00907AC6"/>
    <w:rsid w:val="00907DC2"/>
    <w:rsid w:val="00912C79"/>
    <w:rsid w:val="0091524D"/>
    <w:rsid w:val="009165C3"/>
    <w:rsid w:val="009175CA"/>
    <w:rsid w:val="009260A2"/>
    <w:rsid w:val="009328E7"/>
    <w:rsid w:val="009344C1"/>
    <w:rsid w:val="00934836"/>
    <w:rsid w:val="00942123"/>
    <w:rsid w:val="009437A3"/>
    <w:rsid w:val="00947106"/>
    <w:rsid w:val="00951031"/>
    <w:rsid w:val="0095207B"/>
    <w:rsid w:val="0095219E"/>
    <w:rsid w:val="009524A4"/>
    <w:rsid w:val="00954461"/>
    <w:rsid w:val="00954DC7"/>
    <w:rsid w:val="00956085"/>
    <w:rsid w:val="00957206"/>
    <w:rsid w:val="00957951"/>
    <w:rsid w:val="00962045"/>
    <w:rsid w:val="0096694D"/>
    <w:rsid w:val="00966D32"/>
    <w:rsid w:val="00967EDA"/>
    <w:rsid w:val="00970897"/>
    <w:rsid w:val="00971676"/>
    <w:rsid w:val="0097337E"/>
    <w:rsid w:val="00977DB5"/>
    <w:rsid w:val="00980314"/>
    <w:rsid w:val="009816D0"/>
    <w:rsid w:val="00981D55"/>
    <w:rsid w:val="00983FC2"/>
    <w:rsid w:val="009859DE"/>
    <w:rsid w:val="00991428"/>
    <w:rsid w:val="00992676"/>
    <w:rsid w:val="00996691"/>
    <w:rsid w:val="009A4880"/>
    <w:rsid w:val="009A58D1"/>
    <w:rsid w:val="009A7865"/>
    <w:rsid w:val="009B0723"/>
    <w:rsid w:val="009B07AD"/>
    <w:rsid w:val="009B07C1"/>
    <w:rsid w:val="009B0883"/>
    <w:rsid w:val="009B15E2"/>
    <w:rsid w:val="009B5832"/>
    <w:rsid w:val="009B6312"/>
    <w:rsid w:val="009B63C0"/>
    <w:rsid w:val="009B640D"/>
    <w:rsid w:val="009C0850"/>
    <w:rsid w:val="009C0B8E"/>
    <w:rsid w:val="009C1BC8"/>
    <w:rsid w:val="009C2442"/>
    <w:rsid w:val="009C4248"/>
    <w:rsid w:val="009D0811"/>
    <w:rsid w:val="009D0EE1"/>
    <w:rsid w:val="009D30BB"/>
    <w:rsid w:val="009D3E25"/>
    <w:rsid w:val="009E2AEB"/>
    <w:rsid w:val="009E2E27"/>
    <w:rsid w:val="009E3CA7"/>
    <w:rsid w:val="009E4DE3"/>
    <w:rsid w:val="00A047EE"/>
    <w:rsid w:val="00A0504F"/>
    <w:rsid w:val="00A05DAA"/>
    <w:rsid w:val="00A105F0"/>
    <w:rsid w:val="00A114EA"/>
    <w:rsid w:val="00A153F7"/>
    <w:rsid w:val="00A20A86"/>
    <w:rsid w:val="00A2274A"/>
    <w:rsid w:val="00A235B7"/>
    <w:rsid w:val="00A27A7A"/>
    <w:rsid w:val="00A334F4"/>
    <w:rsid w:val="00A3408C"/>
    <w:rsid w:val="00A37235"/>
    <w:rsid w:val="00A407EF"/>
    <w:rsid w:val="00A46B4C"/>
    <w:rsid w:val="00A5117B"/>
    <w:rsid w:val="00A54000"/>
    <w:rsid w:val="00A54689"/>
    <w:rsid w:val="00A60074"/>
    <w:rsid w:val="00A635F7"/>
    <w:rsid w:val="00A6627C"/>
    <w:rsid w:val="00A6649C"/>
    <w:rsid w:val="00A70BBC"/>
    <w:rsid w:val="00A71019"/>
    <w:rsid w:val="00A81029"/>
    <w:rsid w:val="00A83CB5"/>
    <w:rsid w:val="00A85E57"/>
    <w:rsid w:val="00A865A7"/>
    <w:rsid w:val="00A9211B"/>
    <w:rsid w:val="00A934CF"/>
    <w:rsid w:val="00A96489"/>
    <w:rsid w:val="00AA2703"/>
    <w:rsid w:val="00AA3A42"/>
    <w:rsid w:val="00AA5311"/>
    <w:rsid w:val="00AA7BAA"/>
    <w:rsid w:val="00AB685C"/>
    <w:rsid w:val="00AB6C2D"/>
    <w:rsid w:val="00AB77D5"/>
    <w:rsid w:val="00AC08F7"/>
    <w:rsid w:val="00AC3839"/>
    <w:rsid w:val="00AC7082"/>
    <w:rsid w:val="00AD0E59"/>
    <w:rsid w:val="00AD3FEA"/>
    <w:rsid w:val="00AD54D6"/>
    <w:rsid w:val="00AD7B89"/>
    <w:rsid w:val="00AD7BBD"/>
    <w:rsid w:val="00AE04E6"/>
    <w:rsid w:val="00AE58E3"/>
    <w:rsid w:val="00AF0E5A"/>
    <w:rsid w:val="00AF228E"/>
    <w:rsid w:val="00AF302B"/>
    <w:rsid w:val="00B02FDA"/>
    <w:rsid w:val="00B04137"/>
    <w:rsid w:val="00B04F33"/>
    <w:rsid w:val="00B1112C"/>
    <w:rsid w:val="00B11D19"/>
    <w:rsid w:val="00B12936"/>
    <w:rsid w:val="00B12C2D"/>
    <w:rsid w:val="00B14819"/>
    <w:rsid w:val="00B15031"/>
    <w:rsid w:val="00B1698F"/>
    <w:rsid w:val="00B16A66"/>
    <w:rsid w:val="00B17AA9"/>
    <w:rsid w:val="00B21D62"/>
    <w:rsid w:val="00B239BB"/>
    <w:rsid w:val="00B25BCF"/>
    <w:rsid w:val="00B263D0"/>
    <w:rsid w:val="00B32DE4"/>
    <w:rsid w:val="00B33578"/>
    <w:rsid w:val="00B33FD6"/>
    <w:rsid w:val="00B370C3"/>
    <w:rsid w:val="00B40524"/>
    <w:rsid w:val="00B411AE"/>
    <w:rsid w:val="00B413F5"/>
    <w:rsid w:val="00B42FE7"/>
    <w:rsid w:val="00B457BF"/>
    <w:rsid w:val="00B46602"/>
    <w:rsid w:val="00B46CE2"/>
    <w:rsid w:val="00B54A3E"/>
    <w:rsid w:val="00B60190"/>
    <w:rsid w:val="00B61419"/>
    <w:rsid w:val="00B66441"/>
    <w:rsid w:val="00B72F5F"/>
    <w:rsid w:val="00B73347"/>
    <w:rsid w:val="00B736DF"/>
    <w:rsid w:val="00B73E18"/>
    <w:rsid w:val="00B74FBD"/>
    <w:rsid w:val="00B77352"/>
    <w:rsid w:val="00B82586"/>
    <w:rsid w:val="00B829A3"/>
    <w:rsid w:val="00B86DB1"/>
    <w:rsid w:val="00B87869"/>
    <w:rsid w:val="00B91153"/>
    <w:rsid w:val="00B953BD"/>
    <w:rsid w:val="00B966E0"/>
    <w:rsid w:val="00B96C2B"/>
    <w:rsid w:val="00BA0E44"/>
    <w:rsid w:val="00BA3335"/>
    <w:rsid w:val="00BA47C5"/>
    <w:rsid w:val="00BA647D"/>
    <w:rsid w:val="00BB0F2B"/>
    <w:rsid w:val="00BB1C4C"/>
    <w:rsid w:val="00BB411F"/>
    <w:rsid w:val="00BC25B3"/>
    <w:rsid w:val="00BC3F2C"/>
    <w:rsid w:val="00BD0D57"/>
    <w:rsid w:val="00BD3D0F"/>
    <w:rsid w:val="00BE08DF"/>
    <w:rsid w:val="00BE1A50"/>
    <w:rsid w:val="00BE6292"/>
    <w:rsid w:val="00BF4C8A"/>
    <w:rsid w:val="00BF50F7"/>
    <w:rsid w:val="00C00111"/>
    <w:rsid w:val="00C02F29"/>
    <w:rsid w:val="00C10C13"/>
    <w:rsid w:val="00C17111"/>
    <w:rsid w:val="00C20747"/>
    <w:rsid w:val="00C20AFE"/>
    <w:rsid w:val="00C22A25"/>
    <w:rsid w:val="00C23B79"/>
    <w:rsid w:val="00C259AF"/>
    <w:rsid w:val="00C3133A"/>
    <w:rsid w:val="00C33D50"/>
    <w:rsid w:val="00C34DF8"/>
    <w:rsid w:val="00C35671"/>
    <w:rsid w:val="00C35B77"/>
    <w:rsid w:val="00C370D3"/>
    <w:rsid w:val="00C376EB"/>
    <w:rsid w:val="00C4003A"/>
    <w:rsid w:val="00C40439"/>
    <w:rsid w:val="00C4510C"/>
    <w:rsid w:val="00C46EC1"/>
    <w:rsid w:val="00C504E5"/>
    <w:rsid w:val="00C53E2C"/>
    <w:rsid w:val="00C550C8"/>
    <w:rsid w:val="00C56B61"/>
    <w:rsid w:val="00C606C3"/>
    <w:rsid w:val="00C61F94"/>
    <w:rsid w:val="00C620F4"/>
    <w:rsid w:val="00C6603E"/>
    <w:rsid w:val="00C668B6"/>
    <w:rsid w:val="00C67ECE"/>
    <w:rsid w:val="00C7161B"/>
    <w:rsid w:val="00C72848"/>
    <w:rsid w:val="00C7525F"/>
    <w:rsid w:val="00C7736C"/>
    <w:rsid w:val="00C82A2F"/>
    <w:rsid w:val="00C82D87"/>
    <w:rsid w:val="00C841ED"/>
    <w:rsid w:val="00C85F17"/>
    <w:rsid w:val="00C8712A"/>
    <w:rsid w:val="00C91324"/>
    <w:rsid w:val="00C914F7"/>
    <w:rsid w:val="00C963D3"/>
    <w:rsid w:val="00CA6E0D"/>
    <w:rsid w:val="00CB0A32"/>
    <w:rsid w:val="00CB2CBB"/>
    <w:rsid w:val="00CB56CE"/>
    <w:rsid w:val="00CB7809"/>
    <w:rsid w:val="00CB7CAC"/>
    <w:rsid w:val="00CC0EA0"/>
    <w:rsid w:val="00CC3A17"/>
    <w:rsid w:val="00CC3AE6"/>
    <w:rsid w:val="00CC3D48"/>
    <w:rsid w:val="00CC5335"/>
    <w:rsid w:val="00CC5BA4"/>
    <w:rsid w:val="00CC70BB"/>
    <w:rsid w:val="00CD3420"/>
    <w:rsid w:val="00CD4998"/>
    <w:rsid w:val="00CD5AE8"/>
    <w:rsid w:val="00CD60C3"/>
    <w:rsid w:val="00CE1035"/>
    <w:rsid w:val="00CE1208"/>
    <w:rsid w:val="00CE2A6A"/>
    <w:rsid w:val="00CE4DCF"/>
    <w:rsid w:val="00CF2819"/>
    <w:rsid w:val="00CF4F9D"/>
    <w:rsid w:val="00CF6926"/>
    <w:rsid w:val="00CF70DC"/>
    <w:rsid w:val="00D00967"/>
    <w:rsid w:val="00D148DC"/>
    <w:rsid w:val="00D155BD"/>
    <w:rsid w:val="00D17FDC"/>
    <w:rsid w:val="00D21965"/>
    <w:rsid w:val="00D23C3B"/>
    <w:rsid w:val="00D444C5"/>
    <w:rsid w:val="00D45AEA"/>
    <w:rsid w:val="00D5200E"/>
    <w:rsid w:val="00D5244F"/>
    <w:rsid w:val="00D5287F"/>
    <w:rsid w:val="00D52E4F"/>
    <w:rsid w:val="00D56A37"/>
    <w:rsid w:val="00D57202"/>
    <w:rsid w:val="00D6386E"/>
    <w:rsid w:val="00D63EFD"/>
    <w:rsid w:val="00D64826"/>
    <w:rsid w:val="00D7080A"/>
    <w:rsid w:val="00D80DF2"/>
    <w:rsid w:val="00D814D4"/>
    <w:rsid w:val="00D84150"/>
    <w:rsid w:val="00D84752"/>
    <w:rsid w:val="00D85AB0"/>
    <w:rsid w:val="00D86B3B"/>
    <w:rsid w:val="00D8748A"/>
    <w:rsid w:val="00D92833"/>
    <w:rsid w:val="00D93196"/>
    <w:rsid w:val="00D94A4D"/>
    <w:rsid w:val="00D97A93"/>
    <w:rsid w:val="00DA1083"/>
    <w:rsid w:val="00DA11FC"/>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E7CF2"/>
    <w:rsid w:val="00DF0F73"/>
    <w:rsid w:val="00DF75F8"/>
    <w:rsid w:val="00DF7A3A"/>
    <w:rsid w:val="00E00C00"/>
    <w:rsid w:val="00E04A7C"/>
    <w:rsid w:val="00E059FB"/>
    <w:rsid w:val="00E069C4"/>
    <w:rsid w:val="00E07275"/>
    <w:rsid w:val="00E07866"/>
    <w:rsid w:val="00E07C5A"/>
    <w:rsid w:val="00E101C3"/>
    <w:rsid w:val="00E15BA9"/>
    <w:rsid w:val="00E23D13"/>
    <w:rsid w:val="00E25B22"/>
    <w:rsid w:val="00E2622D"/>
    <w:rsid w:val="00E267BD"/>
    <w:rsid w:val="00E26E19"/>
    <w:rsid w:val="00E27E3C"/>
    <w:rsid w:val="00E31DF3"/>
    <w:rsid w:val="00E32814"/>
    <w:rsid w:val="00E33448"/>
    <w:rsid w:val="00E33486"/>
    <w:rsid w:val="00E34181"/>
    <w:rsid w:val="00E34208"/>
    <w:rsid w:val="00E4319D"/>
    <w:rsid w:val="00E450A4"/>
    <w:rsid w:val="00E50047"/>
    <w:rsid w:val="00E506BE"/>
    <w:rsid w:val="00E53E75"/>
    <w:rsid w:val="00E55547"/>
    <w:rsid w:val="00E560A0"/>
    <w:rsid w:val="00E57410"/>
    <w:rsid w:val="00E61C42"/>
    <w:rsid w:val="00E6302B"/>
    <w:rsid w:val="00E6452F"/>
    <w:rsid w:val="00E64619"/>
    <w:rsid w:val="00E64F45"/>
    <w:rsid w:val="00E6742D"/>
    <w:rsid w:val="00E6777C"/>
    <w:rsid w:val="00E67E0F"/>
    <w:rsid w:val="00E71CB0"/>
    <w:rsid w:val="00E73529"/>
    <w:rsid w:val="00E77C3D"/>
    <w:rsid w:val="00E82E22"/>
    <w:rsid w:val="00E850FE"/>
    <w:rsid w:val="00E85D86"/>
    <w:rsid w:val="00E87601"/>
    <w:rsid w:val="00E909F0"/>
    <w:rsid w:val="00E90D47"/>
    <w:rsid w:val="00E93993"/>
    <w:rsid w:val="00E9597C"/>
    <w:rsid w:val="00E97842"/>
    <w:rsid w:val="00EA0913"/>
    <w:rsid w:val="00EA0A2F"/>
    <w:rsid w:val="00EA3FBF"/>
    <w:rsid w:val="00EA6D31"/>
    <w:rsid w:val="00EB0D70"/>
    <w:rsid w:val="00EB146B"/>
    <w:rsid w:val="00EB45AC"/>
    <w:rsid w:val="00EC1B9F"/>
    <w:rsid w:val="00EC2AEA"/>
    <w:rsid w:val="00EC7B11"/>
    <w:rsid w:val="00EC7F95"/>
    <w:rsid w:val="00ED09D7"/>
    <w:rsid w:val="00ED0BC4"/>
    <w:rsid w:val="00ED3771"/>
    <w:rsid w:val="00ED4AB7"/>
    <w:rsid w:val="00ED6A32"/>
    <w:rsid w:val="00EE0353"/>
    <w:rsid w:val="00EE4971"/>
    <w:rsid w:val="00EF090E"/>
    <w:rsid w:val="00F02708"/>
    <w:rsid w:val="00F033DA"/>
    <w:rsid w:val="00F04010"/>
    <w:rsid w:val="00F11AAB"/>
    <w:rsid w:val="00F13FB1"/>
    <w:rsid w:val="00F17BC1"/>
    <w:rsid w:val="00F17C87"/>
    <w:rsid w:val="00F20272"/>
    <w:rsid w:val="00F223E7"/>
    <w:rsid w:val="00F2288D"/>
    <w:rsid w:val="00F245A8"/>
    <w:rsid w:val="00F25779"/>
    <w:rsid w:val="00F2750A"/>
    <w:rsid w:val="00F27CD8"/>
    <w:rsid w:val="00F30351"/>
    <w:rsid w:val="00F31EE9"/>
    <w:rsid w:val="00F32497"/>
    <w:rsid w:val="00F3323E"/>
    <w:rsid w:val="00F33E9A"/>
    <w:rsid w:val="00F341F4"/>
    <w:rsid w:val="00F346CF"/>
    <w:rsid w:val="00F34F9D"/>
    <w:rsid w:val="00F35CCE"/>
    <w:rsid w:val="00F4428A"/>
    <w:rsid w:val="00F51EE5"/>
    <w:rsid w:val="00F52811"/>
    <w:rsid w:val="00F55241"/>
    <w:rsid w:val="00F5524B"/>
    <w:rsid w:val="00F56DAC"/>
    <w:rsid w:val="00F5730F"/>
    <w:rsid w:val="00F60538"/>
    <w:rsid w:val="00F61DD2"/>
    <w:rsid w:val="00F6523A"/>
    <w:rsid w:val="00F65952"/>
    <w:rsid w:val="00F6695E"/>
    <w:rsid w:val="00F66AFF"/>
    <w:rsid w:val="00F707FE"/>
    <w:rsid w:val="00F71433"/>
    <w:rsid w:val="00F7241A"/>
    <w:rsid w:val="00F74718"/>
    <w:rsid w:val="00F76E99"/>
    <w:rsid w:val="00F8365A"/>
    <w:rsid w:val="00F83C48"/>
    <w:rsid w:val="00F83E76"/>
    <w:rsid w:val="00F87BEA"/>
    <w:rsid w:val="00F90A57"/>
    <w:rsid w:val="00F929F5"/>
    <w:rsid w:val="00F94078"/>
    <w:rsid w:val="00F95D75"/>
    <w:rsid w:val="00F97C5B"/>
    <w:rsid w:val="00FA05D2"/>
    <w:rsid w:val="00FA1ABC"/>
    <w:rsid w:val="00FA359A"/>
    <w:rsid w:val="00FA3D50"/>
    <w:rsid w:val="00FB009F"/>
    <w:rsid w:val="00FB2073"/>
    <w:rsid w:val="00FB25B0"/>
    <w:rsid w:val="00FB6136"/>
    <w:rsid w:val="00FC2FCF"/>
    <w:rsid w:val="00FC374A"/>
    <w:rsid w:val="00FC7B47"/>
    <w:rsid w:val="00FD035C"/>
    <w:rsid w:val="00FD1A35"/>
    <w:rsid w:val="00FD1FE6"/>
    <w:rsid w:val="00FD36C5"/>
    <w:rsid w:val="00FD428C"/>
    <w:rsid w:val="00FD5A11"/>
    <w:rsid w:val="00FD6310"/>
    <w:rsid w:val="00FD7C7B"/>
    <w:rsid w:val="00FD7FD0"/>
    <w:rsid w:val="00FE1D12"/>
    <w:rsid w:val="00FE2122"/>
    <w:rsid w:val="00FE2A86"/>
    <w:rsid w:val="00FF296F"/>
    <w:rsid w:val="00FF5DAE"/>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paragraph" w:styleId="NoSpacing">
    <w:name w:val="No Spacing"/>
    <w:uiPriority w:val="1"/>
    <w:qFormat/>
    <w:rsid w:val="004C4E4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15</Pages>
  <Words>5406</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Tesh</cp:lastModifiedBy>
  <cp:revision>398</cp:revision>
  <cp:lastPrinted>2019-08-27T05:42:00Z</cp:lastPrinted>
  <dcterms:created xsi:type="dcterms:W3CDTF">2023-01-19T09:32:00Z</dcterms:created>
  <dcterms:modified xsi:type="dcterms:W3CDTF">2024-03-01T03:33:00Z</dcterms:modified>
</cp:coreProperties>
</file>