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2F75F9DF">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w:t>
      </w:r>
      <w:r w:rsidR="0036565C" w:rsidRPr="008E3C96">
        <w:rPr>
          <w:rFonts w:ascii="Avenir Next" w:hAnsi="Avenir Next" w:cs="Arial"/>
          <w:sz w:val="22"/>
          <w:szCs w:val="22"/>
          <w:lang w:val="en-GB"/>
        </w:rPr>
        <w:lastRenderedPageBreak/>
        <w:t xml:space="preserve">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0F66FD" w:rsidRDefault="00F746D8" w:rsidP="00F746D8">
      <w:pPr>
        <w:pStyle w:val="ListParagraph"/>
        <w:numPr>
          <w:ilvl w:val="0"/>
          <w:numId w:val="26"/>
        </w:numPr>
        <w:ind w:left="426"/>
        <w:jc w:val="both"/>
        <w:rPr>
          <w:rFonts w:ascii="Avenir Next" w:hAnsi="Avenir Next" w:cs="Arial"/>
          <w:sz w:val="22"/>
          <w:szCs w:val="22"/>
          <w:highlight w:val="yellow"/>
          <w:lang w:val="en-GB"/>
        </w:rPr>
      </w:pPr>
      <w:r w:rsidRPr="000F66FD">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023290F1" w:rsidR="00F746D8" w:rsidRPr="00AD35E0" w:rsidRDefault="00F746D8" w:rsidP="00F746D8">
      <w:pPr>
        <w:pStyle w:val="ListParagraph"/>
        <w:numPr>
          <w:ilvl w:val="0"/>
          <w:numId w:val="3"/>
        </w:numPr>
        <w:ind w:left="426"/>
        <w:jc w:val="both"/>
        <w:rPr>
          <w:rFonts w:ascii="Avenir Next" w:hAnsi="Avenir Next" w:cs="Arial"/>
          <w:iCs/>
          <w:sz w:val="22"/>
          <w:szCs w:val="22"/>
          <w:lang w:val="en-GB"/>
        </w:rPr>
      </w:pPr>
      <w:r w:rsidRPr="004E44F3">
        <w:rPr>
          <w:rFonts w:ascii="Avenir Next" w:hAnsi="Avenir Next" w:cs="Arial"/>
          <w:iCs/>
          <w:sz w:val="22"/>
          <w:szCs w:val="22"/>
          <w:highlight w:val="yellow"/>
          <w:lang w:val="en-GB"/>
        </w:rPr>
        <w:t>Proceedings will fall under the scope of the EIR 2015 if they are based on laws relating to</w:t>
      </w:r>
      <w:r w:rsidRPr="004E44F3">
        <w:rPr>
          <w:rFonts w:ascii="Avenir Next" w:hAnsi="Avenir Next" w:cs="Arial"/>
          <w:iCs/>
          <w:sz w:val="22"/>
          <w:szCs w:val="22"/>
          <w:lang w:val="en-GB"/>
        </w:rPr>
        <w:t xml:space="preserve"> </w:t>
      </w:r>
      <w:r w:rsidRPr="000F66FD">
        <w:rPr>
          <w:rFonts w:ascii="Avenir Next" w:hAnsi="Avenir Next" w:cs="Arial"/>
          <w:iCs/>
          <w:sz w:val="22"/>
          <w:szCs w:val="22"/>
          <w:highlight w:val="yellow"/>
          <w:lang w:val="en-GB"/>
        </w:rPr>
        <w:t>insolvency for the purpose of rescue, adjustment of debt, reorganisation, or liquidation; are public; and are collective</w:t>
      </w:r>
      <w:r w:rsidRPr="00AD35E0">
        <w:rPr>
          <w:rFonts w:ascii="Avenir Next" w:hAnsi="Avenir Next" w:cs="Arial"/>
          <w:iCs/>
          <w:sz w:val="22"/>
          <w:szCs w:val="22"/>
          <w:lang w:val="en-GB"/>
        </w:rPr>
        <w:t>.</w:t>
      </w:r>
    </w:p>
    <w:p w14:paraId="6A700B54" w14:textId="77777777" w:rsidR="00F746D8" w:rsidRPr="008E3C96" w:rsidRDefault="00F746D8" w:rsidP="00F746D8">
      <w:pPr>
        <w:pStyle w:val="ListParagraph"/>
        <w:ind w:left="426"/>
        <w:jc w:val="both"/>
        <w:rPr>
          <w:rFonts w:ascii="Avenir Next" w:hAnsi="Avenir Next" w:cs="Arial"/>
          <w:iCs/>
          <w:sz w:val="22"/>
          <w:szCs w:val="22"/>
          <w:lang w:val="en-GB"/>
        </w:rPr>
      </w:pPr>
    </w:p>
    <w:p w14:paraId="676F8887"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w:t>
      </w:r>
      <w:r w:rsidRPr="00D7664B">
        <w:rPr>
          <w:rFonts w:ascii="Avenir Next" w:hAnsi="Avenir Next" w:cs="Arial"/>
          <w:iCs/>
          <w:sz w:val="22"/>
          <w:szCs w:val="22"/>
          <w:lang w:val="en-GB"/>
        </w:rPr>
        <w:t xml:space="preserve">rescue, adjustment of debt, reorganisation, or </w:t>
      </w:r>
      <w:r w:rsidRPr="00DE27FF">
        <w:rPr>
          <w:rFonts w:ascii="Avenir Next" w:hAnsi="Avenir Next" w:cs="Arial"/>
          <w:iCs/>
          <w:sz w:val="22"/>
          <w:szCs w:val="22"/>
          <w:lang w:val="en-GB"/>
        </w:rPr>
        <w:t xml:space="preserve">liquidation; are public; </w:t>
      </w:r>
      <w:r>
        <w:rPr>
          <w:rFonts w:ascii="Avenir Next" w:hAnsi="Avenir Next" w:cs="Arial"/>
          <w:iCs/>
          <w:sz w:val="22"/>
          <w:szCs w:val="22"/>
          <w:lang w:val="en-GB"/>
        </w:rPr>
        <w:t xml:space="preserve">and </w:t>
      </w:r>
      <w:r w:rsidRPr="00DE27FF">
        <w:rPr>
          <w:rFonts w:ascii="Avenir Next" w:hAnsi="Avenir Next" w:cs="Arial"/>
          <w:iCs/>
          <w:sz w:val="22"/>
          <w:szCs w:val="22"/>
          <w:lang w:val="en-GB"/>
        </w:rPr>
        <w:t xml:space="preserve">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in the area of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lastRenderedPageBreak/>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0F66FD" w:rsidRDefault="00F746D8" w:rsidP="00F746D8">
      <w:pPr>
        <w:pStyle w:val="ListParagraph"/>
        <w:numPr>
          <w:ilvl w:val="0"/>
          <w:numId w:val="27"/>
        </w:numPr>
        <w:ind w:left="426"/>
        <w:jc w:val="both"/>
        <w:rPr>
          <w:rFonts w:ascii="Avenir Next" w:hAnsi="Avenir Next"/>
          <w:sz w:val="22"/>
          <w:highlight w:val="yellow"/>
          <w:lang w:val="en-GB"/>
        </w:rPr>
      </w:pPr>
      <w:r w:rsidRPr="000F66FD">
        <w:rPr>
          <w:rFonts w:ascii="Avenir Next" w:hAnsi="Avenir Next"/>
          <w:sz w:val="22"/>
          <w:highlight w:val="yellow"/>
          <w:lang w:val="en-GB"/>
        </w:rPr>
        <w:t xml:space="preserve">The EIR 2000 </w:t>
      </w:r>
      <w:r w:rsidRPr="000F66FD">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0F66FD">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AD35E0" w:rsidRDefault="00F746D8" w:rsidP="004E44F3">
      <w:pPr>
        <w:pStyle w:val="ListParagraph"/>
        <w:numPr>
          <w:ilvl w:val="0"/>
          <w:numId w:val="5"/>
        </w:numPr>
        <w:shd w:val="clear" w:color="auto" w:fill="FFFF00"/>
        <w:ind w:left="426"/>
        <w:jc w:val="both"/>
        <w:rPr>
          <w:rFonts w:ascii="Avenir Next" w:hAnsi="Avenir Next" w:cs="Arial"/>
          <w:sz w:val="22"/>
          <w:szCs w:val="22"/>
          <w:lang w:val="en-GB"/>
        </w:rPr>
      </w:pPr>
      <w:r w:rsidRPr="00AD35E0">
        <w:rPr>
          <w:rFonts w:ascii="Avenir Next" w:hAnsi="Avenir Next" w:cs="Arial"/>
          <w:sz w:val="22"/>
          <w:szCs w:val="22"/>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B35B9D" w:rsidRDefault="00F746D8" w:rsidP="00F746D8">
      <w:pPr>
        <w:pStyle w:val="ListParagraph"/>
        <w:numPr>
          <w:ilvl w:val="0"/>
          <w:numId w:val="28"/>
        </w:numPr>
        <w:ind w:left="426"/>
        <w:jc w:val="both"/>
        <w:rPr>
          <w:rFonts w:ascii="Avenir Next" w:hAnsi="Avenir Next" w:cs="Arial"/>
          <w:sz w:val="22"/>
          <w:szCs w:val="22"/>
          <w:highlight w:val="yellow"/>
          <w:lang w:val="en-GB"/>
        </w:rPr>
      </w:pPr>
      <w:r w:rsidRPr="00B35B9D">
        <w:rPr>
          <w:rFonts w:ascii="Avenir Next" w:hAnsi="Avenir Next" w:cs="Arial"/>
          <w:sz w:val="22"/>
          <w:szCs w:val="22"/>
          <w:highlight w:val="yellow"/>
          <w:lang w:val="en-GB"/>
        </w:rPr>
        <w:t>Article 3 states that the courts of the Member State within the territory of which the debtor has its centre of main</w:t>
      </w:r>
      <w:r w:rsidR="003E1D56" w:rsidRPr="00B35B9D">
        <w:rPr>
          <w:rFonts w:ascii="Avenir Next" w:hAnsi="Avenir Next" w:cs="Arial"/>
          <w:sz w:val="22"/>
          <w:szCs w:val="22"/>
          <w:highlight w:val="yellow"/>
          <w:lang w:val="en-GB"/>
        </w:rPr>
        <w:t xml:space="preserve"> interest</w:t>
      </w:r>
      <w:r w:rsidRPr="00B35B9D">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32CCB">
        <w:rPr>
          <w:rFonts w:ascii="Avenir Next" w:hAnsi="Avenir Next" w:cs="Arial"/>
          <w:sz w:val="22"/>
          <w:szCs w:val="22"/>
          <w:highlight w:val="yellow"/>
          <w:lang w:val="en-GB"/>
        </w:rPr>
        <w:t>The ECJ has provided a definition of “insolvency” in recent case law.</w:t>
      </w:r>
      <w:r w:rsidRPr="008E3C96">
        <w:rPr>
          <w:rFonts w:ascii="Avenir Next" w:hAnsi="Avenir Next" w:cs="Arial"/>
          <w:sz w:val="22"/>
          <w:szCs w:val="22"/>
          <w:lang w:val="en-GB"/>
        </w:rPr>
        <w:t xml:space="preserve">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AD35E0" w:rsidRDefault="00F746D8" w:rsidP="00F746D8">
      <w:pPr>
        <w:pStyle w:val="ListParagraph"/>
        <w:numPr>
          <w:ilvl w:val="0"/>
          <w:numId w:val="7"/>
        </w:numPr>
        <w:ind w:left="426"/>
        <w:jc w:val="both"/>
        <w:rPr>
          <w:rFonts w:ascii="Avenir Next" w:hAnsi="Avenir Next" w:cs="Arial"/>
          <w:sz w:val="22"/>
          <w:szCs w:val="22"/>
          <w:lang w:val="en-GB"/>
        </w:rPr>
      </w:pPr>
      <w:r w:rsidRPr="00AD35E0">
        <w:rPr>
          <w:rFonts w:ascii="Avenir Next" w:hAnsi="Avenir Next" w:cs="Arial"/>
          <w:sz w:val="22"/>
          <w:szCs w:val="22"/>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1C01DF">
        <w:rPr>
          <w:rFonts w:ascii="Avenir Next" w:hAnsi="Avenir Next" w:cs="Arial"/>
          <w:sz w:val="22"/>
          <w:szCs w:val="22"/>
          <w:shd w:val="clear" w:color="auto" w:fill="FFFF00"/>
          <w:lang w:val="en-GB"/>
        </w:rPr>
        <w:t>Article 7 EIR Recast (entitled “Applicable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AD35E0" w:rsidRDefault="00F746D8" w:rsidP="00F746D8">
      <w:pPr>
        <w:pStyle w:val="ListParagraph"/>
        <w:numPr>
          <w:ilvl w:val="0"/>
          <w:numId w:val="31"/>
        </w:numPr>
        <w:ind w:left="426"/>
        <w:jc w:val="both"/>
        <w:rPr>
          <w:rFonts w:ascii="Avenir Next" w:hAnsi="Avenir Next" w:cs="Arial"/>
          <w:sz w:val="22"/>
          <w:szCs w:val="22"/>
          <w:lang w:val="en-GB"/>
        </w:rPr>
      </w:pPr>
      <w:r w:rsidRPr="00AD35E0">
        <w:rPr>
          <w:rFonts w:ascii="Avenir Next" w:hAnsi="Avenir Next" w:cs="Arial"/>
          <w:sz w:val="22"/>
          <w:szCs w:val="22"/>
          <w:lang w:val="en-GB"/>
        </w:rPr>
        <w:t>Article 31 EIR Recast (entitled “</w:t>
      </w:r>
      <w:r w:rsidRPr="00AD35E0">
        <w:rPr>
          <w:rFonts w:ascii="Avenir Next" w:hAnsi="Avenir Next" w:cs="Arial"/>
          <w:bCs/>
          <w:sz w:val="22"/>
          <w:szCs w:val="22"/>
          <w:lang w:val="en-GB"/>
        </w:rPr>
        <w:t>Honouring of an obligation to a debtor”</w:t>
      </w:r>
      <w:r w:rsidRPr="00AD35E0">
        <w:rPr>
          <w:rFonts w:ascii="Avenir Next" w:hAnsi="Avenir Next" w:cs="Arial"/>
          <w:sz w:val="22"/>
          <w:szCs w:val="22"/>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similar to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AD35E0" w:rsidRDefault="00F746D8" w:rsidP="0079338D">
      <w:pPr>
        <w:pStyle w:val="ListParagraph"/>
        <w:numPr>
          <w:ilvl w:val="0"/>
          <w:numId w:val="8"/>
        </w:numPr>
        <w:shd w:val="clear" w:color="auto" w:fill="FFFF00"/>
        <w:ind w:left="426"/>
        <w:jc w:val="both"/>
        <w:rPr>
          <w:rFonts w:ascii="Avenir Next" w:hAnsi="Avenir Next" w:cs="Arial"/>
          <w:sz w:val="22"/>
          <w:szCs w:val="22"/>
          <w:lang w:val="en-GB"/>
        </w:rPr>
      </w:pPr>
      <w:r w:rsidRPr="00AD35E0">
        <w:rPr>
          <w:rFonts w:ascii="Avenir Next" w:hAnsi="Avenir Next"/>
          <w:sz w:val="22"/>
          <w:lang w:val="en-GB"/>
        </w:rPr>
        <w:t xml:space="preserve">The </w:t>
      </w:r>
      <w:r w:rsidRPr="00AD35E0">
        <w:rPr>
          <w:rFonts w:ascii="Avenir Next" w:hAnsi="Avenir Next" w:cs="Arial"/>
          <w:sz w:val="22"/>
          <w:szCs w:val="22"/>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AD35E0" w:rsidRDefault="00F746D8" w:rsidP="00B17589">
      <w:pPr>
        <w:pStyle w:val="ListParagraph"/>
        <w:numPr>
          <w:ilvl w:val="0"/>
          <w:numId w:val="32"/>
        </w:numPr>
        <w:shd w:val="clear" w:color="auto" w:fill="FFFF00"/>
        <w:ind w:left="426"/>
        <w:jc w:val="both"/>
        <w:rPr>
          <w:rFonts w:ascii="Avenir Next" w:hAnsi="Avenir Next" w:cs="Arial"/>
          <w:sz w:val="22"/>
          <w:szCs w:val="22"/>
          <w:lang w:val="en-GB"/>
        </w:rPr>
      </w:pPr>
      <w:r w:rsidRPr="00AD35E0">
        <w:rPr>
          <w:rFonts w:ascii="Avenir Next" w:hAnsi="Avenir Next" w:cs="Arial"/>
          <w:sz w:val="22"/>
          <w:szCs w:val="22"/>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jam jars made out of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is located in Cork, Ireland. </w:t>
      </w:r>
      <w:r>
        <w:rPr>
          <w:rFonts w:ascii="Avenir Next" w:hAnsi="Avenir Next" w:cs="Arial"/>
          <w:sz w:val="22"/>
          <w:szCs w:val="22"/>
          <w:lang w:val="en-GB"/>
        </w:rPr>
        <w:t>95% of its employees are located in France and 5% are located in Ireland. Mo</w:t>
      </w:r>
      <w:r w:rsidRPr="008E3C96">
        <w:rPr>
          <w:rFonts w:ascii="Avenir Next" w:hAnsi="Avenir Next" w:cs="Arial"/>
          <w:sz w:val="22"/>
          <w:szCs w:val="22"/>
          <w:lang w:val="en-GB"/>
        </w:rPr>
        <w:t xml:space="preserve">st of its customers are </w:t>
      </w:r>
      <w:r>
        <w:rPr>
          <w:rFonts w:ascii="Avenir Next" w:hAnsi="Avenir Next" w:cs="Arial"/>
          <w:sz w:val="22"/>
          <w:szCs w:val="22"/>
          <w:lang w:val="en-GB"/>
        </w:rPr>
        <w:t>located in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is located in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E16CD9" w:rsidRDefault="00F746D8" w:rsidP="00F746D8">
      <w:pPr>
        <w:pStyle w:val="ListParagraph"/>
        <w:numPr>
          <w:ilvl w:val="0"/>
          <w:numId w:val="9"/>
        </w:numPr>
        <w:ind w:left="426"/>
        <w:jc w:val="both"/>
        <w:rPr>
          <w:rFonts w:ascii="Avenir Next" w:hAnsi="Avenir Next" w:cs="Arial"/>
          <w:sz w:val="22"/>
          <w:szCs w:val="22"/>
          <w:highlight w:val="yellow"/>
          <w:lang w:val="en-GB"/>
        </w:rPr>
      </w:pPr>
      <w:r w:rsidRPr="00E16CD9">
        <w:rPr>
          <w:rFonts w:ascii="Avenir Next" w:hAnsi="Avenir Next" w:cs="Arial"/>
          <w:sz w:val="22"/>
          <w:szCs w:val="22"/>
          <w:highlight w:val="yellow"/>
          <w:lang w:val="en-GB"/>
        </w:rPr>
        <w:t xml:space="preserve">Its centre of main interest is located in France because its registration, stores, customer-base and majority of employees lead to a presumption of COMI.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7765ACF4" w14:textId="5D1371BC" w:rsidR="00E16CD9"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37539116" w14:textId="4EDACD3D" w:rsidR="00E16CD9" w:rsidRDefault="006C3FB7" w:rsidP="000A3278">
      <w:pPr>
        <w:jc w:val="both"/>
        <w:rPr>
          <w:rFonts w:ascii="Avenir Next" w:hAnsi="Avenir Next" w:cs="Arial"/>
          <w:color w:val="7B7B7B" w:themeColor="accent3" w:themeShade="BF"/>
          <w:sz w:val="22"/>
          <w:szCs w:val="22"/>
        </w:rPr>
      </w:pPr>
      <w:r w:rsidRPr="006C3FB7">
        <w:rPr>
          <w:rFonts w:ascii="Avenir Next" w:hAnsi="Avenir Next"/>
          <w:b/>
          <w:color w:val="7B7B7B" w:themeColor="accent3" w:themeShade="BF"/>
          <w:sz w:val="22"/>
        </w:rPr>
        <w:t xml:space="preserve"> </w:t>
      </w:r>
      <w:r w:rsidR="00E16CD9">
        <w:rPr>
          <w:rFonts w:ascii="Avenir Next" w:hAnsi="Avenir Next" w:cs="Arial"/>
          <w:color w:val="7B7B7B" w:themeColor="accent3" w:themeShade="BF"/>
          <w:sz w:val="22"/>
          <w:szCs w:val="22"/>
        </w:rPr>
        <w:t xml:space="preserve">Statement one relates to Article 1 of the EIR Recase which deals with the Scope of the EIR recast. </w:t>
      </w:r>
    </w:p>
    <w:p w14:paraId="1A020246" w14:textId="62D25E4F" w:rsidR="00E16CD9" w:rsidRDefault="00E16CD9"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 xml:space="preserve">Statement two relates to  Article 7 and Article 18. Article 7 of the EIR Recast states the exception of pending lawsuits from the subject matters expressly falling within the boundaries of lex concursus. Article 18 deals with the exception for pending lawsuits or arbitral proceedings. </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541F1100" w14:textId="126FEB09" w:rsidR="000A3278" w:rsidRDefault="00613B9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One element that departs from a universal approach to cross-border insolvency is the allowance of opening secondary proceedings. These proceedings run parallel to the main universal proceeding but only affect assets within the territory of the secondary proceeding. </w:t>
      </w:r>
      <w:r w:rsidR="00E66A39">
        <w:rPr>
          <w:rFonts w:ascii="Avenir Next" w:hAnsi="Avenir Next" w:cs="Arial"/>
          <w:color w:val="7B7B7B" w:themeColor="accent3" w:themeShade="BF"/>
          <w:sz w:val="22"/>
          <w:szCs w:val="22"/>
        </w:rPr>
        <w:t xml:space="preserve">Related to that </w:t>
      </w:r>
      <w:r>
        <w:rPr>
          <w:rFonts w:ascii="Avenir Next" w:hAnsi="Avenir Next" w:cs="Arial"/>
          <w:color w:val="7B7B7B" w:themeColor="accent3" w:themeShade="BF"/>
          <w:sz w:val="22"/>
          <w:szCs w:val="22"/>
        </w:rPr>
        <w:t xml:space="preserve">is the ability for multiple secondary proceedings to run at the same time because a secondary proceeding can be opened anywhere the debtor has an establishment whereas the Debtor only has one COMI thus only one main proceeding. </w:t>
      </w:r>
      <w:r w:rsidR="00E66A39">
        <w:rPr>
          <w:rFonts w:ascii="Avenir Next" w:hAnsi="Avenir Next" w:cs="Arial"/>
          <w:color w:val="7B7B7B" w:themeColor="accent3" w:themeShade="BF"/>
          <w:sz w:val="22"/>
          <w:szCs w:val="22"/>
        </w:rPr>
        <w:t xml:space="preserve">A second example of a provision of the EIR which does not create a universal approach is the idea that the applicable law that applies is that of the Member State. The EIR Recast is mostly procedural and states that the law that is applicable to the proceedings are the law of the Member State where the proceedings are open, this causes there to be different results for proceedings as member states have various laws. There has been criticism that this lack of universalism leads to Forum shopping.  </w:t>
      </w:r>
      <w:r>
        <w:rPr>
          <w:rFonts w:ascii="Avenir Next" w:hAnsi="Avenir Next" w:cs="Arial"/>
          <w:color w:val="7B7B7B" w:themeColor="accent3" w:themeShade="BF"/>
          <w:sz w:val="22"/>
          <w:szCs w:val="22"/>
        </w:rPr>
        <w:t xml:space="preserve">A third example of a provision that departs from a universal approach is the COMI definition and lack of uniformity. The EIR Recast left the definition of the COMI as vague and open to interpretation which has caused a variety of tests and factors in jurisdictions. The lack of one solid application does not support a universal approach. </w:t>
      </w: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752DC743" w14:textId="78424967" w:rsidR="00E66A39"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67E24F60" w14:textId="67CF3AE4" w:rsidR="000A3278" w:rsidRDefault="00E66A39"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EIR Recast regulates the material scope of insolvency proceedings in Member States by regulating the opening and </w:t>
      </w:r>
      <w:r w:rsidR="0020599F">
        <w:rPr>
          <w:rFonts w:ascii="Avenir Next" w:hAnsi="Avenir Next" w:cs="Arial"/>
          <w:color w:val="7B7B7B" w:themeColor="accent3" w:themeShade="BF"/>
          <w:sz w:val="22"/>
          <w:szCs w:val="22"/>
        </w:rPr>
        <w:t>effects</w:t>
      </w:r>
      <w:r>
        <w:rPr>
          <w:rFonts w:ascii="Avenir Next" w:hAnsi="Avenir Next" w:cs="Arial"/>
          <w:color w:val="7B7B7B" w:themeColor="accent3" w:themeShade="BF"/>
          <w:sz w:val="22"/>
          <w:szCs w:val="22"/>
        </w:rPr>
        <w:t xml:space="preserve"> of those proceedings and ensuring efficiency and effectiveness. Article 1 of the EIR Recast deals with this and lays out that the EIR Recase applies to public, collective proceedings based on insolvency. Article 1 deals with this matter by defining what proceedings fall under the EIR Recast. Secondly, it deals with this by providing a detailed list of proceedings exempted from the EIR Recast. The EIR provides a clear determination whereas any proceeding listed in Annex A, the EIR is applied without need for court approval and the same is true otherwise. </w:t>
      </w:r>
      <w:r w:rsidR="0020599F">
        <w:rPr>
          <w:rFonts w:ascii="Avenir Next" w:hAnsi="Avenir Next" w:cs="Arial"/>
          <w:color w:val="7B7B7B" w:themeColor="accent3" w:themeShade="BF"/>
          <w:sz w:val="22"/>
          <w:szCs w:val="22"/>
        </w:rPr>
        <w:t xml:space="preserve">Thirdly, it expands the material scope by being clear that not only are the traditional procedures included but so are proceedings applicable to distressed but financially viable businesses. </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79E215EC" w14:textId="65209EB9" w:rsidR="00AC2D30" w:rsidRDefault="00AC2D30"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One way that the EIR Recast tries to prevent secondary proceedings is the right to give an undertaking or “synthetic” secondary proceedings. In short, this is a promise by the main insolvency practitioner to the local creditors which guarantees treatment as if that secondary proceeding had been opened but </w:t>
      </w:r>
      <w:r>
        <w:rPr>
          <w:rFonts w:ascii="Avenir Next" w:hAnsi="Avenir Next" w:cs="Arial"/>
          <w:color w:val="7B7B7B" w:themeColor="accent3" w:themeShade="BF"/>
          <w:sz w:val="22"/>
          <w:szCs w:val="22"/>
        </w:rPr>
        <w:lastRenderedPageBreak/>
        <w:t xml:space="preserve">avoids the actual secondary proceeding. The second tool is a stay of the opening of secondary proceedings that is granted in the main proceeding. </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35ADCF95" w14:textId="1EAF07E3" w:rsidR="000A3278" w:rsidRDefault="000155FE"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EIR was always intended to be revised at a certain point to address any shortcomings that had arisen due to external changes in the world. Those changes to the EIR included the need to broaden the scope of restructuring proceedings and what falls under the EIR, </w:t>
      </w:r>
      <w:r w:rsidR="00B15FE7">
        <w:rPr>
          <w:rFonts w:ascii="Avenir Next" w:hAnsi="Avenir Next" w:cs="Arial"/>
          <w:color w:val="7B7B7B" w:themeColor="accent3" w:themeShade="BF"/>
          <w:sz w:val="22"/>
          <w:szCs w:val="22"/>
        </w:rPr>
        <w:t xml:space="preserve">creating stronger rules for co-operation between insolvency practitioners and the courts, improvement of creditor information i.e. interconnectivity of insolvency registers, and general modernizations such as data-protection. </w:t>
      </w:r>
    </w:p>
    <w:p w14:paraId="7301E82F" w14:textId="77777777" w:rsidR="00B15FE7" w:rsidRDefault="00B15FE7" w:rsidP="000A3278">
      <w:pPr>
        <w:jc w:val="both"/>
        <w:rPr>
          <w:rFonts w:ascii="Avenir Next" w:hAnsi="Avenir Next" w:cs="Arial"/>
          <w:color w:val="7B7B7B" w:themeColor="accent3" w:themeShade="BF"/>
          <w:sz w:val="22"/>
          <w:szCs w:val="22"/>
        </w:rPr>
      </w:pP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4662A9D9" w14:textId="072030F2" w:rsidR="000A3278" w:rsidRDefault="00B10837"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One criticism/shortcoming that the COMI has faced is that the provided definition is too vague to provide a practical reliable test. This causes an issue with predictability and certainty in the application of the COMI and the EIR Recast even though universality is one of its main objectives. </w:t>
      </w:r>
      <w:r w:rsidR="00F80D6D">
        <w:rPr>
          <w:rFonts w:ascii="Avenir Next" w:hAnsi="Avenir Next" w:cs="Arial"/>
          <w:color w:val="7B7B7B" w:themeColor="accent3" w:themeShade="BF"/>
          <w:sz w:val="22"/>
          <w:szCs w:val="22"/>
        </w:rPr>
        <w:t xml:space="preserve">With this has also been the criticism that the COMI may be difficult to determine by creditors which prevents them from assessing the situation for insolvency. </w:t>
      </w:r>
    </w:p>
    <w:p w14:paraId="532D64C0" w14:textId="540886A7" w:rsidR="00F80D6D" w:rsidRDefault="00F80D6D"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One of the praises of the COMI is that it ensures that the cases are handled by a jurisdiction that the </w:t>
      </w:r>
      <w:r w:rsidR="00E8316A">
        <w:rPr>
          <w:rFonts w:ascii="Avenir Next" w:hAnsi="Avenir Next" w:cs="Arial"/>
          <w:color w:val="7B7B7B" w:themeColor="accent3" w:themeShade="BF"/>
          <w:sz w:val="22"/>
          <w:szCs w:val="22"/>
        </w:rPr>
        <w:t xml:space="preserve">debtor or insolvent party actually has a presence in or has a genuine connection with rather than the incorporators being able to just pick a jurisdiction. According to the Virgos-Schmit Report, this gives a benefit to creditors as they are able to foresee the legal risks of their debtors insolvency and achieve a more accurate pricing of the risk. </w:t>
      </w:r>
    </w:p>
    <w:p w14:paraId="27C1045F" w14:textId="32D1694F"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3B7672B9" w14:textId="77878C0D" w:rsidR="000A3278" w:rsidRDefault="00E8316A"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EIR Recase and the Directive co-exist in the world of insolvency today. One way in which the Regulation and the Directive differ is that the Directive focuses and establishes minimum standards for preventing restructuring and assisting debtors to restructure early to avoid insolvency. This differs from the EIR which focuses on debtors in the later stages of insolvency. Another difference is that there are </w:t>
      </w:r>
      <w:r>
        <w:rPr>
          <w:rFonts w:ascii="Avenir Next" w:hAnsi="Avenir Next" w:cs="Arial"/>
          <w:color w:val="7B7B7B" w:themeColor="accent3" w:themeShade="BF"/>
          <w:sz w:val="22"/>
          <w:szCs w:val="22"/>
        </w:rPr>
        <w:lastRenderedPageBreak/>
        <w:t>certain proceedings that the EIR does not apply to that are covered</w:t>
      </w:r>
      <w:r w:rsidR="006F11BD">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by the Directive. This includes proceedings that concern investment firms and other firms, institutions, and undertakings. </w:t>
      </w: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r>
        <w:rPr>
          <w:rFonts w:ascii="Avenir Next" w:hAnsi="Avenir Next" w:cs="Arial"/>
          <w:sz w:val="22"/>
          <w:szCs w:val="22"/>
          <w:lang w:val="en-GB"/>
        </w:rPr>
        <w:t>Dinosaurus</w:t>
      </w:r>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Flèche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are located in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r>
        <w:rPr>
          <w:rFonts w:ascii="Avenir Next" w:hAnsi="Avenir Next" w:cs="Arial"/>
          <w:sz w:val="22"/>
          <w:szCs w:val="22"/>
          <w:lang w:val="en-GB"/>
        </w:rPr>
        <w:t>Dinosaurus</w:t>
      </w:r>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r>
        <w:rPr>
          <w:rFonts w:ascii="Avenir Next" w:hAnsi="Avenir Next" w:cs="Arial"/>
          <w:sz w:val="22"/>
          <w:szCs w:val="22"/>
          <w:lang w:val="en-GB"/>
        </w:rPr>
        <w:t>Dinosaurus</w:t>
      </w:r>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0BA586BF" w14:textId="096D7E97" w:rsidR="000A3278" w:rsidRDefault="006F11BD"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order to determine if the EIR applies you have to evaluate when does it apply, to whom does it apply, which proceedings are covered by it, and what the geographical limitations are. </w:t>
      </w:r>
    </w:p>
    <w:p w14:paraId="731D4F4B" w14:textId="77777777" w:rsidR="006F11BD" w:rsidRDefault="006F11BD" w:rsidP="000A3278">
      <w:pPr>
        <w:jc w:val="both"/>
        <w:rPr>
          <w:rFonts w:ascii="Avenir Next" w:hAnsi="Avenir Next" w:cs="Arial"/>
          <w:color w:val="7B7B7B" w:themeColor="accent3" w:themeShade="BF"/>
          <w:sz w:val="22"/>
          <w:szCs w:val="22"/>
        </w:rPr>
      </w:pPr>
    </w:p>
    <w:p w14:paraId="7DE97037" w14:textId="6B8BB39F" w:rsidR="006F11BD" w:rsidRDefault="006F11BD"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Here, the Debtor has a COMI in an EU state, France. France is the COMI as it is the place with the largest connection and presence.  Second, the debtor is not a bank, insurance company, or other excluded undertaking. </w:t>
      </w:r>
      <w:r w:rsidR="00D11E2E">
        <w:rPr>
          <w:rFonts w:ascii="Avenir Next" w:hAnsi="Avenir Next" w:cs="Arial"/>
          <w:color w:val="7B7B7B" w:themeColor="accent3" w:themeShade="BF"/>
          <w:sz w:val="22"/>
          <w:szCs w:val="22"/>
        </w:rPr>
        <w:t xml:space="preserve">The safeguard proceedings are included in Annex A and the proceedings were opened after June 2017. Therefore the EIR Recast applies. </w:t>
      </w: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146987F0" w14:textId="77777777" w:rsidR="00D11E2E" w:rsidRDefault="00D11E2E" w:rsidP="00D11E2E">
      <w:pPr>
        <w:jc w:val="both"/>
        <w:rPr>
          <w:rFonts w:ascii="Avenir Next" w:hAnsi="Avenir Next" w:cs="Arial"/>
          <w:color w:val="7B7B7B" w:themeColor="accent3" w:themeShade="BF"/>
          <w:sz w:val="22"/>
          <w:szCs w:val="22"/>
        </w:rPr>
      </w:pPr>
    </w:p>
    <w:p w14:paraId="25E04FB2" w14:textId="43661303" w:rsidR="00D11E2E" w:rsidRDefault="00D11E2E" w:rsidP="00D11E2E">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 xml:space="preserve">As stated above, </w:t>
      </w:r>
      <w:r>
        <w:rPr>
          <w:rFonts w:ascii="Avenir Next" w:hAnsi="Avenir Next" w:cs="Arial"/>
          <w:color w:val="7B7B7B" w:themeColor="accent3" w:themeShade="BF"/>
          <w:sz w:val="22"/>
          <w:szCs w:val="22"/>
        </w:rPr>
        <w:t xml:space="preserve">Here, the Debtor has a COMI in an EU state, France. France is the COMI as it is the place with the largest connection and presence.  Second, the debtor is not a bank, insurance company, or other excluded undertaking. The safeguard proceedings are included in Annex A and the proceedings were opened after June 2017. Therefore the EIR Recast applies. </w:t>
      </w:r>
      <w:r>
        <w:rPr>
          <w:rFonts w:ascii="Avenir Next" w:hAnsi="Avenir Next" w:cs="Arial"/>
          <w:color w:val="7B7B7B" w:themeColor="accent3" w:themeShade="BF"/>
          <w:sz w:val="22"/>
          <w:szCs w:val="22"/>
        </w:rPr>
        <w:t xml:space="preserve">The difference in scenarios is that in this case the court is now the French High Court and not the Commercial Court. Under the EIR Recast, this does not make a difference to whether or not the EIR Recast applies. The courts of a Member State within the territory that is the Debtors COMI have the jurisdiction to open insolvency proceedings. Here, France is the COMI and therefore a French court is capable of opening the proceedings. </w:t>
      </w:r>
    </w:p>
    <w:p w14:paraId="4176E5D2" w14:textId="1786A70E" w:rsidR="000A3278" w:rsidRDefault="000A3278" w:rsidP="000A3278">
      <w:pPr>
        <w:jc w:val="both"/>
        <w:rPr>
          <w:rFonts w:ascii="Avenir Next" w:hAnsi="Avenir Next" w:cs="Arial"/>
          <w:color w:val="7B7B7B" w:themeColor="accent3" w:themeShade="BF"/>
          <w:sz w:val="22"/>
          <w:szCs w:val="22"/>
        </w:rPr>
      </w:pPr>
    </w:p>
    <w:p w14:paraId="388F5071" w14:textId="77777777" w:rsidR="00EA14EE" w:rsidRPr="00EA14EE" w:rsidRDefault="00EA14EE"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6C706484" w14:textId="1A33ACFA" w:rsidR="000A3278" w:rsidRDefault="00B93F4C"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Given the limited presence of the debtor in Spain I do not believe that secondary insolvency proceedings would be appropriate to be opened.  A secondary proceeding is allowed in the territories where the debtor has an establishment. An establishment means any place of operations where the debtor carries out or has carried out business in the three-month period prior to the filing. Here, there are two factors that go against the opening of a secondary proceeding. First, the interactions with Spain were before the look-back period for secondary proceedings. Based on the fact pattern, we only are aware of interactions between the debtor and the territory back in 2020 when this petition is filed in 2023. Other than some non-binding memorandum, there is no evidence there was any established place of operations for the business within the three months prior to the filing. That is the second issue with secondary proceedings, along with the date, the debtor needs to have had an established place of operations and likely the opening of a bank account and signing the non-binding memorandum will not satisfy that requirement. </w:t>
      </w:r>
    </w:p>
    <w:p w14:paraId="2943D6F8" w14:textId="77777777" w:rsidR="00EA14EE" w:rsidRPr="00EA14EE" w:rsidRDefault="00EA14EE" w:rsidP="00EA14EE">
      <w:pPr>
        <w:pStyle w:val="ListParagraph"/>
        <w:rPr>
          <w:rFonts w:ascii="Avenir Next" w:hAnsi="Avenir Next" w:cs="Arial"/>
          <w:color w:val="808080" w:themeColor="background1" w:themeShade="80"/>
          <w:sz w:val="22"/>
          <w:szCs w:val="22"/>
          <w:lang w:val="en-GB"/>
        </w:rPr>
      </w:pP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5655DC">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5FA4" w14:textId="77777777" w:rsidR="005655DC" w:rsidRDefault="005655DC" w:rsidP="00241B44">
      <w:r>
        <w:separator/>
      </w:r>
    </w:p>
  </w:endnote>
  <w:endnote w:type="continuationSeparator" w:id="0">
    <w:p w14:paraId="4742B6D1" w14:textId="77777777" w:rsidR="005655DC" w:rsidRDefault="005655D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Aptos Display"/>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Aptos Display"/>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BA543A" w:rsidRPr="001B6DDC">
          <w:rPr>
            <w:rStyle w:val="PageNumber"/>
            <w:rFonts w:ascii="Avenir Next" w:hAnsi="Avenir Next" w:cs="Arial"/>
            <w:noProof/>
            <w:sz w:val="22"/>
            <w:szCs w:val="22"/>
          </w:rPr>
          <w:t>9</w:t>
        </w:r>
        <w:r w:rsidRPr="001B6DDC">
          <w:rPr>
            <w:rStyle w:val="PageNumber"/>
            <w:rFonts w:ascii="Avenir Next" w:hAnsi="Avenir Next" w:cs="Arial"/>
            <w:sz w:val="22"/>
            <w:szCs w:val="22"/>
          </w:rPr>
          <w:fldChar w:fldCharType="end"/>
        </w:r>
      </w:p>
    </w:sdtContent>
  </w:sdt>
  <w:p w14:paraId="30F05E79" w14:textId="3D64D98B" w:rsidR="00D509A5" w:rsidRPr="005418A0" w:rsidRDefault="00C54300" w:rsidP="009B4976">
    <w:pPr>
      <w:pStyle w:val="Footer"/>
      <w:ind w:right="360"/>
      <w:rPr>
        <w:rFonts w:ascii="Avenir Next" w:hAnsi="Avenir Next" w:cs="Arial"/>
        <w:sz w:val="22"/>
        <w:szCs w:val="22"/>
        <w:lang w:val="en-GB"/>
      </w:rPr>
    </w:pPr>
    <w:r>
      <w:rPr>
        <w:rFonts w:ascii="Avenir Next" w:hAnsi="Avenir Next" w:cs="Arial"/>
        <w:sz w:val="22"/>
        <w:szCs w:val="22"/>
        <w:lang w:val="en-GB"/>
      </w:rPr>
      <w:t>202324-1402</w:t>
    </w:r>
    <w:r w:rsidR="00D509A5"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6168" w14:textId="77777777" w:rsidR="005655DC" w:rsidRDefault="005655DC" w:rsidP="00241B44">
      <w:r>
        <w:separator/>
      </w:r>
    </w:p>
  </w:footnote>
  <w:footnote w:type="continuationSeparator" w:id="0">
    <w:p w14:paraId="1623ED98" w14:textId="77777777" w:rsidR="005655DC" w:rsidRDefault="005655D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3"/>
  </w:num>
  <w:num w:numId="2" w16cid:durableId="2002611782">
    <w:abstractNumId w:val="22"/>
  </w:num>
  <w:num w:numId="3" w16cid:durableId="1046681177">
    <w:abstractNumId w:val="16"/>
  </w:num>
  <w:num w:numId="4" w16cid:durableId="1250502507">
    <w:abstractNumId w:val="28"/>
  </w:num>
  <w:num w:numId="5" w16cid:durableId="262424646">
    <w:abstractNumId w:val="21"/>
  </w:num>
  <w:num w:numId="6" w16cid:durableId="2052070068">
    <w:abstractNumId w:val="24"/>
  </w:num>
  <w:num w:numId="7" w16cid:durableId="1461680123">
    <w:abstractNumId w:val="6"/>
  </w:num>
  <w:num w:numId="8" w16cid:durableId="892274553">
    <w:abstractNumId w:val="19"/>
  </w:num>
  <w:num w:numId="9" w16cid:durableId="626088575">
    <w:abstractNumId w:val="18"/>
  </w:num>
  <w:num w:numId="10" w16cid:durableId="1127773174">
    <w:abstractNumId w:val="14"/>
  </w:num>
  <w:num w:numId="11" w16cid:durableId="1017780422">
    <w:abstractNumId w:val="20"/>
  </w:num>
  <w:num w:numId="12" w16cid:durableId="1731923168">
    <w:abstractNumId w:val="2"/>
  </w:num>
  <w:num w:numId="13" w16cid:durableId="325937709">
    <w:abstractNumId w:val="11"/>
  </w:num>
  <w:num w:numId="14" w16cid:durableId="87119507">
    <w:abstractNumId w:val="17"/>
  </w:num>
  <w:num w:numId="15" w16cid:durableId="537401627">
    <w:abstractNumId w:val="15"/>
  </w:num>
  <w:num w:numId="16" w16cid:durableId="225994540">
    <w:abstractNumId w:val="10"/>
  </w:num>
  <w:num w:numId="17" w16cid:durableId="1550260514">
    <w:abstractNumId w:val="13"/>
  </w:num>
  <w:num w:numId="18" w16cid:durableId="641735283">
    <w:abstractNumId w:val="3"/>
  </w:num>
  <w:num w:numId="19" w16cid:durableId="792407038">
    <w:abstractNumId w:val="0"/>
  </w:num>
  <w:num w:numId="20" w16cid:durableId="1217475378">
    <w:abstractNumId w:val="5"/>
  </w:num>
  <w:num w:numId="21" w16cid:durableId="1798719523">
    <w:abstractNumId w:val="0"/>
  </w:num>
  <w:num w:numId="22" w16cid:durableId="120156217">
    <w:abstractNumId w:val="8"/>
  </w:num>
  <w:num w:numId="23" w16cid:durableId="1566800475">
    <w:abstractNumId w:val="23"/>
  </w:num>
  <w:num w:numId="24" w16cid:durableId="1845364164">
    <w:abstractNumId w:val="25"/>
  </w:num>
  <w:num w:numId="25" w16cid:durableId="1565870678">
    <w:abstractNumId w:val="4"/>
  </w:num>
  <w:num w:numId="26" w16cid:durableId="974988881">
    <w:abstractNumId w:val="29"/>
  </w:num>
  <w:num w:numId="27" w16cid:durableId="1096101251">
    <w:abstractNumId w:val="9"/>
  </w:num>
  <w:num w:numId="28" w16cid:durableId="1807311193">
    <w:abstractNumId w:val="1"/>
  </w:num>
  <w:num w:numId="29" w16cid:durableId="614291072">
    <w:abstractNumId w:val="12"/>
  </w:num>
  <w:num w:numId="30" w16cid:durableId="1134907189">
    <w:abstractNumId w:val="27"/>
  </w:num>
  <w:num w:numId="31" w16cid:durableId="92938254">
    <w:abstractNumId w:val="26"/>
  </w:num>
  <w:num w:numId="32" w16cid:durableId="1838615408">
    <w:abstractNumId w:val="7"/>
  </w:num>
  <w:num w:numId="33" w16cid:durableId="2087847088">
    <w:abstractNumId w:val="31"/>
  </w:num>
  <w:num w:numId="34" w16cid:durableId="103168581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146"/>
    <w:rsid w:val="00010BA0"/>
    <w:rsid w:val="0001344B"/>
    <w:rsid w:val="000155FE"/>
    <w:rsid w:val="00016162"/>
    <w:rsid w:val="00020557"/>
    <w:rsid w:val="0002365D"/>
    <w:rsid w:val="000250C7"/>
    <w:rsid w:val="00026F16"/>
    <w:rsid w:val="00037621"/>
    <w:rsid w:val="00041B32"/>
    <w:rsid w:val="00044D46"/>
    <w:rsid w:val="00045088"/>
    <w:rsid w:val="00045904"/>
    <w:rsid w:val="00054E15"/>
    <w:rsid w:val="00065166"/>
    <w:rsid w:val="000756D2"/>
    <w:rsid w:val="00082609"/>
    <w:rsid w:val="000851CC"/>
    <w:rsid w:val="00086936"/>
    <w:rsid w:val="00087CD6"/>
    <w:rsid w:val="00093BE8"/>
    <w:rsid w:val="000A3278"/>
    <w:rsid w:val="000A373F"/>
    <w:rsid w:val="000A68ED"/>
    <w:rsid w:val="000A7BF9"/>
    <w:rsid w:val="000B5FF1"/>
    <w:rsid w:val="000B609F"/>
    <w:rsid w:val="000C6BB5"/>
    <w:rsid w:val="000D55A8"/>
    <w:rsid w:val="000E4841"/>
    <w:rsid w:val="000F1677"/>
    <w:rsid w:val="000F3D6C"/>
    <w:rsid w:val="000F4A14"/>
    <w:rsid w:val="000F66FD"/>
    <w:rsid w:val="00101707"/>
    <w:rsid w:val="00113E29"/>
    <w:rsid w:val="0011473D"/>
    <w:rsid w:val="0011548B"/>
    <w:rsid w:val="00115C85"/>
    <w:rsid w:val="00123855"/>
    <w:rsid w:val="00126A4D"/>
    <w:rsid w:val="0014171F"/>
    <w:rsid w:val="0014622C"/>
    <w:rsid w:val="00152348"/>
    <w:rsid w:val="0015456D"/>
    <w:rsid w:val="00155F4F"/>
    <w:rsid w:val="00155FA2"/>
    <w:rsid w:val="00161F1B"/>
    <w:rsid w:val="00162829"/>
    <w:rsid w:val="00174DC4"/>
    <w:rsid w:val="00175A7D"/>
    <w:rsid w:val="00180548"/>
    <w:rsid w:val="00180AC4"/>
    <w:rsid w:val="00180CCE"/>
    <w:rsid w:val="0018267A"/>
    <w:rsid w:val="00182779"/>
    <w:rsid w:val="001830DF"/>
    <w:rsid w:val="00183ED8"/>
    <w:rsid w:val="00184331"/>
    <w:rsid w:val="00187A34"/>
    <w:rsid w:val="001966D9"/>
    <w:rsid w:val="001A68CC"/>
    <w:rsid w:val="001A7E9A"/>
    <w:rsid w:val="001B0F70"/>
    <w:rsid w:val="001B5016"/>
    <w:rsid w:val="001B6DDC"/>
    <w:rsid w:val="001C01DF"/>
    <w:rsid w:val="001C45FC"/>
    <w:rsid w:val="001D0469"/>
    <w:rsid w:val="001D4862"/>
    <w:rsid w:val="001D6E1C"/>
    <w:rsid w:val="001E25B9"/>
    <w:rsid w:val="001E49E0"/>
    <w:rsid w:val="001E5F8A"/>
    <w:rsid w:val="001E7B5A"/>
    <w:rsid w:val="001F1256"/>
    <w:rsid w:val="001F7412"/>
    <w:rsid w:val="00202DFE"/>
    <w:rsid w:val="00203720"/>
    <w:rsid w:val="0020599F"/>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55D2"/>
    <w:rsid w:val="002F70C6"/>
    <w:rsid w:val="002F75A3"/>
    <w:rsid w:val="00302D76"/>
    <w:rsid w:val="00303C2F"/>
    <w:rsid w:val="003144EF"/>
    <w:rsid w:val="0032234E"/>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A5DF3"/>
    <w:rsid w:val="003B0A27"/>
    <w:rsid w:val="003B170F"/>
    <w:rsid w:val="003B3C5F"/>
    <w:rsid w:val="003B70FC"/>
    <w:rsid w:val="003C4342"/>
    <w:rsid w:val="003C4471"/>
    <w:rsid w:val="003C4BCB"/>
    <w:rsid w:val="003D0A6D"/>
    <w:rsid w:val="003D17A2"/>
    <w:rsid w:val="003D1974"/>
    <w:rsid w:val="003D4A79"/>
    <w:rsid w:val="003E0B16"/>
    <w:rsid w:val="003E1D56"/>
    <w:rsid w:val="003E2475"/>
    <w:rsid w:val="003E4DB0"/>
    <w:rsid w:val="003E67D1"/>
    <w:rsid w:val="00404329"/>
    <w:rsid w:val="00405DC1"/>
    <w:rsid w:val="00415F1F"/>
    <w:rsid w:val="004202D2"/>
    <w:rsid w:val="0042108F"/>
    <w:rsid w:val="00425094"/>
    <w:rsid w:val="004306C5"/>
    <w:rsid w:val="00430FED"/>
    <w:rsid w:val="00434072"/>
    <w:rsid w:val="00434A8C"/>
    <w:rsid w:val="00437297"/>
    <w:rsid w:val="00444284"/>
    <w:rsid w:val="0044574C"/>
    <w:rsid w:val="00445CE6"/>
    <w:rsid w:val="004534C2"/>
    <w:rsid w:val="0045446F"/>
    <w:rsid w:val="0045683E"/>
    <w:rsid w:val="0045771D"/>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44F3"/>
    <w:rsid w:val="004E622C"/>
    <w:rsid w:val="004F4245"/>
    <w:rsid w:val="004F4AF9"/>
    <w:rsid w:val="004F5FDF"/>
    <w:rsid w:val="005161B4"/>
    <w:rsid w:val="005177FE"/>
    <w:rsid w:val="0052263B"/>
    <w:rsid w:val="00524728"/>
    <w:rsid w:val="005331CA"/>
    <w:rsid w:val="00537970"/>
    <w:rsid w:val="00540E3A"/>
    <w:rsid w:val="005418A0"/>
    <w:rsid w:val="00544127"/>
    <w:rsid w:val="00544F6E"/>
    <w:rsid w:val="005463A9"/>
    <w:rsid w:val="00553EB2"/>
    <w:rsid w:val="00560534"/>
    <w:rsid w:val="0056391B"/>
    <w:rsid w:val="005650E2"/>
    <w:rsid w:val="005655DC"/>
    <w:rsid w:val="00567AD7"/>
    <w:rsid w:val="0057161E"/>
    <w:rsid w:val="00575B2D"/>
    <w:rsid w:val="005833D0"/>
    <w:rsid w:val="005846F3"/>
    <w:rsid w:val="0058622F"/>
    <w:rsid w:val="00591280"/>
    <w:rsid w:val="00592F82"/>
    <w:rsid w:val="005A0CCA"/>
    <w:rsid w:val="005A726D"/>
    <w:rsid w:val="005B67AC"/>
    <w:rsid w:val="005B79F4"/>
    <w:rsid w:val="005B7C95"/>
    <w:rsid w:val="005B7D9E"/>
    <w:rsid w:val="005C46D8"/>
    <w:rsid w:val="005D2CD6"/>
    <w:rsid w:val="005D43E0"/>
    <w:rsid w:val="005D58A3"/>
    <w:rsid w:val="005E1502"/>
    <w:rsid w:val="005E1B79"/>
    <w:rsid w:val="005E42DB"/>
    <w:rsid w:val="005E7008"/>
    <w:rsid w:val="005E784A"/>
    <w:rsid w:val="005F026D"/>
    <w:rsid w:val="005F2AEA"/>
    <w:rsid w:val="005F2D0B"/>
    <w:rsid w:val="005F4B31"/>
    <w:rsid w:val="006048C0"/>
    <w:rsid w:val="00610388"/>
    <w:rsid w:val="00611DE6"/>
    <w:rsid w:val="00612CA5"/>
    <w:rsid w:val="00613B94"/>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4A67"/>
    <w:rsid w:val="006661EF"/>
    <w:rsid w:val="006723E9"/>
    <w:rsid w:val="00677AEB"/>
    <w:rsid w:val="00680EF2"/>
    <w:rsid w:val="00687A1D"/>
    <w:rsid w:val="00690D46"/>
    <w:rsid w:val="00696ED8"/>
    <w:rsid w:val="00697EA1"/>
    <w:rsid w:val="006A2646"/>
    <w:rsid w:val="006A6530"/>
    <w:rsid w:val="006B435A"/>
    <w:rsid w:val="006B4C64"/>
    <w:rsid w:val="006C3FB7"/>
    <w:rsid w:val="006C4FAA"/>
    <w:rsid w:val="006D217A"/>
    <w:rsid w:val="006D6BD5"/>
    <w:rsid w:val="006E07D8"/>
    <w:rsid w:val="006E481A"/>
    <w:rsid w:val="006E5287"/>
    <w:rsid w:val="006E5298"/>
    <w:rsid w:val="006F0106"/>
    <w:rsid w:val="006F11BD"/>
    <w:rsid w:val="006F2B12"/>
    <w:rsid w:val="006F4A78"/>
    <w:rsid w:val="006F734A"/>
    <w:rsid w:val="00700D83"/>
    <w:rsid w:val="00704852"/>
    <w:rsid w:val="007074E9"/>
    <w:rsid w:val="00713DA4"/>
    <w:rsid w:val="00714BF1"/>
    <w:rsid w:val="00721383"/>
    <w:rsid w:val="0073158B"/>
    <w:rsid w:val="007333CC"/>
    <w:rsid w:val="0073399A"/>
    <w:rsid w:val="00745D6F"/>
    <w:rsid w:val="00751788"/>
    <w:rsid w:val="007603F5"/>
    <w:rsid w:val="00764DB0"/>
    <w:rsid w:val="0076764D"/>
    <w:rsid w:val="0077498C"/>
    <w:rsid w:val="007772BD"/>
    <w:rsid w:val="007809BC"/>
    <w:rsid w:val="00782DF0"/>
    <w:rsid w:val="00782EE1"/>
    <w:rsid w:val="00784128"/>
    <w:rsid w:val="0078463C"/>
    <w:rsid w:val="00793173"/>
    <w:rsid w:val="0079338D"/>
    <w:rsid w:val="00795883"/>
    <w:rsid w:val="007A107A"/>
    <w:rsid w:val="007A2A33"/>
    <w:rsid w:val="007A6B8D"/>
    <w:rsid w:val="007A7B20"/>
    <w:rsid w:val="007C1FCC"/>
    <w:rsid w:val="007C50AA"/>
    <w:rsid w:val="007C6201"/>
    <w:rsid w:val="007D7C92"/>
    <w:rsid w:val="007E1154"/>
    <w:rsid w:val="007E39B3"/>
    <w:rsid w:val="007E3AA9"/>
    <w:rsid w:val="007E44C4"/>
    <w:rsid w:val="007E6BA4"/>
    <w:rsid w:val="007F41F8"/>
    <w:rsid w:val="007F6A57"/>
    <w:rsid w:val="00800B1B"/>
    <w:rsid w:val="00800B76"/>
    <w:rsid w:val="008017F0"/>
    <w:rsid w:val="0080454E"/>
    <w:rsid w:val="00804C32"/>
    <w:rsid w:val="00804DA6"/>
    <w:rsid w:val="00806302"/>
    <w:rsid w:val="00807119"/>
    <w:rsid w:val="008115C6"/>
    <w:rsid w:val="0082424D"/>
    <w:rsid w:val="0082483F"/>
    <w:rsid w:val="008279C0"/>
    <w:rsid w:val="00832CCB"/>
    <w:rsid w:val="00841051"/>
    <w:rsid w:val="008500BD"/>
    <w:rsid w:val="00860723"/>
    <w:rsid w:val="00864593"/>
    <w:rsid w:val="0086548F"/>
    <w:rsid w:val="00871BD0"/>
    <w:rsid w:val="008723F3"/>
    <w:rsid w:val="00874240"/>
    <w:rsid w:val="00881DE6"/>
    <w:rsid w:val="008837A6"/>
    <w:rsid w:val="0089145D"/>
    <w:rsid w:val="0089362E"/>
    <w:rsid w:val="00894C1D"/>
    <w:rsid w:val="00897A78"/>
    <w:rsid w:val="008A4DF2"/>
    <w:rsid w:val="008A6CFE"/>
    <w:rsid w:val="008A7391"/>
    <w:rsid w:val="008B5333"/>
    <w:rsid w:val="008B6223"/>
    <w:rsid w:val="008C385B"/>
    <w:rsid w:val="008C4AC6"/>
    <w:rsid w:val="008C66E0"/>
    <w:rsid w:val="008D6048"/>
    <w:rsid w:val="008D62F7"/>
    <w:rsid w:val="008D70EB"/>
    <w:rsid w:val="008E0EC8"/>
    <w:rsid w:val="008E3339"/>
    <w:rsid w:val="008E3B09"/>
    <w:rsid w:val="008E3C96"/>
    <w:rsid w:val="008E7371"/>
    <w:rsid w:val="008F20FC"/>
    <w:rsid w:val="008F5FFE"/>
    <w:rsid w:val="00905A43"/>
    <w:rsid w:val="00912C79"/>
    <w:rsid w:val="00914A23"/>
    <w:rsid w:val="00935A21"/>
    <w:rsid w:val="00942123"/>
    <w:rsid w:val="0095207B"/>
    <w:rsid w:val="00956E63"/>
    <w:rsid w:val="00962045"/>
    <w:rsid w:val="009651D2"/>
    <w:rsid w:val="00967219"/>
    <w:rsid w:val="00971896"/>
    <w:rsid w:val="00980E61"/>
    <w:rsid w:val="00986FCB"/>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D693A"/>
    <w:rsid w:val="009E2AEB"/>
    <w:rsid w:val="009E2E27"/>
    <w:rsid w:val="009E39B2"/>
    <w:rsid w:val="009E4DE3"/>
    <w:rsid w:val="009F275E"/>
    <w:rsid w:val="00A02A4A"/>
    <w:rsid w:val="00A047EE"/>
    <w:rsid w:val="00A07E6F"/>
    <w:rsid w:val="00A11E80"/>
    <w:rsid w:val="00A17858"/>
    <w:rsid w:val="00A2274A"/>
    <w:rsid w:val="00A235B7"/>
    <w:rsid w:val="00A27A7A"/>
    <w:rsid w:val="00A33FA6"/>
    <w:rsid w:val="00A407EF"/>
    <w:rsid w:val="00A46B4C"/>
    <w:rsid w:val="00A50055"/>
    <w:rsid w:val="00A5117B"/>
    <w:rsid w:val="00A54CB5"/>
    <w:rsid w:val="00A60074"/>
    <w:rsid w:val="00A620A6"/>
    <w:rsid w:val="00A62FDA"/>
    <w:rsid w:val="00A6627C"/>
    <w:rsid w:val="00A71019"/>
    <w:rsid w:val="00A81029"/>
    <w:rsid w:val="00A83E9F"/>
    <w:rsid w:val="00A96489"/>
    <w:rsid w:val="00AA55B5"/>
    <w:rsid w:val="00AB685C"/>
    <w:rsid w:val="00AB6C2D"/>
    <w:rsid w:val="00AC08F7"/>
    <w:rsid w:val="00AC2D30"/>
    <w:rsid w:val="00AC3839"/>
    <w:rsid w:val="00AC4C4F"/>
    <w:rsid w:val="00AC7082"/>
    <w:rsid w:val="00AD2931"/>
    <w:rsid w:val="00AD35E0"/>
    <w:rsid w:val="00AD513F"/>
    <w:rsid w:val="00AD6870"/>
    <w:rsid w:val="00AE2316"/>
    <w:rsid w:val="00AE477C"/>
    <w:rsid w:val="00AE74BA"/>
    <w:rsid w:val="00AF228E"/>
    <w:rsid w:val="00AF39A8"/>
    <w:rsid w:val="00B016A8"/>
    <w:rsid w:val="00B070D2"/>
    <w:rsid w:val="00B10837"/>
    <w:rsid w:val="00B12499"/>
    <w:rsid w:val="00B12EF7"/>
    <w:rsid w:val="00B137B0"/>
    <w:rsid w:val="00B14819"/>
    <w:rsid w:val="00B15E2F"/>
    <w:rsid w:val="00B15FE7"/>
    <w:rsid w:val="00B17589"/>
    <w:rsid w:val="00B17AA9"/>
    <w:rsid w:val="00B30D9A"/>
    <w:rsid w:val="00B32588"/>
    <w:rsid w:val="00B35B9D"/>
    <w:rsid w:val="00B437B1"/>
    <w:rsid w:val="00B44713"/>
    <w:rsid w:val="00B56103"/>
    <w:rsid w:val="00B64929"/>
    <w:rsid w:val="00B70CB2"/>
    <w:rsid w:val="00B736DF"/>
    <w:rsid w:val="00B743D6"/>
    <w:rsid w:val="00B74FBD"/>
    <w:rsid w:val="00B77F46"/>
    <w:rsid w:val="00B82586"/>
    <w:rsid w:val="00B829A3"/>
    <w:rsid w:val="00B86DB1"/>
    <w:rsid w:val="00B87869"/>
    <w:rsid w:val="00B93F4C"/>
    <w:rsid w:val="00B96CE3"/>
    <w:rsid w:val="00BA543A"/>
    <w:rsid w:val="00BB0F2B"/>
    <w:rsid w:val="00BB38D1"/>
    <w:rsid w:val="00BD73DA"/>
    <w:rsid w:val="00BE4BFD"/>
    <w:rsid w:val="00BE4FF3"/>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4300"/>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E50"/>
    <w:rsid w:val="00CF0F57"/>
    <w:rsid w:val="00CF1AF7"/>
    <w:rsid w:val="00CF2819"/>
    <w:rsid w:val="00CF4F9D"/>
    <w:rsid w:val="00CF70DC"/>
    <w:rsid w:val="00D11E2E"/>
    <w:rsid w:val="00D148DC"/>
    <w:rsid w:val="00D17FDC"/>
    <w:rsid w:val="00D21F62"/>
    <w:rsid w:val="00D24871"/>
    <w:rsid w:val="00D26E26"/>
    <w:rsid w:val="00D509A5"/>
    <w:rsid w:val="00D56B4E"/>
    <w:rsid w:val="00D608A4"/>
    <w:rsid w:val="00D60E46"/>
    <w:rsid w:val="00D63EFD"/>
    <w:rsid w:val="00D651FD"/>
    <w:rsid w:val="00D66F96"/>
    <w:rsid w:val="00D72770"/>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1686"/>
    <w:rsid w:val="00DD2E11"/>
    <w:rsid w:val="00DD47EF"/>
    <w:rsid w:val="00DE03AF"/>
    <w:rsid w:val="00DE121C"/>
    <w:rsid w:val="00DE6633"/>
    <w:rsid w:val="00DF0864"/>
    <w:rsid w:val="00DF75F8"/>
    <w:rsid w:val="00DF7A3A"/>
    <w:rsid w:val="00E00C00"/>
    <w:rsid w:val="00E03AF0"/>
    <w:rsid w:val="00E07C5A"/>
    <w:rsid w:val="00E15BA9"/>
    <w:rsid w:val="00E16CD9"/>
    <w:rsid w:val="00E26E19"/>
    <w:rsid w:val="00E30C8A"/>
    <w:rsid w:val="00E31DF3"/>
    <w:rsid w:val="00E450A4"/>
    <w:rsid w:val="00E506BE"/>
    <w:rsid w:val="00E55547"/>
    <w:rsid w:val="00E604A1"/>
    <w:rsid w:val="00E6302B"/>
    <w:rsid w:val="00E6452F"/>
    <w:rsid w:val="00E64F45"/>
    <w:rsid w:val="00E66A39"/>
    <w:rsid w:val="00E6742D"/>
    <w:rsid w:val="00E70FA4"/>
    <w:rsid w:val="00E71CB0"/>
    <w:rsid w:val="00E77C3D"/>
    <w:rsid w:val="00E81160"/>
    <w:rsid w:val="00E8316A"/>
    <w:rsid w:val="00E83CE8"/>
    <w:rsid w:val="00E90991"/>
    <w:rsid w:val="00E909F0"/>
    <w:rsid w:val="00E90D47"/>
    <w:rsid w:val="00E93993"/>
    <w:rsid w:val="00E9597C"/>
    <w:rsid w:val="00EA0913"/>
    <w:rsid w:val="00EA14EE"/>
    <w:rsid w:val="00EA5B00"/>
    <w:rsid w:val="00EB146B"/>
    <w:rsid w:val="00EB45AC"/>
    <w:rsid w:val="00EB5CA4"/>
    <w:rsid w:val="00EC00F9"/>
    <w:rsid w:val="00EC0181"/>
    <w:rsid w:val="00EC242E"/>
    <w:rsid w:val="00ED0BC4"/>
    <w:rsid w:val="00ED20E8"/>
    <w:rsid w:val="00ED472A"/>
    <w:rsid w:val="00ED54B6"/>
    <w:rsid w:val="00ED5F37"/>
    <w:rsid w:val="00EE4971"/>
    <w:rsid w:val="00EE6085"/>
    <w:rsid w:val="00EF090E"/>
    <w:rsid w:val="00F033DA"/>
    <w:rsid w:val="00F13FB1"/>
    <w:rsid w:val="00F27CD8"/>
    <w:rsid w:val="00F30351"/>
    <w:rsid w:val="00F3323E"/>
    <w:rsid w:val="00F341F4"/>
    <w:rsid w:val="00F34F9D"/>
    <w:rsid w:val="00F3562C"/>
    <w:rsid w:val="00F35CCE"/>
    <w:rsid w:val="00F51441"/>
    <w:rsid w:val="00F5524B"/>
    <w:rsid w:val="00F57C8E"/>
    <w:rsid w:val="00F60538"/>
    <w:rsid w:val="00F60B34"/>
    <w:rsid w:val="00F61DD2"/>
    <w:rsid w:val="00F66AFF"/>
    <w:rsid w:val="00F71433"/>
    <w:rsid w:val="00F746D8"/>
    <w:rsid w:val="00F76CD4"/>
    <w:rsid w:val="00F80D6D"/>
    <w:rsid w:val="00F814B4"/>
    <w:rsid w:val="00F83464"/>
    <w:rsid w:val="00F93BE7"/>
    <w:rsid w:val="00F97C5B"/>
    <w:rsid w:val="00FA3D50"/>
    <w:rsid w:val="00FB50CD"/>
    <w:rsid w:val="00FB6122"/>
    <w:rsid w:val="00FB7FBD"/>
    <w:rsid w:val="00FC235E"/>
    <w:rsid w:val="00FC36A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5:docId w15:val="{F64606A2-6837-4CA8-B644-6F834F02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10</Pages>
  <Words>4244</Words>
  <Characters>21688</Characters>
  <Application>Microsoft Office Word</Application>
  <DocSecurity>0</DocSecurity>
  <Lines>472</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Peterson, Savannah E</cp:lastModifiedBy>
  <cp:revision>8</cp:revision>
  <cp:lastPrinted>2019-08-27T05:42:00Z</cp:lastPrinted>
  <dcterms:created xsi:type="dcterms:W3CDTF">2023-12-28T17:04:00Z</dcterms:created>
  <dcterms:modified xsi:type="dcterms:W3CDTF">2024-03-01T03:00:00Z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12a4eeef609e4995bf933ecc42a681460a6b8b59f3cce9cdfad0c676330f1f2d</vt:lpwstr>
  </property>
</Properties>
</file>