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proofErr w:type="spellStart"/>
      <w:r w:rsidR="002903A7" w:rsidRPr="006C65F4">
        <w:rPr>
          <w:rFonts w:ascii="Avenir Next Demi Bold" w:hAnsi="Avenir Next Demi Bold" w:cs="Arial"/>
          <w:b/>
          <w:bCs/>
          <w:color w:val="000000" w:themeColor="text1"/>
          <w:sz w:val="24"/>
          <w:lang w:val="en-GB"/>
        </w:rPr>
        <w:t>3A</w:t>
      </w:r>
      <w:proofErr w:type="spellEnd"/>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 xml:space="preserve">Module </w:t>
      </w:r>
      <w:proofErr w:type="spellStart"/>
      <w:r w:rsidRPr="006C65F4">
        <w:rPr>
          <w:rFonts w:ascii="Avenir Next Demi Bold" w:hAnsi="Avenir Next Demi Bold" w:cs="Arial"/>
          <w:b/>
          <w:bCs/>
          <w:color w:val="767171" w:themeColor="background2" w:themeShade="80"/>
          <w:sz w:val="22"/>
          <w:szCs w:val="22"/>
          <w:lang w:val="en-GB"/>
        </w:rPr>
        <w:t>3A</w:t>
      </w:r>
      <w:proofErr w:type="spellEnd"/>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proofErr w:type="spellStart"/>
      <w:r w:rsidRPr="006C65F4">
        <w:rPr>
          <w:rFonts w:ascii="Avenir Next Demi Bold" w:hAnsi="Avenir Next Demi Bold" w:cs="Arial"/>
          <w:b/>
          <w:bCs/>
          <w:color w:val="767171" w:themeColor="background2" w:themeShade="80"/>
          <w:sz w:val="22"/>
          <w:szCs w:val="22"/>
          <w:lang w:val="en-GB"/>
        </w:rPr>
        <w:t>3A</w:t>
      </w:r>
      <w:proofErr w:type="spellEnd"/>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w:t>
      </w:r>
      <w:proofErr w:type="spellStart"/>
      <w:r w:rsidRPr="006C65F4">
        <w:rPr>
          <w:rFonts w:ascii="Avenir Next" w:hAnsi="Avenir Next" w:cs="Arial"/>
          <w:sz w:val="22"/>
          <w:szCs w:val="22"/>
          <w:lang w:val="en-GB"/>
        </w:rPr>
        <w:t>A4</w:t>
      </w:r>
      <w:proofErr w:type="spellEnd"/>
      <w:r w:rsidRPr="006C65F4">
        <w:rPr>
          <w:rFonts w:ascii="Avenir Next" w:hAnsi="Avenir Next" w:cs="Arial"/>
          <w:sz w:val="22"/>
          <w:szCs w:val="22"/>
          <w:lang w:val="en-GB"/>
        </w:rPr>
        <w:t xml:space="preserve">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w:t>
      </w:r>
      <w:proofErr w:type="spellStart"/>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proofErr w:type="spellEnd"/>
      <w:r w:rsidRPr="006C65F4">
        <w:rPr>
          <w:rFonts w:ascii="Avenir Next Demi Bold" w:hAnsi="Avenir Next Demi Bold" w:cs="Arial"/>
          <w:b/>
          <w:bCs/>
          <w:sz w:val="22"/>
          <w:szCs w:val="22"/>
          <w:lang w:val="en-GB" w:eastAsia="en-GB"/>
        </w:rPr>
        <w:t>]</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proofErr w:type="spellStart"/>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proofErr w:type="spellEnd"/>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proofErr w:type="spellStart"/>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A</w:t>
      </w:r>
      <w:proofErr w:type="spellEnd"/>
      <w:r w:rsidRPr="006C65F4">
        <w:rPr>
          <w:rFonts w:ascii="Avenir Next" w:hAnsi="Avenir Next" w:cs="Arial"/>
          <w:bCs/>
          <w:sz w:val="22"/>
          <w:szCs w:val="22"/>
          <w:lang w:val="en-GB"/>
        </w:rPr>
        <w:t xml:space="preserve">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proofErr w:type="spellStart"/>
      <w:r w:rsidR="00DA1D45" w:rsidRPr="006C65F4">
        <w:rPr>
          <w:rFonts w:ascii="Avenir Next" w:hAnsi="Avenir Next" w:cs="Arial"/>
          <w:sz w:val="22"/>
          <w:szCs w:val="22"/>
          <w:lang w:val="en-GB"/>
        </w:rPr>
        <w:t>3A</w:t>
      </w:r>
      <w:proofErr w:type="spellEnd"/>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w:t>
      </w:r>
      <w:r w:rsidRPr="00CE0ECD">
        <w:rPr>
          <w:rFonts w:ascii="Avenir Next" w:hAnsi="Avenir Next" w:cs="Arial"/>
          <w:sz w:val="22"/>
          <w:szCs w:val="22"/>
          <w:lang w:val="en-GB"/>
        </w:rPr>
        <w:lastRenderedPageBreak/>
        <w:t xml:space="preserve">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4D1CDA">
        <w:rPr>
          <w:rFonts w:ascii="Avenir Next" w:hAnsi="Avenir Next"/>
        </w:rPr>
        <w:t>(b)</w:t>
      </w:r>
      <w:r w:rsidRPr="004D1CDA">
        <w:rPr>
          <w:rFonts w:ascii="Avenir Next" w:hAnsi="Avenir Next"/>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A407A7">
        <w:rPr>
          <w:rFonts w:ascii="Avenir Next" w:hAnsi="Avenir Next"/>
          <w:highlight w:val="yellow"/>
        </w:rPr>
        <w:t>(d)</w:t>
      </w:r>
      <w:r w:rsidRPr="00A407A7">
        <w:rPr>
          <w:rFonts w:ascii="Avenir Next" w:hAnsi="Avenir Next"/>
          <w:highlight w:val="yellow"/>
        </w:rPr>
        <w:tab/>
        <w:t>No, because Parts Inc does</w:t>
      </w:r>
      <w:r w:rsidR="00A81F08" w:rsidRPr="00A407A7">
        <w:rPr>
          <w:rFonts w:ascii="Avenir Next" w:hAnsi="Avenir Next"/>
          <w:highlight w:val="yellow"/>
        </w:rPr>
        <w:t xml:space="preserve"> not</w:t>
      </w:r>
      <w:r w:rsidRPr="00A407A7">
        <w:rPr>
          <w:rFonts w:ascii="Avenir Next" w:hAnsi="Avenir Next"/>
          <w:highlight w:val="yellow"/>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D609C9">
        <w:rPr>
          <w:rFonts w:ascii="Avenir Next" w:hAnsi="Avenir Next"/>
          <w:highlight w:val="yellow"/>
        </w:rPr>
        <w:t>(a)</w:t>
      </w:r>
      <w:r w:rsidRPr="00D609C9">
        <w:rPr>
          <w:rFonts w:ascii="Avenir Next" w:hAnsi="Avenir Next"/>
          <w:highlight w:val="yellow"/>
        </w:rPr>
        <w:tab/>
        <w:t>A shareholder in Parts Inc, to which Car Corp is indebted</w:t>
      </w:r>
      <w:r w:rsidR="00631394" w:rsidRPr="00D609C9">
        <w:rPr>
          <w:rFonts w:ascii="Avenir Next" w:hAnsi="Avenir Next"/>
          <w:highlight w:val="yellow"/>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4D1CDA">
        <w:rPr>
          <w:rFonts w:ascii="Avenir Next" w:hAnsi="Avenir Next"/>
        </w:rPr>
        <w:t>(c)</w:t>
      </w:r>
      <w:r w:rsidRPr="004D1CDA">
        <w:rPr>
          <w:rFonts w:ascii="Avenir Next" w:hAnsi="Avenir Next"/>
        </w:rPr>
        <w:tab/>
        <w:t>A shareholder in Investment Corp, Car Corp’s parent company</w:t>
      </w:r>
      <w:r w:rsidR="00631394" w:rsidRPr="004D1CDA">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D609C9">
        <w:rPr>
          <w:rFonts w:ascii="Avenir Next" w:hAnsi="Avenir Next"/>
          <w:highlight w:val="yellow"/>
        </w:rPr>
        <w:t>(d)</w:t>
      </w:r>
      <w:r w:rsidRPr="00D609C9">
        <w:rPr>
          <w:rFonts w:ascii="Avenir Next" w:hAnsi="Avenir Next"/>
          <w:highlight w:val="yellow"/>
        </w:rPr>
        <w:tab/>
      </w:r>
      <w:r w:rsidR="00B849C5" w:rsidRPr="00D609C9">
        <w:rPr>
          <w:rFonts w:ascii="Avenir Next" w:hAnsi="Avenir Next"/>
          <w:highlight w:val="yellow"/>
        </w:rPr>
        <w:t xml:space="preserve">Options (a) to (c) </w:t>
      </w:r>
      <w:r w:rsidRPr="00D609C9">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93376E">
        <w:rPr>
          <w:rFonts w:ascii="Avenir Next" w:hAnsi="Avenir Next"/>
          <w:highlight w:val="yellow"/>
        </w:rPr>
        <w:t>(e)</w:t>
      </w:r>
      <w:r w:rsidRPr="0093376E">
        <w:rPr>
          <w:rFonts w:ascii="Avenir Next" w:hAnsi="Avenir Next"/>
          <w:highlight w:val="yellow"/>
        </w:rPr>
        <w:tab/>
        <w:t>All of the above</w:t>
      </w:r>
      <w:r w:rsidR="006A42F8" w:rsidRPr="0093376E">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4E6FCA">
        <w:rPr>
          <w:rFonts w:ascii="Avenir Next" w:hAnsi="Avenir Next"/>
          <w:highlight w:val="yellow"/>
        </w:rPr>
        <w:t>(b)</w:t>
      </w:r>
      <w:r w:rsidRPr="004E6FCA">
        <w:rPr>
          <w:rFonts w:ascii="Avenir Next" w:hAnsi="Avenir Next"/>
          <w:highlight w:val="yellow"/>
        </w:rPr>
        <w:tab/>
        <w:t xml:space="preserve">Executory contracts are clearly defined by the </w:t>
      </w:r>
      <w:r w:rsidR="00ED7BF3" w:rsidRPr="004E6FCA">
        <w:rPr>
          <w:rFonts w:ascii="Avenir Next" w:hAnsi="Avenir Next"/>
          <w:highlight w:val="yellow"/>
        </w:rPr>
        <w:t>B</w:t>
      </w:r>
      <w:r w:rsidRPr="004E6FCA">
        <w:rPr>
          <w:rFonts w:ascii="Avenir Next" w:hAnsi="Avenir Next"/>
          <w:highlight w:val="yellow"/>
        </w:rPr>
        <w:t xml:space="preserve">ankruptcy </w:t>
      </w:r>
      <w:r w:rsidR="00ED7BF3" w:rsidRPr="004E6FCA">
        <w:rPr>
          <w:rFonts w:ascii="Avenir Next" w:hAnsi="Avenir Next"/>
          <w:highlight w:val="yellow"/>
        </w:rPr>
        <w:t>C</w:t>
      </w:r>
      <w:r w:rsidRPr="004E6FCA">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w:t>
      </w:r>
      <w:proofErr w:type="spellStart"/>
      <w:r w:rsidRPr="00B63E83">
        <w:rPr>
          <w:rFonts w:ascii="Avenir Next" w:hAnsi="Avenir Next"/>
        </w:rPr>
        <w:t>cramdown</w:t>
      </w:r>
      <w:proofErr w:type="spellEnd"/>
      <w:r w:rsidRPr="00B63E83">
        <w:rPr>
          <w:rFonts w:ascii="Avenir Next" w:hAnsi="Avenir Next"/>
        </w:rPr>
        <w:t>”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9E0DAE" w:rsidRDefault="000643AB" w:rsidP="00875912">
      <w:pPr>
        <w:pStyle w:val="AODocTxt"/>
        <w:numPr>
          <w:ilvl w:val="0"/>
          <w:numId w:val="24"/>
        </w:numPr>
        <w:spacing w:before="0" w:line="240" w:lineRule="auto"/>
        <w:ind w:left="426" w:hanging="426"/>
        <w:rPr>
          <w:rFonts w:ascii="Avenir Next" w:hAnsi="Avenir Next"/>
          <w:highlight w:val="yellow"/>
        </w:rPr>
      </w:pPr>
      <w:r w:rsidRPr="009E0DAE">
        <w:rPr>
          <w:rFonts w:ascii="Avenir Next" w:hAnsi="Avenir Next"/>
          <w:highlight w:val="yellow"/>
        </w:rPr>
        <w:t>Acceptance of the plan by all classes of secured creditors</w:t>
      </w:r>
      <w:r w:rsidR="006844A8" w:rsidRPr="009E0DAE">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E342B1" w:rsidRDefault="00C24FAB" w:rsidP="009017A1">
      <w:pPr>
        <w:pStyle w:val="AODocTxt"/>
        <w:numPr>
          <w:ilvl w:val="0"/>
          <w:numId w:val="33"/>
        </w:numPr>
        <w:spacing w:before="0" w:line="240" w:lineRule="auto"/>
        <w:ind w:left="426" w:hanging="426"/>
        <w:rPr>
          <w:rFonts w:ascii="Avenir Next" w:hAnsi="Avenir Next"/>
          <w:highlight w:val="yellow"/>
        </w:rPr>
      </w:pPr>
      <w:r w:rsidRPr="00E342B1">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A285F" w:rsidRDefault="00853272" w:rsidP="00BA74EF">
      <w:pPr>
        <w:pStyle w:val="AODocTxt"/>
        <w:numPr>
          <w:ilvl w:val="0"/>
          <w:numId w:val="28"/>
        </w:numPr>
        <w:spacing w:before="0" w:line="240" w:lineRule="auto"/>
        <w:ind w:left="426" w:hanging="426"/>
        <w:rPr>
          <w:rFonts w:ascii="Avenir Next" w:hAnsi="Avenir Next"/>
          <w:highlight w:val="yellow"/>
        </w:rPr>
      </w:pPr>
      <w:r w:rsidRPr="003A285F">
        <w:rPr>
          <w:rFonts w:ascii="Avenir Next" w:hAnsi="Avenir Next"/>
          <w:highlight w:val="yellow"/>
        </w:rPr>
        <w:t xml:space="preserve">Both </w:t>
      </w:r>
      <w:r w:rsidR="0072569E" w:rsidRPr="003A285F">
        <w:rPr>
          <w:rFonts w:ascii="Avenir Next" w:hAnsi="Avenir Next"/>
          <w:highlight w:val="yellow"/>
        </w:rPr>
        <w:t xml:space="preserve">options </w:t>
      </w:r>
      <w:r w:rsidRPr="003A285F">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8621E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4D1CDA" w:rsidRDefault="00334B98" w:rsidP="00676F12">
      <w:pPr>
        <w:pStyle w:val="AODocTxt"/>
        <w:keepNext/>
        <w:numPr>
          <w:ilvl w:val="0"/>
          <w:numId w:val="30"/>
        </w:numPr>
        <w:spacing w:before="0" w:line="240" w:lineRule="auto"/>
        <w:ind w:left="426" w:hanging="426"/>
        <w:rPr>
          <w:rFonts w:ascii="Avenir Next" w:hAnsi="Avenir Next"/>
          <w:highlight w:val="yellow"/>
        </w:rPr>
      </w:pPr>
      <w:r w:rsidRPr="004D1CDA">
        <w:rPr>
          <w:rFonts w:ascii="Avenir Next" w:hAnsi="Avenir Next"/>
          <w:highlight w:val="yellow"/>
        </w:rPr>
        <w:t>The debtor</w:t>
      </w:r>
      <w:r w:rsidR="00291367" w:rsidRPr="004D1CDA">
        <w:rPr>
          <w:rFonts w:ascii="Avenir Next" w:hAnsi="Avenir Next"/>
          <w:highlight w:val="yellow"/>
        </w:rPr>
        <w:t>-</w:t>
      </w:r>
      <w:r w:rsidRPr="004D1CDA">
        <w:rPr>
          <w:rFonts w:ascii="Avenir Next" w:hAnsi="Avenir Next"/>
          <w:highlight w:val="yellow"/>
        </w:rPr>
        <w:t>in</w:t>
      </w:r>
      <w:r w:rsidR="00291367" w:rsidRPr="004D1CDA">
        <w:rPr>
          <w:rFonts w:ascii="Avenir Next" w:hAnsi="Avenir Next"/>
          <w:highlight w:val="yellow"/>
        </w:rPr>
        <w:t>-</w:t>
      </w:r>
      <w:r w:rsidRPr="004D1CDA">
        <w:rPr>
          <w:rFonts w:ascii="Avenir Next" w:hAnsi="Avenir Next"/>
          <w:highlight w:val="yellow"/>
        </w:rPr>
        <w:t>possession must establish that the transaction is in the best interests 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4D1CDA" w:rsidRDefault="00291367" w:rsidP="00676F12">
      <w:pPr>
        <w:pStyle w:val="AODocTxt"/>
        <w:keepNext/>
        <w:spacing w:before="0" w:line="240" w:lineRule="auto"/>
        <w:ind w:hanging="426"/>
        <w:rPr>
          <w:rFonts w:ascii="Avenir Next" w:hAnsi="Avenir Next"/>
        </w:rPr>
      </w:pPr>
    </w:p>
    <w:p w14:paraId="79AD88D3" w14:textId="7C07A8E7" w:rsidR="00334B98" w:rsidRPr="004D1CDA" w:rsidRDefault="00334B98" w:rsidP="00676F12">
      <w:pPr>
        <w:pStyle w:val="AODocTxt"/>
        <w:keepNext/>
        <w:numPr>
          <w:ilvl w:val="0"/>
          <w:numId w:val="30"/>
        </w:numPr>
        <w:spacing w:before="0" w:line="240" w:lineRule="auto"/>
        <w:ind w:left="426" w:hanging="426"/>
        <w:rPr>
          <w:rFonts w:ascii="Avenir Next" w:hAnsi="Avenir Next"/>
        </w:rPr>
      </w:pPr>
      <w:r w:rsidRPr="004D1CDA">
        <w:rPr>
          <w:rFonts w:ascii="Avenir Next" w:hAnsi="Avenir Next"/>
        </w:rPr>
        <w:t>Debtors must carry out a robust marketing process for the sale.</w:t>
      </w:r>
    </w:p>
    <w:p w14:paraId="2F3FE69D" w14:textId="77777777" w:rsidR="00291367" w:rsidRPr="004D1CDA" w:rsidRDefault="00291367" w:rsidP="00676F12">
      <w:pPr>
        <w:pStyle w:val="AODocTxt"/>
        <w:keepNext/>
        <w:spacing w:before="0" w:line="240" w:lineRule="auto"/>
        <w:ind w:hanging="426"/>
        <w:rPr>
          <w:rFonts w:ascii="Avenir Next" w:hAnsi="Avenir Next"/>
        </w:rPr>
      </w:pPr>
    </w:p>
    <w:p w14:paraId="1166FE04" w14:textId="76F07D9E" w:rsidR="00334B98" w:rsidRPr="004D1CDA" w:rsidRDefault="00334B98" w:rsidP="00676F12">
      <w:pPr>
        <w:pStyle w:val="AODocTxt"/>
        <w:keepNext/>
        <w:numPr>
          <w:ilvl w:val="0"/>
          <w:numId w:val="30"/>
        </w:numPr>
        <w:spacing w:before="0" w:line="240" w:lineRule="auto"/>
        <w:ind w:left="426" w:hanging="426"/>
        <w:rPr>
          <w:rFonts w:ascii="Avenir Next" w:hAnsi="Avenir Next"/>
        </w:rPr>
      </w:pPr>
      <w:r w:rsidRPr="004D1CDA">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820A03" w:rsidRDefault="00740655" w:rsidP="00DF5F7C">
      <w:pPr>
        <w:pStyle w:val="AODocTxt"/>
        <w:keepNext/>
        <w:numPr>
          <w:ilvl w:val="0"/>
          <w:numId w:val="35"/>
        </w:numPr>
        <w:spacing w:before="0" w:line="240" w:lineRule="auto"/>
        <w:ind w:left="426" w:hanging="426"/>
        <w:rPr>
          <w:rFonts w:ascii="Avenir Next" w:hAnsi="Avenir Next"/>
          <w:highlight w:val="yellow"/>
        </w:rPr>
      </w:pPr>
      <w:r w:rsidRPr="00820A03">
        <w:rPr>
          <w:rFonts w:ascii="Avenir Next" w:hAnsi="Avenir Next"/>
          <w:highlight w:val="yellow"/>
        </w:rPr>
        <w:t>If a creditor can show it extended credit on the basis of corporate separateness, it has a valid objection to substantive</w:t>
      </w:r>
      <w:r w:rsidRPr="00820A03">
        <w:rPr>
          <w:rFonts w:ascii="Avenir Next" w:hAnsi="Avenir Next"/>
        </w:rPr>
        <w:t xml:space="preserve"> </w:t>
      </w:r>
      <w:r w:rsidRPr="00820A03">
        <w:rPr>
          <w:rFonts w:ascii="Avenir Next" w:hAnsi="Avenir Next"/>
          <w:highlight w:val="yellow"/>
        </w:rPr>
        <w:t>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5BD294AE" w14:textId="77777777" w:rsidR="00F119D7" w:rsidRDefault="00F1748E"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permits a creditor holding a claim against the debtor and simultaneously owing money to the </w:t>
      </w:r>
      <w:r w:rsidR="00F119D7">
        <w:rPr>
          <w:rFonts w:ascii="Avenir Next" w:hAnsi="Avenir Next"/>
          <w:color w:val="808080" w:themeColor="background1" w:themeShade="80"/>
        </w:rPr>
        <w:t>debtor</w:t>
      </w:r>
      <w:r>
        <w:rPr>
          <w:rFonts w:ascii="Avenir Next" w:hAnsi="Avenir Next"/>
          <w:color w:val="808080" w:themeColor="background1" w:themeShade="80"/>
        </w:rPr>
        <w:t xml:space="preserve"> to net out the two (or more) obligations. </w:t>
      </w:r>
    </w:p>
    <w:p w14:paraId="77E99C32" w14:textId="77777777" w:rsidR="00F119D7" w:rsidRDefault="00F119D7" w:rsidP="00323167">
      <w:pPr>
        <w:pStyle w:val="AODocTxt"/>
        <w:spacing w:before="0" w:line="240" w:lineRule="auto"/>
        <w:rPr>
          <w:rFonts w:ascii="Avenir Next" w:hAnsi="Avenir Next"/>
          <w:color w:val="808080" w:themeColor="background1" w:themeShade="80"/>
        </w:rPr>
      </w:pPr>
    </w:p>
    <w:p w14:paraId="2EFB5850" w14:textId="18A9AD60" w:rsidR="00323167" w:rsidRPr="002B5D64" w:rsidRDefault="00F119D7"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Setoff rights are</w:t>
      </w:r>
      <w:r w:rsidR="00F1748E">
        <w:rPr>
          <w:rFonts w:ascii="Avenir Next" w:hAnsi="Avenir Next"/>
          <w:color w:val="808080" w:themeColor="background1" w:themeShade="80"/>
        </w:rPr>
        <w:t xml:space="preserve"> not always permitted because setoff rights can improve the position of the creditor as compared to other unsecured creditors who are not owed money by the debtor because it decreases its obligations to the estate by the full amount owed by the </w:t>
      </w:r>
      <w:r>
        <w:rPr>
          <w:rFonts w:ascii="Avenir Next" w:hAnsi="Avenir Next"/>
          <w:color w:val="808080" w:themeColor="background1" w:themeShade="80"/>
        </w:rPr>
        <w:t>debtor</w:t>
      </w:r>
      <w:r w:rsidR="00F1748E">
        <w:rPr>
          <w:rFonts w:ascii="Avenir Next" w:hAnsi="Avenir Next"/>
          <w:color w:val="808080" w:themeColor="background1" w:themeShade="80"/>
        </w:rPr>
        <w:t xml:space="preserve"> rather than the lesser amount the debtor would pay on the unsecured claim.</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49661AC4" w:rsidR="001D3BAA" w:rsidRPr="002B5D64" w:rsidRDefault="00F1748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004D1CDA">
        <w:rPr>
          <w:rFonts w:ascii="Avenir Next" w:hAnsi="Avenir Next"/>
          <w:color w:val="808080" w:themeColor="background1" w:themeShade="80"/>
        </w:rPr>
        <w:t xml:space="preserve"> priming lien is a</w:t>
      </w:r>
      <w:r>
        <w:rPr>
          <w:rFonts w:ascii="Avenir Next" w:hAnsi="Avenir Next"/>
          <w:color w:val="808080" w:themeColor="background1" w:themeShade="80"/>
        </w:rPr>
        <w:t xml:space="preserve"> lien granted by a court that is senior or equal to a pre-petition lien on estate property to secure post-petition financing. </w:t>
      </w:r>
      <w:r w:rsidR="004D1CDA">
        <w:rPr>
          <w:rFonts w:ascii="Avenir Next" w:hAnsi="Avenir Next"/>
          <w:color w:val="808080" w:themeColor="background1" w:themeShade="80"/>
        </w:rPr>
        <w:t>In order to be granted, t</w:t>
      </w:r>
      <w:r>
        <w:rPr>
          <w:rFonts w:ascii="Avenir Next" w:hAnsi="Avenir Next"/>
          <w:color w:val="808080" w:themeColor="background1" w:themeShade="80"/>
        </w:rPr>
        <w:t>h</w:t>
      </w:r>
      <w:r w:rsidR="007C28A2">
        <w:rPr>
          <w:rFonts w:ascii="Avenir Next" w:hAnsi="Avenir Next"/>
          <w:color w:val="808080" w:themeColor="background1" w:themeShade="80"/>
        </w:rPr>
        <w:t>e debtor must demonstrate that financing cannot be obtained on any other terms (i.e. DIP financing will only be advanced with priming lien and there are no other options) and that the interest of the secured creditors being primed is adequately protected.</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0DD7D4FE" w14:textId="77777777" w:rsidR="004D1CDA" w:rsidRDefault="00021A9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act taken in violation of the automatic stay (even if taken without notice of the filing of the petition) constitutes contempt of court and is void or voidable (depending on the circuit in which the bankruptcy is pending due to a circuit split on the issue). </w:t>
      </w:r>
    </w:p>
    <w:p w14:paraId="657F261D" w14:textId="77777777" w:rsidR="004D1CDA" w:rsidRDefault="004D1CDA" w:rsidP="001D3BAA">
      <w:pPr>
        <w:pStyle w:val="AODocTxt"/>
        <w:spacing w:before="0" w:line="240" w:lineRule="auto"/>
        <w:rPr>
          <w:rFonts w:ascii="Avenir Next" w:hAnsi="Avenir Next"/>
          <w:color w:val="808080" w:themeColor="background1" w:themeShade="80"/>
        </w:rPr>
      </w:pPr>
    </w:p>
    <w:p w14:paraId="1C23721F" w14:textId="5C7A540F" w:rsidR="001D3BAA" w:rsidRPr="002B5D64" w:rsidRDefault="00021A9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Imposition of contempt sanct</w:t>
      </w:r>
      <w:r w:rsidR="00594CB1">
        <w:rPr>
          <w:rFonts w:ascii="Avenir Next" w:hAnsi="Avenir Next"/>
          <w:color w:val="808080" w:themeColor="background1" w:themeShade="80"/>
        </w:rPr>
        <w:t xml:space="preserve">ions against the stay violator </w:t>
      </w:r>
      <w:r>
        <w:rPr>
          <w:rFonts w:ascii="Avenir Next" w:hAnsi="Avenir Next"/>
          <w:color w:val="808080" w:themeColor="background1" w:themeShade="80"/>
        </w:rPr>
        <w:t xml:space="preserve">may </w:t>
      </w:r>
      <w:r w:rsidR="00F119D7">
        <w:rPr>
          <w:rFonts w:ascii="Avenir Next" w:hAnsi="Avenir Next"/>
          <w:color w:val="808080" w:themeColor="background1" w:themeShade="80"/>
        </w:rPr>
        <w:t>(</w:t>
      </w:r>
      <w:proofErr w:type="spellStart"/>
      <w:r w:rsidR="00F119D7">
        <w:rPr>
          <w:rFonts w:ascii="Avenir Next" w:hAnsi="Avenir Next"/>
          <w:color w:val="808080" w:themeColor="background1" w:themeShade="80"/>
        </w:rPr>
        <w:t>i</w:t>
      </w:r>
      <w:proofErr w:type="spellEnd"/>
      <w:r w:rsidR="00F119D7">
        <w:rPr>
          <w:rFonts w:ascii="Avenir Next" w:hAnsi="Avenir Next"/>
          <w:color w:val="808080" w:themeColor="background1" w:themeShade="80"/>
        </w:rPr>
        <w:t xml:space="preserve">) </w:t>
      </w:r>
      <w:r>
        <w:rPr>
          <w:rFonts w:ascii="Avenir Next" w:hAnsi="Avenir Next"/>
          <w:color w:val="808080" w:themeColor="background1" w:themeShade="80"/>
        </w:rPr>
        <w:t>include payment of t</w:t>
      </w:r>
      <w:r w:rsidR="00F119D7">
        <w:rPr>
          <w:rFonts w:ascii="Avenir Next" w:hAnsi="Avenir Next"/>
          <w:color w:val="808080" w:themeColor="background1" w:themeShade="80"/>
        </w:rPr>
        <w:t xml:space="preserve">he debtors’ attorneys’ fees, (ii) </w:t>
      </w:r>
      <w:r w:rsidR="00594CB1">
        <w:rPr>
          <w:rFonts w:ascii="Avenir Next" w:hAnsi="Avenir Next"/>
          <w:color w:val="808080" w:themeColor="background1" w:themeShade="80"/>
        </w:rPr>
        <w:t>require</w:t>
      </w:r>
      <w:r>
        <w:rPr>
          <w:rFonts w:ascii="Avenir Next" w:hAnsi="Avenir Next"/>
          <w:color w:val="808080" w:themeColor="background1" w:themeShade="80"/>
        </w:rPr>
        <w:t xml:space="preserve"> the violator to take affirmative acts to undo the effect of its violation</w:t>
      </w:r>
      <w:r w:rsidR="00F119D7">
        <w:rPr>
          <w:rFonts w:ascii="Avenir Next" w:hAnsi="Avenir Next"/>
          <w:color w:val="808080" w:themeColor="background1" w:themeShade="80"/>
        </w:rPr>
        <w:t xml:space="preserve"> and (iii) imposition of a fine (which where the court is concerned that the </w:t>
      </w:r>
      <w:r w:rsidR="00F119D7">
        <w:rPr>
          <w:rFonts w:ascii="Avenir Next" w:hAnsi="Avenir Next"/>
          <w:color w:val="808080" w:themeColor="background1" w:themeShade="80"/>
        </w:rPr>
        <w:lastRenderedPageBreak/>
        <w:t xml:space="preserve">violator may not act promptly, might include a daily fine to be paid </w:t>
      </w:r>
      <w:proofErr w:type="spellStart"/>
      <w:r w:rsidR="00F119D7">
        <w:rPr>
          <w:rFonts w:ascii="Avenir Next" w:hAnsi="Avenir Next"/>
          <w:color w:val="808080" w:themeColor="background1" w:themeShade="80"/>
        </w:rPr>
        <w:t>inot</w:t>
      </w:r>
      <w:proofErr w:type="spellEnd"/>
      <w:r w:rsidR="00F119D7">
        <w:rPr>
          <w:rFonts w:ascii="Avenir Next" w:hAnsi="Avenir Next"/>
          <w:color w:val="808080" w:themeColor="background1" w:themeShade="80"/>
        </w:rPr>
        <w:t xml:space="preserve"> the court until the relevant violation has been rectified.</w:t>
      </w:r>
      <w:r>
        <w:rPr>
          <w:rFonts w:ascii="Avenir Next" w:hAnsi="Avenir Next"/>
          <w:color w:val="808080" w:themeColor="background1" w:themeShade="80"/>
        </w:rPr>
        <w:t xml:space="preserve">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w:t>
      </w:r>
      <w:proofErr w:type="spellStart"/>
      <w:r w:rsidRPr="001B33F5">
        <w:rPr>
          <w:rFonts w:ascii="Avenir Next" w:hAnsi="Avenir Next"/>
        </w:rPr>
        <w:t>es</w:t>
      </w:r>
      <w:proofErr w:type="spellEnd"/>
      <w:r w:rsidRPr="001B33F5">
        <w:rPr>
          <w:rFonts w:ascii="Avenir Next" w:hAnsi="Avenir Next"/>
        </w:rPr>
        <w:t>)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568FDBF6" w14:textId="56BB09FC" w:rsidR="004D1CDA" w:rsidRDefault="004D1CD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voting on a plan of </w:t>
      </w:r>
      <w:proofErr w:type="spellStart"/>
      <w:r>
        <w:rPr>
          <w:rFonts w:ascii="Avenir Next" w:hAnsi="Avenir Next"/>
          <w:color w:val="808080" w:themeColor="background1" w:themeShade="80"/>
        </w:rPr>
        <w:t>reorganisation</w:t>
      </w:r>
      <w:proofErr w:type="spellEnd"/>
      <w:r>
        <w:rPr>
          <w:rFonts w:ascii="Avenir Next" w:hAnsi="Avenir Next"/>
          <w:color w:val="808080" w:themeColor="background1" w:themeShade="80"/>
        </w:rPr>
        <w:t>:</w:t>
      </w:r>
    </w:p>
    <w:p w14:paraId="607AF351" w14:textId="77777777" w:rsidR="004D1CDA" w:rsidRDefault="004D1CDA" w:rsidP="001D3BAA">
      <w:pPr>
        <w:pStyle w:val="AODocTxt"/>
        <w:spacing w:before="0" w:line="240" w:lineRule="auto"/>
        <w:rPr>
          <w:rFonts w:ascii="Avenir Next" w:hAnsi="Avenir Next"/>
          <w:color w:val="808080" w:themeColor="background1" w:themeShade="80"/>
        </w:rPr>
      </w:pPr>
    </w:p>
    <w:p w14:paraId="037B4B36" w14:textId="794C612E" w:rsidR="001D3BAA" w:rsidRDefault="00594CB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xml:space="preserve">) </w:t>
      </w:r>
      <w:r w:rsidR="004D1CDA">
        <w:rPr>
          <w:rFonts w:ascii="Avenir Next" w:hAnsi="Avenir Next"/>
          <w:color w:val="808080" w:themeColor="background1" w:themeShade="80"/>
        </w:rPr>
        <w:t xml:space="preserve">an </w:t>
      </w:r>
      <w:r w:rsidR="001157F8">
        <w:rPr>
          <w:rFonts w:ascii="Avenir Next" w:hAnsi="Avenir Next"/>
          <w:color w:val="808080" w:themeColor="background1" w:themeShade="80"/>
        </w:rPr>
        <w:t>unimpaired class (including one whose acceleration of debt has been reversed)</w:t>
      </w:r>
      <w:r w:rsidR="004D1CDA">
        <w:rPr>
          <w:rFonts w:ascii="Avenir Next" w:hAnsi="Avenir Next"/>
          <w:color w:val="808080" w:themeColor="background1" w:themeShade="80"/>
        </w:rPr>
        <w:t xml:space="preserve"> is deemed to accept the plan;</w:t>
      </w:r>
    </w:p>
    <w:p w14:paraId="1222210A" w14:textId="1F0BAF97" w:rsidR="00594CB1" w:rsidRDefault="00594CB1" w:rsidP="001D3BAA">
      <w:pPr>
        <w:pStyle w:val="AODocTxt"/>
        <w:spacing w:before="0" w:line="240" w:lineRule="auto"/>
        <w:rPr>
          <w:rFonts w:ascii="Avenir Next" w:hAnsi="Avenir Next"/>
          <w:color w:val="808080" w:themeColor="background1" w:themeShade="80"/>
        </w:rPr>
      </w:pPr>
    </w:p>
    <w:p w14:paraId="085B6812" w14:textId="6BDE17EC" w:rsidR="00594CB1" w:rsidRDefault="00594CB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(ii)</w:t>
      </w:r>
      <w:r w:rsidR="001157F8">
        <w:rPr>
          <w:rFonts w:ascii="Avenir Next" w:hAnsi="Avenir Next"/>
          <w:color w:val="808080" w:themeColor="background1" w:themeShade="80"/>
        </w:rPr>
        <w:t xml:space="preserve"> a class that will receive nothing</w:t>
      </w:r>
      <w:r w:rsidR="004D1CDA">
        <w:rPr>
          <w:rFonts w:ascii="Avenir Next" w:hAnsi="Avenir Next"/>
          <w:color w:val="808080" w:themeColor="background1" w:themeShade="80"/>
        </w:rPr>
        <w:t xml:space="preserve"> is deemed to reject the plan;</w:t>
      </w:r>
      <w:r w:rsidR="00954E2A">
        <w:rPr>
          <w:rFonts w:ascii="Avenir Next" w:hAnsi="Avenir Next"/>
          <w:color w:val="808080" w:themeColor="background1" w:themeShade="80"/>
        </w:rPr>
        <w:t xml:space="preserve"> and</w:t>
      </w:r>
    </w:p>
    <w:p w14:paraId="31DD586A" w14:textId="64B529FC" w:rsidR="00594CB1" w:rsidRDefault="00594CB1" w:rsidP="001D3BAA">
      <w:pPr>
        <w:pStyle w:val="AODocTxt"/>
        <w:spacing w:before="0" w:line="240" w:lineRule="auto"/>
        <w:rPr>
          <w:rFonts w:ascii="Avenir Next" w:hAnsi="Avenir Next"/>
          <w:color w:val="808080" w:themeColor="background1" w:themeShade="80"/>
        </w:rPr>
      </w:pPr>
    </w:p>
    <w:p w14:paraId="15189319" w14:textId="01893850" w:rsidR="00594CB1" w:rsidRDefault="00594CB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(iii) </w:t>
      </w:r>
      <w:r w:rsidR="008C7564">
        <w:rPr>
          <w:rFonts w:ascii="Avenir Next" w:hAnsi="Avenir Next"/>
          <w:color w:val="808080" w:themeColor="background1" w:themeShade="80"/>
        </w:rPr>
        <w:t>an impaired</w:t>
      </w:r>
      <w:r w:rsidR="00954E2A">
        <w:rPr>
          <w:rFonts w:ascii="Avenir Next" w:hAnsi="Avenir Next"/>
          <w:color w:val="808080" w:themeColor="background1" w:themeShade="80"/>
        </w:rPr>
        <w:t xml:space="preserve"> designated</w:t>
      </w:r>
      <w:r w:rsidR="008C7564">
        <w:rPr>
          <w:rFonts w:ascii="Avenir Next" w:hAnsi="Avenir Next"/>
          <w:color w:val="808080" w:themeColor="background1" w:themeShade="80"/>
        </w:rPr>
        <w:t xml:space="preserve"> class of creditors is permitted to vote on the plan. </w:t>
      </w:r>
      <w:r w:rsidR="000F48AD">
        <w:rPr>
          <w:rFonts w:ascii="Avenir Next" w:hAnsi="Avenir Next"/>
          <w:color w:val="808080" w:themeColor="background1" w:themeShade="80"/>
        </w:rPr>
        <w:t>A class is impaired unless, as to every claim or interest in the class, the plan leaves the holder’s “legal, equitable, and contractual rights unaltered”.</w:t>
      </w:r>
    </w:p>
    <w:p w14:paraId="155EF4EF" w14:textId="77777777" w:rsidR="00954E2A" w:rsidRDefault="00954E2A" w:rsidP="001D3BAA">
      <w:pPr>
        <w:pStyle w:val="AODocTxt"/>
        <w:spacing w:before="0" w:line="240" w:lineRule="auto"/>
        <w:rPr>
          <w:rFonts w:ascii="Avenir Next" w:hAnsi="Avenir Next"/>
          <w:color w:val="808080" w:themeColor="background1" w:themeShade="80"/>
        </w:rPr>
      </w:pPr>
    </w:p>
    <w:p w14:paraId="2D10B9FA" w14:textId="7017E8EE" w:rsidR="00954E2A" w:rsidRPr="002B5D64" w:rsidRDefault="00954E2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given class of creditors approves a plan if a simple majority of the creditors in the class holding at least two-thirds of the value of claims in the class, vote in </w:t>
      </w:r>
      <w:proofErr w:type="spellStart"/>
      <w:r>
        <w:rPr>
          <w:rFonts w:ascii="Avenir Next" w:hAnsi="Avenir Next"/>
          <w:color w:val="808080" w:themeColor="background1" w:themeShade="80"/>
        </w:rPr>
        <w:t>favour</w:t>
      </w:r>
      <w:proofErr w:type="spellEnd"/>
      <w:r>
        <w:rPr>
          <w:rFonts w:ascii="Avenir Next" w:hAnsi="Avenir Next"/>
          <w:color w:val="808080" w:themeColor="background1" w:themeShade="80"/>
        </w:rPr>
        <w:t xml:space="preserve"> of the plan </w:t>
      </w:r>
      <w:r w:rsidR="00501A53">
        <w:rPr>
          <w:rFonts w:ascii="Avenir Next" w:hAnsi="Avenir Next"/>
          <w:color w:val="808080" w:themeColor="background1" w:themeShade="80"/>
        </w:rPr>
        <w:t xml:space="preserve">(or for equity interests, if two-thirds in amount of interests vote in </w:t>
      </w:r>
      <w:proofErr w:type="spellStart"/>
      <w:r w:rsidR="00501A53">
        <w:rPr>
          <w:rFonts w:ascii="Avenir Next" w:hAnsi="Avenir Next"/>
          <w:color w:val="808080" w:themeColor="background1" w:themeShade="80"/>
        </w:rPr>
        <w:t>favour</w:t>
      </w:r>
      <w:proofErr w:type="spellEnd"/>
      <w:r w:rsidR="00501A53">
        <w:rPr>
          <w:rFonts w:ascii="Avenir Next" w:hAnsi="Avenir Next"/>
          <w:color w:val="808080" w:themeColor="background1" w:themeShade="80"/>
        </w:rPr>
        <w: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6E211833" w:rsidR="00E239B8" w:rsidRDefault="00C11CA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w:t>
      </w:r>
      <w:r w:rsidR="00501A53">
        <w:rPr>
          <w:rFonts w:ascii="Avenir Next" w:hAnsi="Avenir Next"/>
          <w:color w:val="808080" w:themeColor="background1" w:themeShade="80"/>
        </w:rPr>
        <w:t>A preference claim</w:t>
      </w:r>
    </w:p>
    <w:p w14:paraId="1CEDE636" w14:textId="032E6E1F" w:rsidR="00C11CA5" w:rsidRDefault="00C11CA5" w:rsidP="001D3BAA">
      <w:pPr>
        <w:pStyle w:val="AODocTxt"/>
        <w:spacing w:before="0" w:line="240" w:lineRule="auto"/>
        <w:rPr>
          <w:rFonts w:ascii="Avenir Next" w:hAnsi="Avenir Next"/>
          <w:color w:val="808080" w:themeColor="background1" w:themeShade="80"/>
        </w:rPr>
      </w:pPr>
    </w:p>
    <w:p w14:paraId="27434D51" w14:textId="5725E36B" w:rsidR="00C11CA5" w:rsidRDefault="00C11CA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(b)</w:t>
      </w:r>
      <w:r w:rsidR="00C07D2A">
        <w:rPr>
          <w:rFonts w:ascii="Avenir Next" w:hAnsi="Avenir Next"/>
          <w:color w:val="808080" w:themeColor="background1" w:themeShade="80"/>
        </w:rPr>
        <w:t xml:space="preserve"> </w:t>
      </w:r>
      <w:r w:rsidR="00501A53">
        <w:rPr>
          <w:rFonts w:ascii="Avenir Next" w:hAnsi="Avenir Next"/>
          <w:color w:val="808080" w:themeColor="background1" w:themeShade="80"/>
        </w:rPr>
        <w:t xml:space="preserve">A preference claim, an </w:t>
      </w:r>
      <w:r w:rsidR="00C07D2A">
        <w:rPr>
          <w:rFonts w:ascii="Avenir Next" w:hAnsi="Avenir Next"/>
          <w:color w:val="808080" w:themeColor="background1" w:themeShade="80"/>
        </w:rPr>
        <w:t>actual fraudulent conveyances and constructive fraudulent conveyances</w:t>
      </w:r>
      <w:r w:rsidR="00501A53">
        <w:rPr>
          <w:rFonts w:ascii="Avenir Next" w:hAnsi="Avenir Next"/>
          <w:color w:val="808080" w:themeColor="background1" w:themeShade="80"/>
        </w:rPr>
        <w:t>.</w:t>
      </w:r>
    </w:p>
    <w:p w14:paraId="36209372" w14:textId="379216E6" w:rsidR="00C11CA5" w:rsidRDefault="00C11CA5" w:rsidP="001D3BAA">
      <w:pPr>
        <w:pStyle w:val="AODocTxt"/>
        <w:spacing w:before="0" w:line="240" w:lineRule="auto"/>
        <w:rPr>
          <w:rFonts w:ascii="Avenir Next" w:hAnsi="Avenir Next"/>
          <w:color w:val="808080" w:themeColor="background1" w:themeShade="80"/>
        </w:rPr>
      </w:pPr>
    </w:p>
    <w:p w14:paraId="7A8537F0" w14:textId="76246FE3" w:rsidR="00C11CA5" w:rsidRDefault="00C11CA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 </w:t>
      </w:r>
      <w:r w:rsidR="00501A53">
        <w:rPr>
          <w:rFonts w:ascii="Avenir Next" w:hAnsi="Avenir Next"/>
          <w:color w:val="808080" w:themeColor="background1" w:themeShade="80"/>
        </w:rPr>
        <w:t xml:space="preserve">An </w:t>
      </w:r>
      <w:r>
        <w:rPr>
          <w:rFonts w:ascii="Avenir Next" w:hAnsi="Avenir Next"/>
          <w:color w:val="808080" w:themeColor="background1" w:themeShade="80"/>
        </w:rPr>
        <w:t>actual fraudulent conveyances</w:t>
      </w:r>
      <w:r w:rsidR="00501A53">
        <w:rPr>
          <w:rFonts w:ascii="Avenir Next" w:hAnsi="Avenir Next"/>
          <w:color w:val="808080" w:themeColor="background1" w:themeShade="80"/>
        </w:rPr>
        <w:t>.</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27EC4532" w14:textId="51896C64" w:rsidR="00965016" w:rsidRDefault="009650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Bankruptcy Court has limited jurisdiction to enter final orders other than if they are sufficiently related to “core” bankruptcy issues/proceedings. Section 157 of 28 USC contains </w:t>
      </w:r>
      <w:r>
        <w:rPr>
          <w:rFonts w:ascii="Avenir Next" w:hAnsi="Avenir Next"/>
          <w:color w:val="808080" w:themeColor="background1" w:themeShade="80"/>
        </w:rPr>
        <w:lastRenderedPageBreak/>
        <w:t>a non-exhaustive list of what might constitute a core proceedings. Some examples listed are – (A) matters concerning the administration of the estate, (H) proceedings to determine, avoid or recover preferences, (I) determinations as to the discharge ability of particular debts, (L) confirmations of plans. The Bankruptcy Court may only hear non-core proceedings if they are sufficiently related to bankruptcy proceedings but it cannot make a final determination in respect of those).</w:t>
      </w:r>
    </w:p>
    <w:p w14:paraId="5574A7F1" w14:textId="3C6B646F" w:rsidR="00C07D2A" w:rsidRDefault="00C07D2A" w:rsidP="001D3BAA">
      <w:pPr>
        <w:pStyle w:val="AODocTxt"/>
        <w:spacing w:before="0" w:line="240" w:lineRule="auto"/>
        <w:rPr>
          <w:rFonts w:ascii="Avenir Next" w:hAnsi="Avenir Next"/>
          <w:color w:val="808080" w:themeColor="background1" w:themeShade="80"/>
        </w:rPr>
      </w:pPr>
    </w:p>
    <w:p w14:paraId="7EF8D27C" w14:textId="19DF4507" w:rsidR="00C07D2A" w:rsidRDefault="008D1DC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w:t>
      </w:r>
      <w:r w:rsidR="00C06DC9">
        <w:rPr>
          <w:rFonts w:ascii="Avenir Next" w:hAnsi="Avenir Next"/>
          <w:color w:val="808080" w:themeColor="background1" w:themeShade="80"/>
        </w:rPr>
        <w:t xml:space="preserve">n general, appeals from </w:t>
      </w:r>
      <w:r w:rsidR="00965016">
        <w:rPr>
          <w:rFonts w:ascii="Avenir Next" w:hAnsi="Avenir Next"/>
          <w:color w:val="808080" w:themeColor="background1" w:themeShade="80"/>
        </w:rPr>
        <w:t>B</w:t>
      </w:r>
      <w:r w:rsidR="00C06DC9">
        <w:rPr>
          <w:rFonts w:ascii="Avenir Next" w:hAnsi="Avenir Next"/>
          <w:color w:val="808080" w:themeColor="background1" w:themeShade="80"/>
        </w:rPr>
        <w:t xml:space="preserve">ankruptcy </w:t>
      </w:r>
      <w:r w:rsidR="00965016">
        <w:rPr>
          <w:rFonts w:ascii="Avenir Next" w:hAnsi="Avenir Next"/>
          <w:color w:val="808080" w:themeColor="background1" w:themeShade="80"/>
        </w:rPr>
        <w:t>C</w:t>
      </w:r>
      <w:r w:rsidR="00C06DC9">
        <w:rPr>
          <w:rFonts w:ascii="Avenir Next" w:hAnsi="Avenir Next"/>
          <w:color w:val="808080" w:themeColor="background1" w:themeShade="80"/>
        </w:rPr>
        <w:t xml:space="preserve">ourt decisions are heard by the district court for the district in which they sit. In certain </w:t>
      </w:r>
      <w:r w:rsidR="00965016">
        <w:rPr>
          <w:rFonts w:ascii="Avenir Next" w:hAnsi="Avenir Next"/>
          <w:color w:val="808080" w:themeColor="background1" w:themeShade="80"/>
        </w:rPr>
        <w:t>circuits</w:t>
      </w:r>
      <w:r w:rsidR="00C06DC9">
        <w:rPr>
          <w:rFonts w:ascii="Avenir Next" w:hAnsi="Avenir Next"/>
          <w:color w:val="808080" w:themeColor="background1" w:themeShade="80"/>
        </w:rPr>
        <w:t xml:space="preserve"> bankruptcy appeals are heard by a Bankruptcy Appellate Panel, convened </w:t>
      </w:r>
      <w:r w:rsidR="00965016">
        <w:rPr>
          <w:rFonts w:ascii="Avenir Next" w:hAnsi="Avenir Next"/>
          <w:color w:val="808080" w:themeColor="background1" w:themeShade="80"/>
        </w:rPr>
        <w:t xml:space="preserve">from the judges of the bankruptcy Court within the circuit. In those circuits, a party has the option to request that the appeal be heard by the district court instead.  </w:t>
      </w:r>
    </w:p>
    <w:p w14:paraId="73100B11" w14:textId="00459450" w:rsidR="00C07D2A" w:rsidRDefault="00C07D2A" w:rsidP="001D3BAA">
      <w:pPr>
        <w:pStyle w:val="AODocTxt"/>
        <w:spacing w:before="0" w:line="240" w:lineRule="auto"/>
        <w:rPr>
          <w:rFonts w:ascii="Avenir Next" w:hAnsi="Avenir Next"/>
          <w:color w:val="808080" w:themeColor="background1" w:themeShade="80"/>
        </w:rPr>
      </w:pPr>
    </w:p>
    <w:p w14:paraId="08577B5C" w14:textId="5247EDB0" w:rsidR="00C07D2A" w:rsidRPr="002B5D64" w:rsidRDefault="008D1DC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w:t>
      </w:r>
      <w:r w:rsidR="00965016">
        <w:rPr>
          <w:rFonts w:ascii="Avenir Next" w:hAnsi="Avenir Next"/>
          <w:color w:val="808080" w:themeColor="background1" w:themeShade="80"/>
        </w:rPr>
        <w:t xml:space="preserve"> the ruling was a non-core proceeding</w:t>
      </w:r>
      <w:r>
        <w:rPr>
          <w:rFonts w:ascii="Avenir Next" w:hAnsi="Avenir Next"/>
          <w:color w:val="808080" w:themeColor="background1" w:themeShade="80"/>
        </w:rPr>
        <w:t xml:space="preserve"> (i.e. not constitutionally final)</w:t>
      </w:r>
      <w:r w:rsidR="00965016">
        <w:rPr>
          <w:rFonts w:ascii="Avenir Next" w:hAnsi="Avenir Next"/>
          <w:color w:val="808080" w:themeColor="background1" w:themeShade="80"/>
        </w:rPr>
        <w:t xml:space="preserve"> or the bankruptcy court otherwise did not have authority to enter a final order, the district court or BAP reviews de novo (i.e. reviewing a decision of another court anew) all findings of fact and conclusions of law to which a party has objected. The order of a district court or BAP is reviewed by a circuit court of appeal de novo as to conclusions of law and for abuse of discretion for finding of fact.</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1EBC1A7A" w14:textId="77777777" w:rsidR="008D1DC9" w:rsidRDefault="002F46E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foreign representative in chapter 15 may not use avoidance powers provided by the Bankruptcy Court (</w:t>
      </w:r>
      <w:proofErr w:type="spellStart"/>
      <w:r>
        <w:rPr>
          <w:rFonts w:ascii="Avenir Next" w:hAnsi="Avenir Next"/>
          <w:color w:val="808080" w:themeColor="background1" w:themeShade="80"/>
        </w:rPr>
        <w:t>ss</w:t>
      </w:r>
      <w:proofErr w:type="spellEnd"/>
      <w:r>
        <w:rPr>
          <w:rFonts w:ascii="Avenir Next" w:hAnsi="Avenir Next"/>
          <w:color w:val="808080" w:themeColor="background1" w:themeShade="80"/>
        </w:rPr>
        <w:t xml:space="preserve"> 1521(a)(7) </w:t>
      </w:r>
      <w:proofErr w:type="spellStart"/>
      <w:r>
        <w:rPr>
          <w:rFonts w:ascii="Avenir Next" w:hAnsi="Avenir Next"/>
          <w:color w:val="808080" w:themeColor="background1" w:themeShade="80"/>
        </w:rPr>
        <w:t>ch</w:t>
      </w:r>
      <w:proofErr w:type="spellEnd"/>
      <w:r>
        <w:rPr>
          <w:rFonts w:ascii="Avenir Next" w:hAnsi="Avenir Next"/>
          <w:color w:val="808080" w:themeColor="background1" w:themeShade="80"/>
        </w:rPr>
        <w:t xml:space="preserve"> 11 USC). </w:t>
      </w:r>
    </w:p>
    <w:p w14:paraId="187BD1E3" w14:textId="77777777" w:rsidR="008D1DC9" w:rsidRDefault="008D1DC9" w:rsidP="001D3BAA">
      <w:pPr>
        <w:pStyle w:val="AODocTxt"/>
        <w:spacing w:before="0" w:line="240" w:lineRule="auto"/>
        <w:rPr>
          <w:rFonts w:ascii="Avenir Next" w:hAnsi="Avenir Next"/>
          <w:color w:val="808080" w:themeColor="background1" w:themeShade="80"/>
        </w:rPr>
      </w:pPr>
    </w:p>
    <w:p w14:paraId="3EED08B2" w14:textId="18F2126F" w:rsidR="008D1DC9" w:rsidRDefault="002F46E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Equivalent relief would require the </w:t>
      </w:r>
      <w:r w:rsidR="00DD3661">
        <w:rPr>
          <w:rFonts w:ascii="Avenir Next" w:hAnsi="Avenir Next"/>
          <w:color w:val="808080" w:themeColor="background1" w:themeShade="80"/>
        </w:rPr>
        <w:t>debtor</w:t>
      </w:r>
      <w:r>
        <w:rPr>
          <w:rFonts w:ascii="Avenir Next" w:hAnsi="Avenir Next"/>
          <w:color w:val="808080" w:themeColor="background1" w:themeShade="80"/>
        </w:rPr>
        <w:t xml:space="preserve"> commencing proceedings under chapter 7 or chapter 11</w:t>
      </w:r>
      <w:r w:rsidR="00DD3661">
        <w:rPr>
          <w:rFonts w:ascii="Avenir Next" w:hAnsi="Avenir Next"/>
          <w:color w:val="808080" w:themeColor="background1" w:themeShade="80"/>
        </w:rPr>
        <w:t xml:space="preserve"> prior to involvement of the foreign representative. </w:t>
      </w:r>
    </w:p>
    <w:p w14:paraId="0B0B2FB4" w14:textId="77777777" w:rsidR="008D1DC9" w:rsidRDefault="008D1DC9" w:rsidP="001D3BAA">
      <w:pPr>
        <w:pStyle w:val="AODocTxt"/>
        <w:spacing w:before="0" w:line="240" w:lineRule="auto"/>
        <w:rPr>
          <w:rFonts w:ascii="Avenir Next" w:hAnsi="Avenir Next"/>
          <w:color w:val="808080" w:themeColor="background1" w:themeShade="80"/>
        </w:rPr>
      </w:pPr>
    </w:p>
    <w:p w14:paraId="563007FE" w14:textId="03FCD235" w:rsidR="001D3BAA" w:rsidRPr="002B5D64" w:rsidRDefault="00DD366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Alternatively, the foreign representative can commence plenary proceedings under the Bankruptcy Code after </w:t>
      </w:r>
      <w:proofErr w:type="spellStart"/>
      <w:r>
        <w:rPr>
          <w:rFonts w:ascii="Avenir Next" w:hAnsi="Avenir Next"/>
          <w:color w:val="808080" w:themeColor="background1" w:themeShade="80"/>
        </w:rPr>
        <w:t>ch</w:t>
      </w:r>
      <w:proofErr w:type="spellEnd"/>
      <w:r>
        <w:rPr>
          <w:rFonts w:ascii="Avenir Next" w:hAnsi="Avenir Next"/>
          <w:color w:val="808080" w:themeColor="background1" w:themeShade="80"/>
        </w:rPr>
        <w:t xml:space="preserve"> 15 recognition. However, in such circumstances, the scope will be limited to the debtor’s US assets and will be coordinated with the foreign proceeding.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46B8EF54" w14:textId="77777777" w:rsidR="00DD3661" w:rsidRDefault="00DD366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One should review:</w:t>
      </w:r>
    </w:p>
    <w:p w14:paraId="374837CB" w14:textId="45F99AF2" w:rsidR="00DD3661" w:rsidRDefault="00DD3661" w:rsidP="00DD3661">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sidR="00784A08">
        <w:rPr>
          <w:rFonts w:ascii="Avenir Next" w:hAnsi="Avenir Next"/>
          <w:color w:val="808080" w:themeColor="background1" w:themeShade="80"/>
        </w:rPr>
        <w:t xml:space="preserve">Federal rules of </w:t>
      </w:r>
      <w:r>
        <w:rPr>
          <w:rFonts w:ascii="Avenir Next" w:hAnsi="Avenir Next"/>
          <w:color w:val="808080" w:themeColor="background1" w:themeShade="80"/>
        </w:rPr>
        <w:t>Bankr</w:t>
      </w:r>
      <w:r w:rsidR="00B17673">
        <w:rPr>
          <w:rFonts w:ascii="Avenir Next" w:hAnsi="Avenir Next"/>
          <w:color w:val="808080" w:themeColor="background1" w:themeShade="80"/>
        </w:rPr>
        <w:t>uptcy Rules</w:t>
      </w:r>
      <w:r w:rsidR="008C7564">
        <w:rPr>
          <w:rFonts w:ascii="Avenir Next" w:hAnsi="Avenir Next"/>
          <w:color w:val="808080" w:themeColor="background1" w:themeShade="80"/>
        </w:rPr>
        <w:t xml:space="preserve"> – these govern the bankruptcy proceedings;</w:t>
      </w:r>
    </w:p>
    <w:p w14:paraId="207F9EF5" w14:textId="0B4C0E43" w:rsidR="00DD3661" w:rsidRDefault="00DD3661" w:rsidP="00DD3661">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Fe</w:t>
      </w:r>
      <w:r w:rsidR="008C7564">
        <w:rPr>
          <w:rFonts w:ascii="Avenir Next" w:hAnsi="Avenir Next"/>
          <w:color w:val="808080" w:themeColor="background1" w:themeShade="80"/>
        </w:rPr>
        <w:t>deral rules of Civil Procedure – these relate to litigation of disputed issues in contested matters</w:t>
      </w:r>
      <w:r w:rsidR="00784A08">
        <w:rPr>
          <w:rFonts w:ascii="Avenir Next" w:hAnsi="Avenir Next"/>
          <w:color w:val="808080" w:themeColor="background1" w:themeShade="80"/>
        </w:rPr>
        <w:t>;</w:t>
      </w:r>
    </w:p>
    <w:p w14:paraId="0D87297C" w14:textId="0BCCE626" w:rsidR="00DD3661" w:rsidRDefault="00784A08" w:rsidP="00DD3661">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local rules of procedure of the relevant B</w:t>
      </w:r>
      <w:r w:rsidR="00DD3661">
        <w:rPr>
          <w:rFonts w:ascii="Avenir Next" w:hAnsi="Avenir Next"/>
          <w:color w:val="808080" w:themeColor="background1" w:themeShade="80"/>
        </w:rPr>
        <w:t>ankr</w:t>
      </w:r>
      <w:r>
        <w:rPr>
          <w:rFonts w:ascii="Avenir Next" w:hAnsi="Avenir Next"/>
          <w:color w:val="808080" w:themeColor="background1" w:themeShade="80"/>
        </w:rPr>
        <w:t>uptcy C</w:t>
      </w:r>
      <w:r w:rsidR="00DD3661">
        <w:rPr>
          <w:rFonts w:ascii="Avenir Next" w:hAnsi="Avenir Next"/>
          <w:color w:val="808080" w:themeColor="background1" w:themeShade="80"/>
        </w:rPr>
        <w:t>ourt</w:t>
      </w:r>
      <w:r w:rsidR="00B17673">
        <w:rPr>
          <w:rFonts w:ascii="Avenir Next" w:hAnsi="Avenir Next"/>
          <w:color w:val="808080" w:themeColor="background1" w:themeShade="80"/>
        </w:rPr>
        <w:t>,</w:t>
      </w:r>
      <w:r w:rsidR="00DD3661">
        <w:rPr>
          <w:rFonts w:ascii="Avenir Next" w:hAnsi="Avenir Next"/>
          <w:color w:val="808080" w:themeColor="background1" w:themeShade="80"/>
        </w:rPr>
        <w:t xml:space="preserve"> and </w:t>
      </w:r>
    </w:p>
    <w:p w14:paraId="671A424A" w14:textId="15ECF7A2" w:rsidR="001D3BAA" w:rsidRPr="002B5D64" w:rsidRDefault="00DD3661" w:rsidP="00DD3661">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sidR="00784A08">
        <w:rPr>
          <w:rFonts w:ascii="Avenir Next" w:hAnsi="Avenir Next"/>
          <w:color w:val="808080" w:themeColor="background1" w:themeShade="80"/>
        </w:rPr>
        <w:t>relevant Judge’s personal practices – these are available on the website of the relevant Bankruptcy Court.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3426C231" w:rsidR="001D3BAA" w:rsidRDefault="00B1767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Directors of Delaware corporations (which is the pre-eminent US jurisdiction for corporate law) owe a fiduciary duty of loyalty to the corporation’s best interest and a duty of care in educated decision-making, but are protected from liability for errors of judgment by the business judgment rule. Under this rule, the board of directors is presumed (rebuttable) to have acted in good faith on the basis of reasonable information. This can be rebutted only if the majority of the board in fact were not reasonably informed or did not honestly believe that their decision was in the corporations </w:t>
      </w:r>
      <w:r w:rsidR="00EF5653">
        <w:rPr>
          <w:rFonts w:ascii="Avenir Next" w:hAnsi="Avenir Next"/>
          <w:color w:val="808080" w:themeColor="background1" w:themeShade="80"/>
        </w:rPr>
        <w:t xml:space="preserve">best interest or were not acting in good faith. </w:t>
      </w:r>
    </w:p>
    <w:p w14:paraId="4DF49084" w14:textId="0772E2FA" w:rsidR="00EF5653" w:rsidRDefault="00EF5653" w:rsidP="001D3BAA">
      <w:pPr>
        <w:pStyle w:val="AODocTxt"/>
        <w:spacing w:before="0" w:line="240" w:lineRule="auto"/>
        <w:rPr>
          <w:rFonts w:ascii="Avenir Next" w:hAnsi="Avenir Next"/>
          <w:color w:val="808080" w:themeColor="background1" w:themeShade="80"/>
        </w:rPr>
      </w:pPr>
    </w:p>
    <w:p w14:paraId="1846C3F3" w14:textId="13BFF1D4" w:rsidR="00EF5653" w:rsidRPr="002B5D64" w:rsidRDefault="00EF565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Directors owe their duties to the corporation and its shareholders, not to creditors. This does not change in circumstances where a corporation is potentially insolvent.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43FE1421" w14:textId="317759B2" w:rsidR="00965016" w:rsidRDefault="009650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iWork files for either chapter 11 or chapter 7, the lessor of office space may</w:t>
      </w:r>
      <w:r w:rsidR="00784A08">
        <w:rPr>
          <w:rFonts w:ascii="Avenir Next" w:hAnsi="Avenir Next"/>
          <w:color w:val="808080" w:themeColor="background1" w:themeShade="80"/>
        </w:rPr>
        <w:t xml:space="preserve"> have the following protections under the Bankruptcy Code:</w:t>
      </w:r>
    </w:p>
    <w:p w14:paraId="1B2826BF" w14:textId="77777777" w:rsidR="00965016" w:rsidRDefault="00965016" w:rsidP="001D3BAA">
      <w:pPr>
        <w:pStyle w:val="AODocTxt"/>
        <w:spacing w:before="0" w:line="240" w:lineRule="auto"/>
        <w:rPr>
          <w:rFonts w:ascii="Avenir Next" w:hAnsi="Avenir Next"/>
          <w:color w:val="808080" w:themeColor="background1" w:themeShade="80"/>
        </w:rPr>
      </w:pPr>
    </w:p>
    <w:p w14:paraId="6AE8005A" w14:textId="188FB1AB" w:rsidR="00965016" w:rsidRDefault="00784A08" w:rsidP="0096501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(1) </w:t>
      </w:r>
      <w:r w:rsidR="00505A44">
        <w:rPr>
          <w:rFonts w:ascii="Avenir Next" w:hAnsi="Avenir Next"/>
          <w:color w:val="808080" w:themeColor="background1" w:themeShade="80"/>
        </w:rPr>
        <w:t>The r</w:t>
      </w:r>
      <w:r w:rsidR="00965016">
        <w:rPr>
          <w:rFonts w:ascii="Avenir Next" w:hAnsi="Avenir Next"/>
          <w:color w:val="808080" w:themeColor="background1" w:themeShade="80"/>
        </w:rPr>
        <w:t xml:space="preserve">ent on the leased office spaces should continue to be payable if iWork continues to occupy these as an administrative expense and thereby as a priority of payment. This may depend on circumstances, as held in the In re Pier 1 Imports Inc judgment </w:t>
      </w:r>
    </w:p>
    <w:p w14:paraId="18928009" w14:textId="77777777" w:rsidR="00965016" w:rsidRDefault="00965016" w:rsidP="00965016">
      <w:pPr>
        <w:pStyle w:val="AODocTxt"/>
        <w:spacing w:before="0" w:line="240" w:lineRule="auto"/>
        <w:rPr>
          <w:rFonts w:ascii="Avenir Next" w:hAnsi="Avenir Next"/>
          <w:color w:val="808080" w:themeColor="background1" w:themeShade="80"/>
        </w:rPr>
      </w:pPr>
    </w:p>
    <w:p w14:paraId="61B0FDC9" w14:textId="376C87E3" w:rsidR="00965016" w:rsidRDefault="00505A44" w:rsidP="0096501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(2)</w:t>
      </w:r>
      <w:r w:rsidR="00965016">
        <w:rPr>
          <w:rFonts w:ascii="Avenir Next" w:hAnsi="Avenir Next"/>
          <w:color w:val="808080" w:themeColor="background1" w:themeShade="80"/>
        </w:rPr>
        <w:t xml:space="preserve"> If</w:t>
      </w:r>
      <w:r>
        <w:rPr>
          <w:rFonts w:ascii="Avenir Next" w:hAnsi="Avenir Next"/>
          <w:color w:val="808080" w:themeColor="background1" w:themeShade="80"/>
        </w:rPr>
        <w:t xml:space="preserve"> the leases are deemed executory contracts, the lessor may still be protected from iWork rejecting the leases if</w:t>
      </w:r>
      <w:r w:rsidR="00965016">
        <w:rPr>
          <w:rFonts w:ascii="Avenir Next" w:hAnsi="Avenir Next"/>
          <w:color w:val="808080" w:themeColor="background1" w:themeShade="80"/>
        </w:rPr>
        <w:t xml:space="preserve"> iWork continues to o</w:t>
      </w:r>
      <w:r>
        <w:rPr>
          <w:rFonts w:ascii="Avenir Next" w:hAnsi="Avenir Next"/>
          <w:color w:val="808080" w:themeColor="background1" w:themeShade="80"/>
        </w:rPr>
        <w:t>ccupy the lessors’ office space. In such circumstances,</w:t>
      </w:r>
      <w:r w:rsidR="00965016">
        <w:rPr>
          <w:rFonts w:ascii="Avenir Next" w:hAnsi="Avenir Next"/>
          <w:color w:val="808080" w:themeColor="background1" w:themeShade="80"/>
        </w:rPr>
        <w:t xml:space="preserve"> it may be d</w:t>
      </w:r>
      <w:r>
        <w:rPr>
          <w:rFonts w:ascii="Avenir Next" w:hAnsi="Avenir Next"/>
          <w:color w:val="808080" w:themeColor="background1" w:themeShade="80"/>
        </w:rPr>
        <w:t>eemed that iWork</w:t>
      </w:r>
      <w:r w:rsidR="00965016">
        <w:rPr>
          <w:rFonts w:ascii="Avenir Next" w:hAnsi="Avenir Next"/>
          <w:color w:val="808080" w:themeColor="background1" w:themeShade="80"/>
        </w:rPr>
        <w:t xml:space="preserve"> </w:t>
      </w:r>
      <w:r>
        <w:rPr>
          <w:rFonts w:ascii="Avenir Next" w:hAnsi="Avenir Next"/>
          <w:color w:val="808080" w:themeColor="background1" w:themeShade="80"/>
        </w:rPr>
        <w:t>has</w:t>
      </w:r>
      <w:r w:rsidR="00965016">
        <w:rPr>
          <w:rFonts w:ascii="Avenir Next" w:hAnsi="Avenir Next"/>
          <w:color w:val="808080" w:themeColor="background1" w:themeShade="80"/>
        </w:rPr>
        <w:t xml:space="preserve"> assumed the contract under the proceedings, even if it later purports to reject the lease.</w:t>
      </w:r>
    </w:p>
    <w:p w14:paraId="12CDF9B7" w14:textId="77777777" w:rsidR="00965016" w:rsidRDefault="00965016" w:rsidP="00965016">
      <w:pPr>
        <w:pStyle w:val="AODocTxt"/>
        <w:spacing w:before="0" w:line="240" w:lineRule="auto"/>
        <w:rPr>
          <w:rFonts w:ascii="Avenir Next" w:hAnsi="Avenir Next"/>
          <w:color w:val="808080" w:themeColor="background1" w:themeShade="80"/>
        </w:rPr>
      </w:pPr>
    </w:p>
    <w:p w14:paraId="0ED9A1EA" w14:textId="6C52DD34" w:rsidR="00965016" w:rsidRDefault="00505A4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(3) </w:t>
      </w:r>
      <w:r w:rsidR="00965016">
        <w:rPr>
          <w:rFonts w:ascii="Avenir Next" w:hAnsi="Avenir Next"/>
          <w:color w:val="808080" w:themeColor="background1" w:themeShade="80"/>
        </w:rPr>
        <w:t>The automatic stay may be lifted for the office space if the lessors</w:t>
      </w:r>
      <w:r>
        <w:rPr>
          <w:rFonts w:ascii="Avenir Next" w:hAnsi="Avenir Next"/>
          <w:color w:val="808080" w:themeColor="background1" w:themeShade="80"/>
        </w:rPr>
        <w:t xml:space="preserve"> requests this. In such circumstance, the lessor would seek to argue that it has faced a lack of adequate </w:t>
      </w:r>
      <w:proofErr w:type="spellStart"/>
      <w:r>
        <w:rPr>
          <w:rFonts w:ascii="Avenir Next" w:hAnsi="Avenir Next"/>
          <w:color w:val="808080" w:themeColor="background1" w:themeShade="80"/>
        </w:rPr>
        <w:t>protectoin</w:t>
      </w:r>
      <w:proofErr w:type="spellEnd"/>
      <w:r>
        <w:rPr>
          <w:rFonts w:ascii="Avenir Next" w:hAnsi="Avenir Next"/>
          <w:color w:val="808080" w:themeColor="background1" w:themeShade="80"/>
        </w:rPr>
        <w:t xml:space="preserve"> of its interest in the property and would need to </w:t>
      </w:r>
      <w:r w:rsidR="00965016">
        <w:rPr>
          <w:rFonts w:ascii="Avenir Next" w:hAnsi="Avenir Next"/>
          <w:color w:val="808080" w:themeColor="background1" w:themeShade="80"/>
        </w:rPr>
        <w:t>prove that the value of the office spaces may decline during the course of proceedings</w:t>
      </w:r>
      <w:r w:rsidR="0075757F">
        <w:rPr>
          <w:rFonts w:ascii="Avenir Next" w:hAnsi="Avenir Next"/>
          <w:color w:val="808080" w:themeColor="background1" w:themeShade="80"/>
        </w:rPr>
        <w:t xml:space="preserve">, </w:t>
      </w:r>
      <w:r w:rsidR="00965016">
        <w:rPr>
          <w:rFonts w:ascii="Avenir Next" w:hAnsi="Avenir Next"/>
          <w:color w:val="808080" w:themeColor="background1" w:themeShade="80"/>
        </w:rPr>
        <w:t>result</w:t>
      </w:r>
      <w:r w:rsidR="0075757F">
        <w:rPr>
          <w:rFonts w:ascii="Avenir Next" w:hAnsi="Avenir Next"/>
          <w:color w:val="808080" w:themeColor="background1" w:themeShade="80"/>
        </w:rPr>
        <w:t>ing</w:t>
      </w:r>
      <w:r w:rsidR="00965016">
        <w:rPr>
          <w:rFonts w:ascii="Avenir Next" w:hAnsi="Avenir Next"/>
          <w:color w:val="808080" w:themeColor="background1" w:themeShade="80"/>
        </w:rPr>
        <w:t xml:space="preserve"> in the lessor making less than </w:t>
      </w:r>
      <w:r w:rsidR="0075757F">
        <w:rPr>
          <w:rFonts w:ascii="Avenir Next" w:hAnsi="Avenir Next"/>
          <w:color w:val="808080" w:themeColor="background1" w:themeShade="80"/>
        </w:rPr>
        <w:t>full recovery.</w:t>
      </w:r>
    </w:p>
    <w:p w14:paraId="41FD142B" w14:textId="0873263E" w:rsidR="0075757F" w:rsidRDefault="0075757F" w:rsidP="001D3BAA">
      <w:pPr>
        <w:pStyle w:val="AODocTxt"/>
        <w:spacing w:before="0" w:line="240" w:lineRule="auto"/>
        <w:rPr>
          <w:rFonts w:ascii="Avenir Next" w:hAnsi="Avenir Next"/>
          <w:color w:val="808080" w:themeColor="background1" w:themeShade="80"/>
        </w:rPr>
      </w:pPr>
    </w:p>
    <w:p w14:paraId="448ED178" w14:textId="7B9CC04D" w:rsidR="0075757F" w:rsidRDefault="0075757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(4) iWork may also be evicted from the office spaces (as non-residential property) if the lease expires. This would be permitted as an exception to the </w:t>
      </w:r>
      <w:proofErr w:type="spellStart"/>
      <w:r>
        <w:rPr>
          <w:rFonts w:ascii="Avenir Next" w:hAnsi="Avenir Next"/>
          <w:color w:val="808080" w:themeColor="background1" w:themeShade="80"/>
        </w:rPr>
        <w:t>auatomatic</w:t>
      </w:r>
      <w:proofErr w:type="spellEnd"/>
      <w:r>
        <w:rPr>
          <w:rFonts w:ascii="Avenir Next" w:hAnsi="Avenir Next"/>
          <w:color w:val="808080" w:themeColor="background1" w:themeShade="80"/>
        </w:rPr>
        <w:t xml:space="preserve"> stay.</w:t>
      </w:r>
    </w:p>
    <w:p w14:paraId="4A6D277D" w14:textId="77777777" w:rsidR="00965016" w:rsidRPr="002B5D64" w:rsidRDefault="00965016" w:rsidP="001D3BAA">
      <w:pPr>
        <w:pStyle w:val="AODocTxt"/>
        <w:spacing w:before="0" w:line="240" w:lineRule="auto"/>
        <w:rPr>
          <w:rFonts w:ascii="Avenir Next" w:hAnsi="Avenir Next"/>
          <w:color w:val="808080" w:themeColor="background1" w:themeShade="80"/>
        </w:rPr>
      </w:pP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w:t>
      </w:r>
      <w:proofErr w:type="spellStart"/>
      <w:r w:rsidRPr="005D4357">
        <w:rPr>
          <w:rFonts w:ascii="Avenir Next" w:hAnsi="Avenir Next"/>
        </w:rPr>
        <w:t>Luxe’s</w:t>
      </w:r>
      <w:proofErr w:type="spellEnd"/>
      <w:r w:rsidRPr="005D4357">
        <w:rPr>
          <w:rFonts w:ascii="Avenir Next" w:hAnsi="Avenir Next"/>
        </w:rPr>
        <w:t xml:space="preserve">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485D4FED" w14:textId="2C3F8F3D" w:rsidR="001D3BAA" w:rsidRDefault="0075757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In order to be </w:t>
      </w:r>
      <w:proofErr w:type="spellStart"/>
      <w:r>
        <w:rPr>
          <w:rFonts w:ascii="Avenir Next" w:hAnsi="Avenir Next"/>
          <w:color w:val="808080" w:themeColor="background1" w:themeShade="80"/>
        </w:rPr>
        <w:t>recognised</w:t>
      </w:r>
      <w:proofErr w:type="spellEnd"/>
      <w:r>
        <w:rPr>
          <w:rFonts w:ascii="Avenir Next" w:hAnsi="Avenir Next"/>
          <w:color w:val="808080" w:themeColor="background1" w:themeShade="80"/>
        </w:rPr>
        <w:t xml:space="preserve"> as</w:t>
      </w:r>
      <w:r w:rsidR="00965016">
        <w:rPr>
          <w:rFonts w:ascii="Avenir Next" w:hAnsi="Avenir Next"/>
          <w:color w:val="808080" w:themeColor="background1" w:themeShade="80"/>
        </w:rPr>
        <w:t xml:space="preserve"> either a foreign main or foreign </w:t>
      </w:r>
      <w:r>
        <w:rPr>
          <w:rFonts w:ascii="Avenir Next" w:hAnsi="Avenir Next"/>
          <w:color w:val="808080" w:themeColor="background1" w:themeShade="80"/>
        </w:rPr>
        <w:t>non-main proceedings under chapter 15, the foreign rep</w:t>
      </w:r>
      <w:r w:rsidR="00387B3E">
        <w:rPr>
          <w:rFonts w:ascii="Avenir Next" w:hAnsi="Avenir Next"/>
          <w:color w:val="808080" w:themeColor="background1" w:themeShade="80"/>
        </w:rPr>
        <w:t>resentative must establish that:</w:t>
      </w:r>
    </w:p>
    <w:p w14:paraId="3518C547" w14:textId="77897DD4" w:rsidR="00965016" w:rsidRDefault="00387B3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(1) </w:t>
      </w:r>
      <w:r w:rsidR="00965016">
        <w:rPr>
          <w:rFonts w:ascii="Avenir Next" w:hAnsi="Avenir Next"/>
          <w:color w:val="808080" w:themeColor="background1" w:themeShade="80"/>
        </w:rPr>
        <w:t>it is empo</w:t>
      </w:r>
      <w:r>
        <w:rPr>
          <w:rFonts w:ascii="Avenir Next" w:hAnsi="Avenir Next"/>
          <w:color w:val="808080" w:themeColor="background1" w:themeShade="80"/>
        </w:rPr>
        <w:t xml:space="preserve">wered to act by the proceeding. In this case, </w:t>
      </w:r>
      <w:r w:rsidR="00965016">
        <w:rPr>
          <w:rFonts w:ascii="Avenir Next" w:hAnsi="Avenir Next"/>
          <w:color w:val="808080" w:themeColor="background1" w:themeShade="80"/>
        </w:rPr>
        <w:t xml:space="preserve">the foreign representative of Skin Luxe would need to show that it is empowered to act </w:t>
      </w:r>
      <w:r>
        <w:rPr>
          <w:rFonts w:ascii="Avenir Next" w:hAnsi="Avenir Next"/>
          <w:color w:val="808080" w:themeColor="background1" w:themeShade="80"/>
        </w:rPr>
        <w:t xml:space="preserve">by the English Court </w:t>
      </w:r>
      <w:r w:rsidR="00965016">
        <w:rPr>
          <w:rFonts w:ascii="Avenir Next" w:hAnsi="Avenir Next"/>
          <w:color w:val="808080" w:themeColor="background1" w:themeShade="80"/>
        </w:rPr>
        <w:t>following sanctioning of the Scheme;</w:t>
      </w:r>
    </w:p>
    <w:p w14:paraId="177A28AB" w14:textId="6A86C789" w:rsidR="00387B3E" w:rsidRDefault="00387B3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(2) the </w:t>
      </w:r>
      <w:r w:rsidR="00965016">
        <w:rPr>
          <w:rFonts w:ascii="Avenir Next" w:hAnsi="Avenir Next"/>
          <w:color w:val="808080" w:themeColor="background1" w:themeShade="80"/>
        </w:rPr>
        <w:t xml:space="preserve">scheme of arrangement would fall within the scope of ‘foreign proceedings’ as defined </w:t>
      </w:r>
      <w:r>
        <w:rPr>
          <w:rFonts w:ascii="Avenir Next" w:hAnsi="Avenir Next"/>
          <w:color w:val="808080" w:themeColor="background1" w:themeShade="80"/>
        </w:rPr>
        <w:t xml:space="preserve">under the Bankruptcy Code, specifically </w:t>
      </w:r>
      <w:r w:rsidR="00965016">
        <w:rPr>
          <w:rFonts w:ascii="Avenir Next" w:hAnsi="Avenir Next"/>
          <w:color w:val="808080" w:themeColor="background1" w:themeShade="80"/>
        </w:rPr>
        <w:t>as a “</w:t>
      </w:r>
      <w:r w:rsidR="00965016" w:rsidRPr="00387B3E">
        <w:rPr>
          <w:rFonts w:ascii="Avenir Next" w:hAnsi="Avenir Next"/>
          <w:i/>
          <w:color w:val="808080" w:themeColor="background1" w:themeShade="80"/>
        </w:rPr>
        <w:t xml:space="preserve">collective judicial or administrative proceeding in a foreign country…under the law relating to insolvency or adjustment of debt in which proceeding of the asset and affairs of the debtor are subject to control or supervision by a foreign court, for the purpose of </w:t>
      </w:r>
      <w:proofErr w:type="spellStart"/>
      <w:r w:rsidR="00965016" w:rsidRPr="00387B3E">
        <w:rPr>
          <w:rFonts w:ascii="Avenir Next" w:hAnsi="Avenir Next"/>
          <w:i/>
          <w:color w:val="808080" w:themeColor="background1" w:themeShade="80"/>
        </w:rPr>
        <w:t>reorganisation</w:t>
      </w:r>
      <w:proofErr w:type="spellEnd"/>
      <w:r w:rsidR="00965016" w:rsidRPr="00387B3E">
        <w:rPr>
          <w:rFonts w:ascii="Avenir Next" w:hAnsi="Avenir Next"/>
          <w:i/>
          <w:color w:val="808080" w:themeColor="background1" w:themeShade="80"/>
        </w:rPr>
        <w:t xml:space="preserve"> or liquidation</w:t>
      </w:r>
      <w:r>
        <w:rPr>
          <w:rFonts w:ascii="Avenir Next" w:hAnsi="Avenir Next"/>
          <w:color w:val="808080" w:themeColor="background1" w:themeShade="80"/>
        </w:rPr>
        <w:t>”</w:t>
      </w:r>
      <w:r w:rsidR="00965016">
        <w:rPr>
          <w:rFonts w:ascii="Avenir Next" w:hAnsi="Avenir Next"/>
          <w:color w:val="808080" w:themeColor="background1" w:themeShade="80"/>
        </w:rPr>
        <w:t xml:space="preserve">. </w:t>
      </w:r>
      <w:r>
        <w:rPr>
          <w:rFonts w:ascii="Avenir Next" w:hAnsi="Avenir Next"/>
          <w:color w:val="808080" w:themeColor="background1" w:themeShade="80"/>
        </w:rPr>
        <w:t xml:space="preserve">It is well established that an English scheme of arrangement would meet this criteria, and on the facts, it can be argued that the Scheme is </w:t>
      </w:r>
      <w:r w:rsidR="00965016">
        <w:rPr>
          <w:rFonts w:ascii="Avenir Next" w:hAnsi="Avenir Next"/>
          <w:color w:val="808080" w:themeColor="background1" w:themeShade="80"/>
        </w:rPr>
        <w:t>for the purpose of “adjustment of debt”; and</w:t>
      </w:r>
    </w:p>
    <w:p w14:paraId="1B2B677C" w14:textId="7405EC85" w:rsidR="00965016" w:rsidRDefault="00387B3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(3) </w:t>
      </w:r>
      <w:r w:rsidR="00965016">
        <w:rPr>
          <w:rFonts w:ascii="Avenir Next" w:hAnsi="Avenir Next"/>
          <w:color w:val="808080" w:themeColor="background1" w:themeShade="80"/>
        </w:rPr>
        <w:t>the proceedings would not need to be manifestly contrary to US public policy. In practice, this would be rarely applicable, and unlikely to be relevant in this scenarios, based on the facts.</w:t>
      </w:r>
    </w:p>
    <w:p w14:paraId="3A952F17" w14:textId="31F8F3E2" w:rsidR="00965016" w:rsidRDefault="00965016" w:rsidP="001D3BAA">
      <w:pPr>
        <w:pStyle w:val="AODocTxt"/>
        <w:spacing w:before="0" w:line="240" w:lineRule="auto"/>
        <w:rPr>
          <w:rFonts w:ascii="Avenir Next" w:hAnsi="Avenir Next"/>
          <w:color w:val="808080" w:themeColor="background1" w:themeShade="80"/>
        </w:rPr>
      </w:pPr>
    </w:p>
    <w:p w14:paraId="36B0FE58" w14:textId="6EA18F09" w:rsidR="00965016" w:rsidRDefault="009650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On the basis </w:t>
      </w:r>
      <w:r w:rsidR="00387B3E">
        <w:rPr>
          <w:rFonts w:ascii="Avenir Next" w:hAnsi="Avenir Next"/>
          <w:color w:val="808080" w:themeColor="background1" w:themeShade="80"/>
        </w:rPr>
        <w:t>of the above, it is</w:t>
      </w:r>
      <w:r>
        <w:rPr>
          <w:rFonts w:ascii="Avenir Next" w:hAnsi="Avenir Next"/>
          <w:color w:val="808080" w:themeColor="background1" w:themeShade="80"/>
        </w:rPr>
        <w:t xml:space="preserve"> likely that SL’s scheme would be granted recognition under chapter 15.</w:t>
      </w:r>
    </w:p>
    <w:p w14:paraId="6B7A8625" w14:textId="1C674F52" w:rsidR="00965016" w:rsidRDefault="00965016" w:rsidP="001D3BAA">
      <w:pPr>
        <w:pStyle w:val="AODocTxt"/>
        <w:spacing w:before="0" w:line="240" w:lineRule="auto"/>
        <w:rPr>
          <w:rFonts w:ascii="Avenir Next" w:hAnsi="Avenir Next"/>
          <w:color w:val="808080" w:themeColor="background1" w:themeShade="80"/>
        </w:rPr>
      </w:pPr>
    </w:p>
    <w:p w14:paraId="06FD7C47" w14:textId="05144CEE" w:rsidR="00965016" w:rsidRDefault="009650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next question would be whether this would be construed as a foreign main proceeding (receive among other things, automatic recognition) or a foreign non-main proc</w:t>
      </w:r>
      <w:r w:rsidR="00387B3E">
        <w:rPr>
          <w:rFonts w:ascii="Avenir Next" w:hAnsi="Avenir Next"/>
          <w:color w:val="808080" w:themeColor="background1" w:themeShade="80"/>
        </w:rPr>
        <w:t xml:space="preserve">eeding. The determination would be based </w:t>
      </w:r>
      <w:r>
        <w:rPr>
          <w:rFonts w:ascii="Avenir Next" w:hAnsi="Avenir Next"/>
          <w:color w:val="808080" w:themeColor="background1" w:themeShade="80"/>
        </w:rPr>
        <w:t xml:space="preserve">on whether it can be established that Skin </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is in England. </w:t>
      </w:r>
    </w:p>
    <w:p w14:paraId="619F5E91" w14:textId="77777777" w:rsidR="00965016" w:rsidRDefault="00965016" w:rsidP="001D3BAA">
      <w:pPr>
        <w:pStyle w:val="AODocTxt"/>
        <w:spacing w:before="0" w:line="240" w:lineRule="auto"/>
        <w:rPr>
          <w:rFonts w:ascii="Avenir Next" w:hAnsi="Avenir Next"/>
          <w:color w:val="808080" w:themeColor="background1" w:themeShade="80"/>
        </w:rPr>
      </w:pPr>
    </w:p>
    <w:p w14:paraId="21CEC34F" w14:textId="3AFF9CB8" w:rsidR="00965016" w:rsidRDefault="009650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debtor’s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is presumed to be its place of incorporation (in this case France), but this is rebuttable. There would need to be further evidence provided including where Skin Luxe is headquartered, where management is located, where SL’s primary assets are located and location of majority of SL’s creditors. Given the bonds are English law governed and SL operates in</w:t>
      </w:r>
      <w:r w:rsidR="00E52E60">
        <w:rPr>
          <w:rFonts w:ascii="Avenir Next" w:hAnsi="Avenir Next"/>
          <w:color w:val="808080" w:themeColor="background1" w:themeShade="80"/>
        </w:rPr>
        <w:t xml:space="preserve"> (and possibly has assets in)</w:t>
      </w:r>
      <w:r>
        <w:rPr>
          <w:rFonts w:ascii="Avenir Next" w:hAnsi="Avenir Next"/>
          <w:color w:val="808080" w:themeColor="background1" w:themeShade="80"/>
        </w:rPr>
        <w:t>, among other cities, London, there may be an a</w:t>
      </w:r>
      <w:r w:rsidR="00E52E60">
        <w:rPr>
          <w:rFonts w:ascii="Avenir Next" w:hAnsi="Avenir Next"/>
          <w:color w:val="808080" w:themeColor="background1" w:themeShade="80"/>
        </w:rPr>
        <w:t xml:space="preserve">rgument that </w:t>
      </w:r>
      <w:proofErr w:type="spellStart"/>
      <w:r w:rsidR="00E52E60">
        <w:rPr>
          <w:rFonts w:ascii="Avenir Next" w:hAnsi="Avenir Next"/>
          <w:color w:val="808080" w:themeColor="background1" w:themeShade="80"/>
        </w:rPr>
        <w:t>COMI</w:t>
      </w:r>
      <w:proofErr w:type="spellEnd"/>
      <w:r w:rsidR="00E52E60">
        <w:rPr>
          <w:rFonts w:ascii="Avenir Next" w:hAnsi="Avenir Next"/>
          <w:color w:val="808080" w:themeColor="background1" w:themeShade="80"/>
        </w:rPr>
        <w:t xml:space="preserve"> is in England. If that can be proven, </w:t>
      </w:r>
      <w:r>
        <w:rPr>
          <w:rFonts w:ascii="Avenir Next" w:hAnsi="Avenir Next"/>
          <w:color w:val="808080" w:themeColor="background1" w:themeShade="80"/>
        </w:rPr>
        <w:t xml:space="preserve">SL’s scheme would be granted recognition as a foreign main proceeding. </w:t>
      </w:r>
    </w:p>
    <w:p w14:paraId="5CF71060" w14:textId="5ED13820" w:rsidR="00965016" w:rsidRDefault="00965016" w:rsidP="001D3BAA">
      <w:pPr>
        <w:pStyle w:val="AODocTxt"/>
        <w:spacing w:before="0" w:line="240" w:lineRule="auto"/>
        <w:rPr>
          <w:rFonts w:ascii="Avenir Next" w:hAnsi="Avenir Next"/>
          <w:color w:val="808080" w:themeColor="background1" w:themeShade="80"/>
        </w:rPr>
      </w:pPr>
    </w:p>
    <w:p w14:paraId="29D0FD8C" w14:textId="6A73D5C4" w:rsidR="00965016" w:rsidRPr="002B5D64" w:rsidRDefault="009650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cannot be established in the UK, then recognition may still be granted as a foreign non-main proceeding but the scope of reliefs thereunder would be more limited. </w:t>
      </w:r>
      <w:r w:rsidR="00E52E60">
        <w:rPr>
          <w:rFonts w:ascii="Avenir Next" w:hAnsi="Avenir Next"/>
          <w:color w:val="808080" w:themeColor="background1" w:themeShade="80"/>
        </w:rPr>
        <w:t>If automatic relief will be required (e.g. there are opposing creditors in the US), the foreign representative may seek to take steps to shift the principal place of business of the debtor to England.</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29D3F23E" w:rsidR="001D3BAA" w:rsidRDefault="009650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DOJ investigation – if Speculation Inc (SI) was successfully granted a chapter 11 proceeding,</w:t>
      </w:r>
      <w:r w:rsidR="003B77F1">
        <w:rPr>
          <w:rFonts w:ascii="Avenir Next" w:hAnsi="Avenir Next"/>
          <w:color w:val="808080" w:themeColor="background1" w:themeShade="80"/>
        </w:rPr>
        <w:t xml:space="preserve"> an automatic stay would be enforceable from the date of the petition. However, the DOJ investigation (being a regulatory investigation) would likely qualify as</w:t>
      </w:r>
      <w:r>
        <w:rPr>
          <w:rFonts w:ascii="Avenir Next" w:hAnsi="Avenir Next"/>
          <w:color w:val="808080" w:themeColor="background1" w:themeShade="80"/>
        </w:rPr>
        <w:t xml:space="preserve"> a statutory exception</w:t>
      </w:r>
      <w:r w:rsidR="003B77F1">
        <w:rPr>
          <w:rFonts w:ascii="Avenir Next" w:hAnsi="Avenir Next"/>
          <w:color w:val="808080" w:themeColor="background1" w:themeShade="80"/>
        </w:rPr>
        <w:t xml:space="preserve"> to the automatic stay</w:t>
      </w:r>
      <w:r>
        <w:rPr>
          <w:rFonts w:ascii="Avenir Next" w:hAnsi="Avenir Next"/>
          <w:color w:val="808080" w:themeColor="background1" w:themeShade="80"/>
        </w:rPr>
        <w:t xml:space="preserve">. As such, </w:t>
      </w:r>
      <w:r w:rsidR="003B77F1">
        <w:rPr>
          <w:rFonts w:ascii="Avenir Next" w:hAnsi="Avenir Next"/>
          <w:color w:val="808080" w:themeColor="background1" w:themeShade="80"/>
        </w:rPr>
        <w:t>the chapter 11 proceedings would have no effect on the DOJ investigation</w:t>
      </w:r>
      <w:r>
        <w:rPr>
          <w:rFonts w:ascii="Avenir Next" w:hAnsi="Avenir Next"/>
          <w:color w:val="808080" w:themeColor="background1" w:themeShade="80"/>
        </w:rPr>
        <w:t>.</w:t>
      </w:r>
    </w:p>
    <w:p w14:paraId="0A2B472B" w14:textId="0B4F9331" w:rsidR="00965016" w:rsidRDefault="00965016" w:rsidP="001D3BAA">
      <w:pPr>
        <w:pStyle w:val="AODocTxt"/>
        <w:spacing w:before="0" w:line="240" w:lineRule="auto"/>
        <w:rPr>
          <w:rFonts w:ascii="Avenir Next" w:hAnsi="Avenir Next"/>
          <w:color w:val="808080" w:themeColor="background1" w:themeShade="80"/>
        </w:rPr>
      </w:pPr>
    </w:p>
    <w:p w14:paraId="06CE6C70" w14:textId="499CFBFB" w:rsidR="00965016" w:rsidRDefault="009650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(ii) </w:t>
      </w:r>
      <w:r w:rsidR="003B77F1">
        <w:rPr>
          <w:rFonts w:ascii="Avenir Next" w:hAnsi="Avenir Next"/>
          <w:color w:val="808080" w:themeColor="background1" w:themeShade="80"/>
        </w:rPr>
        <w:t>T</w:t>
      </w:r>
      <w:r>
        <w:rPr>
          <w:rFonts w:ascii="Avenir Next" w:hAnsi="Avenir Next"/>
          <w:color w:val="808080" w:themeColor="background1" w:themeShade="80"/>
        </w:rPr>
        <w:t xml:space="preserve">he Margin Loan would </w:t>
      </w:r>
      <w:r w:rsidR="003B77F1">
        <w:rPr>
          <w:rFonts w:ascii="Avenir Next" w:hAnsi="Avenir Next"/>
          <w:color w:val="808080" w:themeColor="background1" w:themeShade="80"/>
        </w:rPr>
        <w:t>likely be considered a securities contract, which also qualifies as a statutory exception to the effects of the automatic stay. As such, the chapter 11 proceedings would not have an effect on the default and the Margin Loan lenders could accelerate subject to their contract.</w:t>
      </w:r>
    </w:p>
    <w:p w14:paraId="21B63AE5" w14:textId="0A3BFFE2" w:rsidR="00965016" w:rsidRDefault="00965016" w:rsidP="001D3BAA">
      <w:pPr>
        <w:pStyle w:val="AODocTxt"/>
        <w:spacing w:before="0" w:line="240" w:lineRule="auto"/>
        <w:rPr>
          <w:rFonts w:ascii="Avenir Next" w:hAnsi="Avenir Next"/>
          <w:color w:val="808080" w:themeColor="background1" w:themeShade="80"/>
        </w:rPr>
      </w:pPr>
    </w:p>
    <w:p w14:paraId="3AD439E6" w14:textId="7812516E" w:rsidR="00965016" w:rsidRDefault="009650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(iii) </w:t>
      </w:r>
      <w:r w:rsidR="003B77F1">
        <w:rPr>
          <w:rFonts w:ascii="Avenir Next" w:hAnsi="Avenir Next"/>
          <w:color w:val="808080" w:themeColor="background1" w:themeShade="80"/>
        </w:rPr>
        <w:t>T</w:t>
      </w:r>
      <w:r>
        <w:rPr>
          <w:rFonts w:ascii="Avenir Next" w:hAnsi="Avenir Next"/>
          <w:color w:val="808080" w:themeColor="background1" w:themeShade="80"/>
        </w:rPr>
        <w:t>he leaseholder might be able to continue to receive rent under the lease as an administrative expense if SI continues to occupy the office space. The automatic stay will however prevent the leaseholder from appropriating the space, unless the</w:t>
      </w:r>
      <w:r w:rsidR="008B2E5E">
        <w:rPr>
          <w:rFonts w:ascii="Avenir Next" w:hAnsi="Avenir Next"/>
          <w:color w:val="808080" w:themeColor="background1" w:themeShade="80"/>
        </w:rPr>
        <w:t xml:space="preserve"> lease has expired or the</w:t>
      </w:r>
      <w:r>
        <w:rPr>
          <w:rFonts w:ascii="Avenir Next" w:hAnsi="Avenir Next"/>
          <w:color w:val="808080" w:themeColor="background1" w:themeShade="80"/>
        </w:rPr>
        <w:t xml:space="preserve"> lessor can successful request a lift of the stay on the basis of lack of adequate protection. If SI continues to occupy the premises, the lease may be deemed assumed as part of the proceedings.</w:t>
      </w:r>
    </w:p>
    <w:p w14:paraId="010DBB17" w14:textId="7A78B07D" w:rsidR="00965016" w:rsidRDefault="00965016" w:rsidP="001D3BAA">
      <w:pPr>
        <w:pStyle w:val="AODocTxt"/>
        <w:spacing w:before="0" w:line="240" w:lineRule="auto"/>
        <w:rPr>
          <w:rFonts w:ascii="Avenir Next" w:hAnsi="Avenir Next"/>
          <w:color w:val="808080" w:themeColor="background1" w:themeShade="80"/>
        </w:rPr>
      </w:pPr>
    </w:p>
    <w:p w14:paraId="0317B103" w14:textId="6FF0FEEA" w:rsidR="00965016" w:rsidRPr="002B5D64" w:rsidRDefault="00D61D2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(iv) T</w:t>
      </w:r>
      <w:r w:rsidR="00965016">
        <w:rPr>
          <w:rFonts w:ascii="Avenir Next" w:hAnsi="Avenir Next"/>
          <w:color w:val="808080" w:themeColor="background1" w:themeShade="80"/>
        </w:rPr>
        <w:t xml:space="preserve">he employee’s litigation </w:t>
      </w:r>
      <w:r w:rsidR="008B2E5E">
        <w:rPr>
          <w:rFonts w:ascii="Avenir Next" w:hAnsi="Avenir Next"/>
          <w:color w:val="808080" w:themeColor="background1" w:themeShade="80"/>
        </w:rPr>
        <w:t>would</w:t>
      </w:r>
      <w:r w:rsidR="00965016">
        <w:rPr>
          <w:rFonts w:ascii="Avenir Next" w:hAnsi="Avenir Next"/>
          <w:color w:val="808080" w:themeColor="background1" w:themeShade="80"/>
        </w:rPr>
        <w:t xml:space="preserve"> be classed as a pre-petition claim and therefore </w:t>
      </w:r>
      <w:r w:rsidR="008B2E5E">
        <w:rPr>
          <w:rFonts w:ascii="Avenir Next" w:hAnsi="Avenir Next"/>
          <w:color w:val="808080" w:themeColor="background1" w:themeShade="80"/>
        </w:rPr>
        <w:t>the would be covere</w:t>
      </w:r>
      <w:r w:rsidR="00965016">
        <w:rPr>
          <w:rFonts w:ascii="Avenir Next" w:hAnsi="Avenir Next"/>
          <w:color w:val="808080" w:themeColor="background1" w:themeShade="80"/>
        </w:rPr>
        <w:t xml:space="preserve">d by the automatic stay.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A22D" w14:textId="77777777" w:rsidR="002D1048" w:rsidRDefault="002D1048" w:rsidP="00241B44">
      <w:r>
        <w:separator/>
      </w:r>
    </w:p>
  </w:endnote>
  <w:endnote w:type="continuationSeparator" w:id="0">
    <w:p w14:paraId="05406E17" w14:textId="77777777" w:rsidR="002D1048" w:rsidRDefault="002D104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Avenir Next">
    <w:altName w:val="Trebuchet MS"/>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8863D58"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2433E7">
          <w:rPr>
            <w:rStyle w:val="PageNumber"/>
            <w:rFonts w:ascii="Avenir Next" w:hAnsi="Avenir Next" w:cs="Arial"/>
            <w:noProof/>
            <w:sz w:val="22"/>
            <w:szCs w:val="22"/>
          </w:rPr>
          <w:t>5</w:t>
        </w:r>
        <w:r w:rsidRPr="00494B81">
          <w:rPr>
            <w:rStyle w:val="PageNumber"/>
            <w:rFonts w:ascii="Avenir Next" w:hAnsi="Avenir Next" w:cs="Arial"/>
            <w:sz w:val="22"/>
            <w:szCs w:val="22"/>
          </w:rPr>
          <w:fldChar w:fldCharType="end"/>
        </w:r>
      </w:p>
    </w:sdtContent>
  </w:sdt>
  <w:p w14:paraId="30F05E79" w14:textId="58641A14" w:rsidR="00241FA3" w:rsidRPr="00494B81" w:rsidRDefault="002433E7" w:rsidP="002433E7">
    <w:pPr>
      <w:pStyle w:val="Footer"/>
      <w:ind w:right="360"/>
      <w:rPr>
        <w:rFonts w:ascii="Avenir Next" w:hAnsi="Avenir Next" w:cs="Arial"/>
        <w:sz w:val="22"/>
        <w:szCs w:val="22"/>
        <w:lang w:val="en-GB"/>
      </w:rPr>
    </w:pPr>
    <w:r>
      <w:rPr>
        <w:rFonts w:ascii="Avenir Next" w:hAnsi="Avenir Next" w:cs="Arial"/>
        <w:sz w:val="22"/>
        <w:szCs w:val="22"/>
        <w:lang w:val="en-GB"/>
      </w:rPr>
      <w:t>FC202324-1450.assessment3A</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399B" w14:textId="77777777" w:rsidR="002433E7" w:rsidRDefault="0024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2040" w14:textId="77777777" w:rsidR="002D1048" w:rsidRDefault="002D1048" w:rsidP="00241B44">
      <w:r>
        <w:separator/>
      </w:r>
    </w:p>
  </w:footnote>
  <w:footnote w:type="continuationSeparator" w:id="0">
    <w:p w14:paraId="5709CB35" w14:textId="77777777" w:rsidR="002D1048" w:rsidRDefault="002D104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B5C9" w14:textId="77777777" w:rsidR="002433E7" w:rsidRDefault="0024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3041" w14:textId="77777777" w:rsidR="002433E7" w:rsidRDefault="00243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6F09" w14:textId="77777777" w:rsidR="002433E7" w:rsidRDefault="00243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A0FD4"/>
    <w:multiLevelType w:val="hybridMultilevel"/>
    <w:tmpl w:val="EE9EB716"/>
    <w:lvl w:ilvl="0" w:tplc="D828055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abstractNumId w:val="25"/>
  </w:num>
  <w:num w:numId="2">
    <w:abstractNumId w:val="28"/>
  </w:num>
  <w:num w:numId="3">
    <w:abstractNumId w:val="5"/>
  </w:num>
  <w:num w:numId="4">
    <w:abstractNumId w:val="9"/>
  </w:num>
  <w:num w:numId="5">
    <w:abstractNumId w:val="12"/>
  </w:num>
  <w:num w:numId="6">
    <w:abstractNumId w:val="31"/>
  </w:num>
  <w:num w:numId="7">
    <w:abstractNumId w:val="6"/>
  </w:num>
  <w:num w:numId="8">
    <w:abstractNumId w:val="34"/>
  </w:num>
  <w:num w:numId="9">
    <w:abstractNumId w:val="13"/>
  </w:num>
  <w:num w:numId="10">
    <w:abstractNumId w:val="27"/>
  </w:num>
  <w:num w:numId="11">
    <w:abstractNumId w:val="15"/>
  </w:num>
  <w:num w:numId="12">
    <w:abstractNumId w:val="23"/>
  </w:num>
  <w:num w:numId="13">
    <w:abstractNumId w:val="0"/>
  </w:num>
  <w:num w:numId="14">
    <w:abstractNumId w:val="11"/>
  </w:num>
  <w:num w:numId="15">
    <w:abstractNumId w:val="19"/>
  </w:num>
  <w:num w:numId="16">
    <w:abstractNumId w:val="8"/>
  </w:num>
  <w:num w:numId="17">
    <w:abstractNumId w:val="4"/>
  </w:num>
  <w:num w:numId="18">
    <w:abstractNumId w:val="3"/>
  </w:num>
  <w:num w:numId="19">
    <w:abstractNumId w:val="29"/>
  </w:num>
  <w:num w:numId="20">
    <w:abstractNumId w:val="7"/>
  </w:num>
  <w:num w:numId="21">
    <w:abstractNumId w:val="26"/>
  </w:num>
  <w:num w:numId="22">
    <w:abstractNumId w:val="36"/>
  </w:num>
  <w:num w:numId="23">
    <w:abstractNumId w:val="14"/>
  </w:num>
  <w:num w:numId="24">
    <w:abstractNumId w:val="30"/>
  </w:num>
  <w:num w:numId="25">
    <w:abstractNumId w:val="20"/>
  </w:num>
  <w:num w:numId="26">
    <w:abstractNumId w:val="21"/>
  </w:num>
  <w:num w:numId="27">
    <w:abstractNumId w:val="17"/>
  </w:num>
  <w:num w:numId="28">
    <w:abstractNumId w:val="32"/>
  </w:num>
  <w:num w:numId="29">
    <w:abstractNumId w:val="1"/>
  </w:num>
  <w:num w:numId="30">
    <w:abstractNumId w:val="18"/>
  </w:num>
  <w:num w:numId="31">
    <w:abstractNumId w:val="22"/>
  </w:num>
  <w:num w:numId="32">
    <w:abstractNumId w:val="37"/>
  </w:num>
  <w:num w:numId="33">
    <w:abstractNumId w:val="16"/>
  </w:num>
  <w:num w:numId="34">
    <w:abstractNumId w:val="2"/>
  </w:num>
  <w:num w:numId="35">
    <w:abstractNumId w:val="33"/>
  </w:num>
  <w:num w:numId="36">
    <w:abstractNumId w:val="35"/>
  </w:num>
  <w:num w:numId="37">
    <w:abstractNumId w:val="10"/>
  </w:num>
  <w:num w:numId="3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5E"/>
    <w:rsid w:val="000106A0"/>
    <w:rsid w:val="00010BA0"/>
    <w:rsid w:val="00020557"/>
    <w:rsid w:val="00021A9C"/>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48AD"/>
    <w:rsid w:val="000F7FC2"/>
    <w:rsid w:val="00101707"/>
    <w:rsid w:val="00102CC9"/>
    <w:rsid w:val="00106CA8"/>
    <w:rsid w:val="001109FE"/>
    <w:rsid w:val="0011473D"/>
    <w:rsid w:val="001157F8"/>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33E7"/>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1048"/>
    <w:rsid w:val="002D2149"/>
    <w:rsid w:val="002D299D"/>
    <w:rsid w:val="002D3473"/>
    <w:rsid w:val="002D6789"/>
    <w:rsid w:val="002D78C5"/>
    <w:rsid w:val="002F1956"/>
    <w:rsid w:val="002F3440"/>
    <w:rsid w:val="002F46EC"/>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87B3E"/>
    <w:rsid w:val="00390B57"/>
    <w:rsid w:val="003948D5"/>
    <w:rsid w:val="00396821"/>
    <w:rsid w:val="00397D3A"/>
    <w:rsid w:val="003A051E"/>
    <w:rsid w:val="003A285F"/>
    <w:rsid w:val="003A5537"/>
    <w:rsid w:val="003A75F4"/>
    <w:rsid w:val="003B170F"/>
    <w:rsid w:val="003B3C5F"/>
    <w:rsid w:val="003B7184"/>
    <w:rsid w:val="003B77F1"/>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1CDA"/>
    <w:rsid w:val="004D2FFF"/>
    <w:rsid w:val="004D36D5"/>
    <w:rsid w:val="004D3721"/>
    <w:rsid w:val="004D4255"/>
    <w:rsid w:val="004D64F9"/>
    <w:rsid w:val="004E1F4B"/>
    <w:rsid w:val="004E3A6B"/>
    <w:rsid w:val="004E5AF5"/>
    <w:rsid w:val="004E622C"/>
    <w:rsid w:val="004E6FCA"/>
    <w:rsid w:val="004F49B5"/>
    <w:rsid w:val="004F5FDF"/>
    <w:rsid w:val="004F7B99"/>
    <w:rsid w:val="00501A53"/>
    <w:rsid w:val="00505A44"/>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94CB1"/>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5757F"/>
    <w:rsid w:val="007603F5"/>
    <w:rsid w:val="00764DB0"/>
    <w:rsid w:val="0076764D"/>
    <w:rsid w:val="00767C70"/>
    <w:rsid w:val="0077498C"/>
    <w:rsid w:val="00776E08"/>
    <w:rsid w:val="00777C53"/>
    <w:rsid w:val="007809BC"/>
    <w:rsid w:val="00784128"/>
    <w:rsid w:val="00784A08"/>
    <w:rsid w:val="00787BCC"/>
    <w:rsid w:val="00793173"/>
    <w:rsid w:val="007A2A33"/>
    <w:rsid w:val="007B0809"/>
    <w:rsid w:val="007B5C89"/>
    <w:rsid w:val="007C1FCC"/>
    <w:rsid w:val="007C28A2"/>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119C4"/>
    <w:rsid w:val="00820A03"/>
    <w:rsid w:val="00821F0A"/>
    <w:rsid w:val="0082483F"/>
    <w:rsid w:val="008279C0"/>
    <w:rsid w:val="00834F92"/>
    <w:rsid w:val="0083721E"/>
    <w:rsid w:val="00837A43"/>
    <w:rsid w:val="00853272"/>
    <w:rsid w:val="00855BA7"/>
    <w:rsid w:val="008621E8"/>
    <w:rsid w:val="0087116D"/>
    <w:rsid w:val="008723F3"/>
    <w:rsid w:val="00872711"/>
    <w:rsid w:val="00875912"/>
    <w:rsid w:val="00881DE6"/>
    <w:rsid w:val="008837A6"/>
    <w:rsid w:val="00884643"/>
    <w:rsid w:val="0089145D"/>
    <w:rsid w:val="0089582E"/>
    <w:rsid w:val="00895EF1"/>
    <w:rsid w:val="008A4DF2"/>
    <w:rsid w:val="008A6CFE"/>
    <w:rsid w:val="008A771D"/>
    <w:rsid w:val="008B2E5E"/>
    <w:rsid w:val="008B5333"/>
    <w:rsid w:val="008B6223"/>
    <w:rsid w:val="008C45A7"/>
    <w:rsid w:val="008C66E0"/>
    <w:rsid w:val="008C7564"/>
    <w:rsid w:val="008D1DC9"/>
    <w:rsid w:val="008D7934"/>
    <w:rsid w:val="008E3339"/>
    <w:rsid w:val="008F0FCD"/>
    <w:rsid w:val="008F20FC"/>
    <w:rsid w:val="008F5FFE"/>
    <w:rsid w:val="00900BBE"/>
    <w:rsid w:val="009017A1"/>
    <w:rsid w:val="00902FA7"/>
    <w:rsid w:val="00905A43"/>
    <w:rsid w:val="00912C79"/>
    <w:rsid w:val="00921B8C"/>
    <w:rsid w:val="0092565E"/>
    <w:rsid w:val="0093376E"/>
    <w:rsid w:val="0093467C"/>
    <w:rsid w:val="00935386"/>
    <w:rsid w:val="00942123"/>
    <w:rsid w:val="009427E0"/>
    <w:rsid w:val="0095207B"/>
    <w:rsid w:val="00954E2A"/>
    <w:rsid w:val="00962045"/>
    <w:rsid w:val="00963D77"/>
    <w:rsid w:val="00965016"/>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0DAE"/>
    <w:rsid w:val="009E2AEB"/>
    <w:rsid w:val="009E2E27"/>
    <w:rsid w:val="009E45DF"/>
    <w:rsid w:val="009E4DE3"/>
    <w:rsid w:val="009F275E"/>
    <w:rsid w:val="00A024E7"/>
    <w:rsid w:val="00A047EE"/>
    <w:rsid w:val="00A04D79"/>
    <w:rsid w:val="00A2274A"/>
    <w:rsid w:val="00A235B7"/>
    <w:rsid w:val="00A27A7A"/>
    <w:rsid w:val="00A3165E"/>
    <w:rsid w:val="00A34ABE"/>
    <w:rsid w:val="00A3650B"/>
    <w:rsid w:val="00A407A7"/>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673"/>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06DC9"/>
    <w:rsid w:val="00C07D2A"/>
    <w:rsid w:val="00C11CA5"/>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09C9"/>
    <w:rsid w:val="00D61CC1"/>
    <w:rsid w:val="00D61D25"/>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D366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342B1"/>
    <w:rsid w:val="00E421C6"/>
    <w:rsid w:val="00E450A4"/>
    <w:rsid w:val="00E506BE"/>
    <w:rsid w:val="00E52E60"/>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6FA8"/>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E7091"/>
    <w:rsid w:val="00EF090E"/>
    <w:rsid w:val="00EF37CB"/>
    <w:rsid w:val="00EF5572"/>
    <w:rsid w:val="00EF5653"/>
    <w:rsid w:val="00F033DA"/>
    <w:rsid w:val="00F119D7"/>
    <w:rsid w:val="00F13691"/>
    <w:rsid w:val="00F13FB1"/>
    <w:rsid w:val="00F1748E"/>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A407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customStyle="1" w:styleId="Heading1Char">
    <w:name w:val="Heading 1 Char"/>
    <w:basedOn w:val="DefaultParagraphFont"/>
    <w:link w:val="Heading1"/>
    <w:uiPriority w:val="9"/>
    <w:rsid w:val="00A407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dcfb9b-643d-46c2-b9d6-329a4370e0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70389E039B846A5491C67C138AA08" ma:contentTypeVersion="14" ma:contentTypeDescription="Create a new document." ma:contentTypeScope="" ma:versionID="6a8acdf35841e2bd026df4fc18dd5d2b">
  <xsd:schema xmlns:xsd="http://www.w3.org/2001/XMLSchema" xmlns:xs="http://www.w3.org/2001/XMLSchema" xmlns:p="http://schemas.microsoft.com/office/2006/metadata/properties" xmlns:ns3="8bdcfb9b-643d-46c2-b9d6-329a4370e098" xmlns:ns4="164ee454-4b19-4e56-8fac-eda2afff857c" targetNamespace="http://schemas.microsoft.com/office/2006/metadata/properties" ma:root="true" ma:fieldsID="e19bb744aa68b61bfd47d69136ce5c24" ns3:_="" ns4:_="">
    <xsd:import namespace="8bdcfb9b-643d-46c2-b9d6-329a4370e098"/>
    <xsd:import namespace="164ee454-4b19-4e56-8fac-eda2afff857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cfb9b-643d-46c2-b9d6-329a4370e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4ee454-4b19-4e56-8fac-eda2afff85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4635-60D5-4BA9-B5DF-52DDEB023B39}">
  <ds:schemaRefs>
    <ds:schemaRef ds:uri="http://schemas.microsoft.com/office/2006/metadata/properties"/>
    <ds:schemaRef ds:uri="http://schemas.microsoft.com/office/infopath/2007/PartnerControls"/>
    <ds:schemaRef ds:uri="8bdcfb9b-643d-46c2-b9d6-329a4370e098"/>
  </ds:schemaRefs>
</ds:datastoreItem>
</file>

<file path=customXml/itemProps2.xml><?xml version="1.0" encoding="utf-8"?>
<ds:datastoreItem xmlns:ds="http://schemas.openxmlformats.org/officeDocument/2006/customXml" ds:itemID="{307FE1FA-D5B0-4D6E-B68D-9D1AE28EB92A}">
  <ds:schemaRefs>
    <ds:schemaRef ds:uri="http://schemas.microsoft.com/sharepoint/v3/contenttype/forms"/>
  </ds:schemaRefs>
</ds:datastoreItem>
</file>

<file path=customXml/itemProps3.xml><?xml version="1.0" encoding="utf-8"?>
<ds:datastoreItem xmlns:ds="http://schemas.openxmlformats.org/officeDocument/2006/customXml" ds:itemID="{62618E1B-42FC-46D3-9A7F-5BDD9F6FF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cfb9b-643d-46c2-b9d6-329a4370e098"/>
    <ds:schemaRef ds:uri="164ee454-4b19-4e56-8fac-eda2afff8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360FE-D5E1-4170-BF86-DD2B290F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Olivero, Ilaria</cp:lastModifiedBy>
  <cp:revision>5</cp:revision>
  <cp:lastPrinted>2019-08-27T05:42:00Z</cp:lastPrinted>
  <dcterms:created xsi:type="dcterms:W3CDTF">2024-02-29T10:14:00Z</dcterms:created>
  <dcterms:modified xsi:type="dcterms:W3CDTF">2024-02-29T10:17:00Z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0x01010019E70389E039B846A5491C67C138AA08</vt:lpwstr>
  </property>
</Properties>
</file>