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AE2781" w:rsidRDefault="00AE5B6F" w:rsidP="00B04033">
      <w:pPr>
        <w:pStyle w:val="ListParagraph"/>
        <w:numPr>
          <w:ilvl w:val="0"/>
          <w:numId w:val="1"/>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w</w:t>
      </w:r>
      <w:r w:rsidR="00C91062" w:rsidRPr="00AE2781">
        <w:rPr>
          <w:rFonts w:ascii="Avenir Next" w:hAnsi="Avenir Next" w:cs="Arial"/>
          <w:sz w:val="22"/>
          <w:szCs w:val="22"/>
          <w:highlight w:val="yellow"/>
          <w:lang w:val="en-GB"/>
        </w:rPr>
        <w:t xml:space="preserve">ithin </w:t>
      </w:r>
      <w:r w:rsidR="00733A34" w:rsidRPr="00AE2781">
        <w:rPr>
          <w:rFonts w:ascii="Avenir Next" w:hAnsi="Avenir Next" w:cs="Arial"/>
          <w:sz w:val="22"/>
          <w:szCs w:val="22"/>
          <w:highlight w:val="yellow"/>
          <w:lang w:val="en-GB"/>
        </w:rPr>
        <w:t>eight</w:t>
      </w:r>
      <w:r w:rsidR="00C91062" w:rsidRPr="00AE2781">
        <w:rPr>
          <w:rFonts w:ascii="Avenir Next" w:hAnsi="Avenir Next" w:cs="Arial"/>
          <w:sz w:val="22"/>
          <w:szCs w:val="22"/>
          <w:highlight w:val="yellow"/>
          <w:lang w:val="en-GB"/>
        </w:rPr>
        <w:t xml:space="preserve"> weeks of the commencement of the administration</w:t>
      </w:r>
      <w:r w:rsidR="00763348" w:rsidRPr="00AE2781">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AE2781" w:rsidRDefault="00E443D7" w:rsidP="00C55824">
      <w:pPr>
        <w:pStyle w:val="ListParagraph"/>
        <w:numPr>
          <w:ilvl w:val="0"/>
          <w:numId w:val="2"/>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One year</w:t>
      </w:r>
      <w:r w:rsidR="00763348" w:rsidRPr="00AE2781">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AE2781" w:rsidRDefault="00AE5B6F" w:rsidP="00B04033">
      <w:pPr>
        <w:pStyle w:val="ListParagraph"/>
        <w:numPr>
          <w:ilvl w:val="0"/>
          <w:numId w:val="3"/>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T</w:t>
      </w:r>
      <w:r w:rsidR="008D1616" w:rsidRPr="00AE2781">
        <w:rPr>
          <w:rFonts w:ascii="Avenir Next" w:hAnsi="Avenir Next" w:cs="Arial"/>
          <w:sz w:val="22"/>
          <w:szCs w:val="22"/>
          <w:highlight w:val="yellow"/>
          <w:lang w:val="en-GB"/>
        </w:rPr>
        <w:t>he company is, or is likely to become, unable to pay their debts, as defined under s</w:t>
      </w:r>
      <w:r w:rsidR="00E833F4" w:rsidRPr="00AE2781">
        <w:rPr>
          <w:rFonts w:ascii="Avenir Next" w:hAnsi="Avenir Next" w:cs="Arial"/>
          <w:sz w:val="22"/>
          <w:szCs w:val="22"/>
          <w:highlight w:val="yellow"/>
          <w:lang w:val="en-GB"/>
        </w:rPr>
        <w:t>ection</w:t>
      </w:r>
      <w:r w:rsidR="008D1616" w:rsidRPr="00AE2781">
        <w:rPr>
          <w:rFonts w:ascii="Avenir Next" w:hAnsi="Avenir Next" w:cs="Arial"/>
          <w:sz w:val="22"/>
          <w:szCs w:val="22"/>
          <w:highlight w:val="yellow"/>
          <w:lang w:val="en-GB"/>
        </w:rPr>
        <w:t xml:space="preserve"> 123 of the Insolvency Act 1986</w:t>
      </w:r>
      <w:r w:rsidR="00763348" w:rsidRPr="00AE2781">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AE2781" w:rsidRDefault="00C91062" w:rsidP="00B04033">
      <w:pPr>
        <w:pStyle w:val="ListParagraph"/>
        <w:numPr>
          <w:ilvl w:val="0"/>
          <w:numId w:val="4"/>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The administrator</w:t>
      </w:r>
      <w:r w:rsidR="00763348" w:rsidRPr="00AE2781">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AE2781" w:rsidRDefault="00BA1CFD" w:rsidP="00B04033">
      <w:pPr>
        <w:pStyle w:val="ListParagraph"/>
        <w:numPr>
          <w:ilvl w:val="0"/>
          <w:numId w:val="5"/>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Administration</w:t>
      </w:r>
      <w:r w:rsidR="00763348" w:rsidRPr="00AE2781">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04F70" w:rsidRDefault="00221444" w:rsidP="00221444">
      <w:pPr>
        <w:pStyle w:val="ListParagraph"/>
        <w:numPr>
          <w:ilvl w:val="0"/>
          <w:numId w:val="6"/>
        </w:numPr>
        <w:ind w:left="426"/>
        <w:jc w:val="both"/>
        <w:rPr>
          <w:rFonts w:ascii="Avenir Next" w:hAnsi="Avenir Next" w:cs="Arial"/>
          <w:sz w:val="22"/>
          <w:szCs w:val="22"/>
          <w:highlight w:val="yellow"/>
          <w:lang w:val="en-GB"/>
        </w:rPr>
      </w:pPr>
      <w:r w:rsidRPr="00004F70">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004F70" w:rsidRDefault="00221444" w:rsidP="00221444">
      <w:pPr>
        <w:pStyle w:val="ListParagraph"/>
        <w:numPr>
          <w:ilvl w:val="0"/>
          <w:numId w:val="6"/>
        </w:numPr>
        <w:ind w:left="426"/>
        <w:jc w:val="both"/>
        <w:rPr>
          <w:rFonts w:ascii="Avenir Next" w:hAnsi="Avenir Next" w:cs="Arial"/>
          <w:sz w:val="22"/>
          <w:szCs w:val="22"/>
          <w:lang w:val="en-GB"/>
        </w:rPr>
      </w:pPr>
      <w:r w:rsidRPr="00004F70">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AE2781" w:rsidRDefault="00BA1CFD" w:rsidP="00B04033">
      <w:pPr>
        <w:pStyle w:val="ListParagraph"/>
        <w:numPr>
          <w:ilvl w:val="0"/>
          <w:numId w:val="7"/>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Breach of fiduciary duty</w:t>
      </w:r>
      <w:r w:rsidR="00763348" w:rsidRPr="00AE2781">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E2781" w:rsidRDefault="00450393" w:rsidP="00450393">
      <w:pPr>
        <w:pStyle w:val="ListParagraph"/>
        <w:numPr>
          <w:ilvl w:val="0"/>
          <w:numId w:val="8"/>
        </w:numPr>
        <w:ind w:left="426"/>
        <w:jc w:val="both"/>
        <w:rPr>
          <w:rFonts w:ascii="Avenir Next" w:hAnsi="Avenir Next" w:cs="Arial"/>
          <w:sz w:val="22"/>
          <w:szCs w:val="22"/>
          <w:highlight w:val="yellow"/>
          <w:lang w:val="en-GB"/>
        </w:rPr>
      </w:pPr>
      <w:r w:rsidRPr="00AE2781">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004F70" w:rsidRDefault="00E833F4" w:rsidP="00B04033">
      <w:pPr>
        <w:pStyle w:val="ListParagraph"/>
        <w:numPr>
          <w:ilvl w:val="0"/>
          <w:numId w:val="9"/>
        </w:numPr>
        <w:ind w:left="426"/>
        <w:jc w:val="both"/>
        <w:rPr>
          <w:rFonts w:ascii="Avenir Next" w:hAnsi="Avenir Next" w:cs="Arial"/>
          <w:sz w:val="22"/>
          <w:szCs w:val="22"/>
          <w:highlight w:val="yellow"/>
          <w:lang w:val="en-GB"/>
        </w:rPr>
      </w:pPr>
      <w:r w:rsidRPr="00004F70">
        <w:rPr>
          <w:rFonts w:ascii="Avenir Next" w:hAnsi="Avenir Next" w:cs="Arial"/>
          <w:sz w:val="22"/>
          <w:szCs w:val="22"/>
          <w:highlight w:val="yellow"/>
          <w:lang w:val="en-GB"/>
        </w:rPr>
        <w:t>A</w:t>
      </w:r>
      <w:r w:rsidR="000D10C6" w:rsidRPr="00004F70">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04F70" w:rsidRDefault="000D4CFA" w:rsidP="004C7A8F">
      <w:pPr>
        <w:pStyle w:val="ListParagraph"/>
        <w:numPr>
          <w:ilvl w:val="0"/>
          <w:numId w:val="10"/>
        </w:numPr>
        <w:ind w:left="426"/>
        <w:jc w:val="both"/>
        <w:rPr>
          <w:rFonts w:ascii="Avenir Next" w:hAnsi="Avenir Next" w:cs="Arial"/>
          <w:sz w:val="22"/>
          <w:szCs w:val="22"/>
          <w:highlight w:val="yellow"/>
          <w:lang w:val="en-GB"/>
        </w:rPr>
      </w:pPr>
      <w:r w:rsidRPr="00004F70">
        <w:rPr>
          <w:rFonts w:ascii="Avenir Next" w:hAnsi="Avenir Next" w:cs="Arial"/>
          <w:sz w:val="22"/>
          <w:szCs w:val="22"/>
          <w:highlight w:val="yellow"/>
          <w:lang w:val="en-GB"/>
        </w:rPr>
        <w:t>Twelve</w:t>
      </w:r>
      <w:r w:rsidR="004C7A8F" w:rsidRPr="00004F7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4C40C10D" w:rsidR="00197F24" w:rsidRDefault="00572D3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S.245 Insolvency Act 1986 – </w:t>
      </w:r>
      <w:r w:rsidR="003E051B">
        <w:rPr>
          <w:rFonts w:ascii="Avenir Next" w:hAnsi="Avenir Next" w:cs="Arial"/>
          <w:color w:val="7B7B7B" w:themeColor="accent3" w:themeShade="BF"/>
          <w:sz w:val="22"/>
          <w:szCs w:val="22"/>
          <w:lang w:val="en-GB"/>
        </w:rPr>
        <w:t xml:space="preserve">administrators or administrative receiver </w:t>
      </w:r>
    </w:p>
    <w:p w14:paraId="411DBB2B" w14:textId="7756F29B" w:rsidR="00572D3F" w:rsidRDefault="00572D3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s.6 Companies Directors Disqualification Act 1986 – Secretary of State or official receiver</w:t>
      </w:r>
    </w:p>
    <w:p w14:paraId="63E9C1CD" w14:textId="0B9A7E5C" w:rsidR="00572D3F" w:rsidRDefault="00572D3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s.246ZB insolvency Act 1986 – </w:t>
      </w:r>
      <w:r w:rsidR="003E051B">
        <w:rPr>
          <w:rFonts w:ascii="Avenir Next" w:hAnsi="Avenir Next" w:cs="Arial"/>
          <w:color w:val="7B7B7B" w:themeColor="accent3" w:themeShade="BF"/>
          <w:sz w:val="22"/>
          <w:szCs w:val="22"/>
          <w:lang w:val="en-GB"/>
        </w:rPr>
        <w:t>administrator.</w:t>
      </w:r>
    </w:p>
    <w:p w14:paraId="39963159" w14:textId="4708D45E" w:rsidR="00572D3F" w:rsidRDefault="00572D3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s.127 insolvency Act 1986 – liquidators </w:t>
      </w:r>
    </w:p>
    <w:p w14:paraId="12499A8A" w14:textId="77777777" w:rsidR="003E051B" w:rsidRPr="007E6BD0" w:rsidRDefault="003E051B"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2227E7" w14:textId="71C8E643" w:rsidR="0045683E"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p.41 of the module notes:</w:t>
      </w:r>
    </w:p>
    <w:p w14:paraId="260DD22C" w14:textId="6E5E2B98" w:rsidR="005A5601"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1. Goods or services supplied during the moratorium,</w:t>
      </w:r>
    </w:p>
    <w:p w14:paraId="1FE7F675" w14:textId="4A4C1CBE" w:rsidR="005A5601"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2. Wages or salaries under the employment contracts,</w:t>
      </w:r>
    </w:p>
    <w:p w14:paraId="064090A9" w14:textId="24B8C29C" w:rsidR="005A5601"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3. rent during the moratorium</w:t>
      </w:r>
      <w:r w:rsidR="00DE7550" w:rsidRPr="00572D3F">
        <w:rPr>
          <w:rFonts w:ascii="Avenir Next" w:hAnsi="Avenir Next" w:cs="Arial"/>
          <w:color w:val="808080" w:themeColor="background1" w:themeShade="80"/>
          <w:sz w:val="22"/>
          <w:szCs w:val="22"/>
          <w:lang w:val="en-GB"/>
        </w:rPr>
        <w:t>,</w:t>
      </w:r>
    </w:p>
    <w:p w14:paraId="2EC98DD5" w14:textId="043AAD7B" w:rsidR="005A5601"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4. redundancy payments,</w:t>
      </w:r>
    </w:p>
    <w:p w14:paraId="48ACA2EC" w14:textId="22C45C7C" w:rsidR="005A5601" w:rsidRPr="00572D3F" w:rsidRDefault="005A5601"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5. Monitor’s remuneration or expenses.</w:t>
      </w:r>
    </w:p>
    <w:p w14:paraId="1F506C36" w14:textId="77777777" w:rsidR="005A5601" w:rsidRDefault="005A5601" w:rsidP="002A37BB">
      <w:pPr>
        <w:jc w:val="both"/>
        <w:rPr>
          <w:rFonts w:ascii="Avenir Next" w:hAnsi="Avenir Next" w:cs="Arial"/>
          <w:color w:val="7B7B7B" w:themeColor="accent3" w:themeShade="BF"/>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0B2C25AE" w14:textId="6A5F9262" w:rsidR="00DE7550" w:rsidRPr="00572D3F" w:rsidRDefault="008D317C"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Historically, a company going into administration would terminate contracts, but</w:t>
      </w:r>
      <w:r w:rsidR="00DE7550" w:rsidRPr="00572D3F">
        <w:rPr>
          <w:rFonts w:ascii="Avenir Next" w:hAnsi="Avenir Next" w:cs="Arial"/>
          <w:color w:val="808080" w:themeColor="background1" w:themeShade="80"/>
          <w:sz w:val="22"/>
          <w:szCs w:val="22"/>
          <w:lang w:val="en-GB"/>
        </w:rPr>
        <w:t xml:space="preserve"> recent statutory regulations have changed the position. In particular</w:t>
      </w:r>
      <w:r w:rsidRPr="00572D3F">
        <w:rPr>
          <w:rFonts w:ascii="Avenir Next" w:hAnsi="Avenir Next" w:cs="Arial"/>
          <w:color w:val="808080" w:themeColor="background1" w:themeShade="80"/>
          <w:sz w:val="22"/>
          <w:szCs w:val="22"/>
          <w:lang w:val="en-GB"/>
        </w:rPr>
        <w:t>,</w:t>
      </w:r>
      <w:r w:rsidR="00DE7550" w:rsidRPr="00572D3F">
        <w:rPr>
          <w:rFonts w:ascii="Avenir Next" w:hAnsi="Avenir Next" w:cs="Arial"/>
          <w:color w:val="808080" w:themeColor="background1" w:themeShade="80"/>
          <w:sz w:val="22"/>
          <w:szCs w:val="22"/>
          <w:lang w:val="en-GB"/>
        </w:rPr>
        <w:t xml:space="preserve"> </w:t>
      </w:r>
      <w:r w:rsidRPr="00572D3F">
        <w:rPr>
          <w:rFonts w:ascii="Avenir Next" w:hAnsi="Avenir Next" w:cs="Arial"/>
          <w:color w:val="808080" w:themeColor="background1" w:themeShade="80"/>
          <w:sz w:val="22"/>
          <w:szCs w:val="22"/>
          <w:lang w:val="en-GB"/>
        </w:rPr>
        <w:t>s.233 of the Insolvency Act 1986</w:t>
      </w:r>
      <w:r w:rsidR="00A263C7" w:rsidRPr="00572D3F">
        <w:rPr>
          <w:rFonts w:ascii="Avenir Next" w:hAnsi="Avenir Next" w:cs="Arial"/>
          <w:color w:val="808080" w:themeColor="background1" w:themeShade="80"/>
          <w:sz w:val="22"/>
          <w:szCs w:val="22"/>
          <w:lang w:val="en-GB"/>
        </w:rPr>
        <w:t xml:space="preserve">, which prevents essential services such as utility companies that supply gas, electricity and water from continuing to supply these essential services, the service providers can insist that the administrator guarantees payment for these essential services. </w:t>
      </w:r>
    </w:p>
    <w:p w14:paraId="0E16F2E8" w14:textId="77777777" w:rsidR="00A263C7" w:rsidRPr="00572D3F" w:rsidRDefault="00A263C7" w:rsidP="002A37BB">
      <w:pPr>
        <w:jc w:val="both"/>
        <w:rPr>
          <w:rFonts w:ascii="Avenir Next" w:hAnsi="Avenir Next" w:cs="Arial"/>
          <w:color w:val="808080" w:themeColor="background1" w:themeShade="80"/>
          <w:sz w:val="22"/>
          <w:szCs w:val="22"/>
          <w:lang w:val="en-GB"/>
        </w:rPr>
      </w:pPr>
    </w:p>
    <w:p w14:paraId="13FFB554" w14:textId="1B2C678E" w:rsidR="00A263C7" w:rsidRPr="00572D3F" w:rsidRDefault="00A263C7" w:rsidP="002A37BB">
      <w:pPr>
        <w:jc w:val="both"/>
        <w:rPr>
          <w:rFonts w:ascii="Avenir Next" w:hAnsi="Avenir Next" w:cs="Arial"/>
          <w:color w:val="808080" w:themeColor="background1" w:themeShade="80"/>
          <w:sz w:val="22"/>
          <w:szCs w:val="22"/>
          <w:lang w:val="en-GB"/>
        </w:rPr>
      </w:pPr>
      <w:r w:rsidRPr="00572D3F">
        <w:rPr>
          <w:rFonts w:ascii="Avenir Next" w:hAnsi="Avenir Next" w:cs="Arial"/>
          <w:color w:val="808080" w:themeColor="background1" w:themeShade="80"/>
          <w:sz w:val="22"/>
          <w:szCs w:val="22"/>
          <w:lang w:val="en-GB"/>
        </w:rPr>
        <w:t>The Corporate Insolvency and Governance Act 2020 strengthened the previous legislation under s233B which prevents suppliers of any goods or services from increasing prices, terminating or “doing any other thing” once a company enters insolvency. The main difference between s.233 above and s.233B is that the supplier cannot demand the administrator provide a personal guarantee. Therefore</w:t>
      </w:r>
      <w:r w:rsidR="003A3747" w:rsidRPr="00572D3F">
        <w:rPr>
          <w:rFonts w:ascii="Avenir Next" w:hAnsi="Avenir Next" w:cs="Arial"/>
          <w:color w:val="808080" w:themeColor="background1" w:themeShade="80"/>
          <w:sz w:val="22"/>
          <w:szCs w:val="22"/>
          <w:lang w:val="en-GB"/>
        </w:rPr>
        <w:t>,</w:t>
      </w:r>
      <w:r w:rsidRPr="00572D3F">
        <w:rPr>
          <w:rFonts w:ascii="Avenir Next" w:hAnsi="Avenir Next" w:cs="Arial"/>
          <w:color w:val="808080" w:themeColor="background1" w:themeShade="80"/>
          <w:sz w:val="22"/>
          <w:szCs w:val="22"/>
          <w:lang w:val="en-GB"/>
        </w:rPr>
        <w:t xml:space="preserve"> giving the administrator greater flexibility </w:t>
      </w:r>
      <w:r w:rsidR="003A3747" w:rsidRPr="00572D3F">
        <w:rPr>
          <w:rFonts w:ascii="Avenir Next" w:hAnsi="Avenir Next" w:cs="Arial"/>
          <w:color w:val="808080" w:themeColor="background1" w:themeShade="80"/>
          <w:sz w:val="22"/>
          <w:szCs w:val="22"/>
          <w:lang w:val="en-GB"/>
        </w:rPr>
        <w:t>to require the suppliers of goods and services to continue to provide the goods and services.</w:t>
      </w:r>
    </w:p>
    <w:p w14:paraId="10922A00" w14:textId="77777777" w:rsidR="008D317C" w:rsidRPr="008D317C" w:rsidRDefault="008D317C" w:rsidP="002A37BB">
      <w:pPr>
        <w:jc w:val="both"/>
        <w:rPr>
          <w:rFonts w:ascii="Avenir Next" w:hAnsi="Avenir Next" w:cs="Arial"/>
          <w:color w:val="000000" w:themeColor="text1"/>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863BFF1" w14:textId="5EE092AC" w:rsidR="00E746D0" w:rsidRDefault="00E746D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A1 of The Corporate Governance Act 2020, not the 1986 Act, Part A1 is a debtor-in-possession element where a moratorium is in place with a view to resulting the company and thus leaving the directors in post.</w:t>
      </w:r>
    </w:p>
    <w:p w14:paraId="5F0B3BA8" w14:textId="77777777" w:rsidR="00E746D0" w:rsidRDefault="00E746D0" w:rsidP="00197F24">
      <w:pPr>
        <w:jc w:val="both"/>
        <w:rPr>
          <w:rFonts w:ascii="Avenir Next" w:hAnsi="Avenir Next" w:cs="Arial"/>
          <w:color w:val="7B7B7B" w:themeColor="accent3" w:themeShade="BF"/>
          <w:sz w:val="22"/>
          <w:szCs w:val="22"/>
          <w:lang w:val="en-GB"/>
        </w:rPr>
      </w:pPr>
    </w:p>
    <w:p w14:paraId="2D76528D" w14:textId="648E1FC6" w:rsidR="00197F24" w:rsidRDefault="00E746D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 I’ll answer the question of the priority of payments under the 1986 Act where the moratorium was with a view to the company entering insolvency following the 12 week period. The priority of </w:t>
      </w:r>
      <w:r w:rsidR="009C4ED9">
        <w:rPr>
          <w:rFonts w:ascii="Avenir Next" w:hAnsi="Avenir Next" w:cs="Arial"/>
          <w:color w:val="7B7B7B" w:themeColor="accent3" w:themeShade="BF"/>
          <w:sz w:val="22"/>
          <w:szCs w:val="22"/>
          <w:lang w:val="en-GB"/>
        </w:rPr>
        <w:t>payments, in general, are holders of fixed charges, preferential creditors, employees' wages/salaries and certain taxes such as VAT, then unsecured creditors without a fixed charge such as suppliers and general taxation duties.</w:t>
      </w:r>
    </w:p>
    <w:p w14:paraId="4B55596B" w14:textId="77777777" w:rsidR="009C4ED9" w:rsidRDefault="009C4ED9" w:rsidP="00197F24">
      <w:pPr>
        <w:jc w:val="both"/>
        <w:rPr>
          <w:rFonts w:ascii="Avenir Next" w:hAnsi="Avenir Next" w:cs="Arial"/>
          <w:color w:val="7B7B7B" w:themeColor="accent3" w:themeShade="BF"/>
          <w:sz w:val="22"/>
          <w:szCs w:val="22"/>
          <w:lang w:val="en-GB"/>
        </w:rPr>
      </w:pPr>
    </w:p>
    <w:p w14:paraId="052D35A9" w14:textId="5515548F" w:rsidR="00E746D0" w:rsidRDefault="009C4ED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Post moratorium, the priority of debts can differ</w:t>
      </w:r>
      <w:r w:rsidR="006D3DC7">
        <w:rPr>
          <w:rFonts w:ascii="Avenir Next" w:hAnsi="Avenir Next" w:cs="Arial"/>
          <w:color w:val="7B7B7B" w:themeColor="accent3" w:themeShade="BF"/>
          <w:sz w:val="22"/>
          <w:szCs w:val="22"/>
          <w:lang w:val="en-GB"/>
        </w:rPr>
        <w:t>; S174A, “super-priority,” is given to certain unsecured creditors, such as debts to employees or financial services; these unsecured creditors take priority over liquidators' fees.</w:t>
      </w:r>
    </w:p>
    <w:p w14:paraId="15B36805" w14:textId="77777777" w:rsidR="00E746D0" w:rsidRPr="00197F24" w:rsidRDefault="00E746D0"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572D3F"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572D3F">
        <w:rPr>
          <w:rFonts w:ascii="Avenir Next" w:hAnsi="Avenir Next" w:cs="Arial"/>
          <w:sz w:val="22"/>
          <w:szCs w:val="22"/>
        </w:rPr>
        <w:t xml:space="preserve">Prior to going into compulsory liquidation on 28 February 2024, under pressure from its bank, Ambitus Bank plc, and in order to prevent it from demanding repayment of the company’s loans, Blazer Laser Limited (the Company), granted a debenture in </w:t>
      </w:r>
      <w:proofErr w:type="spellStart"/>
      <w:r w:rsidRPr="00572D3F">
        <w:rPr>
          <w:rFonts w:ascii="Avenir Next" w:hAnsi="Avenir Next" w:cs="Arial"/>
          <w:sz w:val="22"/>
          <w:szCs w:val="22"/>
        </w:rPr>
        <w:t>favour</w:t>
      </w:r>
      <w:proofErr w:type="spellEnd"/>
      <w:r w:rsidRPr="00572D3F">
        <w:rPr>
          <w:rFonts w:ascii="Avenir Next" w:hAnsi="Avenir Next" w:cs="Arial"/>
          <w:sz w:val="22"/>
          <w:szCs w:val="22"/>
        </w:rPr>
        <w:t xml:space="preserve"> of Ambitus Bank plc in June 2023. The debenture contained a floating charge over the whole of the Company’s undertaking.</w:t>
      </w:r>
    </w:p>
    <w:p w14:paraId="7ACCFAD5" w14:textId="77777777" w:rsidR="00880059" w:rsidRPr="00572D3F"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572D3F" w:rsidRDefault="00880059" w:rsidP="00880059">
      <w:pPr>
        <w:pStyle w:val="NormalWeb"/>
        <w:spacing w:before="0" w:beforeAutospacing="0" w:after="0" w:afterAutospacing="0"/>
        <w:jc w:val="both"/>
        <w:rPr>
          <w:rFonts w:ascii="Avenir Next" w:hAnsi="Avenir Next" w:cs="Arial"/>
          <w:sz w:val="22"/>
          <w:szCs w:val="22"/>
        </w:rPr>
      </w:pPr>
      <w:r w:rsidRPr="00572D3F">
        <w:rPr>
          <w:rFonts w:ascii="Avenir Next" w:hAnsi="Avenir Next" w:cs="Arial"/>
          <w:sz w:val="22"/>
          <w:szCs w:val="22"/>
        </w:rPr>
        <w:t>The winding up order followed a creditor’s winding up petition issued on 13 January 2024.</w:t>
      </w:r>
    </w:p>
    <w:p w14:paraId="697A1EA7" w14:textId="77777777" w:rsidR="00880059" w:rsidRPr="00572D3F"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572D3F" w:rsidRDefault="00880059" w:rsidP="00880059">
      <w:pPr>
        <w:pStyle w:val="NormalWeb"/>
        <w:spacing w:before="0" w:beforeAutospacing="0" w:after="0" w:afterAutospacing="0"/>
        <w:jc w:val="both"/>
        <w:rPr>
          <w:rFonts w:ascii="Avenir Next" w:hAnsi="Avenir Next" w:cs="Arial"/>
          <w:sz w:val="22"/>
          <w:szCs w:val="22"/>
        </w:rPr>
      </w:pPr>
      <w:r w:rsidRPr="00572D3F">
        <w:rPr>
          <w:rFonts w:ascii="Avenir Next" w:hAnsi="Avenir Next" w:cs="Arial"/>
          <w:sz w:val="22"/>
          <w:szCs w:val="22"/>
        </w:rPr>
        <w:t xml:space="preserve">Sometime in January 2023, as the Company continued to suffer cash flow problems, the directors approved the sale of two </w:t>
      </w:r>
      <w:r w:rsidR="0002443E" w:rsidRPr="00572D3F">
        <w:rPr>
          <w:rFonts w:ascii="Avenir Next" w:hAnsi="Avenir Next" w:cs="Arial"/>
          <w:sz w:val="22"/>
          <w:szCs w:val="22"/>
        </w:rPr>
        <w:t>laser cutting</w:t>
      </w:r>
      <w:r w:rsidRPr="00572D3F">
        <w:rPr>
          <w:rFonts w:ascii="Avenir Next" w:hAnsi="Avenir Next" w:cs="Arial"/>
          <w:sz w:val="22"/>
          <w:szCs w:val="22"/>
        </w:rPr>
        <w:t xml:space="preserve"> machines to Angela Bannister (a director) for GBP 40,000 in cash. The machines had been bought for GBP 100,000 a year before.</w:t>
      </w:r>
    </w:p>
    <w:p w14:paraId="73BF88A9" w14:textId="77777777" w:rsidR="00880059" w:rsidRPr="00572D3F"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572D3F" w:rsidRDefault="00880059" w:rsidP="00880059">
      <w:pPr>
        <w:pStyle w:val="NormalWeb"/>
        <w:spacing w:before="0" w:beforeAutospacing="0" w:after="0" w:afterAutospacing="0"/>
        <w:jc w:val="both"/>
        <w:rPr>
          <w:rFonts w:ascii="Avenir Next" w:hAnsi="Avenir Next" w:cs="Arial"/>
          <w:sz w:val="22"/>
          <w:szCs w:val="22"/>
          <w:lang w:val="en-GB"/>
        </w:rPr>
      </w:pPr>
      <w:r w:rsidRPr="00572D3F">
        <w:rPr>
          <w:rFonts w:ascii="Avenir Next" w:hAnsi="Avenir Next" w:cs="Arial"/>
          <w:sz w:val="22"/>
          <w:szCs w:val="22"/>
          <w:lang w:val="en-GB"/>
        </w:rPr>
        <w:t xml:space="preserve">A month before the winding up order was made, Angela Bannister received an email from Aluminium </w:t>
      </w:r>
      <w:proofErr w:type="spellStart"/>
      <w:r w:rsidRPr="00572D3F">
        <w:rPr>
          <w:rFonts w:ascii="Avenir Next" w:hAnsi="Avenir Next" w:cs="Arial"/>
          <w:sz w:val="22"/>
          <w:szCs w:val="22"/>
          <w:lang w:val="en-GB"/>
        </w:rPr>
        <w:t>Alumini</w:t>
      </w:r>
      <w:proofErr w:type="spellEnd"/>
      <w:r w:rsidRPr="00572D3F">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572D3F"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572D3F" w:rsidRDefault="00880059" w:rsidP="00880059">
      <w:pPr>
        <w:pStyle w:val="NormalWeb"/>
        <w:spacing w:before="0" w:beforeAutospacing="0" w:after="0" w:afterAutospacing="0"/>
        <w:jc w:val="both"/>
        <w:rPr>
          <w:rFonts w:ascii="Avenir Next" w:hAnsi="Avenir Next" w:cs="Arial"/>
          <w:sz w:val="22"/>
          <w:szCs w:val="22"/>
          <w:lang w:val="en-GB"/>
        </w:rPr>
      </w:pPr>
      <w:r w:rsidRPr="00572D3F">
        <w:rPr>
          <w:rFonts w:ascii="Avenir Next" w:hAnsi="Avenir Next"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26E64678" w:rsidR="00197F24" w:rsidRDefault="008F500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floating charge was created in June 2023 and thus prior to the 15 September 2023, s.176A does not apply. Ambitus Bank can seek to appoint an administrative receiver under s29 1986 Act. The Administrative receiver’s duty will be to the floating charge holder (Ambitus Bank) rather than to rescue the company</w:t>
      </w:r>
      <w:r w:rsidR="00A31260">
        <w:rPr>
          <w:rFonts w:ascii="Avenir Next" w:hAnsi="Avenir Next" w:cs="Arial"/>
          <w:color w:val="7B7B7B" w:themeColor="accent3" w:themeShade="BF"/>
          <w:sz w:val="22"/>
          <w:szCs w:val="22"/>
          <w:lang w:val="en-GB"/>
        </w:rPr>
        <w:t>. However,</w:t>
      </w:r>
      <w:r>
        <w:rPr>
          <w:rFonts w:ascii="Avenir Next" w:hAnsi="Avenir Next" w:cs="Arial"/>
          <w:color w:val="7B7B7B" w:themeColor="accent3" w:themeShade="BF"/>
          <w:sz w:val="22"/>
          <w:szCs w:val="22"/>
          <w:lang w:val="en-GB"/>
        </w:rPr>
        <w:t xml:space="preserve"> in order to receive the best price, the administrative receiver may wish to continue to run the company</w:t>
      </w:r>
      <w:r w:rsidR="00C509A4">
        <w:rPr>
          <w:rFonts w:ascii="Avenir Next" w:hAnsi="Avenir Next" w:cs="Arial"/>
          <w:color w:val="7B7B7B" w:themeColor="accent3" w:themeShade="BF"/>
          <w:sz w:val="22"/>
          <w:szCs w:val="22"/>
          <w:lang w:val="en-GB"/>
        </w:rPr>
        <w:t>; although the company has</w:t>
      </w:r>
      <w:r w:rsidR="00632A01">
        <w:rPr>
          <w:rFonts w:ascii="Avenir Next" w:hAnsi="Avenir Next" w:cs="Arial"/>
          <w:color w:val="7B7B7B" w:themeColor="accent3" w:themeShade="BF"/>
          <w:sz w:val="22"/>
          <w:szCs w:val="22"/>
          <w:lang w:val="en-GB"/>
        </w:rPr>
        <w:t xml:space="preserve"> entered liquidation on 28 February 2024, it is unlikely the company’s fortunes can be turned around.</w:t>
      </w:r>
    </w:p>
    <w:p w14:paraId="5602F3CE" w14:textId="77777777" w:rsidR="00A31260" w:rsidRDefault="00A31260" w:rsidP="00197F24">
      <w:pPr>
        <w:jc w:val="both"/>
        <w:rPr>
          <w:rFonts w:ascii="Avenir Next" w:hAnsi="Avenir Next" w:cs="Arial"/>
          <w:color w:val="7B7B7B" w:themeColor="accent3" w:themeShade="BF"/>
          <w:sz w:val="22"/>
          <w:szCs w:val="22"/>
          <w:lang w:val="en-GB"/>
        </w:rPr>
      </w:pPr>
    </w:p>
    <w:p w14:paraId="7BC54DDC" w14:textId="6B2A20BD" w:rsidR="00A31260" w:rsidRPr="00197F24" w:rsidRDefault="00A3126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Being a secured lender, Ambitus would have </w:t>
      </w:r>
      <w:r w:rsidR="00C509A4">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first priority of payment in the liquidation.</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1ACD7E89" w:rsidR="00197F24" w:rsidRDefault="00A3126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laser cutting machines were sold to Angela Bannister at a substantial undervalue from the price paid for them less than a year earlier; given the machines were sold less than two years prior to the company going into administration, the sale of the two machines is open to attack by the administrators</w:t>
      </w:r>
      <w:r w:rsidR="00C509A4">
        <w:rPr>
          <w:rFonts w:ascii="Avenir Next" w:hAnsi="Avenir Next" w:cs="Arial"/>
          <w:color w:val="7B7B7B" w:themeColor="accent3" w:themeShade="BF"/>
          <w:sz w:val="22"/>
          <w:szCs w:val="22"/>
          <w:lang w:val="en-GB"/>
        </w:rPr>
        <w:t xml:space="preserve"> under s 238(3) of the Act</w:t>
      </w:r>
      <w:r>
        <w:rPr>
          <w:rFonts w:ascii="Avenir Next" w:hAnsi="Avenir Next" w:cs="Arial"/>
          <w:color w:val="7B7B7B" w:themeColor="accent3" w:themeShade="BF"/>
          <w:sz w:val="22"/>
          <w:szCs w:val="22"/>
          <w:lang w:val="en-GB"/>
        </w:rPr>
        <w:t xml:space="preserve">. </w:t>
      </w:r>
    </w:p>
    <w:p w14:paraId="291D55FD" w14:textId="77777777" w:rsidR="00C509A4" w:rsidRDefault="00C509A4" w:rsidP="00197F24">
      <w:pPr>
        <w:jc w:val="both"/>
        <w:rPr>
          <w:rFonts w:ascii="Avenir Next" w:hAnsi="Avenir Next" w:cs="Arial"/>
          <w:color w:val="7B7B7B" w:themeColor="accent3" w:themeShade="BF"/>
          <w:sz w:val="22"/>
          <w:szCs w:val="22"/>
          <w:lang w:val="en-GB"/>
        </w:rPr>
      </w:pPr>
    </w:p>
    <w:p w14:paraId="608EA8D5" w14:textId="3743EEBA" w:rsidR="00C509A4" w:rsidRDefault="00C509A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 that the machines were sold for less than half the price paid a year prior might cause problems as machines would need to be valued. The respondent can argue that they acted in good faith and for the benefit of the company; if the court is satisfied that is the case, it will not make a s.238 order. However, if the court is not satisfied that the machines were undervalued, then the court can make an order restoring the position as if the sale had not taken place. </w:t>
      </w:r>
    </w:p>
    <w:p w14:paraId="09C074F8" w14:textId="77777777" w:rsidR="00C509A4" w:rsidRDefault="00C509A4" w:rsidP="00197F24">
      <w:pPr>
        <w:jc w:val="both"/>
        <w:rPr>
          <w:rFonts w:ascii="Avenir Next" w:hAnsi="Avenir Next" w:cs="Arial"/>
          <w:color w:val="7B7B7B" w:themeColor="accent3" w:themeShade="BF"/>
          <w:sz w:val="22"/>
          <w:szCs w:val="22"/>
          <w:lang w:val="en-GB"/>
        </w:rPr>
      </w:pPr>
    </w:p>
    <w:p w14:paraId="2F25D4AF" w14:textId="41F62717" w:rsidR="00C509A4" w:rsidRPr="00197F24" w:rsidRDefault="00C509A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administrator can also argue that the sale to Angela Bannister, a director of the company, was preferential treatment under s.283</w:t>
      </w:r>
      <w:r w:rsidR="006F3B8C">
        <w:rPr>
          <w:rFonts w:ascii="Avenir Next" w:hAnsi="Avenir Next" w:cs="Arial"/>
          <w:color w:val="7B7B7B" w:themeColor="accent3" w:themeShade="BF"/>
          <w:sz w:val="22"/>
          <w:szCs w:val="22"/>
          <w:lang w:val="en-GB"/>
        </w:rPr>
        <w:t>; it was further argued that as a director, she was a connected person</w:t>
      </w:r>
      <w:r>
        <w:rPr>
          <w:rFonts w:ascii="Avenir Next" w:hAnsi="Avenir Next" w:cs="Arial"/>
          <w:color w:val="7B7B7B" w:themeColor="accent3" w:themeShade="BF"/>
          <w:sz w:val="22"/>
          <w:szCs w:val="22"/>
          <w:lang w:val="en-GB"/>
        </w:rPr>
        <w:t xml:space="preserve">; the court has the </w:t>
      </w:r>
      <w:r w:rsidR="009930C5">
        <w:rPr>
          <w:rFonts w:ascii="Avenir Next" w:hAnsi="Avenir Next" w:cs="Arial"/>
          <w:color w:val="7B7B7B" w:themeColor="accent3" w:themeShade="BF"/>
          <w:sz w:val="22"/>
          <w:szCs w:val="22"/>
          <w:lang w:val="en-GB"/>
        </w:rPr>
        <w:t>power</w:t>
      </w:r>
      <w:r>
        <w:rPr>
          <w:rFonts w:ascii="Avenir Next" w:hAnsi="Avenir Next" w:cs="Arial"/>
          <w:color w:val="7B7B7B" w:themeColor="accent3" w:themeShade="BF"/>
          <w:sz w:val="22"/>
          <w:szCs w:val="22"/>
          <w:lang w:val="en-GB"/>
        </w:rPr>
        <w:t xml:space="preserve"> to preferential treatment and makes an order.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72C79D7A" w14:textId="25DA571A" w:rsidR="00B04033" w:rsidRPr="006925C1" w:rsidRDefault="00B04033" w:rsidP="00B04033">
      <w:pPr>
        <w:rPr>
          <w:rFonts w:ascii="Avenir Next" w:hAnsi="Avenir Next" w:cs="Arial"/>
          <w:b/>
          <w:sz w:val="22"/>
          <w:szCs w:val="22"/>
        </w:rPr>
      </w:pPr>
    </w:p>
    <w:p w14:paraId="5AB3225B" w14:textId="2D878BAF" w:rsidR="00CF3708" w:rsidRPr="00AB17A6" w:rsidRDefault="004845F9" w:rsidP="00CF3708">
      <w:pPr>
        <w:jc w:val="both"/>
        <w:rPr>
          <w:rFonts w:ascii="Avenir Next" w:hAnsi="Avenir Next" w:cs="Arial"/>
          <w:color w:val="000000" w:themeColor="text1"/>
          <w:sz w:val="22"/>
          <w:szCs w:val="22"/>
          <w:lang w:val="en-GB"/>
        </w:rPr>
      </w:pPr>
      <w:r w:rsidRPr="00AB17A6">
        <w:rPr>
          <w:rFonts w:ascii="Avenir Next" w:hAnsi="Avenir Next" w:cs="Arial"/>
          <w:color w:val="000000" w:themeColor="text1"/>
          <w:sz w:val="22"/>
          <w:szCs w:val="22"/>
          <w:lang w:val="en-GB"/>
        </w:rPr>
        <w:t xml:space="preserve">The payment to Aluminium </w:t>
      </w:r>
      <w:proofErr w:type="spellStart"/>
      <w:r w:rsidRPr="00AB17A6">
        <w:rPr>
          <w:rFonts w:ascii="Avenir Next" w:hAnsi="Avenir Next" w:cs="Arial"/>
          <w:color w:val="000000" w:themeColor="text1"/>
          <w:sz w:val="22"/>
          <w:szCs w:val="22"/>
          <w:lang w:val="en-GB"/>
        </w:rPr>
        <w:t>Alumini</w:t>
      </w:r>
      <w:proofErr w:type="spellEnd"/>
      <w:r w:rsidRPr="00AB17A6">
        <w:rPr>
          <w:rFonts w:ascii="Avenir Next" w:hAnsi="Avenir Next" w:cs="Arial"/>
          <w:color w:val="000000" w:themeColor="text1"/>
          <w:sz w:val="22"/>
          <w:szCs w:val="22"/>
          <w:lang w:val="en-GB"/>
        </w:rPr>
        <w:t xml:space="preserve"> </w:t>
      </w:r>
    </w:p>
    <w:p w14:paraId="1B5E2F08" w14:textId="43AA2127" w:rsidR="002D3473" w:rsidRPr="00AB17A6" w:rsidRDefault="002D3473" w:rsidP="00087F21">
      <w:pPr>
        <w:autoSpaceDE w:val="0"/>
        <w:autoSpaceDN w:val="0"/>
        <w:adjustRightInd w:val="0"/>
        <w:jc w:val="both"/>
        <w:rPr>
          <w:rFonts w:ascii="Avenir Next" w:hAnsi="Avenir Next" w:cs="Arial"/>
          <w:color w:val="808080" w:themeColor="background1" w:themeShade="80"/>
          <w:sz w:val="22"/>
          <w:szCs w:val="22"/>
          <w:lang w:val="en-GB"/>
        </w:rPr>
      </w:pPr>
    </w:p>
    <w:p w14:paraId="444C3B0A" w14:textId="41C1F642" w:rsidR="00AB17A6" w:rsidRDefault="00AB17A6" w:rsidP="00AB17A6">
      <w:pPr>
        <w:rPr>
          <w:rFonts w:ascii="Avenir Next" w:hAnsi="Avenir Next" w:cs="Arial"/>
          <w:color w:val="808080" w:themeColor="background1" w:themeShade="80"/>
          <w:sz w:val="22"/>
          <w:szCs w:val="22"/>
        </w:rPr>
      </w:pPr>
      <w:r w:rsidRPr="00AB17A6">
        <w:rPr>
          <w:rFonts w:ascii="Avenir Next" w:hAnsi="Avenir Next" w:cs="Arial"/>
          <w:color w:val="808080" w:themeColor="background1" w:themeShade="80"/>
          <w:sz w:val="22"/>
          <w:szCs w:val="22"/>
        </w:rPr>
        <w:t xml:space="preserve">It can be argued that the payments to </w:t>
      </w:r>
      <w:proofErr w:type="spellStart"/>
      <w:r w:rsidRPr="00AB17A6">
        <w:rPr>
          <w:rFonts w:ascii="Avenir Next" w:hAnsi="Avenir Next" w:cs="Arial"/>
          <w:color w:val="808080" w:themeColor="background1" w:themeShade="80"/>
          <w:sz w:val="22"/>
          <w:szCs w:val="22"/>
        </w:rPr>
        <w:t>Aluminium</w:t>
      </w:r>
      <w:proofErr w:type="spellEnd"/>
      <w:r w:rsidRPr="00AB17A6">
        <w:rPr>
          <w:rFonts w:ascii="Avenir Next" w:hAnsi="Avenir Next" w:cs="Arial"/>
          <w:color w:val="808080" w:themeColor="background1" w:themeShade="80"/>
          <w:sz w:val="22"/>
          <w:szCs w:val="22"/>
        </w:rPr>
        <w:t xml:space="preserve"> </w:t>
      </w:r>
      <w:proofErr w:type="spellStart"/>
      <w:r w:rsidRPr="00AB17A6">
        <w:rPr>
          <w:rFonts w:ascii="Avenir Next" w:hAnsi="Avenir Next" w:cs="Arial"/>
          <w:color w:val="808080" w:themeColor="background1" w:themeShade="80"/>
          <w:sz w:val="22"/>
          <w:szCs w:val="22"/>
        </w:rPr>
        <w:t>Alumini</w:t>
      </w:r>
      <w:proofErr w:type="spellEnd"/>
      <w:r w:rsidRPr="00AB17A6">
        <w:rPr>
          <w:rFonts w:ascii="Avenir Next" w:hAnsi="Avenir Next" w:cs="Arial"/>
          <w:color w:val="808080" w:themeColor="background1" w:themeShade="80"/>
          <w:sz w:val="22"/>
          <w:szCs w:val="22"/>
        </w:rPr>
        <w:t xml:space="preserve"> Ltd </w:t>
      </w:r>
      <w:r>
        <w:rPr>
          <w:rFonts w:ascii="Avenir Next" w:hAnsi="Avenir Next" w:cs="Arial"/>
          <w:color w:val="808080" w:themeColor="background1" w:themeShade="80"/>
          <w:sz w:val="22"/>
          <w:szCs w:val="22"/>
        </w:rPr>
        <w:t xml:space="preserve">were preferred under s 239 of the Act, which is in place to stop a company from </w:t>
      </w:r>
      <w:r w:rsidRPr="00AB17A6">
        <w:rPr>
          <w:rFonts w:ascii="Avenir Next" w:hAnsi="Avenir Next" w:cs="Arial"/>
          <w:color w:val="808080" w:themeColor="background1" w:themeShade="80"/>
          <w:sz w:val="22"/>
          <w:szCs w:val="22"/>
        </w:rPr>
        <w:t>giving preferred treatment to one creditor over another. In this case</w:t>
      </w:r>
      <w:r>
        <w:rPr>
          <w:rFonts w:ascii="Avenir Next" w:hAnsi="Avenir Next" w:cs="Arial"/>
          <w:color w:val="808080" w:themeColor="background1" w:themeShade="80"/>
          <w:sz w:val="22"/>
          <w:szCs w:val="22"/>
        </w:rPr>
        <w:t>, the preferred treatment is</w:t>
      </w:r>
      <w:r w:rsidRPr="00AB17A6">
        <w:rPr>
          <w:rFonts w:ascii="Avenir Next" w:hAnsi="Avenir Next" w:cs="Arial"/>
          <w:color w:val="808080" w:themeColor="background1" w:themeShade="80"/>
          <w:sz w:val="22"/>
          <w:szCs w:val="22"/>
        </w:rPr>
        <w:t xml:space="preserve"> </w:t>
      </w:r>
      <w:proofErr w:type="spellStart"/>
      <w:r w:rsidRPr="00AB17A6">
        <w:rPr>
          <w:rFonts w:ascii="Avenir Next" w:hAnsi="Avenir Next" w:cs="Arial"/>
          <w:color w:val="808080" w:themeColor="background1" w:themeShade="80"/>
          <w:sz w:val="22"/>
          <w:szCs w:val="22"/>
        </w:rPr>
        <w:t>Aluminium</w:t>
      </w:r>
      <w:proofErr w:type="spellEnd"/>
      <w:r w:rsidRPr="00AB17A6">
        <w:rPr>
          <w:rFonts w:ascii="Avenir Next" w:hAnsi="Avenir Next" w:cs="Arial"/>
          <w:color w:val="808080" w:themeColor="background1" w:themeShade="80"/>
          <w:sz w:val="22"/>
          <w:szCs w:val="22"/>
        </w:rPr>
        <w:t xml:space="preserve"> </w:t>
      </w:r>
      <w:proofErr w:type="spellStart"/>
      <w:r w:rsidRPr="00AB17A6">
        <w:rPr>
          <w:rFonts w:ascii="Avenir Next" w:hAnsi="Avenir Next" w:cs="Arial"/>
          <w:color w:val="808080" w:themeColor="background1" w:themeShade="80"/>
          <w:sz w:val="22"/>
          <w:szCs w:val="22"/>
        </w:rPr>
        <w:t>Alumini</w:t>
      </w:r>
      <w:proofErr w:type="spellEnd"/>
      <w:r w:rsidRPr="00AB17A6">
        <w:rPr>
          <w:rFonts w:ascii="Avenir Next" w:hAnsi="Avenir Next" w:cs="Arial"/>
          <w:color w:val="808080" w:themeColor="background1" w:themeShade="80"/>
          <w:sz w:val="22"/>
          <w:szCs w:val="22"/>
        </w:rPr>
        <w:t xml:space="preserve"> over Ambitus Bank. </w:t>
      </w:r>
    </w:p>
    <w:p w14:paraId="32D52500" w14:textId="77777777" w:rsidR="00AB17A6" w:rsidRDefault="00AB17A6" w:rsidP="00AB17A6">
      <w:pPr>
        <w:rPr>
          <w:rFonts w:ascii="Avenir Next" w:hAnsi="Avenir Next" w:cs="Arial"/>
          <w:color w:val="808080" w:themeColor="background1" w:themeShade="80"/>
          <w:sz w:val="22"/>
          <w:szCs w:val="22"/>
        </w:rPr>
      </w:pPr>
    </w:p>
    <w:p w14:paraId="35CA8206" w14:textId="1B467BFE" w:rsidR="00AB17A6" w:rsidRDefault="00AB17A6" w:rsidP="00AB17A6">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the company is already in liquidation</w:t>
      </w:r>
      <w:r w:rsidR="006F3B8C">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 application can be made to the court under s.239</w:t>
      </w:r>
      <w:r w:rsidR="006F3B8C">
        <w:rPr>
          <w:rFonts w:ascii="Avenir Next" w:hAnsi="Avenir Next" w:cs="Arial"/>
          <w:color w:val="808080" w:themeColor="background1" w:themeShade="80"/>
          <w:sz w:val="22"/>
          <w:szCs w:val="22"/>
        </w:rPr>
        <w:t>; the</w:t>
      </w:r>
      <w:r>
        <w:rPr>
          <w:rFonts w:ascii="Avenir Next" w:hAnsi="Avenir Next" w:cs="Arial"/>
          <w:color w:val="808080" w:themeColor="background1" w:themeShade="80"/>
          <w:sz w:val="22"/>
          <w:szCs w:val="22"/>
        </w:rPr>
        <w:t xml:space="preserve"> administer must show:</w:t>
      </w:r>
    </w:p>
    <w:p w14:paraId="6862CD35" w14:textId="77777777" w:rsidR="00AB17A6" w:rsidRDefault="00AB17A6" w:rsidP="00AB17A6">
      <w:pPr>
        <w:rPr>
          <w:rFonts w:ascii="Avenir Next" w:hAnsi="Avenir Next" w:cs="Arial"/>
          <w:color w:val="808080" w:themeColor="background1" w:themeShade="80"/>
          <w:sz w:val="22"/>
          <w:szCs w:val="22"/>
        </w:rPr>
      </w:pPr>
    </w:p>
    <w:p w14:paraId="65F90CDB" w14:textId="1BE90AAD" w:rsidR="00AB17A6" w:rsidRDefault="006F3B8C" w:rsidP="006F3B8C">
      <w:pPr>
        <w:pStyle w:val="ListParagraph"/>
        <w:numPr>
          <w:ilvl w:val="0"/>
          <w:numId w:val="18"/>
        </w:numPr>
        <w:rPr>
          <w:rFonts w:ascii="Avenir Next" w:hAnsi="Avenir Next" w:cs="Arial"/>
          <w:color w:val="808080" w:themeColor="background1" w:themeShade="80"/>
          <w:sz w:val="22"/>
          <w:szCs w:val="22"/>
        </w:rPr>
      </w:pPr>
      <w:proofErr w:type="spellStart"/>
      <w:r w:rsidRPr="00AB17A6">
        <w:rPr>
          <w:rFonts w:ascii="Avenir Next" w:hAnsi="Avenir Next" w:cs="Arial"/>
          <w:color w:val="808080" w:themeColor="background1" w:themeShade="80"/>
          <w:sz w:val="22"/>
          <w:szCs w:val="22"/>
        </w:rPr>
        <w:t>Aluminium</w:t>
      </w:r>
      <w:proofErr w:type="spellEnd"/>
      <w:r w:rsidRPr="00AB17A6">
        <w:rPr>
          <w:rFonts w:ascii="Avenir Next" w:hAnsi="Avenir Next" w:cs="Arial"/>
          <w:color w:val="808080" w:themeColor="background1" w:themeShade="80"/>
          <w:sz w:val="22"/>
          <w:szCs w:val="22"/>
        </w:rPr>
        <w:t xml:space="preserve"> </w:t>
      </w:r>
      <w:proofErr w:type="spellStart"/>
      <w:r w:rsidRPr="00AB17A6">
        <w:rPr>
          <w:rFonts w:ascii="Avenir Next" w:hAnsi="Avenir Next" w:cs="Arial"/>
          <w:color w:val="808080" w:themeColor="background1" w:themeShade="80"/>
          <w:sz w:val="22"/>
          <w:szCs w:val="22"/>
        </w:rPr>
        <w:t>Alumini</w:t>
      </w:r>
      <w:proofErr w:type="spellEnd"/>
      <w:r w:rsidRPr="00AB17A6">
        <w:rPr>
          <w:rFonts w:ascii="Avenir Next" w:hAnsi="Avenir Next" w:cs="Arial"/>
          <w:color w:val="808080" w:themeColor="background1" w:themeShade="80"/>
          <w:sz w:val="22"/>
          <w:szCs w:val="22"/>
        </w:rPr>
        <w:t xml:space="preserve"> Ltd</w:t>
      </w:r>
      <w:r>
        <w:rPr>
          <w:rFonts w:ascii="Avenir Next" w:hAnsi="Avenir Next" w:cs="Arial"/>
          <w:color w:val="808080" w:themeColor="background1" w:themeShade="80"/>
          <w:sz w:val="22"/>
          <w:szCs w:val="22"/>
        </w:rPr>
        <w:t xml:space="preserve"> was at the time of the transaction a creditor of the company,</w:t>
      </w:r>
    </w:p>
    <w:p w14:paraId="2002BE6A" w14:textId="14D790CA" w:rsidR="006F3B8C" w:rsidRDefault="006F3B8C" w:rsidP="006F3B8C">
      <w:pPr>
        <w:pStyle w:val="ListParagraph"/>
        <w:numPr>
          <w:ilvl w:val="0"/>
          <w:numId w:val="18"/>
        </w:num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Something was done (payment of all sums owing and payment in cash on delivery), putting it in a better position in the event ( as has happened) of the company going insolvent. </w:t>
      </w:r>
    </w:p>
    <w:p w14:paraId="55F232F6" w14:textId="7A0F828E" w:rsidR="006F3B8C" w:rsidRDefault="006F3B8C" w:rsidP="006F3B8C">
      <w:pPr>
        <w:pStyle w:val="ListParagraph"/>
        <w:numPr>
          <w:ilvl w:val="0"/>
          <w:numId w:val="18"/>
        </w:num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by giving preference, desired to produce the effect in b above. </w:t>
      </w:r>
    </w:p>
    <w:p w14:paraId="00BCE951" w14:textId="5E86B84F" w:rsidR="006F3B8C" w:rsidRDefault="006F3B8C" w:rsidP="006F3B8C">
      <w:pPr>
        <w:pStyle w:val="ListParagraph"/>
        <w:numPr>
          <w:ilvl w:val="0"/>
          <w:numId w:val="18"/>
        </w:num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the relevant time (2 years)</w:t>
      </w:r>
    </w:p>
    <w:p w14:paraId="4C667A63" w14:textId="77777777" w:rsidR="006F3B8C" w:rsidRDefault="006F3B8C" w:rsidP="006F3B8C">
      <w:pPr>
        <w:rPr>
          <w:rFonts w:ascii="Avenir Next" w:hAnsi="Avenir Next" w:cs="Arial"/>
          <w:color w:val="808080" w:themeColor="background1" w:themeShade="80"/>
          <w:sz w:val="22"/>
          <w:szCs w:val="22"/>
        </w:rPr>
      </w:pPr>
    </w:p>
    <w:p w14:paraId="72A0D82C" w14:textId="1B9C2C21" w:rsidR="006F3B8C" w:rsidRDefault="006F3B8C" w:rsidP="006F3B8C">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cannot argue that </w:t>
      </w:r>
      <w:proofErr w:type="spellStart"/>
      <w:r w:rsidRPr="00AB17A6">
        <w:rPr>
          <w:rFonts w:ascii="Avenir Next" w:hAnsi="Avenir Next" w:cs="Arial"/>
          <w:color w:val="808080" w:themeColor="background1" w:themeShade="80"/>
          <w:sz w:val="22"/>
          <w:szCs w:val="22"/>
        </w:rPr>
        <w:t>Aluminium</w:t>
      </w:r>
      <w:proofErr w:type="spellEnd"/>
      <w:r w:rsidRPr="00AB17A6">
        <w:rPr>
          <w:rFonts w:ascii="Avenir Next" w:hAnsi="Avenir Next" w:cs="Arial"/>
          <w:color w:val="808080" w:themeColor="background1" w:themeShade="80"/>
          <w:sz w:val="22"/>
          <w:szCs w:val="22"/>
        </w:rPr>
        <w:t xml:space="preserve"> </w:t>
      </w:r>
      <w:proofErr w:type="spellStart"/>
      <w:r w:rsidRPr="00AB17A6">
        <w:rPr>
          <w:rFonts w:ascii="Avenir Next" w:hAnsi="Avenir Next" w:cs="Arial"/>
          <w:color w:val="808080" w:themeColor="background1" w:themeShade="80"/>
          <w:sz w:val="22"/>
          <w:szCs w:val="22"/>
        </w:rPr>
        <w:t>Alumini</w:t>
      </w:r>
      <w:proofErr w:type="spellEnd"/>
      <w:r w:rsidRPr="00AB17A6">
        <w:rPr>
          <w:rFonts w:ascii="Avenir Next" w:hAnsi="Avenir Next" w:cs="Arial"/>
          <w:color w:val="808080" w:themeColor="background1" w:themeShade="80"/>
          <w:sz w:val="22"/>
          <w:szCs w:val="22"/>
        </w:rPr>
        <w:t xml:space="preserve"> Ltd</w:t>
      </w:r>
      <w:r>
        <w:rPr>
          <w:rFonts w:ascii="Avenir Next" w:hAnsi="Avenir Next" w:cs="Arial"/>
          <w:color w:val="808080" w:themeColor="background1" w:themeShade="80"/>
          <w:sz w:val="22"/>
          <w:szCs w:val="22"/>
        </w:rPr>
        <w:t xml:space="preserve"> put pressure on it; under the act, pressure is irrelevant. </w:t>
      </w:r>
    </w:p>
    <w:p w14:paraId="32DE094F" w14:textId="77777777" w:rsidR="006F3B8C" w:rsidRDefault="006F3B8C" w:rsidP="006F3B8C">
      <w:pPr>
        <w:rPr>
          <w:rFonts w:ascii="Avenir Next" w:hAnsi="Avenir Next" w:cs="Arial"/>
          <w:color w:val="808080" w:themeColor="background1" w:themeShade="80"/>
          <w:sz w:val="22"/>
          <w:szCs w:val="22"/>
        </w:rPr>
      </w:pPr>
    </w:p>
    <w:p w14:paraId="2D03510B" w14:textId="2DAB2E0D" w:rsidR="006F3B8C" w:rsidRDefault="006F3B8C" w:rsidP="006F3B8C">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Based on the fact it is likely the court will make an order under s.239.</w:t>
      </w:r>
    </w:p>
    <w:p w14:paraId="2C114F0F" w14:textId="77777777" w:rsidR="006F3B8C" w:rsidRDefault="006F3B8C" w:rsidP="006F3B8C">
      <w:pPr>
        <w:rPr>
          <w:rFonts w:ascii="Avenir Next" w:hAnsi="Avenir Next" w:cs="Arial"/>
          <w:color w:val="808080" w:themeColor="background1" w:themeShade="80"/>
          <w:sz w:val="22"/>
          <w:szCs w:val="22"/>
        </w:rPr>
      </w:pPr>
    </w:p>
    <w:p w14:paraId="7FB83E9A" w14:textId="3EF924F6" w:rsidR="006F3B8C" w:rsidRPr="006F3B8C" w:rsidRDefault="006F3B8C" w:rsidP="006F3B8C">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is a presumption that there was a desire to prefer, the reverse burden applies.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1533A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6D8E" w14:textId="77777777" w:rsidR="001533A5" w:rsidRDefault="001533A5" w:rsidP="00241B44">
      <w:r>
        <w:separator/>
      </w:r>
    </w:p>
  </w:endnote>
  <w:endnote w:type="continuationSeparator" w:id="0">
    <w:p w14:paraId="562179FD" w14:textId="77777777" w:rsidR="001533A5" w:rsidRDefault="001533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457DFB6" w:rsidR="00241FA3" w:rsidRPr="00A84235" w:rsidRDefault="003E051B" w:rsidP="009B4976">
    <w:pPr>
      <w:pStyle w:val="Footer"/>
      <w:ind w:right="360"/>
      <w:rPr>
        <w:rFonts w:ascii="Avenir Next" w:hAnsi="Avenir Next" w:cs="Arial"/>
        <w:sz w:val="22"/>
        <w:szCs w:val="22"/>
        <w:lang w:val="en-GB"/>
      </w:rPr>
    </w:pPr>
    <w:r>
      <w:t>202223-845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21E4" w14:textId="77777777" w:rsidR="003E051B" w:rsidRDefault="003E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C223" w14:textId="77777777" w:rsidR="001533A5" w:rsidRDefault="001533A5" w:rsidP="00241B44">
      <w:r>
        <w:separator/>
      </w:r>
    </w:p>
  </w:footnote>
  <w:footnote w:type="continuationSeparator" w:id="0">
    <w:p w14:paraId="725E72FA" w14:textId="77777777" w:rsidR="001533A5" w:rsidRDefault="001533A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D064" w14:textId="77777777" w:rsidR="003E051B" w:rsidRDefault="003E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79B2" w14:textId="77777777" w:rsidR="003E051B" w:rsidRDefault="003E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542" w14:textId="77777777" w:rsidR="003E051B" w:rsidRDefault="003E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46C4"/>
    <w:multiLevelType w:val="hybridMultilevel"/>
    <w:tmpl w:val="FDAAF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8"/>
  </w:num>
  <w:num w:numId="5" w16cid:durableId="1338728706">
    <w:abstractNumId w:val="11"/>
  </w:num>
  <w:num w:numId="6" w16cid:durableId="376245857">
    <w:abstractNumId w:val="2"/>
  </w:num>
  <w:num w:numId="7" w16cid:durableId="1396392877">
    <w:abstractNumId w:val="12"/>
  </w:num>
  <w:num w:numId="8" w16cid:durableId="1599950421">
    <w:abstractNumId w:val="16"/>
  </w:num>
  <w:num w:numId="9" w16cid:durableId="858857530">
    <w:abstractNumId w:val="9"/>
  </w:num>
  <w:num w:numId="10" w16cid:durableId="619802517">
    <w:abstractNumId w:val="17"/>
  </w:num>
  <w:num w:numId="11" w16cid:durableId="1831171333">
    <w:abstractNumId w:val="5"/>
  </w:num>
  <w:num w:numId="12" w16cid:durableId="84155222">
    <w:abstractNumId w:val="14"/>
  </w:num>
  <w:num w:numId="13" w16cid:durableId="1163352382">
    <w:abstractNumId w:val="10"/>
  </w:num>
  <w:num w:numId="14" w16cid:durableId="19356955">
    <w:abstractNumId w:val="4"/>
  </w:num>
  <w:num w:numId="15" w16cid:durableId="439304345">
    <w:abstractNumId w:val="13"/>
  </w:num>
  <w:num w:numId="16" w16cid:durableId="1126969584">
    <w:abstractNumId w:val="15"/>
  </w:num>
  <w:num w:numId="17" w16cid:durableId="1710716489">
    <w:abstractNumId w:val="7"/>
  </w:num>
  <w:num w:numId="18" w16cid:durableId="203550158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F70"/>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33A5"/>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3747"/>
    <w:rsid w:val="003A4482"/>
    <w:rsid w:val="003B170F"/>
    <w:rsid w:val="003B3C5F"/>
    <w:rsid w:val="003C4471"/>
    <w:rsid w:val="003D0A6D"/>
    <w:rsid w:val="003E051B"/>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845F9"/>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2D3F"/>
    <w:rsid w:val="00575B2D"/>
    <w:rsid w:val="005833D0"/>
    <w:rsid w:val="005842C9"/>
    <w:rsid w:val="005846F3"/>
    <w:rsid w:val="0058622F"/>
    <w:rsid w:val="005925B5"/>
    <w:rsid w:val="00592F82"/>
    <w:rsid w:val="005A0CCA"/>
    <w:rsid w:val="005A1083"/>
    <w:rsid w:val="005A5601"/>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A01"/>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3DC7"/>
    <w:rsid w:val="006D65FD"/>
    <w:rsid w:val="006D6BD5"/>
    <w:rsid w:val="006E0D3B"/>
    <w:rsid w:val="006E481A"/>
    <w:rsid w:val="006E5298"/>
    <w:rsid w:val="006F3B8C"/>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32E0"/>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D317C"/>
    <w:rsid w:val="008E3339"/>
    <w:rsid w:val="008F20FC"/>
    <w:rsid w:val="008F5006"/>
    <w:rsid w:val="008F5FFE"/>
    <w:rsid w:val="00905A43"/>
    <w:rsid w:val="00912C79"/>
    <w:rsid w:val="00921B8C"/>
    <w:rsid w:val="00924DAF"/>
    <w:rsid w:val="00931D14"/>
    <w:rsid w:val="00942123"/>
    <w:rsid w:val="00951AA8"/>
    <w:rsid w:val="0095207B"/>
    <w:rsid w:val="00962045"/>
    <w:rsid w:val="00980E61"/>
    <w:rsid w:val="00991428"/>
    <w:rsid w:val="00992676"/>
    <w:rsid w:val="009930C5"/>
    <w:rsid w:val="009954B2"/>
    <w:rsid w:val="00996691"/>
    <w:rsid w:val="009A3AB7"/>
    <w:rsid w:val="009A652D"/>
    <w:rsid w:val="009B0723"/>
    <w:rsid w:val="009B07AD"/>
    <w:rsid w:val="009B0883"/>
    <w:rsid w:val="009B15E2"/>
    <w:rsid w:val="009B4976"/>
    <w:rsid w:val="009C0B8E"/>
    <w:rsid w:val="009C1BC8"/>
    <w:rsid w:val="009C2442"/>
    <w:rsid w:val="009C4ED9"/>
    <w:rsid w:val="009D0811"/>
    <w:rsid w:val="009D0EE1"/>
    <w:rsid w:val="009D3AF0"/>
    <w:rsid w:val="009E2AEB"/>
    <w:rsid w:val="009E2E27"/>
    <w:rsid w:val="009E45DF"/>
    <w:rsid w:val="009E4DE3"/>
    <w:rsid w:val="009F275E"/>
    <w:rsid w:val="00A047EE"/>
    <w:rsid w:val="00A14496"/>
    <w:rsid w:val="00A2274A"/>
    <w:rsid w:val="00A235B7"/>
    <w:rsid w:val="00A263C7"/>
    <w:rsid w:val="00A27A7A"/>
    <w:rsid w:val="00A31260"/>
    <w:rsid w:val="00A34ABE"/>
    <w:rsid w:val="00A407EF"/>
    <w:rsid w:val="00A46B4C"/>
    <w:rsid w:val="00A5117B"/>
    <w:rsid w:val="00A56D34"/>
    <w:rsid w:val="00A60074"/>
    <w:rsid w:val="00A6627C"/>
    <w:rsid w:val="00A71019"/>
    <w:rsid w:val="00A81029"/>
    <w:rsid w:val="00A84235"/>
    <w:rsid w:val="00A845F5"/>
    <w:rsid w:val="00A96489"/>
    <w:rsid w:val="00AA2435"/>
    <w:rsid w:val="00AB17A6"/>
    <w:rsid w:val="00AB2425"/>
    <w:rsid w:val="00AB685C"/>
    <w:rsid w:val="00AB6C2D"/>
    <w:rsid w:val="00AC08F7"/>
    <w:rsid w:val="00AC317D"/>
    <w:rsid w:val="00AC3839"/>
    <w:rsid w:val="00AC7082"/>
    <w:rsid w:val="00AD4BE8"/>
    <w:rsid w:val="00AE2781"/>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09A4"/>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550"/>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46D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14079</Characters>
  <Application>Microsoft Office Word</Application>
  <DocSecurity>0</DocSecurity>
  <Lines>391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Zeena Begum</cp:lastModifiedBy>
  <cp:revision>2</cp:revision>
  <cp:lastPrinted>2019-08-27T05:42:00Z</cp:lastPrinted>
  <dcterms:created xsi:type="dcterms:W3CDTF">2024-02-29T23:24:00Z</dcterms:created>
  <dcterms:modified xsi:type="dcterms:W3CDTF">2024-02-29T23:24:00Z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1583019ee2e9648080ec5ad713de4be573580a1d6c6d0569e47cdea4b822471e</vt:lpwstr>
  </property>
</Properties>
</file>