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69D779C" w:rsidR="004B23A2" w:rsidRDefault="007D0192" w:rsidP="00524728">
      <w:pPr>
        <w:jc w:val="center"/>
        <w:rPr>
          <w:rFonts w:ascii="Arial" w:hAnsi="Arial" w:cs="Arial"/>
          <w:b/>
          <w:sz w:val="22"/>
          <w:szCs w:val="22"/>
        </w:rPr>
      </w:pPr>
      <w:r>
        <w:rPr>
          <w:rFonts w:ascii="Arial" w:hAnsi="Arial" w:cs="Arial"/>
          <w:b/>
          <w:noProof/>
          <w:sz w:val="22"/>
          <w:szCs w:val="22"/>
        </w:rPr>
        <w:drawing>
          <wp:inline distT="0" distB="0" distL="0" distR="0" wp14:anchorId="11321C2B" wp14:editId="5BE6E64B">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E3C07D" w:rsidR="00397D3A" w:rsidRDefault="00397D3A" w:rsidP="00592F82">
      <w:pPr>
        <w:jc w:val="center"/>
        <w:rPr>
          <w:rFonts w:ascii="Arial" w:hAnsi="Arial" w:cs="Arial"/>
          <w:b/>
          <w:sz w:val="22"/>
          <w:szCs w:val="22"/>
        </w:rPr>
      </w:pPr>
    </w:p>
    <w:p w14:paraId="045C7386" w14:textId="06C377C6" w:rsidR="00437297" w:rsidRDefault="00437297" w:rsidP="00592F82">
      <w:pPr>
        <w:jc w:val="center"/>
        <w:rPr>
          <w:rFonts w:ascii="Arial" w:hAnsi="Arial" w:cs="Arial"/>
          <w:b/>
          <w:sz w:val="22"/>
          <w:szCs w:val="22"/>
        </w:rPr>
      </w:pPr>
    </w:p>
    <w:p w14:paraId="13D68906" w14:textId="77777777" w:rsidR="00437297" w:rsidRDefault="00437297"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6C65F4">
        <w:rPr>
          <w:rFonts w:ascii="Avenir Next Demi Bold" w:hAnsi="Avenir Next Demi Bold" w:cs="Arial"/>
          <w:b/>
          <w:bCs/>
          <w:color w:val="000000" w:themeColor="text1"/>
          <w:sz w:val="24"/>
        </w:rPr>
        <w:t xml:space="preserve">SUMMATIVE (FORMAL) </w:t>
      </w:r>
      <w:r w:rsidR="009D0811" w:rsidRPr="006C65F4">
        <w:rPr>
          <w:rFonts w:ascii="Avenir Next Demi Bold" w:hAnsi="Avenir Next Demi Bold" w:cs="Arial"/>
          <w:b/>
          <w:bCs/>
          <w:color w:val="000000" w:themeColor="text1"/>
          <w:sz w:val="24"/>
        </w:rPr>
        <w:t xml:space="preserve">ASSESSMENT: MODULE </w:t>
      </w:r>
      <w:r w:rsidR="002903A7" w:rsidRPr="006C65F4">
        <w:rPr>
          <w:rFonts w:ascii="Avenir Next Demi Bold" w:hAnsi="Avenir Next Demi Bold" w:cs="Arial"/>
          <w:b/>
          <w:bCs/>
          <w:color w:val="000000" w:themeColor="text1"/>
          <w:sz w:val="24"/>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6C65F4">
        <w:rPr>
          <w:rFonts w:ascii="Avenir Next Demi Bold" w:hAnsi="Avenir Next Demi Bold" w:cs="Arial"/>
          <w:b/>
          <w:bCs/>
          <w:color w:val="000000" w:themeColor="text1"/>
          <w:sz w:val="24"/>
        </w:rPr>
        <w:t xml:space="preserve">THE </w:t>
      </w:r>
      <w:r w:rsidR="002903A7" w:rsidRPr="006C65F4">
        <w:rPr>
          <w:rFonts w:ascii="Avenir Next Demi Bold" w:hAnsi="Avenir Next Demi Bold" w:cs="Arial"/>
          <w:b/>
          <w:bCs/>
          <w:color w:val="000000" w:themeColor="text1"/>
          <w:sz w:val="24"/>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28537775" w:rsidR="00397D3A" w:rsidRDefault="00397D3A" w:rsidP="00592F82">
      <w:pPr>
        <w:jc w:val="center"/>
        <w:rPr>
          <w:rFonts w:ascii="Arial" w:hAnsi="Arial" w:cs="Arial"/>
          <w:b/>
          <w:sz w:val="22"/>
          <w:szCs w:val="22"/>
        </w:rPr>
      </w:pPr>
    </w:p>
    <w:p w14:paraId="4051CEA3" w14:textId="31550508" w:rsidR="00397D3A" w:rsidRDefault="00397D3A"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C65F4">
        <w:rPr>
          <w:rFonts w:ascii="Avenir Next" w:hAnsi="Avenir Next" w:cs="Arial"/>
          <w:bCs/>
          <w:color w:val="767171" w:themeColor="background2" w:themeShade="80"/>
          <w:sz w:val="22"/>
          <w:szCs w:val="22"/>
        </w:rPr>
        <w:t xml:space="preserve">This is the </w:t>
      </w:r>
      <w:r w:rsidRPr="006C65F4">
        <w:rPr>
          <w:rFonts w:ascii="Avenir Next Demi Bold" w:hAnsi="Avenir Next Demi Bold" w:cs="Arial"/>
          <w:b/>
          <w:bCs/>
          <w:color w:val="767171" w:themeColor="background2" w:themeShade="80"/>
          <w:sz w:val="22"/>
          <w:szCs w:val="22"/>
        </w:rPr>
        <w:t>summative (formal) assessment</w:t>
      </w:r>
      <w:r w:rsidRPr="006C65F4">
        <w:rPr>
          <w:rFonts w:ascii="Avenir Next" w:hAnsi="Avenir Next" w:cs="Arial"/>
          <w:bCs/>
          <w:color w:val="767171" w:themeColor="background2" w:themeShade="80"/>
          <w:sz w:val="22"/>
          <w:szCs w:val="22"/>
        </w:rPr>
        <w:t xml:space="preserve"> for </w:t>
      </w:r>
      <w:r w:rsidRPr="006C65F4">
        <w:rPr>
          <w:rFonts w:ascii="Avenir Next Demi Bold" w:hAnsi="Avenir Next Demi Bold" w:cs="Arial"/>
          <w:b/>
          <w:bCs/>
          <w:color w:val="767171" w:themeColor="background2" w:themeShade="80"/>
          <w:sz w:val="22"/>
          <w:szCs w:val="22"/>
        </w:rPr>
        <w:t>Module 3A</w:t>
      </w:r>
      <w:r w:rsidRPr="006C65F4">
        <w:rPr>
          <w:rFonts w:ascii="Avenir Next" w:hAnsi="Avenir Next" w:cs="Arial"/>
          <w:bCs/>
          <w:color w:val="767171" w:themeColor="background2" w:themeShade="80"/>
          <w:sz w:val="22"/>
          <w:szCs w:val="22"/>
        </w:rPr>
        <w:t xml:space="preserve"> of this course and is compulsory for all candidates who </w:t>
      </w:r>
      <w:r w:rsidRPr="006C65F4">
        <w:rPr>
          <w:rFonts w:ascii="Avenir Next Demi Bold" w:hAnsi="Avenir Next Demi Bold" w:cs="Arial"/>
          <w:b/>
          <w:bCs/>
          <w:color w:val="767171" w:themeColor="background2" w:themeShade="80"/>
          <w:sz w:val="22"/>
          <w:szCs w:val="22"/>
        </w:rPr>
        <w:t>selected this module as one of their compulsory modules from Module 3</w:t>
      </w:r>
      <w:r w:rsidRPr="006C65F4">
        <w:rPr>
          <w:rFonts w:ascii="Avenir Next" w:hAnsi="Avenir Next" w:cs="Arial"/>
          <w:bCs/>
          <w:color w:val="767171" w:themeColor="background2" w:themeShade="80"/>
          <w:sz w:val="22"/>
          <w:szCs w:val="22"/>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C65F4">
        <w:rPr>
          <w:rFonts w:ascii="Avenir Next" w:hAnsi="Avenir Next" w:cs="Arial"/>
          <w:bCs/>
          <w:color w:val="767171" w:themeColor="background2" w:themeShade="80"/>
          <w:sz w:val="22"/>
          <w:szCs w:val="22"/>
        </w:rPr>
        <w:t xml:space="preserve">If you selected this module as </w:t>
      </w:r>
      <w:r w:rsidRPr="006C65F4">
        <w:rPr>
          <w:rFonts w:ascii="Avenir Next Demi Bold" w:hAnsi="Avenir Next Demi Bold" w:cs="Arial"/>
          <w:b/>
          <w:bCs/>
          <w:color w:val="767171" w:themeColor="background2" w:themeShade="80"/>
          <w:sz w:val="22"/>
          <w:szCs w:val="22"/>
        </w:rPr>
        <w:t>one of your elective modules</w:t>
      </w:r>
      <w:r w:rsidRPr="006C65F4">
        <w:rPr>
          <w:rFonts w:ascii="Avenir Next" w:hAnsi="Avenir Next" w:cs="Arial"/>
          <w:bCs/>
          <w:color w:val="767171" w:themeColor="background2" w:themeShade="80"/>
          <w:sz w:val="22"/>
          <w:szCs w:val="22"/>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C65F4">
        <w:rPr>
          <w:rFonts w:ascii="Avenir Next Demi Bold" w:hAnsi="Avenir Next Demi Bold" w:cs="Arial"/>
          <w:b/>
          <w:bCs/>
          <w:color w:val="767171" w:themeColor="background2" w:themeShade="80"/>
          <w:sz w:val="22"/>
          <w:szCs w:val="22"/>
        </w:rPr>
        <w:t>The mark awarded for this assessment will determine your final mark for Module 3A</w:t>
      </w:r>
      <w:r w:rsidRPr="006C65F4">
        <w:rPr>
          <w:rFonts w:ascii="Avenir Next" w:hAnsi="Avenir Next" w:cs="Arial"/>
          <w:bCs/>
          <w:color w:val="767171" w:themeColor="background2" w:themeShade="80"/>
          <w:sz w:val="22"/>
          <w:szCs w:val="22"/>
        </w:rPr>
        <w:t xml:space="preserve">. </w:t>
      </w:r>
      <w:proofErr w:type="gramStart"/>
      <w:r w:rsidRPr="006C65F4">
        <w:rPr>
          <w:rFonts w:ascii="Avenir Next" w:hAnsi="Avenir Next" w:cs="Arial"/>
          <w:bCs/>
          <w:color w:val="767171" w:themeColor="background2" w:themeShade="80"/>
          <w:sz w:val="22"/>
          <w:szCs w:val="22"/>
        </w:rPr>
        <w:t>In order to</w:t>
      </w:r>
      <w:proofErr w:type="gramEnd"/>
      <w:r w:rsidRPr="006C65F4">
        <w:rPr>
          <w:rFonts w:ascii="Avenir Next" w:hAnsi="Avenir Next" w:cs="Arial"/>
          <w:bCs/>
          <w:color w:val="767171" w:themeColor="background2" w:themeShade="80"/>
          <w:sz w:val="22"/>
          <w:szCs w:val="22"/>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34358FD9" w14:textId="77777777" w:rsidR="00274119" w:rsidRDefault="00274119">
      <w:pPr>
        <w:rPr>
          <w:rFonts w:ascii="Arial" w:hAnsi="Arial" w:cs="Arial"/>
          <w:b/>
          <w:sz w:val="22"/>
          <w:szCs w:val="22"/>
        </w:rPr>
      </w:pPr>
      <w:r>
        <w:rPr>
          <w:rFonts w:ascii="Arial" w:hAnsi="Arial" w:cs="Arial"/>
          <w:b/>
          <w:sz w:val="22"/>
          <w:szCs w:val="22"/>
        </w:rPr>
        <w:br w:type="page"/>
      </w:r>
    </w:p>
    <w:p w14:paraId="3C0D3574" w14:textId="2DFBE965" w:rsidR="0011473D" w:rsidRPr="006C65F4" w:rsidRDefault="00E93993" w:rsidP="00274119">
      <w:pPr>
        <w:jc w:val="center"/>
        <w:rPr>
          <w:rFonts w:ascii="Avenir Next Demi Bold" w:hAnsi="Avenir Next Demi Bold" w:cs="Arial"/>
          <w:b/>
          <w:bCs/>
          <w:sz w:val="22"/>
          <w:szCs w:val="22"/>
          <w:u w:val="single"/>
        </w:rPr>
      </w:pPr>
      <w:r w:rsidRPr="006C65F4">
        <w:rPr>
          <w:rFonts w:ascii="Avenir Next Demi Bold" w:hAnsi="Avenir Next Demi Bold" w:cs="Arial"/>
          <w:b/>
          <w:bCs/>
          <w:sz w:val="22"/>
          <w:szCs w:val="22"/>
          <w:u w:val="single"/>
        </w:rPr>
        <w:lastRenderedPageBreak/>
        <w:t>I</w:t>
      </w:r>
      <w:r w:rsidR="0011473D" w:rsidRPr="006C65F4">
        <w:rPr>
          <w:rFonts w:ascii="Avenir Next Demi Bold" w:hAnsi="Avenir Next Demi Bold" w:cs="Arial"/>
          <w:b/>
          <w:bCs/>
          <w:sz w:val="22"/>
          <w:szCs w:val="22"/>
          <w:u w:val="single"/>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rPr>
      </w:pPr>
    </w:p>
    <w:p w14:paraId="173B0B40" w14:textId="77777777" w:rsidR="00397D3A" w:rsidRPr="006C65F4" w:rsidRDefault="00397D3A" w:rsidP="00592F82">
      <w:pPr>
        <w:jc w:val="both"/>
        <w:rPr>
          <w:rFonts w:ascii="Avenir Next" w:hAnsi="Avenir Next" w:cs="Arial"/>
          <w:b/>
          <w:sz w:val="22"/>
          <w:szCs w:val="22"/>
        </w:rPr>
      </w:pPr>
    </w:p>
    <w:p w14:paraId="21CFB3AD" w14:textId="77777777" w:rsidR="00C651D6" w:rsidRPr="006C65F4" w:rsidRDefault="00C651D6" w:rsidP="00C651D6">
      <w:pPr>
        <w:jc w:val="both"/>
        <w:rPr>
          <w:rFonts w:ascii="Avenir Next Demi Bold" w:hAnsi="Avenir Next Demi Bold" w:cs="Arial"/>
          <w:b/>
          <w:bCs/>
          <w:sz w:val="22"/>
          <w:szCs w:val="22"/>
        </w:rPr>
      </w:pPr>
      <w:r w:rsidRPr="006C65F4">
        <w:rPr>
          <w:rFonts w:ascii="Avenir Next Demi Bold" w:hAnsi="Avenir Next Demi Bold" w:cs="Arial"/>
          <w:b/>
          <w:bCs/>
          <w:sz w:val="22"/>
          <w:szCs w:val="22"/>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rPr>
      </w:pPr>
    </w:p>
    <w:p w14:paraId="26A86F78" w14:textId="77777777"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bCs/>
          <w:sz w:val="22"/>
          <w:szCs w:val="22"/>
        </w:rPr>
        <w:t>1.</w:t>
      </w:r>
      <w:r w:rsidRPr="006C65F4">
        <w:rPr>
          <w:rFonts w:ascii="Avenir Next" w:hAnsi="Avenir Next" w:cs="Arial"/>
          <w:sz w:val="22"/>
          <w:szCs w:val="22"/>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bCs/>
          <w:sz w:val="22"/>
          <w:szCs w:val="22"/>
        </w:rPr>
        <w:t>2.</w:t>
      </w:r>
      <w:r w:rsidRPr="006C65F4">
        <w:rPr>
          <w:rFonts w:ascii="Avenir Next" w:hAnsi="Avenir Next" w:cs="Arial"/>
          <w:sz w:val="22"/>
          <w:szCs w:val="22"/>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rPr>
        <w:t>please do not change the document settings in any way</w:t>
      </w:r>
      <w:r w:rsidRPr="006C65F4">
        <w:rPr>
          <w:rFonts w:ascii="Avenir Next" w:hAnsi="Avenir Next" w:cs="Arial"/>
          <w:sz w:val="22"/>
          <w:szCs w:val="22"/>
        </w:rPr>
        <w:t>.</w:t>
      </w:r>
      <w:r w:rsidRPr="006C65F4">
        <w:rPr>
          <w:rFonts w:ascii="Avenir Next Demi Bold" w:hAnsi="Avenir Next Demi Bold" w:cs="Arial"/>
          <w:b/>
          <w:bCs/>
          <w:sz w:val="22"/>
          <w:szCs w:val="22"/>
        </w:rPr>
        <w:t xml:space="preserve"> DO NOT </w:t>
      </w:r>
      <w:r w:rsidRPr="006C65F4">
        <w:rPr>
          <w:rFonts w:ascii="Avenir Next" w:hAnsi="Avenir Next" w:cs="Arial"/>
          <w:sz w:val="22"/>
          <w:szCs w:val="22"/>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sz w:val="22"/>
          <w:szCs w:val="22"/>
        </w:rPr>
        <w:t>3.</w:t>
      </w:r>
      <w:r w:rsidRPr="006C65F4">
        <w:rPr>
          <w:rFonts w:ascii="Avenir Next" w:hAnsi="Avenir Next" w:cs="Arial"/>
          <w:sz w:val="22"/>
          <w:szCs w:val="22"/>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rPr>
        <w:t>More often than not</w:t>
      </w:r>
      <w:proofErr w:type="gramEnd"/>
      <w:r w:rsidRPr="006C65F4">
        <w:rPr>
          <w:rFonts w:ascii="Avenir Next" w:hAnsi="Avenir Next" w:cs="Arial"/>
          <w:sz w:val="22"/>
          <w:szCs w:val="22"/>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bCs/>
          <w:sz w:val="22"/>
          <w:szCs w:val="22"/>
        </w:rPr>
        <w:t>4.</w:t>
      </w:r>
      <w:r w:rsidRPr="006C65F4">
        <w:rPr>
          <w:rFonts w:ascii="Avenir Next" w:hAnsi="Avenir Next" w:cs="Arial"/>
          <w:sz w:val="22"/>
          <w:szCs w:val="22"/>
        </w:rPr>
        <w:tab/>
        <w:t xml:space="preserve">You must save this document using the following format: </w:t>
      </w:r>
      <w:r w:rsidRPr="006C65F4">
        <w:rPr>
          <w:rFonts w:ascii="Avenir Next Demi Bold" w:hAnsi="Avenir Next Demi Bold" w:cs="Arial"/>
          <w:b/>
          <w:bCs/>
          <w:sz w:val="22"/>
          <w:szCs w:val="22"/>
          <w:lang w:eastAsia="en-GB"/>
        </w:rPr>
        <w:t>[student</w:t>
      </w:r>
      <w:r w:rsidR="007D0192" w:rsidRPr="006C65F4">
        <w:rPr>
          <w:rFonts w:ascii="Avenir Next Demi Bold" w:hAnsi="Avenir Next Demi Bold" w:cs="Arial"/>
          <w:b/>
          <w:bCs/>
          <w:sz w:val="22"/>
          <w:szCs w:val="22"/>
          <w:lang w:eastAsia="en-GB"/>
        </w:rPr>
        <w:t>ID</w:t>
      </w:r>
      <w:r w:rsidRPr="006C65F4">
        <w:rPr>
          <w:rFonts w:ascii="Avenir Next Demi Bold" w:hAnsi="Avenir Next Demi Bold" w:cs="Arial"/>
          <w:b/>
          <w:bCs/>
          <w:sz w:val="22"/>
          <w:szCs w:val="22"/>
          <w:lang w:eastAsia="en-GB"/>
        </w:rPr>
        <w:t>.assessment3A]</w:t>
      </w:r>
      <w:r w:rsidRPr="006C65F4">
        <w:rPr>
          <w:rFonts w:ascii="Avenir Next" w:hAnsi="Avenir Next" w:cs="Arial"/>
          <w:sz w:val="22"/>
          <w:szCs w:val="22"/>
          <w:lang w:eastAsia="en-GB"/>
        </w:rPr>
        <w:t>. An example would be something along the following lines: 202</w:t>
      </w:r>
      <w:r w:rsidR="006C65F4">
        <w:rPr>
          <w:rFonts w:ascii="Avenir Next" w:hAnsi="Avenir Next" w:cs="Arial"/>
          <w:sz w:val="22"/>
          <w:szCs w:val="22"/>
          <w:lang w:eastAsia="en-GB"/>
        </w:rPr>
        <w:t>2</w:t>
      </w:r>
      <w:r w:rsidRPr="006C65F4">
        <w:rPr>
          <w:rFonts w:ascii="Avenir Next" w:hAnsi="Avenir Next" w:cs="Arial"/>
          <w:sz w:val="22"/>
          <w:szCs w:val="22"/>
          <w:lang w:eastAsia="en-GB"/>
        </w:rPr>
        <w:t>2</w:t>
      </w:r>
      <w:r w:rsidR="006C65F4">
        <w:rPr>
          <w:rFonts w:ascii="Avenir Next" w:hAnsi="Avenir Next" w:cs="Arial"/>
          <w:sz w:val="22"/>
          <w:szCs w:val="22"/>
          <w:lang w:eastAsia="en-GB"/>
        </w:rPr>
        <w:t>3</w:t>
      </w:r>
      <w:r w:rsidRPr="006C65F4">
        <w:rPr>
          <w:rFonts w:ascii="Avenir Next" w:hAnsi="Avenir Next" w:cs="Arial"/>
          <w:sz w:val="22"/>
          <w:szCs w:val="22"/>
          <w:lang w:eastAsia="en-GB"/>
        </w:rPr>
        <w:t>-</w:t>
      </w:r>
      <w:r w:rsidR="006C65F4">
        <w:rPr>
          <w:rFonts w:ascii="Avenir Next" w:hAnsi="Avenir Next" w:cs="Arial"/>
          <w:sz w:val="22"/>
          <w:szCs w:val="22"/>
          <w:lang w:eastAsia="en-GB"/>
        </w:rPr>
        <w:t>336</w:t>
      </w:r>
      <w:r w:rsidRPr="006C65F4">
        <w:rPr>
          <w:rFonts w:ascii="Avenir Next" w:hAnsi="Avenir Next" w:cs="Arial"/>
          <w:sz w:val="22"/>
          <w:szCs w:val="22"/>
          <w:lang w:eastAsia="en-GB"/>
        </w:rPr>
        <w:t>.assessment3A</w:t>
      </w:r>
      <w:r w:rsidRPr="006C65F4">
        <w:rPr>
          <w:rFonts w:ascii="Avenir Next" w:hAnsi="Avenir Next" w:cs="Arial"/>
          <w:sz w:val="22"/>
          <w:szCs w:val="22"/>
        </w:rPr>
        <w:t xml:space="preserve">. </w:t>
      </w:r>
      <w:r w:rsidRPr="00D61CC1">
        <w:rPr>
          <w:rFonts w:ascii="Avenir Next Demi Bold" w:hAnsi="Avenir Next Demi Bold" w:cs="Arial"/>
          <w:b/>
          <w:bCs/>
          <w:sz w:val="22"/>
          <w:szCs w:val="22"/>
        </w:rPr>
        <w:t xml:space="preserve">Please also include the filename as a footer to each page of the assessment </w:t>
      </w:r>
      <w:r w:rsidRPr="006C65F4">
        <w:rPr>
          <w:rFonts w:ascii="Avenir Next" w:hAnsi="Avenir Next" w:cs="Arial"/>
          <w:bCs/>
          <w:sz w:val="22"/>
          <w:szCs w:val="22"/>
        </w:rPr>
        <w:t>(this has been pre-populated for you, merely replace the words “student number” with the student number allocated to you)</w:t>
      </w:r>
      <w:r w:rsidRPr="006C65F4">
        <w:rPr>
          <w:rFonts w:ascii="Avenir Next" w:hAnsi="Avenir Next" w:cs="Arial"/>
          <w:sz w:val="22"/>
          <w:szCs w:val="22"/>
        </w:rPr>
        <w:t xml:space="preserve">. Do not include your name or any other identifying words in your file name. </w:t>
      </w:r>
      <w:r w:rsidRPr="00D61CC1">
        <w:rPr>
          <w:rFonts w:ascii="Avenir Next Demi Bold" w:hAnsi="Avenir Next Demi Bold" w:cs="Arial"/>
          <w:b/>
          <w:bCs/>
          <w:sz w:val="22"/>
          <w:szCs w:val="22"/>
        </w:rPr>
        <w:t>Assessments that do not comply with this instruction will be returned to candidates unmarked</w:t>
      </w:r>
      <w:r w:rsidRPr="006C65F4">
        <w:rPr>
          <w:rFonts w:ascii="Avenir Next" w:hAnsi="Avenir Next" w:cs="Arial"/>
          <w:sz w:val="22"/>
          <w:szCs w:val="22"/>
        </w:rPr>
        <w:t>.</w:t>
      </w:r>
    </w:p>
    <w:p w14:paraId="14FCA020" w14:textId="77777777"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bCs/>
          <w:sz w:val="22"/>
          <w:szCs w:val="22"/>
        </w:rPr>
        <w:t>5.</w:t>
      </w:r>
      <w:r w:rsidRPr="006C65F4">
        <w:rPr>
          <w:rFonts w:ascii="Avenir Next" w:hAnsi="Avenir Next"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rPr>
        <w:t>.</w:t>
      </w:r>
    </w:p>
    <w:p w14:paraId="6612D65D" w14:textId="6BA00CD2"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bCs/>
          <w:sz w:val="22"/>
          <w:szCs w:val="22"/>
        </w:rPr>
        <w:t>6.1</w:t>
      </w:r>
      <w:r w:rsidRPr="006C65F4">
        <w:rPr>
          <w:rFonts w:ascii="Avenir Next" w:hAnsi="Avenir Next" w:cs="Arial"/>
          <w:b/>
          <w:sz w:val="22"/>
          <w:szCs w:val="22"/>
        </w:rPr>
        <w:tab/>
      </w:r>
      <w:r w:rsidRPr="006C65F4">
        <w:rPr>
          <w:rFonts w:ascii="Avenir Next" w:hAnsi="Avenir Next" w:cs="Arial"/>
          <w:bCs/>
          <w:sz w:val="22"/>
          <w:szCs w:val="22"/>
        </w:rPr>
        <w:t xml:space="preserve">If you selected Module </w:t>
      </w:r>
      <w:r w:rsidR="00DA1D45" w:rsidRPr="006C65F4">
        <w:rPr>
          <w:rFonts w:ascii="Avenir Next" w:hAnsi="Avenir Next" w:cs="Arial"/>
          <w:bCs/>
          <w:sz w:val="22"/>
          <w:szCs w:val="22"/>
        </w:rPr>
        <w:t>3</w:t>
      </w:r>
      <w:r w:rsidRPr="006C65F4">
        <w:rPr>
          <w:rFonts w:ascii="Avenir Next" w:hAnsi="Avenir Next" w:cs="Arial"/>
          <w:bCs/>
          <w:sz w:val="22"/>
          <w:szCs w:val="22"/>
        </w:rPr>
        <w:t xml:space="preserve">A as one of your </w:t>
      </w:r>
      <w:r w:rsidRPr="00D61CC1">
        <w:rPr>
          <w:rFonts w:ascii="Avenir Next Demi Bold" w:hAnsi="Avenir Next Demi Bold" w:cs="Arial"/>
          <w:b/>
          <w:bCs/>
          <w:sz w:val="22"/>
          <w:szCs w:val="22"/>
        </w:rPr>
        <w:t>compulsory modules</w:t>
      </w:r>
      <w:r w:rsidRPr="006C65F4">
        <w:rPr>
          <w:rFonts w:ascii="Avenir Next" w:hAnsi="Avenir Next" w:cs="Arial"/>
          <w:bCs/>
          <w:sz w:val="22"/>
          <w:szCs w:val="22"/>
        </w:rPr>
        <w:t xml:space="preserve"> (see the e-mail that was sent to you when your place on the course was confirmed), the</w:t>
      </w:r>
      <w:r w:rsidRPr="006C65F4">
        <w:rPr>
          <w:rFonts w:ascii="Avenir Next" w:hAnsi="Avenir Next" w:cs="Arial"/>
          <w:sz w:val="22"/>
          <w:szCs w:val="22"/>
        </w:rPr>
        <w:t xml:space="preserve"> final time and date for the submission of this assessment is </w:t>
      </w:r>
      <w:r w:rsidRPr="00D61CC1">
        <w:rPr>
          <w:rFonts w:ascii="Avenir Next Demi Bold" w:hAnsi="Avenir Next Demi Bold" w:cs="Arial"/>
          <w:b/>
          <w:bCs/>
          <w:sz w:val="22"/>
          <w:szCs w:val="22"/>
        </w:rPr>
        <w:t>23:00 (11 pm) GMT on 1 March 202</w:t>
      </w:r>
      <w:r w:rsidR="00730B0A">
        <w:rPr>
          <w:rFonts w:ascii="Avenir Next Demi Bold" w:hAnsi="Avenir Next Demi Bold" w:cs="Arial"/>
          <w:b/>
          <w:bCs/>
          <w:sz w:val="22"/>
          <w:szCs w:val="22"/>
        </w:rPr>
        <w:t>4</w:t>
      </w:r>
      <w:r w:rsidRPr="006C65F4">
        <w:rPr>
          <w:rFonts w:ascii="Avenir Next" w:hAnsi="Avenir Next" w:cs="Arial"/>
          <w:sz w:val="22"/>
          <w:szCs w:val="22"/>
        </w:rPr>
        <w:t xml:space="preserve">. The assessment submission portal will close at </w:t>
      </w:r>
      <w:r w:rsidRPr="006C65F4">
        <w:rPr>
          <w:rFonts w:ascii="Avenir Next" w:hAnsi="Avenir Next" w:cs="Arial"/>
          <w:bCs/>
          <w:sz w:val="22"/>
          <w:szCs w:val="22"/>
        </w:rPr>
        <w:t>23:00 (11 pm) GMT on 1 March 202</w:t>
      </w:r>
      <w:r w:rsidR="00730B0A">
        <w:rPr>
          <w:rFonts w:ascii="Avenir Next" w:hAnsi="Avenir Next" w:cs="Arial"/>
          <w:bCs/>
          <w:sz w:val="22"/>
          <w:szCs w:val="22"/>
        </w:rPr>
        <w:t>4</w:t>
      </w:r>
      <w:r w:rsidRPr="006C65F4">
        <w:rPr>
          <w:rFonts w:ascii="Avenir Next" w:hAnsi="Avenir Next" w:cs="Arial"/>
          <w:sz w:val="22"/>
          <w:szCs w:val="22"/>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rPr>
      </w:pPr>
      <w:r w:rsidRPr="006C65F4">
        <w:rPr>
          <w:rFonts w:ascii="Avenir Next" w:hAnsi="Avenir Next" w:cs="Arial"/>
          <w:sz w:val="22"/>
          <w:szCs w:val="22"/>
        </w:rPr>
        <w:t>6.2</w:t>
      </w:r>
      <w:r w:rsidRPr="006C65F4">
        <w:rPr>
          <w:rFonts w:ascii="Avenir Next" w:hAnsi="Avenir Next" w:cs="Arial"/>
          <w:sz w:val="22"/>
          <w:szCs w:val="22"/>
        </w:rPr>
        <w:tab/>
        <w:t xml:space="preserve">If you selected Module </w:t>
      </w:r>
      <w:r w:rsidR="00DA1D45" w:rsidRPr="006C65F4">
        <w:rPr>
          <w:rFonts w:ascii="Avenir Next" w:hAnsi="Avenir Next" w:cs="Arial"/>
          <w:sz w:val="22"/>
          <w:szCs w:val="22"/>
        </w:rPr>
        <w:t>3A</w:t>
      </w:r>
      <w:r w:rsidRPr="006C65F4">
        <w:rPr>
          <w:rFonts w:ascii="Avenir Next" w:hAnsi="Avenir Next" w:cs="Arial"/>
          <w:sz w:val="22"/>
          <w:szCs w:val="22"/>
        </w:rPr>
        <w:t xml:space="preserve"> as one of your </w:t>
      </w:r>
      <w:r w:rsidRPr="00D61CC1">
        <w:rPr>
          <w:rFonts w:ascii="Avenir Next Demi Bold" w:hAnsi="Avenir Next Demi Bold" w:cs="Arial"/>
          <w:b/>
          <w:bCs/>
          <w:sz w:val="22"/>
          <w:szCs w:val="22"/>
        </w:rPr>
        <w:t xml:space="preserve">elective modules </w:t>
      </w:r>
      <w:r w:rsidRPr="006C65F4">
        <w:rPr>
          <w:rFonts w:ascii="Avenir Next" w:hAnsi="Avenir Next" w:cs="Arial"/>
          <w:sz w:val="22"/>
          <w:szCs w:val="22"/>
        </w:rPr>
        <w:t xml:space="preserve">(see the e-mail that was sent to you </w:t>
      </w:r>
      <w:r w:rsidRPr="006C65F4">
        <w:rPr>
          <w:rFonts w:ascii="Avenir Next" w:hAnsi="Avenir Next" w:cs="Arial"/>
          <w:bCs/>
          <w:sz w:val="22"/>
          <w:szCs w:val="22"/>
        </w:rPr>
        <w:t>when your place on the course was confirmed</w:t>
      </w:r>
      <w:r w:rsidRPr="006C65F4">
        <w:rPr>
          <w:rFonts w:ascii="Avenir Next" w:hAnsi="Avenir Next" w:cs="Arial"/>
          <w:sz w:val="22"/>
          <w:szCs w:val="22"/>
        </w:rPr>
        <w:t xml:space="preserve">), you have a </w:t>
      </w:r>
      <w:r w:rsidRPr="00D61CC1">
        <w:rPr>
          <w:rFonts w:ascii="Avenir Next Demi Bold" w:hAnsi="Avenir Next Demi Bold" w:cs="Arial"/>
          <w:b/>
          <w:bCs/>
          <w:sz w:val="22"/>
          <w:szCs w:val="22"/>
        </w:rPr>
        <w:t>choice</w:t>
      </w:r>
      <w:r w:rsidRPr="006C65F4">
        <w:rPr>
          <w:rFonts w:ascii="Avenir Next" w:hAnsi="Avenir Next" w:cs="Arial"/>
          <w:sz w:val="22"/>
          <w:szCs w:val="22"/>
        </w:rPr>
        <w:t xml:space="preserve"> as to when you may submit this assessment. You may either submit the assessment by </w:t>
      </w:r>
      <w:r w:rsidRPr="00D61CC1">
        <w:rPr>
          <w:rFonts w:ascii="Avenir Next Demi Bold" w:hAnsi="Avenir Next Demi Bold" w:cs="Arial"/>
          <w:b/>
          <w:bCs/>
          <w:sz w:val="22"/>
          <w:szCs w:val="22"/>
        </w:rPr>
        <w:t>23:00 (11 pm) GMT on 1 March 202</w:t>
      </w:r>
      <w:r w:rsidR="00380ED3">
        <w:rPr>
          <w:rFonts w:ascii="Avenir Next Demi Bold" w:hAnsi="Avenir Next Demi Bold" w:cs="Arial"/>
          <w:b/>
          <w:bCs/>
          <w:sz w:val="22"/>
          <w:szCs w:val="22"/>
        </w:rPr>
        <w:t>4</w:t>
      </w:r>
      <w:r w:rsidRPr="006C65F4">
        <w:rPr>
          <w:rFonts w:ascii="Avenir Next" w:hAnsi="Avenir Next" w:cs="Arial"/>
          <w:sz w:val="22"/>
          <w:szCs w:val="22"/>
        </w:rPr>
        <w:t xml:space="preserve"> or by </w:t>
      </w:r>
      <w:r w:rsidRPr="00D61CC1">
        <w:rPr>
          <w:rFonts w:ascii="Avenir Next Demi Bold" w:hAnsi="Avenir Next Demi Bold" w:cs="Arial"/>
          <w:b/>
          <w:bCs/>
          <w:sz w:val="22"/>
          <w:szCs w:val="22"/>
        </w:rPr>
        <w:t xml:space="preserve">23:00 (11 pm) BST </w:t>
      </w:r>
      <w:r w:rsidR="007D0192" w:rsidRPr="00D61CC1">
        <w:rPr>
          <w:rFonts w:ascii="Avenir Next Demi Bold" w:hAnsi="Avenir Next Demi Bold" w:cs="Arial"/>
          <w:b/>
          <w:bCs/>
          <w:sz w:val="22"/>
          <w:szCs w:val="22"/>
        </w:rPr>
        <w:t xml:space="preserve">(GMT +1) </w:t>
      </w:r>
      <w:r w:rsidRPr="00D61CC1">
        <w:rPr>
          <w:rFonts w:ascii="Avenir Next Demi Bold" w:hAnsi="Avenir Next Demi Bold" w:cs="Arial"/>
          <w:b/>
          <w:bCs/>
          <w:sz w:val="22"/>
          <w:szCs w:val="22"/>
        </w:rPr>
        <w:t>on 31 July 202</w:t>
      </w:r>
      <w:r w:rsidR="00380ED3">
        <w:rPr>
          <w:rFonts w:ascii="Avenir Next Demi Bold" w:hAnsi="Avenir Next Demi Bold" w:cs="Arial"/>
          <w:b/>
          <w:bCs/>
          <w:sz w:val="22"/>
          <w:szCs w:val="22"/>
        </w:rPr>
        <w:t>4</w:t>
      </w:r>
      <w:r w:rsidRPr="006C65F4">
        <w:rPr>
          <w:rFonts w:ascii="Avenir Next" w:hAnsi="Avenir Next" w:cs="Arial"/>
          <w:sz w:val="22"/>
          <w:szCs w:val="22"/>
        </w:rPr>
        <w:t>. If you elect to submit by 1 March 202</w:t>
      </w:r>
      <w:r w:rsidR="00380ED3">
        <w:rPr>
          <w:rFonts w:ascii="Avenir Next" w:hAnsi="Avenir Next" w:cs="Arial"/>
          <w:sz w:val="22"/>
          <w:szCs w:val="22"/>
        </w:rPr>
        <w:t>4</w:t>
      </w:r>
      <w:r w:rsidRPr="006C65F4">
        <w:rPr>
          <w:rFonts w:ascii="Avenir Next" w:hAnsi="Avenir Next" w:cs="Arial"/>
          <w:sz w:val="22"/>
          <w:szCs w:val="22"/>
        </w:rPr>
        <w:t xml:space="preserve">, you </w:t>
      </w:r>
      <w:r w:rsidRPr="00D61CC1">
        <w:rPr>
          <w:rFonts w:ascii="Avenir Next Demi Bold" w:hAnsi="Avenir Next Demi Bold" w:cs="Arial"/>
          <w:b/>
          <w:bCs/>
          <w:sz w:val="22"/>
          <w:szCs w:val="22"/>
        </w:rPr>
        <w:t>may not</w:t>
      </w:r>
      <w:r w:rsidRPr="006C65F4">
        <w:rPr>
          <w:rFonts w:ascii="Avenir Next" w:hAnsi="Avenir Next" w:cs="Arial"/>
          <w:sz w:val="22"/>
          <w:szCs w:val="22"/>
        </w:rPr>
        <w:t xml:space="preserve"> submit the assessment again by 31 July 202</w:t>
      </w:r>
      <w:r w:rsidR="00380ED3">
        <w:rPr>
          <w:rFonts w:ascii="Avenir Next" w:hAnsi="Avenir Next" w:cs="Arial"/>
          <w:sz w:val="22"/>
          <w:szCs w:val="22"/>
        </w:rPr>
        <w:t>4</w:t>
      </w:r>
      <w:r w:rsidRPr="006C65F4">
        <w:rPr>
          <w:rFonts w:ascii="Avenir Next" w:hAnsi="Avenir Next" w:cs="Arial"/>
          <w:sz w:val="22"/>
          <w:szCs w:val="22"/>
        </w:rPr>
        <w:t xml:space="preserve"> (for example, </w:t>
      </w:r>
      <w:proofErr w:type="gramStart"/>
      <w:r w:rsidRPr="006C65F4">
        <w:rPr>
          <w:rFonts w:ascii="Avenir Next" w:hAnsi="Avenir Next" w:cs="Arial"/>
          <w:sz w:val="22"/>
          <w:szCs w:val="22"/>
        </w:rPr>
        <w:t>in order to</w:t>
      </w:r>
      <w:proofErr w:type="gramEnd"/>
      <w:r w:rsidRPr="006C65F4">
        <w:rPr>
          <w:rFonts w:ascii="Avenir Next" w:hAnsi="Avenir Next" w:cs="Arial"/>
          <w:sz w:val="22"/>
          <w:szCs w:val="22"/>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rPr>
      </w:pPr>
      <w:r w:rsidRPr="006C65F4">
        <w:rPr>
          <w:rFonts w:ascii="Avenir Next" w:hAnsi="Avenir Next" w:cs="Arial"/>
          <w:sz w:val="22"/>
          <w:szCs w:val="22"/>
        </w:rPr>
        <w:t>7.</w:t>
      </w:r>
      <w:r w:rsidRPr="006C65F4">
        <w:rPr>
          <w:rFonts w:ascii="Avenir Next" w:hAnsi="Avenir Next" w:cs="Arial"/>
          <w:sz w:val="22"/>
          <w:szCs w:val="22"/>
        </w:rPr>
        <w:tab/>
        <w:t xml:space="preserve">Prior to being populated with your answers, this assessment consists of </w:t>
      </w:r>
      <w:r w:rsidR="001D3BAA">
        <w:rPr>
          <w:rFonts w:ascii="Avenir Next Demi Bold" w:hAnsi="Avenir Next Demi Bold" w:cs="Arial"/>
          <w:b/>
          <w:bCs/>
          <w:sz w:val="22"/>
          <w:szCs w:val="22"/>
        </w:rPr>
        <w:t>9</w:t>
      </w:r>
      <w:r w:rsidRPr="00D61CC1">
        <w:rPr>
          <w:rFonts w:ascii="Avenir Next Demi Bold" w:hAnsi="Avenir Next Demi Bold" w:cs="Arial"/>
          <w:b/>
          <w:bCs/>
          <w:sz w:val="22"/>
          <w:szCs w:val="22"/>
        </w:rPr>
        <w:t xml:space="preserve"> pages</w:t>
      </w:r>
      <w:r w:rsidRPr="006C65F4">
        <w:rPr>
          <w:rFonts w:ascii="Avenir Next" w:hAnsi="Avenir Next" w:cs="Arial"/>
          <w:sz w:val="22"/>
          <w:szCs w:val="22"/>
        </w:rPr>
        <w:t>.</w:t>
      </w:r>
    </w:p>
    <w:p w14:paraId="16583175" w14:textId="77777777" w:rsidR="00F3323E" w:rsidRPr="00592F82" w:rsidRDefault="00F3323E" w:rsidP="00592F82">
      <w:pPr>
        <w:ind w:left="720" w:hanging="720"/>
        <w:jc w:val="both"/>
        <w:rPr>
          <w:rFonts w:ascii="Arial" w:hAnsi="Arial" w:cs="Arial"/>
          <w:sz w:val="22"/>
          <w:szCs w:val="22"/>
        </w:rPr>
      </w:pPr>
    </w:p>
    <w:p w14:paraId="2966AAD4" w14:textId="443A837F" w:rsidR="00F3323E" w:rsidRPr="00CE0ECD" w:rsidRDefault="00F3323E" w:rsidP="00B9639B">
      <w:pPr>
        <w:jc w:val="both"/>
        <w:rPr>
          <w:rFonts w:ascii="Avenir Next Demi Bold" w:hAnsi="Avenir Next Demi Bold" w:cs="Arial"/>
          <w:b/>
          <w:bCs/>
          <w:sz w:val="22"/>
          <w:szCs w:val="22"/>
        </w:rPr>
      </w:pPr>
      <w:r w:rsidRPr="00CE0ECD">
        <w:rPr>
          <w:rFonts w:ascii="Avenir Next Demi Bold" w:hAnsi="Avenir Next Demi Bold" w:cs="Arial"/>
          <w:b/>
          <w:bCs/>
          <w:sz w:val="22"/>
          <w:szCs w:val="22"/>
          <w:u w:val="single"/>
        </w:rPr>
        <w:t>ANSWER ALL THE QUESTIONS</w:t>
      </w:r>
    </w:p>
    <w:p w14:paraId="62B460C7" w14:textId="77777777" w:rsidR="00F3323E" w:rsidRPr="00CE0ECD" w:rsidRDefault="00F3323E" w:rsidP="00B9639B">
      <w:pPr>
        <w:ind w:left="720" w:hanging="720"/>
        <w:jc w:val="both"/>
        <w:rPr>
          <w:rFonts w:ascii="Avenir Next" w:hAnsi="Avenir Next" w:cs="Arial"/>
          <w:sz w:val="22"/>
          <w:szCs w:val="22"/>
        </w:rPr>
      </w:pPr>
    </w:p>
    <w:p w14:paraId="7855E8A8" w14:textId="3F6B427A" w:rsidR="005D43E0" w:rsidRPr="00CE0ECD" w:rsidRDefault="0029433F" w:rsidP="00B9639B">
      <w:pPr>
        <w:jc w:val="both"/>
        <w:rPr>
          <w:rFonts w:ascii="Avenir Next Demi Bold" w:hAnsi="Avenir Next Demi Bold" w:cs="Arial"/>
          <w:b/>
          <w:bCs/>
          <w:sz w:val="22"/>
          <w:szCs w:val="22"/>
        </w:rPr>
      </w:pPr>
      <w:r w:rsidRPr="00CE0ECD">
        <w:rPr>
          <w:rFonts w:ascii="Avenir Next Demi Bold" w:hAnsi="Avenir Next Demi Bold" w:cs="Arial"/>
          <w:b/>
          <w:bCs/>
          <w:sz w:val="22"/>
          <w:szCs w:val="22"/>
        </w:rPr>
        <w:t>QUESTION 1</w:t>
      </w:r>
      <w:r w:rsidR="005D43E0" w:rsidRPr="00CE0ECD">
        <w:rPr>
          <w:rFonts w:ascii="Avenir Next Demi Bold" w:hAnsi="Avenir Next Demi Bold" w:cs="Arial"/>
          <w:b/>
          <w:bCs/>
          <w:sz w:val="22"/>
          <w:szCs w:val="22"/>
        </w:rPr>
        <w:t xml:space="preserve"> (multiple-choice questions) [10 marks</w:t>
      </w:r>
      <w:r w:rsidR="00D17FDC" w:rsidRPr="00CE0ECD">
        <w:rPr>
          <w:rFonts w:ascii="Avenir Next Demi Bold" w:hAnsi="Avenir Next Demi Bold" w:cs="Arial"/>
          <w:b/>
          <w:bCs/>
          <w:sz w:val="22"/>
          <w:szCs w:val="22"/>
        </w:rPr>
        <w:t xml:space="preserve"> in total</w:t>
      </w:r>
      <w:r w:rsidR="005D43E0" w:rsidRPr="00CE0ECD">
        <w:rPr>
          <w:rFonts w:ascii="Avenir Next Demi Bold" w:hAnsi="Avenir Next Demi Bold" w:cs="Arial"/>
          <w:b/>
          <w:bCs/>
          <w:sz w:val="22"/>
          <w:szCs w:val="22"/>
        </w:rPr>
        <w:t>]</w:t>
      </w:r>
    </w:p>
    <w:p w14:paraId="3CF1A35C" w14:textId="77777777" w:rsidR="00F3323E" w:rsidRPr="00CE0ECD" w:rsidRDefault="00F3323E" w:rsidP="00B9639B">
      <w:pPr>
        <w:ind w:left="720" w:hanging="720"/>
        <w:jc w:val="both"/>
        <w:rPr>
          <w:rFonts w:ascii="Avenir Next" w:hAnsi="Avenir Next" w:cs="Arial"/>
          <w:sz w:val="22"/>
          <w:szCs w:val="22"/>
        </w:rPr>
      </w:pPr>
    </w:p>
    <w:p w14:paraId="52F192E0" w14:textId="4F9975C1" w:rsidR="005D43E0" w:rsidRPr="00CE0ECD" w:rsidRDefault="005D43E0" w:rsidP="00B9639B">
      <w:pPr>
        <w:jc w:val="both"/>
        <w:rPr>
          <w:rFonts w:ascii="Avenir Next" w:hAnsi="Avenir Next" w:cs="Arial"/>
          <w:sz w:val="22"/>
          <w:szCs w:val="22"/>
        </w:rPr>
      </w:pPr>
      <w:r w:rsidRPr="00CE0ECD">
        <w:rPr>
          <w:rFonts w:ascii="Avenir Next" w:hAnsi="Avenir Next" w:cs="Arial"/>
          <w:sz w:val="22"/>
          <w:szCs w:val="22"/>
        </w:rPr>
        <w:t>Questions 1.1. – 1.10</w:t>
      </w:r>
      <w:r w:rsidR="00341AA6" w:rsidRPr="00CE0ECD">
        <w:rPr>
          <w:rFonts w:ascii="Avenir Next" w:hAnsi="Avenir Next" w:cs="Arial"/>
          <w:sz w:val="22"/>
          <w:szCs w:val="22"/>
        </w:rPr>
        <w:t>.</w:t>
      </w:r>
      <w:r w:rsidRPr="00CE0ECD">
        <w:rPr>
          <w:rFonts w:ascii="Avenir Next" w:hAnsi="Avenir Next"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rPr>
        <w:lastRenderedPageBreak/>
        <w:t xml:space="preserve">your </w:t>
      </w:r>
      <w:proofErr w:type="gramStart"/>
      <w:r w:rsidRPr="00CE0ECD">
        <w:rPr>
          <w:rFonts w:ascii="Avenir Next" w:hAnsi="Avenir Next" w:cs="Arial"/>
          <w:sz w:val="22"/>
          <w:szCs w:val="22"/>
        </w:rPr>
        <w:t>answer</w:t>
      </w:r>
      <w:proofErr w:type="gramEnd"/>
      <w:r w:rsidRPr="00CE0ECD">
        <w:rPr>
          <w:rFonts w:ascii="Avenir Next" w:hAnsi="Avenir Next" w:cs="Arial"/>
          <w:sz w:val="22"/>
          <w:szCs w:val="22"/>
        </w:rPr>
        <w:t xml:space="preserve"> and </w:t>
      </w:r>
      <w:r w:rsidRPr="00CE0ECD">
        <w:rPr>
          <w:rFonts w:ascii="Avenir Next" w:hAnsi="Avenir Next" w:cs="Arial"/>
          <w:sz w:val="22"/>
          <w:szCs w:val="22"/>
          <w:highlight w:val="yellow"/>
        </w:rPr>
        <w:t>mark your selection on the answer sheet</w:t>
      </w:r>
      <w:r w:rsidR="00397D3A" w:rsidRPr="00CE0ECD">
        <w:rPr>
          <w:rFonts w:ascii="Avenir Next" w:hAnsi="Avenir Next" w:cs="Arial"/>
          <w:sz w:val="22"/>
          <w:szCs w:val="22"/>
          <w:highlight w:val="yellow"/>
        </w:rPr>
        <w:t xml:space="preserve"> by highlighting the </w:t>
      </w:r>
      <w:r w:rsidR="0036565C" w:rsidRPr="00CE0ECD">
        <w:rPr>
          <w:rFonts w:ascii="Avenir Next" w:hAnsi="Avenir Next" w:cs="Arial"/>
          <w:sz w:val="22"/>
          <w:szCs w:val="22"/>
          <w:highlight w:val="yellow"/>
        </w:rPr>
        <w:t xml:space="preserve">relevant paragraph </w:t>
      </w:r>
      <w:r w:rsidR="0036565C" w:rsidRPr="00CE0ECD">
        <w:rPr>
          <w:rFonts w:ascii="Avenir Next Demi Bold" w:hAnsi="Avenir Next Demi Bold" w:cs="Arial"/>
          <w:b/>
          <w:bCs/>
          <w:sz w:val="22"/>
          <w:szCs w:val="22"/>
          <w:highlight w:val="yellow"/>
        </w:rPr>
        <w:t>in yellow</w:t>
      </w:r>
      <w:r w:rsidRPr="00CE0ECD">
        <w:rPr>
          <w:rFonts w:ascii="Avenir Next" w:hAnsi="Avenir Next" w:cs="Arial"/>
          <w:sz w:val="22"/>
          <w:szCs w:val="22"/>
        </w:rPr>
        <w:t>.</w:t>
      </w:r>
      <w:r w:rsidR="0036565C" w:rsidRPr="00CE0ECD">
        <w:rPr>
          <w:rFonts w:ascii="Avenir Next" w:hAnsi="Avenir Next" w:cs="Arial"/>
          <w:sz w:val="22"/>
          <w:szCs w:val="22"/>
        </w:rPr>
        <w:t xml:space="preserve"> Select only </w:t>
      </w:r>
      <w:r w:rsidR="0036565C" w:rsidRPr="00CE0ECD">
        <w:rPr>
          <w:rFonts w:ascii="Avenir Next Demi Bold" w:hAnsi="Avenir Next Demi Bold" w:cs="Arial"/>
          <w:b/>
          <w:bCs/>
          <w:sz w:val="22"/>
          <w:szCs w:val="22"/>
        </w:rPr>
        <w:t>ONE</w:t>
      </w:r>
      <w:r w:rsidR="0036565C" w:rsidRPr="00CE0ECD">
        <w:rPr>
          <w:rFonts w:ascii="Avenir Next" w:hAnsi="Avenir Next" w:cs="Arial"/>
          <w:sz w:val="22"/>
          <w:szCs w:val="22"/>
        </w:rPr>
        <w:t xml:space="preserve"> answer</w:t>
      </w:r>
      <w:r w:rsidR="00A60074" w:rsidRPr="00CE0ECD">
        <w:rPr>
          <w:rFonts w:ascii="Avenir Next" w:hAnsi="Avenir Next" w:cs="Arial"/>
          <w:sz w:val="22"/>
          <w:szCs w:val="22"/>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191F68">
        <w:rPr>
          <w:rFonts w:ascii="Avenir Next" w:hAnsi="Avenir Next"/>
        </w:rPr>
        <w:t>(a)</w:t>
      </w:r>
      <w:r w:rsidRPr="00191F68">
        <w:rPr>
          <w:rFonts w:ascii="Avenir Next" w:hAnsi="Avenir Next"/>
        </w:rPr>
        <w:tab/>
        <w:t>Yes</w:t>
      </w:r>
      <w:r w:rsidR="004D36D5" w:rsidRPr="00191F68">
        <w:rPr>
          <w:rFonts w:ascii="Avenir Next" w:hAnsi="Avenir Next"/>
        </w:rPr>
        <w:t>,</w:t>
      </w:r>
      <w:r w:rsidR="002A16B3" w:rsidRPr="00191F68">
        <w:rPr>
          <w:rFonts w:ascii="Avenir Next" w:hAnsi="Avenir Next"/>
        </w:rPr>
        <w:t xml:space="preserve"> </w:t>
      </w:r>
      <w:r w:rsidR="000968D6" w:rsidRPr="00191F68">
        <w:rPr>
          <w:rFonts w:ascii="Avenir Next" w:hAnsi="Avenir Next"/>
        </w:rPr>
        <w:t>regardless</w:t>
      </w:r>
      <w:r w:rsidR="0083721E" w:rsidRPr="00191F68">
        <w:rPr>
          <w:rFonts w:ascii="Avenir Next" w:hAnsi="Avenir Next"/>
        </w:rPr>
        <w:t xml:space="preserve"> of</w:t>
      </w:r>
      <w:r w:rsidR="000968D6" w:rsidRPr="00191F68">
        <w:rPr>
          <w:rFonts w:ascii="Avenir Next" w:hAnsi="Avenir Next"/>
        </w:rPr>
        <w:t xml:space="preserve"> </w:t>
      </w:r>
      <w:r w:rsidR="0083721E" w:rsidRPr="00191F68">
        <w:rPr>
          <w:rFonts w:ascii="Avenir Next" w:hAnsi="Avenir Next"/>
        </w:rPr>
        <w:t xml:space="preserve">the </w:t>
      </w:r>
      <w:r w:rsidR="004D36D5" w:rsidRPr="00191F68">
        <w:rPr>
          <w:rFonts w:ascii="Avenir Next" w:hAnsi="Avenir Next"/>
        </w:rPr>
        <w:t>circumstances</w:t>
      </w:r>
      <w:r w:rsidRPr="00191F6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7B4EAE">
        <w:rPr>
          <w:rFonts w:ascii="Avenir Next" w:hAnsi="Avenir Next"/>
        </w:rPr>
        <w:t>(b)</w:t>
      </w:r>
      <w:r w:rsidRPr="007B4EAE">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1C863451" w:rsidR="00D221F8" w:rsidRDefault="00D221F8" w:rsidP="00A6313C">
      <w:pPr>
        <w:pStyle w:val="AODocTxt"/>
        <w:spacing w:before="0" w:line="240" w:lineRule="auto"/>
        <w:ind w:left="426" w:hanging="426"/>
        <w:rPr>
          <w:rFonts w:ascii="Avenir Next" w:hAnsi="Avenir Next"/>
        </w:rPr>
      </w:pPr>
      <w:r w:rsidRPr="00752FB7">
        <w:rPr>
          <w:rFonts w:ascii="Avenir Next" w:hAnsi="Avenir Next"/>
        </w:rPr>
        <w:t>(c)</w:t>
      </w:r>
      <w:r w:rsidRPr="00752FB7">
        <w:rPr>
          <w:rFonts w:ascii="Avenir Next" w:hAnsi="Avenir Next"/>
        </w:rPr>
        <w:tab/>
        <w:t xml:space="preserve">Yes, if other creditors owed at least </w:t>
      </w:r>
      <w:r w:rsidR="00A81F08" w:rsidRPr="00752FB7">
        <w:rPr>
          <w:rFonts w:ascii="Avenir Next" w:hAnsi="Avenir Next"/>
        </w:rPr>
        <w:t xml:space="preserve">USD </w:t>
      </w:r>
      <w:r w:rsidRPr="00752FB7">
        <w:rPr>
          <w:rFonts w:ascii="Avenir Next" w:hAnsi="Avenir Next"/>
        </w:rPr>
        <w:t>5,775 join in the petition.</w:t>
      </w:r>
      <w:r w:rsidR="007B4EAE">
        <w:rPr>
          <w:rFonts w:ascii="Avenir Next" w:hAnsi="Avenir Next"/>
        </w:rPr>
        <w:t xml:space="preserve">  </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873698">
        <w:rPr>
          <w:rFonts w:ascii="Avenir Next" w:hAnsi="Avenir Next"/>
          <w:highlight w:val="yellow"/>
        </w:rPr>
        <w:t>(d)</w:t>
      </w:r>
      <w:r w:rsidRPr="00873698">
        <w:rPr>
          <w:rFonts w:ascii="Avenir Next" w:hAnsi="Avenir Next"/>
          <w:highlight w:val="yellow"/>
        </w:rPr>
        <w:tab/>
        <w:t>No, because Parts Inc does</w:t>
      </w:r>
      <w:r w:rsidR="00A81F08" w:rsidRPr="00873698">
        <w:rPr>
          <w:rFonts w:ascii="Avenir Next" w:hAnsi="Avenir Next"/>
          <w:highlight w:val="yellow"/>
        </w:rPr>
        <w:t xml:space="preserve"> not</w:t>
      </w:r>
      <w:r w:rsidRPr="00873698">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873698">
        <w:rPr>
          <w:rFonts w:ascii="Avenir Next" w:hAnsi="Avenir Next"/>
        </w:rPr>
        <w:t>(e)</w:t>
      </w:r>
      <w:r w:rsidRPr="00873698">
        <w:rPr>
          <w:rFonts w:ascii="Avenir Next" w:hAnsi="Avenir Next"/>
        </w:rPr>
        <w:tab/>
        <w:t>No, because Parts Inc</w:t>
      </w:r>
      <w:r w:rsidR="00A81F08" w:rsidRPr="00873698">
        <w:rPr>
          <w:rFonts w:ascii="Avenir Next" w:hAnsi="Avenir Next"/>
        </w:rPr>
        <w:t xml:space="preserve"> </w:t>
      </w:r>
      <w:r w:rsidRPr="0087369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C06793">
        <w:rPr>
          <w:rFonts w:ascii="Avenir Next" w:hAnsi="Avenir Next"/>
        </w:rPr>
        <w:t>(c)</w:t>
      </w:r>
      <w:r w:rsidRPr="00C06793">
        <w:rPr>
          <w:rFonts w:ascii="Avenir Next" w:hAnsi="Avenir Next"/>
        </w:rPr>
        <w:tab/>
        <w:t>A shareholder in Investment Corp, Car Corp’s parent company</w:t>
      </w:r>
      <w:r w:rsidR="00631394" w:rsidRPr="00C06793">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C06793">
        <w:rPr>
          <w:rFonts w:ascii="Avenir Next" w:hAnsi="Avenir Next"/>
          <w:highlight w:val="yellow"/>
        </w:rPr>
        <w:t>(d)</w:t>
      </w:r>
      <w:r w:rsidRPr="00C06793">
        <w:rPr>
          <w:rFonts w:ascii="Avenir Next" w:hAnsi="Avenir Next"/>
          <w:highlight w:val="yellow"/>
        </w:rPr>
        <w:tab/>
        <w:t>A retired employee of Car Corp who receives payments from the company’s pension plan</w:t>
      </w:r>
      <w:r w:rsidR="00631394" w:rsidRPr="00C06793">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C06793">
        <w:rPr>
          <w:rFonts w:ascii="Avenir Next" w:hAnsi="Avenir Next"/>
          <w:highlight w:val="yellow"/>
        </w:rPr>
        <w:t xml:space="preserve">Options (a) to (c) </w:t>
      </w:r>
      <w:r w:rsidRPr="00C06793">
        <w:rPr>
          <w:rFonts w:ascii="Avenir Next" w:hAnsi="Avenir Next"/>
          <w:highlight w:val="yellow"/>
        </w:rPr>
        <w:t>above satisfy the minimum requirement for presence in the United State</w:t>
      </w:r>
      <w:r w:rsidRPr="003C0F8C">
        <w:rPr>
          <w:rFonts w:ascii="Avenir Next" w:hAnsi="Avenir Next"/>
        </w:rPr>
        <w:t>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AE797A">
        <w:rPr>
          <w:rFonts w:ascii="Avenir Next" w:hAnsi="Avenir Next"/>
        </w:rPr>
        <w:t>(c)</w:t>
      </w:r>
      <w:r w:rsidRPr="00AE797A">
        <w:rPr>
          <w:rFonts w:ascii="Avenir Next" w:hAnsi="Avenir Next"/>
        </w:rPr>
        <w:tab/>
        <w:t>An insolvency professional appointed by the court overseeing the foreign proceeding</w:t>
      </w:r>
      <w:r w:rsidR="0036662D" w:rsidRPr="00AE797A">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AE797A">
        <w:rPr>
          <w:rFonts w:ascii="Avenir Next" w:hAnsi="Avenir Next"/>
          <w:highlight w:val="yellow"/>
        </w:rPr>
        <w:t>(e)</w:t>
      </w:r>
      <w:r w:rsidRPr="00AE797A">
        <w:rPr>
          <w:rFonts w:ascii="Avenir Next" w:hAnsi="Avenir Next"/>
          <w:highlight w:val="yellow"/>
        </w:rPr>
        <w:tab/>
        <w:t>All of the above</w:t>
      </w:r>
      <w:r w:rsidR="006A42F8" w:rsidRPr="00AE797A">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8C4971">
        <w:rPr>
          <w:rFonts w:ascii="Avenir Next" w:hAnsi="Avenir Next"/>
        </w:rPr>
        <w:t>(a)</w:t>
      </w:r>
      <w:r w:rsidRPr="008C4971">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8C4971">
        <w:rPr>
          <w:rFonts w:ascii="Avenir Next" w:hAnsi="Avenir Next"/>
          <w:highlight w:val="yellow"/>
        </w:rPr>
        <w:t>(b)</w:t>
      </w:r>
      <w:r w:rsidRPr="008C4971">
        <w:rPr>
          <w:rFonts w:ascii="Avenir Next" w:hAnsi="Avenir Next"/>
          <w:highlight w:val="yellow"/>
        </w:rPr>
        <w:tab/>
        <w:t xml:space="preserve">Executory contracts are clearly defined by the </w:t>
      </w:r>
      <w:r w:rsidR="00ED7BF3" w:rsidRPr="008C4971">
        <w:rPr>
          <w:rFonts w:ascii="Avenir Next" w:hAnsi="Avenir Next"/>
          <w:highlight w:val="yellow"/>
        </w:rPr>
        <w:t>B</w:t>
      </w:r>
      <w:r w:rsidRPr="008C4971">
        <w:rPr>
          <w:rFonts w:ascii="Avenir Next" w:hAnsi="Avenir Next"/>
          <w:highlight w:val="yellow"/>
        </w:rPr>
        <w:t xml:space="preserve">ankruptcy </w:t>
      </w:r>
      <w:r w:rsidR="00ED7BF3" w:rsidRPr="008C4971">
        <w:rPr>
          <w:rFonts w:ascii="Avenir Next" w:hAnsi="Avenir Next"/>
          <w:highlight w:val="yellow"/>
        </w:rPr>
        <w:t>C</w:t>
      </w:r>
      <w:r w:rsidRPr="008C4971">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A2921" w:rsidRDefault="000643AB" w:rsidP="00875912">
      <w:pPr>
        <w:pStyle w:val="AODocTxt"/>
        <w:numPr>
          <w:ilvl w:val="0"/>
          <w:numId w:val="24"/>
        </w:numPr>
        <w:spacing w:before="0" w:line="240" w:lineRule="auto"/>
        <w:ind w:left="426" w:hanging="426"/>
        <w:rPr>
          <w:rFonts w:ascii="Avenir Next" w:hAnsi="Avenir Next"/>
          <w:highlight w:val="yellow"/>
        </w:rPr>
      </w:pPr>
      <w:r w:rsidRPr="00EA2921">
        <w:rPr>
          <w:rFonts w:ascii="Avenir Next" w:hAnsi="Avenir Next"/>
          <w:highlight w:val="yellow"/>
        </w:rPr>
        <w:t>Acceptance of the plan by all classes of secured creditors</w:t>
      </w:r>
      <w:r w:rsidR="006844A8" w:rsidRPr="00EA292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EB43A2" w:rsidRDefault="00C24FAB" w:rsidP="009017A1">
      <w:pPr>
        <w:pStyle w:val="AODocTxt"/>
        <w:numPr>
          <w:ilvl w:val="0"/>
          <w:numId w:val="33"/>
        </w:numPr>
        <w:spacing w:before="0" w:line="240" w:lineRule="auto"/>
        <w:ind w:left="426" w:hanging="426"/>
        <w:rPr>
          <w:rFonts w:ascii="Avenir Next" w:hAnsi="Avenir Next"/>
          <w:highlight w:val="yellow"/>
        </w:rPr>
      </w:pPr>
      <w:r w:rsidRPr="00EB43A2">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Pr="007B4EAE" w:rsidRDefault="00C24FAB" w:rsidP="009017A1">
      <w:pPr>
        <w:pStyle w:val="AODocTxt"/>
        <w:numPr>
          <w:ilvl w:val="0"/>
          <w:numId w:val="33"/>
        </w:numPr>
        <w:spacing w:before="0" w:line="240" w:lineRule="auto"/>
        <w:ind w:left="426" w:hanging="426"/>
        <w:rPr>
          <w:rFonts w:ascii="Avenir Next" w:hAnsi="Avenir Next"/>
        </w:rPr>
      </w:pPr>
      <w:r w:rsidRPr="007B4EAE">
        <w:rPr>
          <w:rFonts w:ascii="Avenir Next" w:hAnsi="Avenir Next"/>
        </w:rPr>
        <w:t xml:space="preserve">Creditors must have sufficient information about the debtor and the plan to make an informed voting decision. </w:t>
      </w:r>
    </w:p>
    <w:p w14:paraId="2BB6DAB9" w14:textId="77777777" w:rsidR="00BF1B3E" w:rsidRPr="007B4EAE" w:rsidRDefault="00BF1B3E" w:rsidP="009017A1">
      <w:pPr>
        <w:pStyle w:val="AODocTxt"/>
        <w:spacing w:before="0" w:line="240" w:lineRule="auto"/>
        <w:ind w:hanging="426"/>
        <w:rPr>
          <w:rFonts w:ascii="Avenir Next" w:hAnsi="Avenir Next"/>
        </w:rPr>
      </w:pPr>
    </w:p>
    <w:p w14:paraId="6403F9C4" w14:textId="498E66CE" w:rsidR="00C24FAB" w:rsidRPr="007B4EAE" w:rsidRDefault="00C24FAB" w:rsidP="009017A1">
      <w:pPr>
        <w:pStyle w:val="AODocTxt"/>
        <w:numPr>
          <w:ilvl w:val="0"/>
          <w:numId w:val="33"/>
        </w:numPr>
        <w:spacing w:before="0" w:line="240" w:lineRule="auto"/>
        <w:ind w:left="426" w:hanging="426"/>
        <w:rPr>
          <w:rFonts w:ascii="Avenir Next" w:hAnsi="Avenir Next"/>
        </w:rPr>
      </w:pPr>
      <w:r w:rsidRPr="007B4EAE">
        <w:rPr>
          <w:rFonts w:ascii="Avenir Next" w:hAnsi="Avenir Next"/>
        </w:rPr>
        <w:t xml:space="preserve">A pre-pack debtor may spend as little as a single day in bankruptcy. </w:t>
      </w:r>
    </w:p>
    <w:p w14:paraId="746BE165" w14:textId="77777777" w:rsidR="00BF1B3E" w:rsidRPr="007B4EAE" w:rsidRDefault="00BF1B3E" w:rsidP="009017A1">
      <w:pPr>
        <w:pStyle w:val="AODocTxt"/>
        <w:spacing w:before="0" w:line="240" w:lineRule="auto"/>
        <w:ind w:hanging="426"/>
        <w:rPr>
          <w:rFonts w:ascii="Avenir Next" w:hAnsi="Avenir Next"/>
        </w:rPr>
      </w:pPr>
    </w:p>
    <w:p w14:paraId="0791CC2B" w14:textId="06C18CED" w:rsidR="00C24FAB" w:rsidRPr="007B4EAE" w:rsidRDefault="00C24FAB" w:rsidP="009017A1">
      <w:pPr>
        <w:pStyle w:val="AODocTxt"/>
        <w:numPr>
          <w:ilvl w:val="0"/>
          <w:numId w:val="33"/>
        </w:numPr>
        <w:spacing w:before="0" w:line="240" w:lineRule="auto"/>
        <w:ind w:left="426" w:hanging="426"/>
        <w:rPr>
          <w:rFonts w:ascii="Avenir Next" w:hAnsi="Avenir Next"/>
        </w:rPr>
      </w:pPr>
      <w:r w:rsidRPr="007B4EAE">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w:t>
      </w:r>
      <w:proofErr w:type="spellStart"/>
      <w:r w:rsidRPr="00821F0A">
        <w:rPr>
          <w:rFonts w:ascii="Avenir Next" w:hAnsi="Avenir Next"/>
        </w:rPr>
        <w:t>favor</w:t>
      </w:r>
      <w:proofErr w:type="spellEnd"/>
      <w:r w:rsidRPr="00821F0A">
        <w:rPr>
          <w:rFonts w:ascii="Avenir Next" w:hAnsi="Avenir Next"/>
        </w:rPr>
        <w:t xml:space="preserve">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6B6EE1" w:rsidRDefault="00853272" w:rsidP="00BA74EF">
      <w:pPr>
        <w:pStyle w:val="AODocTxt"/>
        <w:numPr>
          <w:ilvl w:val="0"/>
          <w:numId w:val="28"/>
        </w:numPr>
        <w:spacing w:before="0" w:line="240" w:lineRule="auto"/>
        <w:ind w:left="426" w:hanging="426"/>
        <w:rPr>
          <w:rFonts w:ascii="Avenir Next" w:hAnsi="Avenir Next"/>
          <w:highlight w:val="yellow"/>
        </w:rPr>
      </w:pPr>
      <w:r w:rsidRPr="006B6EE1">
        <w:rPr>
          <w:rFonts w:ascii="Avenir Next" w:hAnsi="Avenir Next"/>
          <w:highlight w:val="yellow"/>
        </w:rPr>
        <w:t xml:space="preserve">Both </w:t>
      </w:r>
      <w:r w:rsidR="0072569E" w:rsidRPr="006B6EE1">
        <w:rPr>
          <w:rFonts w:ascii="Avenir Next" w:hAnsi="Avenir Next"/>
          <w:highlight w:val="yellow"/>
        </w:rPr>
        <w:t xml:space="preserve">options </w:t>
      </w:r>
      <w:r w:rsidRPr="006B6EE1">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744EBC" w:rsidRDefault="00334B98" w:rsidP="00676F12">
      <w:pPr>
        <w:pStyle w:val="AODocTxt"/>
        <w:keepNext/>
        <w:numPr>
          <w:ilvl w:val="0"/>
          <w:numId w:val="30"/>
        </w:numPr>
        <w:spacing w:before="0" w:line="240" w:lineRule="auto"/>
        <w:ind w:left="426" w:hanging="426"/>
        <w:rPr>
          <w:rFonts w:ascii="Avenir Next" w:hAnsi="Avenir Next"/>
          <w:highlight w:val="yellow"/>
        </w:rPr>
      </w:pPr>
      <w:r w:rsidRPr="00744EBC">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472625" w:rsidRDefault="00740655" w:rsidP="00DF5F7C">
      <w:pPr>
        <w:pStyle w:val="AODocTxt"/>
        <w:keepNext/>
        <w:numPr>
          <w:ilvl w:val="0"/>
          <w:numId w:val="35"/>
        </w:numPr>
        <w:spacing w:before="0" w:line="240" w:lineRule="auto"/>
        <w:ind w:left="426" w:hanging="426"/>
        <w:rPr>
          <w:rFonts w:ascii="Avenir Next" w:hAnsi="Avenir Next"/>
        </w:rPr>
      </w:pPr>
      <w:r w:rsidRPr="0047262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472625" w:rsidRDefault="00740655" w:rsidP="00DF5F7C">
      <w:pPr>
        <w:pStyle w:val="AODocTxt"/>
        <w:keepNext/>
        <w:numPr>
          <w:ilvl w:val="0"/>
          <w:numId w:val="35"/>
        </w:numPr>
        <w:spacing w:before="0" w:line="240" w:lineRule="auto"/>
        <w:ind w:left="426" w:hanging="426"/>
        <w:rPr>
          <w:rFonts w:ascii="Avenir Next" w:hAnsi="Avenir Next"/>
          <w:highlight w:val="yellow"/>
        </w:rPr>
      </w:pPr>
      <w:r w:rsidRPr="00472625">
        <w:rPr>
          <w:rFonts w:ascii="Avenir Next" w:hAnsi="Avenir Next"/>
          <w:highlight w:val="yellow"/>
        </w:rPr>
        <w:t xml:space="preserve">If a creditor can show it extended credit </w:t>
      </w:r>
      <w:proofErr w:type="gramStart"/>
      <w:r w:rsidRPr="00472625">
        <w:rPr>
          <w:rFonts w:ascii="Avenir Next" w:hAnsi="Avenir Next"/>
          <w:highlight w:val="yellow"/>
        </w:rPr>
        <w:t>on the basis of</w:t>
      </w:r>
      <w:proofErr w:type="gramEnd"/>
      <w:r w:rsidRPr="00472625">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472625" w:rsidRDefault="00740655" w:rsidP="00DF5F7C">
      <w:pPr>
        <w:pStyle w:val="AODocTxt"/>
        <w:keepNext/>
        <w:numPr>
          <w:ilvl w:val="0"/>
          <w:numId w:val="35"/>
        </w:numPr>
        <w:spacing w:before="0" w:line="240" w:lineRule="auto"/>
        <w:ind w:left="426" w:hanging="426"/>
        <w:rPr>
          <w:rFonts w:ascii="Avenir Next" w:hAnsi="Avenir Next"/>
        </w:rPr>
      </w:pPr>
      <w:r w:rsidRPr="0047262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rPr>
      </w:pPr>
      <w:r w:rsidRPr="00AA0280">
        <w:rPr>
          <w:rFonts w:ascii="Avenir Next Demi Bold" w:hAnsi="Avenir Next Demi Bold" w:cs="Arial"/>
          <w:b/>
          <w:bCs/>
          <w:sz w:val="22"/>
          <w:szCs w:val="22"/>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5ADD801C" w14:textId="765B917D" w:rsidR="002B0282" w:rsidRPr="002B5D64" w:rsidRDefault="00472625" w:rsidP="002B028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a situation whereby a creditor </w:t>
      </w:r>
      <w:r w:rsidR="000B416C">
        <w:rPr>
          <w:rFonts w:ascii="Avenir Next" w:hAnsi="Avenir Next"/>
          <w:color w:val="808080" w:themeColor="background1" w:themeShade="80"/>
        </w:rPr>
        <w:t xml:space="preserve">is both indebted to the debtor </w:t>
      </w:r>
      <w:r>
        <w:rPr>
          <w:rFonts w:ascii="Avenir Next" w:hAnsi="Avenir Next"/>
          <w:color w:val="808080" w:themeColor="background1" w:themeShade="80"/>
        </w:rPr>
        <w:t>whilst also having a claim against the debtor</w:t>
      </w:r>
      <w:r w:rsidR="004859A3">
        <w:rPr>
          <w:rFonts w:ascii="Avenir Next" w:hAnsi="Avenir Next"/>
          <w:color w:val="808080" w:themeColor="background1" w:themeShade="80"/>
        </w:rPr>
        <w:t xml:space="preserve">, and the two amounts are netted. </w:t>
      </w:r>
      <w:r w:rsidR="002B0282">
        <w:rPr>
          <w:rFonts w:ascii="Avenir Next" w:hAnsi="Avenir Next"/>
          <w:color w:val="808080" w:themeColor="background1" w:themeShade="80"/>
        </w:rPr>
        <w:t xml:space="preserve">Setoff can be a powerful tool in bankruptcies as it allows creditors to cancel out financial obligations if it does not think that the debtor will pay </w:t>
      </w:r>
      <w:r w:rsidR="008C27F4">
        <w:rPr>
          <w:rFonts w:ascii="Avenir Next" w:hAnsi="Avenir Next"/>
          <w:color w:val="808080" w:themeColor="background1" w:themeShade="80"/>
        </w:rPr>
        <w:t>its</w:t>
      </w:r>
      <w:r w:rsidR="002B0282">
        <w:rPr>
          <w:rFonts w:ascii="Avenir Next" w:hAnsi="Avenir Next"/>
          <w:color w:val="808080" w:themeColor="background1" w:themeShade="80"/>
        </w:rPr>
        <w:t xml:space="preserve"> outstanding debts. However, the debts need to be owed on the same side of the bankruptcy proceedings, </w:t>
      </w:r>
      <w:r w:rsidR="008C27F4">
        <w:rPr>
          <w:rFonts w:ascii="Avenir Next" w:hAnsi="Avenir Next"/>
          <w:color w:val="808080" w:themeColor="background1" w:themeShade="80"/>
        </w:rPr>
        <w:t>i.e.,</w:t>
      </w:r>
      <w:r w:rsidR="002B0282">
        <w:rPr>
          <w:rFonts w:ascii="Avenir Next" w:hAnsi="Avenir Next"/>
          <w:color w:val="808080" w:themeColor="background1" w:themeShade="80"/>
        </w:rPr>
        <w:t xml:space="preserve"> either pre-petition or </w:t>
      </w:r>
      <w:r w:rsidR="008C27F4">
        <w:rPr>
          <w:rFonts w:ascii="Avenir Next" w:hAnsi="Avenir Next"/>
          <w:color w:val="808080" w:themeColor="background1" w:themeShade="80"/>
        </w:rPr>
        <w:t>post-petition</w:t>
      </w:r>
      <w:r w:rsidR="002B0282">
        <w:rPr>
          <w:rFonts w:ascii="Avenir Next" w:hAnsi="Avenir Next"/>
          <w:color w:val="808080" w:themeColor="background1" w:themeShade="80"/>
        </w:rPr>
        <w:t>.</w:t>
      </w:r>
      <w:r w:rsidR="002B0282">
        <w:rPr>
          <w:rStyle w:val="FootnoteReference"/>
          <w:rFonts w:ascii="Avenir Next" w:hAnsi="Avenir Next"/>
          <w:color w:val="808080" w:themeColor="background1" w:themeShade="80"/>
        </w:rPr>
        <w:footnoteReference w:id="1"/>
      </w:r>
      <w:r w:rsidR="00E730A5">
        <w:rPr>
          <w:rFonts w:ascii="Avenir Next" w:hAnsi="Avenir Next"/>
          <w:color w:val="808080" w:themeColor="background1" w:themeShade="80"/>
        </w:rPr>
        <w:t xml:space="preserve"> In accordance with the US bankruptcy code, it is presumed that the debtor is insolvent for the 90 days </w:t>
      </w:r>
      <w:r w:rsidR="00883D94">
        <w:rPr>
          <w:rFonts w:ascii="Avenir Next" w:hAnsi="Avenir Next"/>
          <w:color w:val="808080" w:themeColor="background1" w:themeShade="80"/>
        </w:rPr>
        <w:t>before the petition</w:t>
      </w:r>
      <w:r w:rsidR="00883D94">
        <w:rPr>
          <w:rStyle w:val="FootnoteReference"/>
          <w:rFonts w:ascii="Avenir Next" w:hAnsi="Avenir Next"/>
          <w:color w:val="808080" w:themeColor="background1" w:themeShade="80"/>
        </w:rPr>
        <w:footnoteReference w:id="2"/>
      </w:r>
      <w:r w:rsidR="00883D94">
        <w:rPr>
          <w:rFonts w:ascii="Avenir Next" w:hAnsi="Avenir Next"/>
          <w:color w:val="808080" w:themeColor="background1" w:themeShade="80"/>
        </w:rPr>
        <w:t>, therefore it is important that the setoff claim is made as early as possible.</w:t>
      </w:r>
    </w:p>
    <w:p w14:paraId="208A6696" w14:textId="77777777" w:rsidR="002B0282" w:rsidRDefault="002B0282" w:rsidP="00323167">
      <w:pPr>
        <w:pStyle w:val="AODocTxt"/>
        <w:spacing w:before="0" w:line="240" w:lineRule="auto"/>
        <w:rPr>
          <w:rFonts w:ascii="Avenir Next" w:hAnsi="Avenir Next"/>
          <w:color w:val="808080" w:themeColor="background1" w:themeShade="80"/>
        </w:rPr>
      </w:pPr>
    </w:p>
    <w:p w14:paraId="2EFB5850" w14:textId="1D900A48" w:rsidR="00323167" w:rsidRPr="002B5D64" w:rsidRDefault="002B0282"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w:t>
      </w:r>
      <w:r w:rsidR="004859A3">
        <w:rPr>
          <w:rFonts w:ascii="Avenir Next" w:hAnsi="Avenir Next"/>
          <w:color w:val="808080" w:themeColor="background1" w:themeShade="80"/>
        </w:rPr>
        <w:t xml:space="preserve"> is not permitted in </w:t>
      </w:r>
      <w:r w:rsidR="008C27F4">
        <w:rPr>
          <w:rFonts w:ascii="Avenir Next" w:hAnsi="Avenir Next"/>
          <w:color w:val="808080" w:themeColor="background1" w:themeShade="80"/>
        </w:rPr>
        <w:t>several</w:t>
      </w:r>
      <w:r w:rsidR="004859A3">
        <w:rPr>
          <w:rFonts w:ascii="Avenir Next" w:hAnsi="Avenir Next"/>
          <w:color w:val="808080" w:themeColor="background1" w:themeShade="80"/>
        </w:rPr>
        <w:t xml:space="preserve"> circumstances because setting off the claim may put a particular creditor in a better position tha</w:t>
      </w:r>
      <w:r w:rsidR="00E730A5">
        <w:rPr>
          <w:rFonts w:ascii="Avenir Next" w:hAnsi="Avenir Next"/>
          <w:color w:val="808080" w:themeColor="background1" w:themeShade="80"/>
        </w:rPr>
        <w:t>n</w:t>
      </w:r>
      <w:r w:rsidR="004859A3">
        <w:rPr>
          <w:rFonts w:ascii="Avenir Next" w:hAnsi="Avenir Next"/>
          <w:color w:val="808080" w:themeColor="background1" w:themeShade="80"/>
        </w:rPr>
        <w:t xml:space="preserve"> other unsecured creditors, giving them an unfair preference</w:t>
      </w:r>
      <w:r w:rsidR="00E730A5">
        <w:rPr>
          <w:rFonts w:ascii="Avenir Next" w:hAnsi="Avenir Next"/>
          <w:color w:val="808080" w:themeColor="background1" w:themeShade="80"/>
        </w:rPr>
        <w:t>. Applying setoff allows the creditor to receive full payment of their claim up to the amount of the setoff.</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632A647C" w:rsidR="001D3BAA" w:rsidRDefault="007D29E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is a</w:t>
      </w:r>
      <w:r w:rsidRPr="007D29E8">
        <w:rPr>
          <w:rFonts w:ascii="Avenir Next" w:hAnsi="Avenir Next"/>
          <w:color w:val="808080" w:themeColor="background1" w:themeShade="80"/>
        </w:rPr>
        <w:t xml:space="preserve"> superior lien on property, either surpassing or equal in priority to existing liens on the same property. Priming debtor-in-possession (DIP) financing is considered only as a final option when the debtor cannot secure any alternative financing (such as unsecured loans on an administrative priority basis or non-priming DIPs). In such cases, the priming lenders must either consent, or the debtor must show that secured creditors are sufficiently safeguarded against the devaluation of their collateral due to the priming lien.</w:t>
      </w:r>
      <w:r>
        <w:rPr>
          <w:rFonts w:ascii="Avenir Next" w:hAnsi="Avenir Next"/>
          <w:color w:val="808080" w:themeColor="background1" w:themeShade="80"/>
        </w:rPr>
        <w:t xml:space="preserve"> </w:t>
      </w:r>
    </w:p>
    <w:p w14:paraId="64CDC757" w14:textId="77777777" w:rsidR="007D29E8" w:rsidRPr="002B5D64" w:rsidRDefault="007D29E8" w:rsidP="001D3BAA">
      <w:pPr>
        <w:pStyle w:val="AODocTxt"/>
        <w:spacing w:before="0" w:line="240" w:lineRule="auto"/>
        <w:rPr>
          <w:rFonts w:ascii="Avenir Next" w:hAnsi="Avenir Next"/>
          <w:color w:val="808080" w:themeColor="background1" w:themeShade="80"/>
        </w:rPr>
      </w:pP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6E066E44" w:rsidR="001D3BAA" w:rsidRDefault="004B0C4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Violation of the automatic stay by another party results in a contempt of court which is punishable by the court. In these circumstances the debtor may recover damages includ</w:t>
      </w:r>
      <w:r w:rsidR="0061076B">
        <w:rPr>
          <w:rFonts w:ascii="Avenir Next" w:hAnsi="Avenir Next"/>
          <w:color w:val="808080" w:themeColor="background1" w:themeShade="80"/>
        </w:rPr>
        <w:t>ing</w:t>
      </w:r>
      <w:r>
        <w:rPr>
          <w:rFonts w:ascii="Avenir Next" w:hAnsi="Avenir Next"/>
          <w:color w:val="808080" w:themeColor="background1" w:themeShade="80"/>
        </w:rPr>
        <w:t xml:space="preserve"> </w:t>
      </w:r>
      <w:r w:rsidR="008C27F4">
        <w:rPr>
          <w:rFonts w:ascii="Avenir Next" w:hAnsi="Avenir Next"/>
          <w:color w:val="808080" w:themeColor="background1" w:themeShade="80"/>
        </w:rPr>
        <w:t>attorney’s</w:t>
      </w:r>
      <w:r>
        <w:rPr>
          <w:rFonts w:ascii="Avenir Next" w:hAnsi="Avenir Next"/>
          <w:color w:val="808080" w:themeColor="background1" w:themeShade="80"/>
        </w:rPr>
        <w:t xml:space="preserve"> fees, costs and in some situations, punitive damages.</w:t>
      </w:r>
      <w:r>
        <w:rPr>
          <w:rStyle w:val="FootnoteReference"/>
          <w:rFonts w:ascii="Avenir Next" w:hAnsi="Avenir Next"/>
          <w:color w:val="808080" w:themeColor="background1" w:themeShade="80"/>
        </w:rPr>
        <w:footnoteReference w:id="3"/>
      </w:r>
    </w:p>
    <w:p w14:paraId="205417F0" w14:textId="77777777" w:rsidR="004B0C45" w:rsidRDefault="004B0C45" w:rsidP="001D3BAA">
      <w:pPr>
        <w:pStyle w:val="AODocTxt"/>
        <w:spacing w:before="0" w:line="240" w:lineRule="auto"/>
        <w:rPr>
          <w:rFonts w:ascii="Avenir Next" w:hAnsi="Avenir Next"/>
          <w:color w:val="808080" w:themeColor="background1" w:themeShade="80"/>
        </w:rPr>
      </w:pPr>
    </w:p>
    <w:p w14:paraId="58331859" w14:textId="0F1BE92D" w:rsidR="004B0C45" w:rsidRPr="002B5D64" w:rsidRDefault="004B0C4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Further to the above, should the </w:t>
      </w:r>
      <w:r w:rsidR="0061076B">
        <w:rPr>
          <w:rFonts w:ascii="Avenir Next" w:hAnsi="Avenir Next"/>
          <w:color w:val="808080" w:themeColor="background1" w:themeShade="80"/>
        </w:rPr>
        <w:t>court have concerns regarding the violator</w:t>
      </w:r>
      <w:r>
        <w:rPr>
          <w:rFonts w:ascii="Avenir Next" w:hAnsi="Avenir Next"/>
          <w:color w:val="808080" w:themeColor="background1" w:themeShade="80"/>
        </w:rPr>
        <w:t xml:space="preserve"> </w:t>
      </w:r>
      <w:r w:rsidR="0061076B">
        <w:rPr>
          <w:rFonts w:ascii="Avenir Next" w:hAnsi="Avenir Next"/>
          <w:color w:val="808080" w:themeColor="background1" w:themeShade="80"/>
        </w:rPr>
        <w:t>and potential further violations, the court can order coercive contempt sanctions against the violator. This may be in the form of daily fines, a compensatory fine, coercive incarceration, or may be a combination of these.</w:t>
      </w:r>
      <w:r w:rsidR="0061076B">
        <w:rPr>
          <w:rStyle w:val="FootnoteReference"/>
          <w:rFonts w:ascii="Avenir Next" w:hAnsi="Avenir Next"/>
          <w:color w:val="808080" w:themeColor="background1" w:themeShade="80"/>
        </w:rPr>
        <w:footnoteReference w:id="4"/>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37CAA5E1" w:rsidR="001D3BAA" w:rsidRDefault="0036289A" w:rsidP="0036289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Deemed to accept the </w:t>
      </w:r>
      <w:proofErr w:type="gramStart"/>
      <w:r>
        <w:rPr>
          <w:rFonts w:ascii="Avenir Next" w:hAnsi="Avenir Next"/>
          <w:color w:val="808080" w:themeColor="background1" w:themeShade="80"/>
        </w:rPr>
        <w:t>plan</w:t>
      </w:r>
      <w:proofErr w:type="gramEnd"/>
    </w:p>
    <w:p w14:paraId="3D980FB7" w14:textId="792E65B9" w:rsidR="0036289A" w:rsidRDefault="0036289A" w:rsidP="0036289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Creditors whose contractual rights are not adversely impacted by the proposed plan of reorgani</w:t>
      </w:r>
      <w:r w:rsidR="005623E9">
        <w:rPr>
          <w:rFonts w:ascii="Avenir Next" w:hAnsi="Avenir Next"/>
          <w:color w:val="808080" w:themeColor="background1" w:themeShade="80"/>
        </w:rPr>
        <w:t>s</w:t>
      </w:r>
      <w:r>
        <w:rPr>
          <w:rFonts w:ascii="Avenir Next" w:hAnsi="Avenir Next"/>
          <w:color w:val="808080" w:themeColor="background1" w:themeShade="80"/>
        </w:rPr>
        <w:t xml:space="preserve">ation, </w:t>
      </w:r>
      <w:proofErr w:type="gramStart"/>
      <w:r>
        <w:rPr>
          <w:rFonts w:ascii="Avenir Next" w:hAnsi="Avenir Next"/>
          <w:color w:val="808080" w:themeColor="background1" w:themeShade="80"/>
        </w:rPr>
        <w:t>i.e.</w:t>
      </w:r>
      <w:proofErr w:type="gramEnd"/>
      <w:r>
        <w:rPr>
          <w:rFonts w:ascii="Avenir Next" w:hAnsi="Avenir Next"/>
          <w:color w:val="808080" w:themeColor="background1" w:themeShade="80"/>
        </w:rPr>
        <w:t xml:space="preserve"> an unimpaired class, are deemed to accept the plan.</w:t>
      </w:r>
    </w:p>
    <w:p w14:paraId="40ED17FA" w14:textId="77777777" w:rsidR="0036289A" w:rsidRDefault="0036289A" w:rsidP="0036289A">
      <w:pPr>
        <w:pStyle w:val="AODocTxt"/>
        <w:spacing w:before="0" w:line="240" w:lineRule="auto"/>
        <w:rPr>
          <w:rFonts w:ascii="Avenir Next" w:hAnsi="Avenir Next"/>
          <w:color w:val="808080" w:themeColor="background1" w:themeShade="80"/>
        </w:rPr>
      </w:pPr>
    </w:p>
    <w:p w14:paraId="65D72399" w14:textId="6FBD408C" w:rsidR="0036289A" w:rsidRDefault="0036289A" w:rsidP="0036289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Deemed to reject the </w:t>
      </w:r>
      <w:proofErr w:type="gramStart"/>
      <w:r>
        <w:rPr>
          <w:rFonts w:ascii="Avenir Next" w:hAnsi="Avenir Next"/>
          <w:color w:val="808080" w:themeColor="background1" w:themeShade="80"/>
        </w:rPr>
        <w:t>plan</w:t>
      </w:r>
      <w:proofErr w:type="gramEnd"/>
    </w:p>
    <w:p w14:paraId="1ECEA255" w14:textId="20E4CE13" w:rsidR="0036289A" w:rsidRDefault="00800AD3" w:rsidP="0036289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class that doesn’t receive anything is deemed to reject the plan.</w:t>
      </w:r>
    </w:p>
    <w:p w14:paraId="53BA49BE" w14:textId="77777777" w:rsidR="00800AD3" w:rsidRDefault="00800AD3" w:rsidP="0036289A">
      <w:pPr>
        <w:pStyle w:val="AODocTxt"/>
        <w:spacing w:before="0" w:line="240" w:lineRule="auto"/>
        <w:rPr>
          <w:rFonts w:ascii="Avenir Next" w:hAnsi="Avenir Next"/>
          <w:color w:val="808080" w:themeColor="background1" w:themeShade="80"/>
        </w:rPr>
      </w:pPr>
    </w:p>
    <w:p w14:paraId="32086E99" w14:textId="4AE3116E" w:rsidR="0036289A" w:rsidRDefault="0036289A" w:rsidP="0036289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Permitted to vote on the </w:t>
      </w:r>
      <w:proofErr w:type="gramStart"/>
      <w:r>
        <w:rPr>
          <w:rFonts w:ascii="Avenir Next" w:hAnsi="Avenir Next"/>
          <w:color w:val="808080" w:themeColor="background1" w:themeShade="80"/>
        </w:rPr>
        <w:t>plan</w:t>
      </w:r>
      <w:proofErr w:type="gramEnd"/>
    </w:p>
    <w:p w14:paraId="59F1EF05" w14:textId="464D8507" w:rsidR="00800AD3" w:rsidRDefault="00800AD3" w:rsidP="00800AD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creditors that have the voting power in a plan of reorgani</w:t>
      </w:r>
      <w:r w:rsidR="005623E9">
        <w:rPr>
          <w:rFonts w:ascii="Avenir Next" w:hAnsi="Avenir Next"/>
          <w:color w:val="808080" w:themeColor="background1" w:themeShade="80"/>
        </w:rPr>
        <w:t>s</w:t>
      </w:r>
      <w:r>
        <w:rPr>
          <w:rFonts w:ascii="Avenir Next" w:hAnsi="Avenir Next"/>
          <w:color w:val="808080" w:themeColor="background1" w:themeShade="80"/>
        </w:rPr>
        <w:t xml:space="preserve">ation is the class of creditors whose legal rights or interests are affected by the proposed plan, the impaired creditors. </w:t>
      </w:r>
    </w:p>
    <w:p w14:paraId="05B7C6B8" w14:textId="77777777" w:rsidR="00800AD3" w:rsidRDefault="00800AD3" w:rsidP="00800AD3">
      <w:pPr>
        <w:pStyle w:val="AODocTxt"/>
        <w:spacing w:before="0" w:line="240" w:lineRule="auto"/>
        <w:rPr>
          <w:rFonts w:ascii="Avenir Next" w:hAnsi="Avenir Next"/>
          <w:color w:val="808080" w:themeColor="background1" w:themeShade="80"/>
        </w:rPr>
      </w:pPr>
    </w:p>
    <w:p w14:paraId="6D4F8F44" w14:textId="6EDD9F8A" w:rsidR="0036289A" w:rsidRDefault="0036289A" w:rsidP="0036289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What vote is necessary for a class of creditors to accept a </w:t>
      </w:r>
      <w:proofErr w:type="gramStart"/>
      <w:r>
        <w:rPr>
          <w:rFonts w:ascii="Avenir Next" w:hAnsi="Avenir Next"/>
          <w:color w:val="808080" w:themeColor="background1" w:themeShade="80"/>
        </w:rPr>
        <w:t>plan</w:t>
      </w:r>
      <w:proofErr w:type="gramEnd"/>
    </w:p>
    <w:p w14:paraId="5568D693" w14:textId="0B98803C" w:rsidR="00800AD3" w:rsidRPr="002B5D64" w:rsidRDefault="005623E9" w:rsidP="00800AD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the plan to be ratified, a simple majority of the class of creditors within the class, representing at least two-thirds of the total value of claims in the class, vote in favour. Alternatively, for equity interests, the plan is approved when at least two-thirds in value of the interests vote in favour.</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5042E9AF" w:rsidR="00E239B8" w:rsidRDefault="008B065D" w:rsidP="005623E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w:t>
      </w:r>
      <w:r w:rsidR="00E83A65">
        <w:rPr>
          <w:rFonts w:ascii="Avenir Next" w:hAnsi="Avenir Next"/>
          <w:color w:val="808080" w:themeColor="background1" w:themeShade="80"/>
        </w:rPr>
        <w:t>s</w:t>
      </w:r>
    </w:p>
    <w:p w14:paraId="26EAAF52" w14:textId="50B3EAE9" w:rsidR="008B065D" w:rsidRDefault="00E83A65" w:rsidP="005623E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Preference</w:t>
      </w:r>
      <w:r w:rsidR="002650C8">
        <w:rPr>
          <w:rFonts w:ascii="Avenir Next" w:hAnsi="Avenir Next"/>
          <w:color w:val="808080" w:themeColor="background1" w:themeShade="80"/>
        </w:rPr>
        <w:t>s</w:t>
      </w:r>
    </w:p>
    <w:p w14:paraId="586649F9" w14:textId="6EB8649B" w:rsidR="008B065D" w:rsidRDefault="008B065D" w:rsidP="005623E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9B2289">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111BC9D0" w14:textId="489194F7" w:rsidR="00756215" w:rsidRPr="00756215" w:rsidRDefault="00756215" w:rsidP="001D3BAA">
      <w:pPr>
        <w:pStyle w:val="AODocTxt"/>
        <w:spacing w:before="0" w:line="240" w:lineRule="auto"/>
        <w:rPr>
          <w:rFonts w:ascii="Avenir Next" w:hAnsi="Avenir Next"/>
          <w:color w:val="808080" w:themeColor="background1" w:themeShade="80"/>
          <w:u w:val="single"/>
        </w:rPr>
      </w:pPr>
      <w:r w:rsidRPr="00756215">
        <w:rPr>
          <w:rFonts w:ascii="Avenir Next" w:hAnsi="Avenir Next"/>
          <w:color w:val="808080" w:themeColor="background1" w:themeShade="80"/>
          <w:u w:val="single"/>
        </w:rPr>
        <w:t>Final Orders</w:t>
      </w:r>
    </w:p>
    <w:p w14:paraId="66486590" w14:textId="77777777" w:rsidR="00756215" w:rsidRDefault="00756215" w:rsidP="001D3BAA">
      <w:pPr>
        <w:pStyle w:val="AODocTxt"/>
        <w:spacing w:before="0" w:line="240" w:lineRule="auto"/>
        <w:rPr>
          <w:rFonts w:ascii="Avenir Next" w:hAnsi="Avenir Next"/>
          <w:color w:val="808080" w:themeColor="background1" w:themeShade="80"/>
        </w:rPr>
      </w:pPr>
    </w:p>
    <w:p w14:paraId="51531BE1" w14:textId="7219E3E3" w:rsidR="00756215" w:rsidRDefault="00DA31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bankruptcy court has authority to issue final orders on core proceedings, which includes but is not limited to matters concerning the administration of the estate, orders in respect of obtaining credit and confirmation plans</w:t>
      </w:r>
      <w:r>
        <w:rPr>
          <w:rStyle w:val="FootnoteReference"/>
          <w:rFonts w:ascii="Avenir Next" w:hAnsi="Avenir Next"/>
          <w:color w:val="808080" w:themeColor="background1" w:themeShade="80"/>
        </w:rPr>
        <w:footnoteReference w:id="5"/>
      </w:r>
      <w:r>
        <w:rPr>
          <w:rFonts w:ascii="Avenir Next" w:hAnsi="Avenir Next"/>
          <w:color w:val="808080" w:themeColor="background1" w:themeShade="80"/>
        </w:rPr>
        <w:t xml:space="preserve">. The bankruptcy court cannot make final determinations on non-core matters, being those not listed in the code as core. However, in 2011 in Stern v Marshall, it was held that </w:t>
      </w:r>
      <w:r w:rsidR="00D768C3">
        <w:rPr>
          <w:rFonts w:ascii="Avenir Next" w:hAnsi="Avenir Next"/>
          <w:color w:val="808080" w:themeColor="background1" w:themeShade="80"/>
        </w:rPr>
        <w:t>bankruptcy courts can’t issue final orders if it invades Article III jurisdiction, and this would therefore be ruled as unconstitutional. Following this controversial ruling, amendments were made to the Bankruptcy Rules</w:t>
      </w:r>
      <w:r w:rsidR="00D768C3">
        <w:rPr>
          <w:rFonts w:ascii="Avenir Next" w:hAnsi="Avenir Next"/>
          <w:color w:val="808080" w:themeColor="background1" w:themeShade="80"/>
        </w:rPr>
        <w:tab/>
        <w:t xml:space="preserve">to help to clarify the position. </w:t>
      </w:r>
      <w:r w:rsidR="00154C56">
        <w:rPr>
          <w:rFonts w:ascii="Avenir Next" w:hAnsi="Avenir Next"/>
          <w:color w:val="808080" w:themeColor="background1" w:themeShade="80"/>
        </w:rPr>
        <w:t>Bankruptcy courts can exercise a district court’s delegated authority to make final orders for any motion challenging the validity of a</w:t>
      </w:r>
      <w:r w:rsidR="003262A9">
        <w:rPr>
          <w:rFonts w:ascii="Avenir Next" w:hAnsi="Avenir Next"/>
          <w:color w:val="808080" w:themeColor="background1" w:themeShade="80"/>
        </w:rPr>
        <w:t xml:space="preserve"> bankruptcy</w:t>
      </w:r>
      <w:r w:rsidR="00154C56">
        <w:rPr>
          <w:rFonts w:ascii="Avenir Next" w:hAnsi="Avenir Next"/>
          <w:color w:val="808080" w:themeColor="background1" w:themeShade="80"/>
        </w:rPr>
        <w:t xml:space="preserve"> petition. This is because exclusive jurisdiction is given to district courts in adjudication of petitions to commence bankruptcy proceedings.</w:t>
      </w:r>
      <w:r w:rsidR="00D34D42">
        <w:rPr>
          <w:rFonts w:ascii="Avenir Next" w:hAnsi="Avenir Next"/>
          <w:color w:val="808080" w:themeColor="background1" w:themeShade="80"/>
        </w:rPr>
        <w:t xml:space="preserve"> The US Supreme Court has also ruled that the bankruptcy courts can make final orders in respect of certain bankruptcy cases even whereby they don’t have constitutional powers</w:t>
      </w:r>
      <w:r w:rsidR="00BB560E">
        <w:rPr>
          <w:rStyle w:val="FootnoteReference"/>
          <w:rFonts w:ascii="Avenir Next" w:hAnsi="Avenir Next"/>
          <w:color w:val="808080" w:themeColor="background1" w:themeShade="80"/>
        </w:rPr>
        <w:footnoteReference w:id="6"/>
      </w:r>
      <w:r w:rsidR="00D34D42">
        <w:rPr>
          <w:rFonts w:ascii="Avenir Next" w:hAnsi="Avenir Next"/>
          <w:color w:val="808080" w:themeColor="background1" w:themeShade="80"/>
        </w:rPr>
        <w:t>. In these circumstances, they may suggest a decision to the district court for review, or if all parties agree, they may make the final decision themselves.</w:t>
      </w:r>
      <w:r w:rsidR="00BB560E">
        <w:rPr>
          <w:rStyle w:val="FootnoteReference"/>
          <w:rFonts w:ascii="Avenir Next" w:hAnsi="Avenir Next"/>
          <w:color w:val="808080" w:themeColor="background1" w:themeShade="80"/>
        </w:rPr>
        <w:footnoteReference w:id="7"/>
      </w:r>
      <w:r w:rsidR="00756215">
        <w:rPr>
          <w:rFonts w:ascii="Avenir Next" w:hAnsi="Avenir Next"/>
          <w:color w:val="808080" w:themeColor="background1" w:themeShade="80"/>
        </w:rPr>
        <w:t xml:space="preserve"> </w:t>
      </w:r>
    </w:p>
    <w:p w14:paraId="3D9DACA1" w14:textId="77777777" w:rsidR="00756215" w:rsidRDefault="00756215" w:rsidP="001D3BAA">
      <w:pPr>
        <w:pStyle w:val="AODocTxt"/>
        <w:spacing w:before="0" w:line="240" w:lineRule="auto"/>
        <w:rPr>
          <w:rFonts w:ascii="Avenir Next" w:hAnsi="Avenir Next"/>
          <w:color w:val="808080" w:themeColor="background1" w:themeShade="80"/>
        </w:rPr>
      </w:pPr>
    </w:p>
    <w:p w14:paraId="7091B12B" w14:textId="7C6158EE" w:rsidR="00154C56" w:rsidRDefault="0075621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relation to appeals however, a bankruptcy order is only final if the bankruptcy court had the authority to enter it, and it resolves the whole dispute. However, this order may not be constitutionally final unless all parties have consented to the bankruptcy court’s jurisdiction.</w:t>
      </w:r>
    </w:p>
    <w:p w14:paraId="42E4DD77" w14:textId="77777777" w:rsidR="00756215" w:rsidRDefault="00756215" w:rsidP="001D3BAA">
      <w:pPr>
        <w:pStyle w:val="AODocTxt"/>
        <w:spacing w:before="0" w:line="240" w:lineRule="auto"/>
        <w:rPr>
          <w:rFonts w:ascii="Avenir Next" w:hAnsi="Avenir Next"/>
          <w:color w:val="808080" w:themeColor="background1" w:themeShade="80"/>
        </w:rPr>
      </w:pPr>
    </w:p>
    <w:p w14:paraId="645CCCF3" w14:textId="33690087" w:rsidR="00756215" w:rsidRPr="00756215" w:rsidRDefault="00756215" w:rsidP="001D3BAA">
      <w:pPr>
        <w:pStyle w:val="AODocTxt"/>
        <w:spacing w:before="0" w:line="240" w:lineRule="auto"/>
        <w:rPr>
          <w:rFonts w:ascii="Avenir Next" w:hAnsi="Avenir Next"/>
          <w:color w:val="808080" w:themeColor="background1" w:themeShade="80"/>
          <w:u w:val="single"/>
        </w:rPr>
      </w:pPr>
      <w:r w:rsidRPr="00756215">
        <w:rPr>
          <w:rFonts w:ascii="Avenir Next" w:hAnsi="Avenir Next"/>
          <w:color w:val="808080" w:themeColor="background1" w:themeShade="80"/>
          <w:u w:val="single"/>
        </w:rPr>
        <w:t>Appeals</w:t>
      </w:r>
    </w:p>
    <w:p w14:paraId="034F27E5" w14:textId="77777777" w:rsidR="00D34D42" w:rsidRDefault="00D34D42" w:rsidP="001D3BAA">
      <w:pPr>
        <w:pStyle w:val="AODocTxt"/>
        <w:spacing w:before="0" w:line="240" w:lineRule="auto"/>
        <w:rPr>
          <w:rFonts w:ascii="Avenir Next" w:hAnsi="Avenir Next"/>
          <w:color w:val="808080" w:themeColor="background1" w:themeShade="80"/>
        </w:rPr>
      </w:pPr>
    </w:p>
    <w:p w14:paraId="16B550F4" w14:textId="6102D0F0" w:rsidR="00D34D42" w:rsidRDefault="00850CF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may be heard by the district court, a Bankruptcy Appellate Panel (BAP), or the court of appeal. An initial appeal is either heard in the district court in the district that it sits in, or in some circuits, the BAP. If assigned to a BAP, the party can instead opt to be heard by the district court. Whereby there is an appeal of right, the appeal may be heard by the court of appeal, or in very rare circumstances, the appeal can go straight to the court of appeal if certain conditions are met and proved by the bankruptcy or district court.</w:t>
      </w:r>
    </w:p>
    <w:p w14:paraId="29E87777" w14:textId="77777777" w:rsidR="00850CF1" w:rsidRDefault="00850CF1" w:rsidP="001D3BAA">
      <w:pPr>
        <w:pStyle w:val="AODocTxt"/>
        <w:spacing w:before="0" w:line="240" w:lineRule="auto"/>
        <w:rPr>
          <w:rFonts w:ascii="Avenir Next" w:hAnsi="Avenir Next"/>
          <w:color w:val="808080" w:themeColor="background1" w:themeShade="80"/>
        </w:rPr>
      </w:pPr>
    </w:p>
    <w:p w14:paraId="52D4AE9E" w14:textId="48EE7ACE" w:rsidR="00850CF1" w:rsidRPr="00850CF1" w:rsidRDefault="00850CF1" w:rsidP="001D3BAA">
      <w:pPr>
        <w:pStyle w:val="AODocTxt"/>
        <w:spacing w:before="0" w:line="240" w:lineRule="auto"/>
        <w:rPr>
          <w:rFonts w:ascii="Avenir Next" w:hAnsi="Avenir Next"/>
          <w:color w:val="808080" w:themeColor="background1" w:themeShade="80"/>
          <w:u w:val="single"/>
        </w:rPr>
      </w:pPr>
      <w:r w:rsidRPr="00850CF1">
        <w:rPr>
          <w:rFonts w:ascii="Avenir Next" w:hAnsi="Avenir Next"/>
          <w:color w:val="808080" w:themeColor="background1" w:themeShade="80"/>
          <w:u w:val="single"/>
        </w:rPr>
        <w:t>Review of orders</w:t>
      </w:r>
    </w:p>
    <w:p w14:paraId="535D215A" w14:textId="77777777" w:rsidR="00850CF1" w:rsidRDefault="00850CF1" w:rsidP="001D3BAA">
      <w:pPr>
        <w:pStyle w:val="AODocTxt"/>
        <w:spacing w:before="0" w:line="240" w:lineRule="auto"/>
        <w:rPr>
          <w:rFonts w:ascii="Avenir Next" w:hAnsi="Avenir Next"/>
          <w:color w:val="808080" w:themeColor="background1" w:themeShade="80"/>
        </w:rPr>
      </w:pPr>
    </w:p>
    <w:p w14:paraId="3187F9B8" w14:textId="46757C86" w:rsidR="00850CF1" w:rsidRDefault="00850CF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situations whereby the final order is not constitutional, such as in non-core proceedings or whereby the bankruptcy doesn’t have appropriate authority, </w:t>
      </w:r>
      <w:r w:rsidR="00952749">
        <w:rPr>
          <w:rFonts w:ascii="Avenir Next" w:hAnsi="Avenir Next"/>
          <w:color w:val="808080" w:themeColor="background1" w:themeShade="80"/>
        </w:rPr>
        <w:t xml:space="preserve">the BAP or district court will </w:t>
      </w:r>
      <w:r w:rsidR="00952749" w:rsidRPr="00952749">
        <w:rPr>
          <w:rFonts w:ascii="Avenir Next" w:hAnsi="Avenir Next"/>
          <w:color w:val="808080" w:themeColor="background1" w:themeShade="80"/>
        </w:rPr>
        <w:t>reexamine the facts, evidence, and legal arguments presented in the case without relying on</w:t>
      </w:r>
      <w:r w:rsidR="00952749">
        <w:rPr>
          <w:rFonts w:ascii="Avenir Next" w:hAnsi="Avenir Next"/>
          <w:color w:val="808080" w:themeColor="background1" w:themeShade="80"/>
        </w:rPr>
        <w:t xml:space="preserve"> any earlier rulings. The court of appeals will also review the order of the district court or BAP in the same way.</w:t>
      </w:r>
    </w:p>
    <w:p w14:paraId="6D778380" w14:textId="77777777" w:rsidR="00952749" w:rsidRPr="002B5D64" w:rsidRDefault="00952749" w:rsidP="001D3BAA">
      <w:pPr>
        <w:pStyle w:val="AODocTxt"/>
        <w:spacing w:before="0" w:line="240" w:lineRule="auto"/>
        <w:rPr>
          <w:rFonts w:ascii="Avenir Next" w:hAnsi="Avenir Next"/>
          <w:color w:val="808080" w:themeColor="background1" w:themeShade="80"/>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lastRenderedPageBreak/>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4938A4B3" w14:textId="77777777" w:rsidR="008370CD" w:rsidRDefault="0010496C" w:rsidP="0010496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Avoidance powers provided by Article 23 of the Model Law on Cross-Border Insolvency Law</w:t>
      </w:r>
      <w:r>
        <w:rPr>
          <w:rStyle w:val="FootnoteReference"/>
          <w:rFonts w:ascii="Avenir Next" w:hAnsi="Avenir Next"/>
          <w:color w:val="808080" w:themeColor="background1" w:themeShade="80"/>
        </w:rPr>
        <w:footnoteReference w:id="8"/>
      </w:r>
      <w:r>
        <w:rPr>
          <w:rFonts w:ascii="Avenir Next" w:hAnsi="Avenir Next"/>
          <w:color w:val="808080" w:themeColor="background1" w:themeShade="80"/>
        </w:rPr>
        <w:t xml:space="preserve"> (MLCBI) provides powers to a foreign representative to avoid certain actions which would be detrimental to creditors. Whilst the US is a MLCBI member state, it has not </w:t>
      </w:r>
      <w:r w:rsidR="006E5000">
        <w:rPr>
          <w:rFonts w:ascii="Avenir Next" w:hAnsi="Avenir Next"/>
          <w:color w:val="808080" w:themeColor="background1" w:themeShade="80"/>
        </w:rPr>
        <w:t>adopted</w:t>
      </w:r>
      <w:r>
        <w:rPr>
          <w:rFonts w:ascii="Avenir Next" w:hAnsi="Avenir Next"/>
          <w:color w:val="808080" w:themeColor="background1" w:themeShade="80"/>
        </w:rPr>
        <w:t xml:space="preserve"> these powers into its insolvency legislation in Chapter 15. </w:t>
      </w:r>
    </w:p>
    <w:p w14:paraId="078F6C1B" w14:textId="77777777" w:rsidR="008370CD" w:rsidRDefault="008370CD" w:rsidP="0010496C">
      <w:pPr>
        <w:pStyle w:val="AODocTxt"/>
        <w:spacing w:before="0" w:line="240" w:lineRule="auto"/>
        <w:rPr>
          <w:rFonts w:ascii="Avenir Next" w:hAnsi="Avenir Next"/>
          <w:color w:val="808080" w:themeColor="background1" w:themeShade="80"/>
        </w:rPr>
      </w:pPr>
    </w:p>
    <w:p w14:paraId="26C3D5E9" w14:textId="1D1346CA" w:rsidR="0010496C" w:rsidRDefault="006E5000" w:rsidP="0010496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it is interpreted by some that the foreign representative may still seek avoidance of pre-petition transactions through application of domestic or foreign laws applicable to the circumstances</w:t>
      </w:r>
      <w:r w:rsidR="008370CD">
        <w:rPr>
          <w:rFonts w:ascii="Avenir Next" w:hAnsi="Avenir Next"/>
          <w:color w:val="808080" w:themeColor="background1" w:themeShade="80"/>
        </w:rPr>
        <w:t>, although this may be limited by the statute of limitations or situations whereby claims for constructive conveyance can’t be applied.</w:t>
      </w:r>
    </w:p>
    <w:p w14:paraId="4D32AFD8" w14:textId="77777777" w:rsidR="006E5000" w:rsidRDefault="006E5000" w:rsidP="0010496C">
      <w:pPr>
        <w:pStyle w:val="AODocTxt"/>
        <w:spacing w:before="0" w:line="240" w:lineRule="auto"/>
        <w:rPr>
          <w:rFonts w:ascii="Avenir Next" w:hAnsi="Avenir Next"/>
          <w:color w:val="808080" w:themeColor="background1" w:themeShade="80"/>
        </w:rPr>
      </w:pPr>
    </w:p>
    <w:p w14:paraId="0A7BC45C" w14:textId="31E96B89" w:rsidR="0010496C" w:rsidRPr="002B5D64" w:rsidRDefault="006E5000" w:rsidP="008370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Avoidance powers can </w:t>
      </w:r>
      <w:r w:rsidR="008370CD">
        <w:rPr>
          <w:rFonts w:ascii="Avenir Next" w:hAnsi="Avenir Next"/>
          <w:color w:val="808080" w:themeColor="background1" w:themeShade="80"/>
        </w:rPr>
        <w:t>also</w:t>
      </w:r>
      <w:r>
        <w:rPr>
          <w:rFonts w:ascii="Avenir Next" w:hAnsi="Avenir Next"/>
          <w:color w:val="808080" w:themeColor="background1" w:themeShade="80"/>
        </w:rPr>
        <w:t xml:space="preserve"> be applied by foreign representatives in Chapter 11 and Chapter 7</w:t>
      </w:r>
      <w:r w:rsidR="008370CD">
        <w:rPr>
          <w:rFonts w:ascii="Avenir Next" w:hAnsi="Avenir Next"/>
          <w:color w:val="808080" w:themeColor="background1" w:themeShade="80"/>
        </w:rPr>
        <w:t xml:space="preserve"> ‘plenary’</w:t>
      </w:r>
      <w:r>
        <w:rPr>
          <w:rFonts w:ascii="Avenir Next" w:hAnsi="Avenir Next"/>
          <w:color w:val="808080" w:themeColor="background1" w:themeShade="80"/>
        </w:rPr>
        <w:t xml:space="preserve"> proceedings. </w:t>
      </w:r>
      <w:r w:rsidR="008370CD">
        <w:rPr>
          <w:rFonts w:ascii="Avenir Next" w:hAnsi="Avenir Next"/>
          <w:color w:val="808080" w:themeColor="background1" w:themeShade="80"/>
        </w:rPr>
        <w:t>This may be in situations whereby the debtor or creditors commence proceedings before the appointment of the foreign representative or, less commonly, where the foreign representative may want to commence a Chapter 7 or</w:t>
      </w:r>
      <w:r w:rsidR="008C27F4">
        <w:rPr>
          <w:rFonts w:ascii="Avenir Next" w:hAnsi="Avenir Next"/>
          <w:color w:val="808080" w:themeColor="background1" w:themeShade="80"/>
        </w:rPr>
        <w:t xml:space="preserve"> </w:t>
      </w:r>
      <w:r w:rsidR="008370CD">
        <w:rPr>
          <w:rFonts w:ascii="Avenir Next" w:hAnsi="Avenir Next"/>
          <w:color w:val="808080" w:themeColor="background1" w:themeShade="80"/>
        </w:rPr>
        <w:t>11 proceeding after seeking recognition through Chapter 15. The relief granted by Chapter 7 and 11 would be coordinated with the foreign representative and limited to the debtor’s US assets.</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1A41514" w:rsidR="001D3BAA" w:rsidRDefault="00CC7F1C" w:rsidP="001D3BAA">
      <w:pPr>
        <w:pStyle w:val="AODocTxt"/>
        <w:spacing w:before="0" w:line="240" w:lineRule="auto"/>
        <w:rPr>
          <w:rFonts w:ascii="Avenir Next" w:hAnsi="Avenir Next"/>
          <w:color w:val="808080" w:themeColor="background1" w:themeShade="80"/>
          <w:u w:val="single"/>
        </w:rPr>
      </w:pPr>
      <w:r w:rsidRPr="00CC7F1C">
        <w:rPr>
          <w:rFonts w:ascii="Avenir Next" w:hAnsi="Avenir Next"/>
          <w:color w:val="808080" w:themeColor="background1" w:themeShade="80"/>
          <w:u w:val="single"/>
        </w:rPr>
        <w:t>Bankruptcy Rules</w:t>
      </w:r>
    </w:p>
    <w:p w14:paraId="6C676D46" w14:textId="77777777" w:rsidR="00CC7F1C" w:rsidRDefault="00CC7F1C" w:rsidP="001D3BAA">
      <w:pPr>
        <w:pStyle w:val="AODocTxt"/>
        <w:spacing w:before="0" w:line="240" w:lineRule="auto"/>
        <w:rPr>
          <w:rFonts w:ascii="Avenir Next" w:hAnsi="Avenir Next"/>
          <w:color w:val="808080" w:themeColor="background1" w:themeShade="80"/>
          <w:u w:val="single"/>
        </w:rPr>
      </w:pPr>
    </w:p>
    <w:p w14:paraId="37D57A09" w14:textId="2A758F76" w:rsidR="00CC7F1C" w:rsidRPr="0087762C" w:rsidRDefault="0087762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firstly important to refer to the Bankruptcy Rules which govern procedures in bankruptcy proceedings. These were implemented </w:t>
      </w:r>
      <w:r w:rsidR="008020F8">
        <w:rPr>
          <w:rFonts w:ascii="Avenir Next" w:hAnsi="Avenir Next"/>
          <w:color w:val="808080" w:themeColor="background1" w:themeShade="80"/>
        </w:rPr>
        <w:t>by the Supreme Court in 1973, alongside the Official Bankruptcy Forms, which have both been amended many times since.</w:t>
      </w:r>
      <w:r w:rsidR="008020F8">
        <w:rPr>
          <w:rStyle w:val="FootnoteReference"/>
          <w:rFonts w:ascii="Avenir Next" w:hAnsi="Avenir Next"/>
          <w:color w:val="808080" w:themeColor="background1" w:themeShade="80"/>
        </w:rPr>
        <w:footnoteReference w:id="9"/>
      </w:r>
      <w:r w:rsidR="008020F8">
        <w:rPr>
          <w:rFonts w:ascii="Avenir Next" w:hAnsi="Avenir Next"/>
          <w:color w:val="808080" w:themeColor="background1" w:themeShade="80"/>
        </w:rPr>
        <w:t xml:space="preserve"> Therefore, it is important to refer to the most recent Rules and Forms when preparing filings for the court.</w:t>
      </w:r>
    </w:p>
    <w:p w14:paraId="445818B8" w14:textId="77777777" w:rsidR="00CC7F1C" w:rsidRPr="00CC7F1C" w:rsidRDefault="00CC7F1C" w:rsidP="001D3BAA">
      <w:pPr>
        <w:pStyle w:val="AODocTxt"/>
        <w:spacing w:before="0" w:line="240" w:lineRule="auto"/>
        <w:rPr>
          <w:rFonts w:ascii="Avenir Next" w:hAnsi="Avenir Next"/>
          <w:color w:val="808080" w:themeColor="background1" w:themeShade="80"/>
          <w:u w:val="single"/>
        </w:rPr>
      </w:pPr>
    </w:p>
    <w:p w14:paraId="143F998F" w14:textId="21C65DE6" w:rsidR="00CC7F1C" w:rsidRDefault="00CC7F1C" w:rsidP="001D3BAA">
      <w:pPr>
        <w:pStyle w:val="AODocTxt"/>
        <w:spacing w:before="0" w:line="240" w:lineRule="auto"/>
        <w:rPr>
          <w:rFonts w:ascii="Avenir Next" w:hAnsi="Avenir Next"/>
          <w:color w:val="808080" w:themeColor="background1" w:themeShade="80"/>
          <w:u w:val="single"/>
        </w:rPr>
      </w:pPr>
      <w:r w:rsidRPr="00CC7F1C">
        <w:rPr>
          <w:rFonts w:ascii="Avenir Next" w:hAnsi="Avenir Next"/>
          <w:color w:val="808080" w:themeColor="background1" w:themeShade="80"/>
          <w:u w:val="single"/>
        </w:rPr>
        <w:t>Federal Rules of Civil Procedure</w:t>
      </w:r>
    </w:p>
    <w:p w14:paraId="0032CF1A" w14:textId="77777777" w:rsidR="00CC7F1C" w:rsidRDefault="00CC7F1C" w:rsidP="001D3BAA">
      <w:pPr>
        <w:pStyle w:val="AODocTxt"/>
        <w:spacing w:before="0" w:line="240" w:lineRule="auto"/>
        <w:rPr>
          <w:rFonts w:ascii="Avenir Next" w:hAnsi="Avenir Next"/>
          <w:color w:val="808080" w:themeColor="background1" w:themeShade="80"/>
          <w:u w:val="single"/>
        </w:rPr>
      </w:pPr>
    </w:p>
    <w:p w14:paraId="01511BFE" w14:textId="616717C2" w:rsidR="00CC7F1C" w:rsidRPr="008020F8" w:rsidRDefault="008020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Rules often incorporate the Federal Rules of Civil Procedure. These are important in bankruptcy procedures in relation to litigious matters concerning adversary proceedings and contentious matters and should therefore be reviewed alongside the Bankruptcy Rules.</w:t>
      </w:r>
    </w:p>
    <w:p w14:paraId="5B026EA4" w14:textId="77777777" w:rsidR="00CC7F1C" w:rsidRPr="00CC7F1C" w:rsidRDefault="00CC7F1C" w:rsidP="001D3BAA">
      <w:pPr>
        <w:pStyle w:val="AODocTxt"/>
        <w:spacing w:before="0" w:line="240" w:lineRule="auto"/>
        <w:rPr>
          <w:rFonts w:ascii="Avenir Next" w:hAnsi="Avenir Next"/>
          <w:color w:val="808080" w:themeColor="background1" w:themeShade="80"/>
          <w:u w:val="single"/>
        </w:rPr>
      </w:pPr>
    </w:p>
    <w:p w14:paraId="57389A98" w14:textId="58D2FBEE" w:rsidR="00CC7F1C" w:rsidRDefault="00CC7F1C" w:rsidP="001D3BAA">
      <w:pPr>
        <w:pStyle w:val="AODocTxt"/>
        <w:spacing w:before="0" w:line="240" w:lineRule="auto"/>
        <w:rPr>
          <w:rFonts w:ascii="Avenir Next" w:hAnsi="Avenir Next"/>
          <w:color w:val="808080" w:themeColor="background1" w:themeShade="80"/>
          <w:u w:val="single"/>
        </w:rPr>
      </w:pPr>
      <w:r w:rsidRPr="00CC7F1C">
        <w:rPr>
          <w:rFonts w:ascii="Avenir Next" w:hAnsi="Avenir Next"/>
          <w:color w:val="808080" w:themeColor="background1" w:themeShade="80"/>
          <w:u w:val="single"/>
        </w:rPr>
        <w:t>Local rules of the Bankruptcy Court</w:t>
      </w:r>
    </w:p>
    <w:p w14:paraId="121B9918" w14:textId="77777777" w:rsidR="00CC7F1C" w:rsidRDefault="00CC7F1C" w:rsidP="001D3BAA">
      <w:pPr>
        <w:pStyle w:val="AODocTxt"/>
        <w:spacing w:before="0" w:line="240" w:lineRule="auto"/>
        <w:rPr>
          <w:rFonts w:ascii="Avenir Next" w:hAnsi="Avenir Next"/>
          <w:color w:val="808080" w:themeColor="background1" w:themeShade="80"/>
          <w:u w:val="single"/>
        </w:rPr>
      </w:pPr>
    </w:p>
    <w:p w14:paraId="19990065" w14:textId="3E5A8B27" w:rsidR="00CC7F1C" w:rsidRDefault="008020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addition to federal rules, each state will apply its own local rules in the bankruptcy court which may differ between courts. These are regularly </w:t>
      </w:r>
      <w:r w:rsidR="008D3096">
        <w:rPr>
          <w:rFonts w:ascii="Avenir Next" w:hAnsi="Avenir Next"/>
          <w:color w:val="808080" w:themeColor="background1" w:themeShade="80"/>
        </w:rPr>
        <w:t>updated,</w:t>
      </w:r>
      <w:r>
        <w:rPr>
          <w:rFonts w:ascii="Avenir Next" w:hAnsi="Avenir Next"/>
          <w:color w:val="808080" w:themeColor="background1" w:themeShade="80"/>
        </w:rPr>
        <w:t xml:space="preserve"> and one should refer to these on the website of the applicable bankruptcy court.</w:t>
      </w:r>
    </w:p>
    <w:p w14:paraId="0B4B9680" w14:textId="77777777" w:rsidR="008D3096" w:rsidRPr="008020F8" w:rsidRDefault="008D3096" w:rsidP="001D3BAA">
      <w:pPr>
        <w:pStyle w:val="AODocTxt"/>
        <w:spacing w:before="0" w:line="240" w:lineRule="auto"/>
        <w:rPr>
          <w:rFonts w:ascii="Avenir Next" w:hAnsi="Avenir Next"/>
          <w:color w:val="808080" w:themeColor="background1" w:themeShade="80"/>
        </w:rPr>
      </w:pPr>
    </w:p>
    <w:p w14:paraId="785FBEF3" w14:textId="77777777" w:rsidR="00CC7F1C" w:rsidRPr="00CC7F1C" w:rsidRDefault="00CC7F1C" w:rsidP="001D3BAA">
      <w:pPr>
        <w:pStyle w:val="AODocTxt"/>
        <w:spacing w:before="0" w:line="240" w:lineRule="auto"/>
        <w:rPr>
          <w:rFonts w:ascii="Avenir Next" w:hAnsi="Avenir Next"/>
          <w:color w:val="808080" w:themeColor="background1" w:themeShade="80"/>
          <w:u w:val="single"/>
        </w:rPr>
      </w:pPr>
    </w:p>
    <w:p w14:paraId="42755C25" w14:textId="7FFC98D7" w:rsidR="00CC7F1C" w:rsidRPr="00CC7F1C" w:rsidRDefault="00CC7F1C" w:rsidP="001D3BAA">
      <w:pPr>
        <w:pStyle w:val="AODocTxt"/>
        <w:spacing w:before="0" w:line="240" w:lineRule="auto"/>
        <w:rPr>
          <w:rFonts w:ascii="Avenir Next" w:hAnsi="Avenir Next"/>
          <w:color w:val="808080" w:themeColor="background1" w:themeShade="80"/>
          <w:u w:val="single"/>
        </w:rPr>
      </w:pPr>
      <w:r w:rsidRPr="00CC7F1C">
        <w:rPr>
          <w:rFonts w:ascii="Avenir Next" w:hAnsi="Avenir Next"/>
          <w:color w:val="808080" w:themeColor="background1" w:themeShade="80"/>
          <w:u w:val="single"/>
        </w:rPr>
        <w:lastRenderedPageBreak/>
        <w:t>Judge’s Personal Practices</w:t>
      </w:r>
    </w:p>
    <w:p w14:paraId="10BACB63" w14:textId="77777777" w:rsidR="00CC7F1C" w:rsidRDefault="00CC7F1C" w:rsidP="001D3BAA">
      <w:pPr>
        <w:pStyle w:val="AODocTxt"/>
        <w:spacing w:before="0" w:line="240" w:lineRule="auto"/>
        <w:rPr>
          <w:rFonts w:ascii="Avenir Next" w:hAnsi="Avenir Next"/>
          <w:color w:val="808080" w:themeColor="background1" w:themeShade="80"/>
        </w:rPr>
      </w:pPr>
    </w:p>
    <w:p w14:paraId="08B81757" w14:textId="1C0AFA5C" w:rsidR="00CC7F1C" w:rsidRDefault="008020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Similarly with the local rules of the Bankruptcy Court, </w:t>
      </w:r>
      <w:r w:rsidR="008D3096">
        <w:rPr>
          <w:rFonts w:ascii="Avenir Next" w:hAnsi="Avenir Next"/>
          <w:color w:val="808080" w:themeColor="background1" w:themeShade="80"/>
        </w:rPr>
        <w:t xml:space="preserve">each Judge will have differing personal practices. Again, these will be updated </w:t>
      </w:r>
      <w:r w:rsidR="008C27F4">
        <w:rPr>
          <w:rFonts w:ascii="Avenir Next" w:hAnsi="Avenir Next"/>
          <w:color w:val="808080" w:themeColor="background1" w:themeShade="80"/>
        </w:rPr>
        <w:t>periodically,</w:t>
      </w:r>
      <w:r w:rsidR="008D3096">
        <w:rPr>
          <w:rFonts w:ascii="Avenir Next" w:hAnsi="Avenir Next"/>
          <w:color w:val="808080" w:themeColor="background1" w:themeShade="80"/>
        </w:rPr>
        <w:t xml:space="preserve"> and it is important to refer to the local bankruptcy court’s website to confirm the current practices. Both these and the local rules of the bankruptcy court can affect deadlines required for filings and responses to pleadings, which can be critical to bankruptcy filings.</w:t>
      </w:r>
    </w:p>
    <w:p w14:paraId="2879FD09" w14:textId="77777777" w:rsidR="008D3096" w:rsidRDefault="008D3096" w:rsidP="001D3BAA">
      <w:pPr>
        <w:pStyle w:val="AODocTxt"/>
        <w:spacing w:before="0" w:line="240" w:lineRule="auto"/>
        <w:rPr>
          <w:rFonts w:ascii="Avenir Next" w:hAnsi="Avenir Next"/>
          <w:color w:val="808080" w:themeColor="background1" w:themeShade="80"/>
        </w:rPr>
      </w:pPr>
    </w:p>
    <w:p w14:paraId="24ACD7BC" w14:textId="1B76E4D6" w:rsidR="008D3096" w:rsidRPr="002B5D64" w:rsidRDefault="008D309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Aside from the above, it is important to research relevant case law for the application of the laws, and to consider retaining a US practitioner to provide guidance on any ‘unwritten’ rules.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4D380F4" w14:textId="77777777" w:rsidR="00DC4977" w:rsidRDefault="00DC5C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of Delaware incorporated companies owe fiduciary duties of care and loyalty to the company’s best interests. The duty of care means that the director should be making informed decisions, based on all reasonably acquirable information. The duty of loyalty requires that directors act in good faith and on a disinterested and independent </w:t>
      </w:r>
      <w:r w:rsidR="00DC4977">
        <w:rPr>
          <w:rFonts w:ascii="Avenir Next" w:hAnsi="Avenir Next"/>
          <w:color w:val="808080" w:themeColor="background1" w:themeShade="80"/>
        </w:rPr>
        <w:t xml:space="preserve">basis and must honestly believe that the decisions made are in the best interest of the company. </w:t>
      </w:r>
    </w:p>
    <w:p w14:paraId="3ACCAE03" w14:textId="77777777" w:rsidR="00DC4977" w:rsidRDefault="00DC4977" w:rsidP="001D3BAA">
      <w:pPr>
        <w:pStyle w:val="AODocTxt"/>
        <w:spacing w:before="0" w:line="240" w:lineRule="auto"/>
        <w:rPr>
          <w:rFonts w:ascii="Avenir Next" w:hAnsi="Avenir Next"/>
          <w:color w:val="808080" w:themeColor="background1" w:themeShade="80"/>
        </w:rPr>
      </w:pPr>
    </w:p>
    <w:p w14:paraId="6B22572C" w14:textId="477B64E9" w:rsidR="00DC4977" w:rsidRDefault="00DC497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To be disinterested and independent requires that the director doesn’t materially receive any benefit from matters in which decisions are being made, and that they don’t have any close relationships with people or entities which may influence the outcome of decisions made.</w:t>
      </w:r>
      <w:r>
        <w:rPr>
          <w:rStyle w:val="FootnoteReference"/>
          <w:rFonts w:ascii="Avenir Next" w:hAnsi="Avenir Next"/>
          <w:color w:val="808080" w:themeColor="background1" w:themeShade="80"/>
        </w:rPr>
        <w:footnoteReference w:id="10"/>
      </w:r>
      <w:r w:rsidR="009259BC">
        <w:rPr>
          <w:rFonts w:ascii="Avenir Next" w:hAnsi="Avenir Next"/>
          <w:color w:val="808080" w:themeColor="background1" w:themeShade="80"/>
        </w:rPr>
        <w:t xml:space="preserve"> </w:t>
      </w:r>
      <w:r>
        <w:rPr>
          <w:rFonts w:ascii="Avenir Next" w:hAnsi="Avenir Next"/>
          <w:color w:val="808080" w:themeColor="background1" w:themeShade="80"/>
        </w:rPr>
        <w:t xml:space="preserve">When reviewing decisions made by the board, Delaware courts will initially apply the Business Judgement Rule. </w:t>
      </w:r>
      <w:r w:rsidR="009259BC">
        <w:rPr>
          <w:rFonts w:ascii="Avenir Next" w:hAnsi="Avenir Next"/>
          <w:color w:val="808080" w:themeColor="background1" w:themeShade="80"/>
        </w:rPr>
        <w:t xml:space="preserve">Under this rule, </w:t>
      </w:r>
      <w:proofErr w:type="gramStart"/>
      <w:r w:rsidR="009259BC">
        <w:rPr>
          <w:rFonts w:ascii="Avenir Next" w:hAnsi="Avenir Next"/>
          <w:color w:val="808080" w:themeColor="background1" w:themeShade="80"/>
        </w:rPr>
        <w:t>as long as</w:t>
      </w:r>
      <w:proofErr w:type="gramEnd"/>
      <w:r w:rsidR="009259BC">
        <w:rPr>
          <w:rFonts w:ascii="Avenir Next" w:hAnsi="Avenir Next"/>
          <w:color w:val="808080" w:themeColor="background1" w:themeShade="80"/>
        </w:rPr>
        <w:t xml:space="preserve"> the majority of directors are disinterested and independent when the decision is made, and the directors have made the decision with due care and in good faith, it will not be questioned later by a court.</w:t>
      </w:r>
      <w:r w:rsidR="009259BC">
        <w:rPr>
          <w:rStyle w:val="FootnoteReference"/>
          <w:rFonts w:ascii="Avenir Next" w:hAnsi="Avenir Next"/>
          <w:color w:val="808080" w:themeColor="background1" w:themeShade="80"/>
        </w:rPr>
        <w:footnoteReference w:id="11"/>
      </w:r>
      <w:r w:rsidR="009259BC">
        <w:rPr>
          <w:rFonts w:ascii="Avenir Next" w:hAnsi="Avenir Next"/>
          <w:color w:val="808080" w:themeColor="background1" w:themeShade="80"/>
        </w:rPr>
        <w:t xml:space="preserve"> This is a key component of Delaware corporate law.</w:t>
      </w:r>
    </w:p>
    <w:p w14:paraId="27B81452" w14:textId="77777777" w:rsidR="00DC4977" w:rsidRDefault="00DC4977" w:rsidP="001D3BAA">
      <w:pPr>
        <w:pStyle w:val="AODocTxt"/>
        <w:spacing w:before="0" w:line="240" w:lineRule="auto"/>
        <w:rPr>
          <w:rFonts w:ascii="Avenir Next" w:hAnsi="Avenir Next"/>
          <w:color w:val="808080" w:themeColor="background1" w:themeShade="80"/>
        </w:rPr>
      </w:pPr>
    </w:p>
    <w:p w14:paraId="2E8856E6" w14:textId="57B9A0E0" w:rsidR="00DC4977" w:rsidRDefault="00DC497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Fiduciary duties in some states are subject to change when a company becomes insolvent. In Delaware, directors owe a duty of </w:t>
      </w:r>
      <w:r w:rsidR="009259BC">
        <w:rPr>
          <w:rFonts w:ascii="Avenir Next" w:hAnsi="Avenir Next"/>
          <w:color w:val="808080" w:themeColor="background1" w:themeShade="80"/>
        </w:rPr>
        <w:t>care to only the shareholders of a company and the company itself, whether the entity is solvent</w:t>
      </w:r>
      <w:r w:rsidR="00E902E5">
        <w:rPr>
          <w:rFonts w:ascii="Avenir Next" w:hAnsi="Avenir Next"/>
          <w:color w:val="808080" w:themeColor="background1" w:themeShade="80"/>
        </w:rPr>
        <w:t xml:space="preserve"> and operating in the ordinary course of </w:t>
      </w:r>
      <w:r w:rsidR="00DF0D77">
        <w:rPr>
          <w:rFonts w:ascii="Avenir Next" w:hAnsi="Avenir Next"/>
          <w:color w:val="808080" w:themeColor="background1" w:themeShade="80"/>
        </w:rPr>
        <w:t>business or</w:t>
      </w:r>
      <w:r w:rsidR="009259BC">
        <w:rPr>
          <w:rFonts w:ascii="Avenir Next" w:hAnsi="Avenir Next"/>
          <w:color w:val="808080" w:themeColor="background1" w:themeShade="80"/>
        </w:rPr>
        <w:t xml:space="preserve"> approaching insolvency (in the zone of insolvency). When the company is in these states, creditors rights are instead protected by other laws, for example fraudulent conveyance laws or contract law. It was held in </w:t>
      </w:r>
      <w:r w:rsidR="009259BC" w:rsidRPr="009259BC">
        <w:rPr>
          <w:rFonts w:ascii="Avenir Next" w:hAnsi="Avenir Next"/>
          <w:color w:val="808080" w:themeColor="background1" w:themeShade="80"/>
        </w:rPr>
        <w:t xml:space="preserve">North American Catholic Educational Programming v. </w:t>
      </w:r>
      <w:proofErr w:type="spellStart"/>
      <w:r w:rsidR="009259BC" w:rsidRPr="009259BC">
        <w:rPr>
          <w:rFonts w:ascii="Avenir Next" w:hAnsi="Avenir Next"/>
          <w:color w:val="808080" w:themeColor="background1" w:themeShade="80"/>
        </w:rPr>
        <w:t>Gheewalla</w:t>
      </w:r>
      <w:proofErr w:type="spellEnd"/>
      <w:r w:rsidR="009259BC">
        <w:rPr>
          <w:rStyle w:val="FootnoteReference"/>
          <w:rFonts w:ascii="Avenir Next" w:hAnsi="Avenir Next"/>
          <w:color w:val="808080" w:themeColor="background1" w:themeShade="80"/>
        </w:rPr>
        <w:footnoteReference w:id="12"/>
      </w:r>
      <w:r w:rsidR="00E902E5">
        <w:rPr>
          <w:rFonts w:ascii="Avenir Next" w:hAnsi="Avenir Next"/>
          <w:color w:val="808080" w:themeColor="background1" w:themeShade="80"/>
        </w:rPr>
        <w:t xml:space="preserve"> that “When a solvent corporation is navigating in the zone of insolvency, the focus for Delaware directors does not change”, meaning that their fiduciary duties are the same as pre-insolvency. </w:t>
      </w:r>
    </w:p>
    <w:p w14:paraId="3E4D9665" w14:textId="77777777" w:rsidR="00E902E5" w:rsidRDefault="00E902E5" w:rsidP="001D3BAA">
      <w:pPr>
        <w:pStyle w:val="AODocTxt"/>
        <w:spacing w:before="0" w:line="240" w:lineRule="auto"/>
        <w:rPr>
          <w:rFonts w:ascii="Avenir Next" w:hAnsi="Avenir Next"/>
          <w:color w:val="808080" w:themeColor="background1" w:themeShade="80"/>
        </w:rPr>
      </w:pPr>
    </w:p>
    <w:p w14:paraId="369EF920" w14:textId="61AA4090" w:rsidR="00E902E5" w:rsidRDefault="00E902E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When a company is </w:t>
      </w:r>
      <w:proofErr w:type="gramStart"/>
      <w:r>
        <w:rPr>
          <w:rFonts w:ascii="Avenir Next" w:hAnsi="Avenir Next"/>
          <w:color w:val="808080" w:themeColor="background1" w:themeShade="80"/>
        </w:rPr>
        <w:t>actually insolvent</w:t>
      </w:r>
      <w:proofErr w:type="gramEnd"/>
      <w:r>
        <w:rPr>
          <w:rFonts w:ascii="Avenir Next" w:hAnsi="Avenir Next"/>
          <w:color w:val="808080" w:themeColor="background1" w:themeShade="80"/>
        </w:rPr>
        <w:t xml:space="preserve">, </w:t>
      </w:r>
      <w:r w:rsidR="00F678F4">
        <w:rPr>
          <w:rFonts w:ascii="Avenir Next" w:hAnsi="Avenir Next"/>
          <w:color w:val="808080" w:themeColor="background1" w:themeShade="80"/>
        </w:rPr>
        <w:t xml:space="preserve">directors still have no duty to creditors and </w:t>
      </w:r>
      <w:r>
        <w:rPr>
          <w:rFonts w:ascii="Avenir Next" w:hAnsi="Avenir Next"/>
          <w:color w:val="808080" w:themeColor="background1" w:themeShade="80"/>
        </w:rPr>
        <w:t>creditors rights to directly assert a cause of action against directors for a breach of fiduciary duty remain unchanged. However, they may assert a derivative claim on behalf of the insolvent incorporation.</w:t>
      </w:r>
      <w:r>
        <w:rPr>
          <w:rStyle w:val="FootnoteReference"/>
          <w:rFonts w:ascii="Avenir Next" w:hAnsi="Avenir Next"/>
          <w:color w:val="808080" w:themeColor="background1" w:themeShade="80"/>
        </w:rPr>
        <w:footnoteReference w:id="13"/>
      </w:r>
      <w:r w:rsidR="00F678F4">
        <w:rPr>
          <w:rFonts w:ascii="Avenir Next" w:hAnsi="Avenir Next"/>
          <w:color w:val="808080" w:themeColor="background1" w:themeShade="80"/>
        </w:rPr>
        <w:t xml:space="preserve"> Therefore, </w:t>
      </w:r>
      <w:r w:rsidR="00F678F4">
        <w:rPr>
          <w:rFonts w:ascii="Avenir Next" w:hAnsi="Avenir Next"/>
          <w:color w:val="808080" w:themeColor="background1" w:themeShade="80"/>
        </w:rPr>
        <w:lastRenderedPageBreak/>
        <w:t xml:space="preserve">there is a slight shift in the </w:t>
      </w:r>
      <w:proofErr w:type="gramStart"/>
      <w:r w:rsidR="00F678F4">
        <w:rPr>
          <w:rFonts w:ascii="Avenir Next" w:hAnsi="Avenir Next"/>
          <w:color w:val="808080" w:themeColor="background1" w:themeShade="80"/>
        </w:rPr>
        <w:t>directors</w:t>
      </w:r>
      <w:proofErr w:type="gramEnd"/>
      <w:r w:rsidR="00F678F4">
        <w:rPr>
          <w:rFonts w:ascii="Avenir Next" w:hAnsi="Avenir Next"/>
          <w:color w:val="808080" w:themeColor="background1" w:themeShade="80"/>
        </w:rPr>
        <w:t xml:space="preserve"> obligations in that they should be considering the interests of creditors when making decisions. </w:t>
      </w:r>
    </w:p>
    <w:p w14:paraId="10EF178D" w14:textId="77777777" w:rsidR="00DC4977" w:rsidRDefault="00DC4977"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1A6F55A" w14:textId="17AC7B61" w:rsidR="00CA0AF8" w:rsidRDefault="00CA0A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Whilst a bankruptcy filing commences an automatic stay</w:t>
      </w:r>
      <w:r>
        <w:rPr>
          <w:rStyle w:val="FootnoteReference"/>
          <w:rFonts w:ascii="Avenir Next" w:hAnsi="Avenir Next"/>
          <w:color w:val="808080" w:themeColor="background1" w:themeShade="80"/>
        </w:rPr>
        <w:footnoteReference w:id="14"/>
      </w:r>
      <w:r>
        <w:rPr>
          <w:rFonts w:ascii="Avenir Next" w:hAnsi="Avenir Next"/>
          <w:color w:val="808080" w:themeColor="background1" w:themeShade="80"/>
        </w:rPr>
        <w:t xml:space="preserve"> of enforcement of actions brought against the debtor and any actions taken to obtain possession of property, the Bankruptcy Code does provide some protection to lessors</w:t>
      </w:r>
      <w:r w:rsidR="0089687B">
        <w:rPr>
          <w:rFonts w:ascii="Avenir Next" w:hAnsi="Avenir Next"/>
          <w:color w:val="808080" w:themeColor="background1" w:themeShade="80"/>
        </w:rPr>
        <w:t>. Whilst initially, the lessor cannot take any action in accordance with the stay, the Bankruptcy Code allows creditors in certain circumstances to request a lift of the stay,</w:t>
      </w:r>
      <w:r w:rsidR="0089687B">
        <w:rPr>
          <w:rStyle w:val="FootnoteReference"/>
          <w:rFonts w:ascii="Avenir Next" w:hAnsi="Avenir Next"/>
          <w:color w:val="808080" w:themeColor="background1" w:themeShade="80"/>
        </w:rPr>
        <w:footnoteReference w:id="15"/>
      </w:r>
      <w:r w:rsidR="0089687B">
        <w:rPr>
          <w:rFonts w:ascii="Avenir Next" w:hAnsi="Avenir Next"/>
          <w:color w:val="808080" w:themeColor="background1" w:themeShade="80"/>
        </w:rPr>
        <w:t xml:space="preserve"> which if granted, allows the creditor to perform actions which would otherwise be prohibited.</w:t>
      </w:r>
    </w:p>
    <w:p w14:paraId="315E9B16" w14:textId="77777777" w:rsidR="0089687B" w:rsidRDefault="0089687B" w:rsidP="001D3BAA">
      <w:pPr>
        <w:pStyle w:val="AODocTxt"/>
        <w:spacing w:before="0" w:line="240" w:lineRule="auto"/>
        <w:rPr>
          <w:rFonts w:ascii="Avenir Next" w:hAnsi="Avenir Next"/>
          <w:color w:val="808080" w:themeColor="background1" w:themeShade="80"/>
        </w:rPr>
      </w:pPr>
    </w:p>
    <w:p w14:paraId="3BC8C115" w14:textId="07D0FA72" w:rsidR="00DD7AC9" w:rsidRDefault="00DD7AC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are </w:t>
      </w:r>
      <w:r w:rsidR="008C27F4">
        <w:rPr>
          <w:rFonts w:ascii="Avenir Next" w:hAnsi="Avenir Next"/>
          <w:color w:val="808080" w:themeColor="background1" w:themeShade="80"/>
        </w:rPr>
        <w:t>a few</w:t>
      </w:r>
      <w:r>
        <w:rPr>
          <w:rFonts w:ascii="Avenir Next" w:hAnsi="Avenir Next"/>
          <w:color w:val="808080" w:themeColor="background1" w:themeShade="80"/>
        </w:rPr>
        <w:t xml:space="preserve"> situations in which this relief may be granted, however there are only two which may be applicable to this scenario. Firstly, if the creditor claims that there is inadequate protection of an interest in property, as </w:t>
      </w:r>
      <w:r w:rsidR="001D1EE2">
        <w:rPr>
          <w:rFonts w:ascii="Avenir Next" w:hAnsi="Avenir Next"/>
          <w:color w:val="808080" w:themeColor="background1" w:themeShade="80"/>
        </w:rPr>
        <w:t>may be</w:t>
      </w:r>
      <w:r>
        <w:rPr>
          <w:rFonts w:ascii="Avenir Next" w:hAnsi="Avenir Next"/>
          <w:color w:val="808080" w:themeColor="background1" w:themeShade="80"/>
        </w:rPr>
        <w:t xml:space="preserve"> the case of a lessor, and that there is a concern that the realisable value of the property has the potential to decline during the bankruptcy proceedings. </w:t>
      </w:r>
      <w:r w:rsidR="001D1EE2">
        <w:rPr>
          <w:rFonts w:ascii="Avenir Next" w:hAnsi="Avenir Next"/>
          <w:color w:val="808080" w:themeColor="background1" w:themeShade="80"/>
        </w:rPr>
        <w:t>In this scenario, the creditor must assess that the value of its claim is more than the value of the secured property. Therefore, an assessment should be carried out as to the value of the property, and the size of their claim, which would normally be determined by contract law or another non-bankruptcy law.</w:t>
      </w:r>
      <w:r w:rsidR="00DF0D77">
        <w:rPr>
          <w:rFonts w:ascii="Avenir Next" w:hAnsi="Avenir Next"/>
          <w:color w:val="808080" w:themeColor="background1" w:themeShade="80"/>
        </w:rPr>
        <w:t xml:space="preserve"> Should it be found that the protection is inadequate, the creditor can pursue the debtor for amounts that would be the indubitable equivalent of the value of their claim that is at risk, usually through period cash payments or additional security</w:t>
      </w:r>
      <w:r w:rsidR="005F41F5">
        <w:rPr>
          <w:rStyle w:val="FootnoteReference"/>
          <w:rFonts w:ascii="Avenir Next" w:hAnsi="Avenir Next"/>
          <w:color w:val="808080" w:themeColor="background1" w:themeShade="80"/>
        </w:rPr>
        <w:footnoteReference w:id="16"/>
      </w:r>
      <w:r w:rsidR="00DF0D77">
        <w:rPr>
          <w:rFonts w:ascii="Avenir Next" w:hAnsi="Avenir Next"/>
          <w:color w:val="808080" w:themeColor="background1" w:themeShade="80"/>
        </w:rPr>
        <w:t xml:space="preserve">, and the debtor is able to avoid a lifting of the </w:t>
      </w:r>
      <w:r w:rsidR="005F41F5">
        <w:rPr>
          <w:rFonts w:ascii="Avenir Next" w:hAnsi="Avenir Next"/>
          <w:color w:val="808080" w:themeColor="background1" w:themeShade="80"/>
        </w:rPr>
        <w:t>stay. In the eventuality that the remedy does not meet the ‘indubitable equivalent’ requirement, the creditor will have a priority claim in the bankruptcy for the shortfall as an administrative expense.</w:t>
      </w:r>
    </w:p>
    <w:p w14:paraId="47041AD9" w14:textId="77777777" w:rsidR="005F41F5" w:rsidRDefault="005F41F5" w:rsidP="001D3BAA">
      <w:pPr>
        <w:pStyle w:val="AODocTxt"/>
        <w:spacing w:before="0" w:line="240" w:lineRule="auto"/>
        <w:rPr>
          <w:rFonts w:ascii="Avenir Next" w:hAnsi="Avenir Next"/>
          <w:color w:val="808080" w:themeColor="background1" w:themeShade="80"/>
        </w:rPr>
      </w:pPr>
    </w:p>
    <w:p w14:paraId="687B6B93" w14:textId="3806915F" w:rsidR="005F41F5" w:rsidRDefault="004F4F1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5F41F5">
        <w:rPr>
          <w:rFonts w:ascii="Avenir Next" w:hAnsi="Avenir Next"/>
          <w:color w:val="808080" w:themeColor="background1" w:themeShade="80"/>
        </w:rPr>
        <w:t xml:space="preserve"> second scenario may be applicable </w:t>
      </w:r>
      <w:r>
        <w:rPr>
          <w:rFonts w:ascii="Avenir Next" w:hAnsi="Avenir Next"/>
          <w:color w:val="808080" w:themeColor="background1" w:themeShade="80"/>
        </w:rPr>
        <w:t xml:space="preserve">whereby </w:t>
      </w:r>
      <w:r w:rsidR="005F41F5">
        <w:rPr>
          <w:rFonts w:ascii="Avenir Next" w:hAnsi="Avenir Next"/>
          <w:color w:val="808080" w:themeColor="background1" w:themeShade="80"/>
        </w:rPr>
        <w:t>the debtor has entered a</w:t>
      </w:r>
      <w:r>
        <w:rPr>
          <w:rFonts w:ascii="Avenir Next" w:hAnsi="Avenir Next"/>
          <w:color w:val="808080" w:themeColor="background1" w:themeShade="80"/>
        </w:rPr>
        <w:t xml:space="preserve"> chapter 7 bankruptcy or</w:t>
      </w:r>
      <w:r w:rsidR="005F41F5">
        <w:rPr>
          <w:rFonts w:ascii="Avenir Next" w:hAnsi="Avenir Next"/>
          <w:color w:val="808080" w:themeColor="background1" w:themeShade="80"/>
        </w:rPr>
        <w:t xml:space="preserve"> chapter 11 reorganisation. I</w:t>
      </w:r>
      <w:r>
        <w:rPr>
          <w:rFonts w:ascii="Avenir Next" w:hAnsi="Avenir Next"/>
          <w:color w:val="808080" w:themeColor="background1" w:themeShade="80"/>
        </w:rPr>
        <w:t>n the latter, it</w:t>
      </w:r>
      <w:r w:rsidR="005F41F5">
        <w:rPr>
          <w:rFonts w:ascii="Avenir Next" w:hAnsi="Avenir Next"/>
          <w:color w:val="808080" w:themeColor="background1" w:themeShade="80"/>
        </w:rPr>
        <w:t xml:space="preserve"> must be shown that the debtor has no equity in the property and that ‘such property is not necessary to an effective reorganisation’.</w:t>
      </w:r>
      <w:r w:rsidR="005F41F5">
        <w:rPr>
          <w:rStyle w:val="FootnoteReference"/>
          <w:rFonts w:ascii="Avenir Next" w:hAnsi="Avenir Next"/>
          <w:color w:val="808080" w:themeColor="background1" w:themeShade="80"/>
        </w:rPr>
        <w:footnoteReference w:id="17"/>
      </w:r>
      <w:r w:rsidR="005F41F5">
        <w:rPr>
          <w:rFonts w:ascii="Avenir Next" w:hAnsi="Avenir Next"/>
          <w:color w:val="808080" w:themeColor="background1" w:themeShade="80"/>
        </w:rPr>
        <w:t xml:space="preserve"> In a chapter 7 bankruptcy, it must instead only be shown that the debtor has no equity </w:t>
      </w:r>
      <w:r>
        <w:rPr>
          <w:rFonts w:ascii="Avenir Next" w:hAnsi="Avenir Next"/>
          <w:color w:val="808080" w:themeColor="background1" w:themeShade="80"/>
        </w:rPr>
        <w:t>in the property</w:t>
      </w:r>
      <w:r w:rsidR="005F41F5">
        <w:rPr>
          <w:rFonts w:ascii="Avenir Next" w:hAnsi="Avenir Next"/>
          <w:color w:val="808080" w:themeColor="background1" w:themeShade="80"/>
        </w:rPr>
        <w:t xml:space="preserve">. </w:t>
      </w:r>
      <w:r>
        <w:rPr>
          <w:rFonts w:ascii="Avenir Next" w:hAnsi="Avenir Next"/>
          <w:color w:val="808080" w:themeColor="background1" w:themeShade="80"/>
        </w:rPr>
        <w:t>In the information provided it is confirmed that iWork sub-lets the office space and does not own the properties itself, and therefore this relief may be available to the lessors. Again, the lessor must also evaluate the value of its equity and the value of the property to confirm that the former is greater than the latter.</w:t>
      </w:r>
    </w:p>
    <w:p w14:paraId="05D199C7" w14:textId="77777777" w:rsidR="0089687B" w:rsidRDefault="0089687B" w:rsidP="001D3BAA">
      <w:pPr>
        <w:pStyle w:val="AODocTxt"/>
        <w:spacing w:before="0" w:line="240" w:lineRule="auto"/>
        <w:rPr>
          <w:rFonts w:ascii="Avenir Next" w:hAnsi="Avenir Next"/>
          <w:color w:val="808080" w:themeColor="background1" w:themeShade="80"/>
        </w:rPr>
      </w:pPr>
    </w:p>
    <w:p w14:paraId="3EDE14E1" w14:textId="05A41B9D" w:rsidR="0089687B" w:rsidRDefault="001650D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Lastly, if the lease has expired for any of the properties, the landlord has the right to evict the debtor-tenant, as this is an exception to the automatic stay.</w:t>
      </w:r>
    </w:p>
    <w:p w14:paraId="32016766" w14:textId="77777777" w:rsidR="00CA0AF8" w:rsidRDefault="00CA0AF8"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w:hAnsi="Avenir Next"/>
          <w:color w:val="808080" w:themeColor="background1" w:themeShade="80"/>
        </w:rPr>
      </w:pPr>
    </w:p>
    <w:p w14:paraId="42851B6E" w14:textId="77777777" w:rsidR="00660765" w:rsidRDefault="00660765" w:rsidP="000778B1">
      <w:pPr>
        <w:pStyle w:val="AODocTxt"/>
        <w:spacing w:before="0" w:line="240" w:lineRule="auto"/>
        <w:rPr>
          <w:rFonts w:ascii="Avenir Next" w:hAnsi="Avenir Next"/>
          <w:color w:val="808080" w:themeColor="background1" w:themeShade="80"/>
        </w:rPr>
      </w:pPr>
    </w:p>
    <w:p w14:paraId="73E29E24" w14:textId="77777777" w:rsidR="00660765" w:rsidRDefault="00660765"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w:t>
      </w:r>
      <w:r w:rsidRPr="003828F0">
        <w:rPr>
          <w:rFonts w:ascii="Avenir Next" w:hAnsi="Avenir Next"/>
        </w:rPr>
        <w:t>an English scheme of arrangement</w:t>
      </w:r>
      <w:r w:rsidRPr="005D4357">
        <w:rPr>
          <w:rFonts w:ascii="Avenir Next" w:hAnsi="Avenir Next"/>
        </w:rPr>
        <w:t xml:space="preserve">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 xml:space="preserve">Discuss whether the English scheme of arrangement could be granted recognition under US chapter 15 as a foreign main </w:t>
      </w:r>
      <w:r w:rsidRPr="00A07551">
        <w:rPr>
          <w:rFonts w:ascii="Avenir Next" w:hAnsi="Avenir Next"/>
          <w:highlight w:val="yellow"/>
        </w:rPr>
        <w:t>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17AEB237" w14:textId="78100D8C" w:rsidR="00AA3D45" w:rsidRDefault="0070286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accordance with chapter 15, to be recognised as a foreign main or non-main proceeding, the foreign representative must show that a foreign proceeding is pending</w:t>
      </w:r>
      <w:r w:rsidR="00A74DA6">
        <w:rPr>
          <w:rFonts w:ascii="Avenir Next" w:hAnsi="Avenir Next"/>
          <w:color w:val="808080" w:themeColor="background1" w:themeShade="80"/>
        </w:rPr>
        <w:t>, which may be either via the court or administrative, and that the foreign representative has the power to act in respect of the proceeding.</w:t>
      </w:r>
      <w:r w:rsidR="00A74DA6">
        <w:rPr>
          <w:rStyle w:val="FootnoteReference"/>
          <w:rFonts w:ascii="Avenir Next" w:hAnsi="Avenir Next"/>
          <w:color w:val="808080" w:themeColor="background1" w:themeShade="80"/>
        </w:rPr>
        <w:footnoteReference w:id="18"/>
      </w:r>
      <w:r w:rsidR="00A74DA6">
        <w:rPr>
          <w:rFonts w:ascii="Avenir Next" w:hAnsi="Avenir Next"/>
          <w:color w:val="808080" w:themeColor="background1" w:themeShade="80"/>
        </w:rPr>
        <w:t xml:space="preserve"> Under the definition provided by the Bankruptcy Code</w:t>
      </w:r>
      <w:r w:rsidR="00A74DA6">
        <w:rPr>
          <w:rStyle w:val="FootnoteReference"/>
          <w:rFonts w:ascii="Avenir Next" w:hAnsi="Avenir Next"/>
          <w:color w:val="808080" w:themeColor="background1" w:themeShade="80"/>
        </w:rPr>
        <w:footnoteReference w:id="19"/>
      </w:r>
      <w:r w:rsidR="00A74DA6">
        <w:rPr>
          <w:rFonts w:ascii="Avenir Next" w:hAnsi="Avenir Next"/>
          <w:color w:val="808080" w:themeColor="background1" w:themeShade="80"/>
        </w:rPr>
        <w:t>, this can include interim proceedings</w:t>
      </w:r>
      <w:r w:rsidR="00AA3D45">
        <w:rPr>
          <w:rFonts w:ascii="Avenir Next" w:hAnsi="Avenir Next"/>
          <w:color w:val="808080" w:themeColor="background1" w:themeShade="80"/>
        </w:rPr>
        <w:t xml:space="preserve"> including</w:t>
      </w:r>
      <w:r w:rsidR="00A74DA6">
        <w:rPr>
          <w:rFonts w:ascii="Avenir Next" w:hAnsi="Avenir Next"/>
          <w:color w:val="808080" w:themeColor="background1" w:themeShade="80"/>
        </w:rPr>
        <w:t xml:space="preserve"> an English scheme of arrangement, and there is case law demonstrating that English schemes have been recognised in the US Courts, such as for Magyar Telecom B.V</w:t>
      </w:r>
      <w:r w:rsidR="00AA3D45">
        <w:rPr>
          <w:rFonts w:ascii="Avenir Next" w:hAnsi="Avenir Next"/>
          <w:color w:val="808080" w:themeColor="background1" w:themeShade="80"/>
        </w:rPr>
        <w:t>.</w:t>
      </w:r>
      <w:r w:rsidR="00AA3D45">
        <w:rPr>
          <w:rStyle w:val="FootnoteReference"/>
          <w:rFonts w:ascii="Avenir Next" w:hAnsi="Avenir Next"/>
          <w:color w:val="808080" w:themeColor="background1" w:themeShade="80"/>
        </w:rPr>
        <w:footnoteReference w:id="20"/>
      </w:r>
      <w:r w:rsidR="00AA3D45">
        <w:rPr>
          <w:rFonts w:ascii="Avenir Next" w:hAnsi="Avenir Next"/>
          <w:color w:val="808080" w:themeColor="background1" w:themeShade="80"/>
        </w:rPr>
        <w:t xml:space="preserve"> whereby the US Courts recognised the scheme and provided that the scheme have full effect in the US. </w:t>
      </w:r>
      <w:r w:rsidR="00875F51">
        <w:rPr>
          <w:rFonts w:ascii="Avenir Next" w:hAnsi="Avenir Next"/>
          <w:color w:val="808080" w:themeColor="background1" w:themeShade="80"/>
        </w:rPr>
        <w:t>However,</w:t>
      </w:r>
      <w:r w:rsidR="00AA3D45">
        <w:rPr>
          <w:rFonts w:ascii="Avenir Next" w:hAnsi="Avenir Next"/>
          <w:color w:val="808080" w:themeColor="background1" w:themeShade="80"/>
        </w:rPr>
        <w:t xml:space="preserve"> there are other circumstances whereby recognition has been refused, such as for Global Cord Blood Corp</w:t>
      </w:r>
      <w:r w:rsidR="00AA3D45">
        <w:rPr>
          <w:rStyle w:val="FootnoteReference"/>
          <w:rFonts w:ascii="Avenir Next" w:hAnsi="Avenir Next"/>
          <w:color w:val="808080" w:themeColor="background1" w:themeShade="80"/>
        </w:rPr>
        <w:footnoteReference w:id="21"/>
      </w:r>
      <w:r w:rsidR="00AA3D45">
        <w:rPr>
          <w:rFonts w:ascii="Avenir Next" w:hAnsi="Avenir Next"/>
          <w:color w:val="808080" w:themeColor="background1" w:themeShade="80"/>
        </w:rPr>
        <w:t xml:space="preserve">, because the sole purpose of the proceeding was to </w:t>
      </w:r>
      <w:proofErr w:type="gramStart"/>
      <w:r w:rsidR="00AA3D45">
        <w:rPr>
          <w:rFonts w:ascii="Avenir Next" w:hAnsi="Avenir Next"/>
          <w:color w:val="808080" w:themeColor="background1" w:themeShade="80"/>
        </w:rPr>
        <w:t>conduct an investigation</w:t>
      </w:r>
      <w:proofErr w:type="gramEnd"/>
      <w:r w:rsidR="00AA3D45">
        <w:rPr>
          <w:rFonts w:ascii="Avenir Next" w:hAnsi="Avenir Next"/>
          <w:color w:val="808080" w:themeColor="background1" w:themeShade="80"/>
        </w:rPr>
        <w:t xml:space="preserve"> rather than dealing with the company’s debts. As the main purpose of a scheme of arrangement is to make an agreement with a company’s creditors and shareholders to restructure </w:t>
      </w:r>
      <w:r w:rsidR="00875F51">
        <w:rPr>
          <w:rFonts w:ascii="Avenir Next" w:hAnsi="Avenir Next"/>
          <w:color w:val="808080" w:themeColor="background1" w:themeShade="80"/>
        </w:rPr>
        <w:t>its</w:t>
      </w:r>
      <w:r w:rsidR="00AA3D45">
        <w:rPr>
          <w:rFonts w:ascii="Avenir Next" w:hAnsi="Avenir Next"/>
          <w:color w:val="808080" w:themeColor="background1" w:themeShade="80"/>
        </w:rPr>
        <w:t xml:space="preserve"> debts, Skin Luxe is unlikely to fall into this issue.</w:t>
      </w:r>
    </w:p>
    <w:p w14:paraId="55156B79" w14:textId="77777777" w:rsidR="00AA3D45" w:rsidRDefault="00AA3D45" w:rsidP="001D3BAA">
      <w:pPr>
        <w:pStyle w:val="AODocTxt"/>
        <w:spacing w:before="0" w:line="240" w:lineRule="auto"/>
        <w:rPr>
          <w:rFonts w:ascii="Avenir Next" w:hAnsi="Avenir Next"/>
          <w:color w:val="808080" w:themeColor="background1" w:themeShade="80"/>
        </w:rPr>
      </w:pPr>
    </w:p>
    <w:p w14:paraId="04501553" w14:textId="4DB51EEF" w:rsidR="00AA3D45" w:rsidRDefault="00E9126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assess whether the proceeding may be recognised as a foreign main or a foreign non-main proceeding,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centre of main interests (COMI) must be assessed. Chapter 15 is based on the US’s adopted of UNCITRAL Model Law, and neither provide a definition of the COMI. It is assumed to be the registered office of the company in the absence of other information, however other factors such as the location of headquarters, primary assets, management, and creditors should all be taken into consideration when determining the COMI. </w:t>
      </w:r>
      <w:r w:rsidR="004C0D4D">
        <w:rPr>
          <w:rFonts w:ascii="Avenir Next" w:hAnsi="Avenir Next"/>
          <w:color w:val="808080" w:themeColor="background1" w:themeShade="80"/>
        </w:rPr>
        <w:t>If the proceedings are commenced in a country in which the debtor’s COMI is located, the proceedings would be recognised as the foreign main proceedings. If the proceedings are commenced where the entity only has an establishment, this would be recognised as foreign non-main proceedings.</w:t>
      </w:r>
    </w:p>
    <w:p w14:paraId="2FE23579" w14:textId="77777777" w:rsidR="00E9126C" w:rsidRDefault="00E9126C" w:rsidP="001D3BAA">
      <w:pPr>
        <w:pStyle w:val="AODocTxt"/>
        <w:spacing w:before="0" w:line="240" w:lineRule="auto"/>
        <w:rPr>
          <w:rFonts w:ascii="Avenir Next" w:hAnsi="Avenir Next"/>
          <w:color w:val="808080" w:themeColor="background1" w:themeShade="80"/>
        </w:rPr>
      </w:pPr>
    </w:p>
    <w:p w14:paraId="2FBF3A12" w14:textId="29A390C3" w:rsidR="00E9126C" w:rsidRDefault="00E9126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principal place of business </w:t>
      </w:r>
      <w:r w:rsidR="004C0D4D">
        <w:rPr>
          <w:rFonts w:ascii="Avenir Next" w:hAnsi="Avenir Next"/>
          <w:color w:val="808080" w:themeColor="background1" w:themeShade="80"/>
        </w:rPr>
        <w:t xml:space="preserve">and place of incorporation </w:t>
      </w:r>
      <w:r>
        <w:rPr>
          <w:rFonts w:ascii="Avenir Next" w:hAnsi="Avenir Next"/>
          <w:color w:val="808080" w:themeColor="background1" w:themeShade="80"/>
        </w:rPr>
        <w:t xml:space="preserve">is stated </w:t>
      </w:r>
      <w:r w:rsidR="004C0D4D">
        <w:rPr>
          <w:rFonts w:ascii="Avenir Next" w:hAnsi="Avenir Next"/>
          <w:color w:val="808080" w:themeColor="background1" w:themeShade="80"/>
        </w:rPr>
        <w:t>as</w:t>
      </w:r>
      <w:r>
        <w:rPr>
          <w:rFonts w:ascii="Avenir Next" w:hAnsi="Avenir Next"/>
          <w:color w:val="808080" w:themeColor="background1" w:themeShade="80"/>
        </w:rPr>
        <w:t xml:space="preserve"> France</w:t>
      </w:r>
      <w:r w:rsidR="004C0D4D">
        <w:rPr>
          <w:rFonts w:ascii="Avenir Next" w:hAnsi="Avenir Next"/>
          <w:color w:val="808080" w:themeColor="background1" w:themeShade="80"/>
        </w:rPr>
        <w:t xml:space="preserve">. Therefore, in the absence of any further information, it can be assumed that this is where the debtor’s COMI is located. However, it is also noted that Skin </w:t>
      </w:r>
      <w:proofErr w:type="spellStart"/>
      <w:r w:rsidR="004C0D4D">
        <w:rPr>
          <w:rFonts w:ascii="Avenir Next" w:hAnsi="Avenir Next"/>
          <w:color w:val="808080" w:themeColor="background1" w:themeShade="80"/>
        </w:rPr>
        <w:t>Luxe’s</w:t>
      </w:r>
      <w:proofErr w:type="spellEnd"/>
      <w:r w:rsidR="004C0D4D">
        <w:rPr>
          <w:rFonts w:ascii="Avenir Next" w:hAnsi="Avenir Next"/>
          <w:color w:val="808080" w:themeColor="background1" w:themeShade="80"/>
        </w:rPr>
        <w:t xml:space="preserve"> bonds are English-governed, and that it holds boutiques across cities in France, US, UK, and Hong Kong, suggesting that the entity’s majority creditors could </w:t>
      </w:r>
      <w:proofErr w:type="gramStart"/>
      <w:r w:rsidR="004C0D4D">
        <w:rPr>
          <w:rFonts w:ascii="Avenir Next" w:hAnsi="Avenir Next"/>
          <w:color w:val="808080" w:themeColor="background1" w:themeShade="80"/>
        </w:rPr>
        <w:t>be located in</w:t>
      </w:r>
      <w:proofErr w:type="gramEnd"/>
      <w:r w:rsidR="004C0D4D">
        <w:rPr>
          <w:rFonts w:ascii="Avenir Next" w:hAnsi="Avenir Next"/>
          <w:color w:val="808080" w:themeColor="background1" w:themeShade="80"/>
        </w:rPr>
        <w:t xml:space="preserve"> the UK or elsewhere. It is also stated that the company develops and manufactures its products in France, suggesting that this may be the location of its primary assets.</w:t>
      </w:r>
    </w:p>
    <w:p w14:paraId="18FA545B" w14:textId="77777777" w:rsidR="004C0D4D" w:rsidRDefault="004C0D4D" w:rsidP="001D3BAA">
      <w:pPr>
        <w:pStyle w:val="AODocTxt"/>
        <w:spacing w:before="0" w:line="240" w:lineRule="auto"/>
        <w:rPr>
          <w:rFonts w:ascii="Avenir Next" w:hAnsi="Avenir Next"/>
          <w:color w:val="808080" w:themeColor="background1" w:themeShade="80"/>
        </w:rPr>
      </w:pPr>
    </w:p>
    <w:p w14:paraId="73FE2E57" w14:textId="34A3993E" w:rsidR="004C0D4D" w:rsidRDefault="00C7465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The COMI should be ascertainable by third parties or creditors of Skin Luxe with reference to objective evidence.</w:t>
      </w:r>
      <w:r>
        <w:rPr>
          <w:rStyle w:val="FootnoteReference"/>
          <w:rFonts w:ascii="Avenir Next" w:hAnsi="Avenir Next"/>
          <w:color w:val="808080" w:themeColor="background1" w:themeShade="80"/>
        </w:rPr>
        <w:footnoteReference w:id="22"/>
      </w:r>
      <w:r>
        <w:rPr>
          <w:rFonts w:ascii="Avenir Next" w:hAnsi="Avenir Next"/>
          <w:color w:val="808080" w:themeColor="background1" w:themeShade="80"/>
        </w:rPr>
        <w:t xml:space="preserve"> The foreign representative must consider upon commencement of the scheme of arrangement where the COMI is determined to be. As the entity’s principal place of business is given as France, and this is where the entity develops and manufactures its products, and in the absence of further information, it is likely that this is where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COMI would be. There is a case that, because the English scheme of arrangement is being used to restructure English governed bonds, this could also be determined as the COMI.</w:t>
      </w:r>
    </w:p>
    <w:p w14:paraId="7B42A05B" w14:textId="77777777" w:rsidR="00C7465C" w:rsidRDefault="00C7465C" w:rsidP="001D3BAA">
      <w:pPr>
        <w:pStyle w:val="AODocTxt"/>
        <w:spacing w:before="0" w:line="240" w:lineRule="auto"/>
        <w:rPr>
          <w:rFonts w:ascii="Avenir Next" w:hAnsi="Avenir Next"/>
          <w:color w:val="808080" w:themeColor="background1" w:themeShade="80"/>
        </w:rPr>
      </w:pPr>
    </w:p>
    <w:p w14:paraId="3AD134C2" w14:textId="121A38B5" w:rsidR="00C7465C" w:rsidRDefault="00C7465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situation whereby France is determined as the COMI, the scheme would be recognised in the US as foreign non-main proceedings. If the court determines that the UK is the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COMI, then the proceedings would be recognised as foreign main proceedings. The main difference between the recognition of the two is that an automatic </w:t>
      </w:r>
      <w:r w:rsidR="002A3FDF">
        <w:rPr>
          <w:rFonts w:ascii="Avenir Next" w:hAnsi="Avenir Next"/>
          <w:color w:val="808080" w:themeColor="background1" w:themeShade="80"/>
        </w:rPr>
        <w:t>stay is enacted upon recognition of foreign main proceedings.</w:t>
      </w:r>
      <w:r w:rsidR="002A3FDF">
        <w:rPr>
          <w:rStyle w:val="FootnoteReference"/>
          <w:rFonts w:ascii="Avenir Next" w:hAnsi="Avenir Next"/>
          <w:color w:val="808080" w:themeColor="background1" w:themeShade="80"/>
        </w:rPr>
        <w:footnoteReference w:id="23"/>
      </w:r>
      <w:r w:rsidR="002A3FDF">
        <w:rPr>
          <w:rFonts w:ascii="Avenir Next" w:hAnsi="Avenir Next"/>
          <w:color w:val="808080" w:themeColor="background1" w:themeShade="80"/>
        </w:rPr>
        <w:t xml:space="preserve"> There is no automatic stay for non-main proceedings and any relief granted is to the discretion of the court.</w:t>
      </w:r>
      <w:r w:rsidR="002A3FDF">
        <w:rPr>
          <w:rStyle w:val="FootnoteReference"/>
          <w:rFonts w:ascii="Avenir Next" w:hAnsi="Avenir Next"/>
          <w:color w:val="808080" w:themeColor="background1" w:themeShade="80"/>
        </w:rPr>
        <w:footnoteReference w:id="24"/>
      </w:r>
    </w:p>
    <w:p w14:paraId="713AA004" w14:textId="77777777" w:rsidR="00AA3D45" w:rsidRDefault="00AA3D45" w:rsidP="001D3BAA">
      <w:pPr>
        <w:pStyle w:val="AODocTxt"/>
        <w:spacing w:before="0" w:line="240" w:lineRule="auto"/>
        <w:rPr>
          <w:rFonts w:ascii="Avenir Next" w:hAnsi="Avenir Next"/>
          <w:color w:val="808080" w:themeColor="background1" w:themeShade="80"/>
        </w:rPr>
      </w:pPr>
    </w:p>
    <w:p w14:paraId="013987B3" w14:textId="77777777" w:rsidR="00AA3D45" w:rsidRPr="002B5D64" w:rsidRDefault="00AA3D45"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126C9C9D" w14:textId="64711824" w:rsidR="002D7D99" w:rsidRDefault="002D7D99" w:rsidP="003828F0">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DOJ investigation</w:t>
      </w:r>
    </w:p>
    <w:p w14:paraId="6504227B" w14:textId="77777777" w:rsidR="002D7D99" w:rsidRDefault="002D7D99" w:rsidP="002D7D99">
      <w:pPr>
        <w:pStyle w:val="AODocTxt"/>
        <w:spacing w:before="0" w:line="240" w:lineRule="auto"/>
        <w:ind w:left="1080"/>
        <w:rPr>
          <w:rFonts w:ascii="Avenir Next" w:hAnsi="Avenir Next"/>
          <w:color w:val="808080" w:themeColor="background1" w:themeShade="80"/>
        </w:rPr>
      </w:pPr>
    </w:p>
    <w:p w14:paraId="6E1F6370" w14:textId="03C4137B" w:rsidR="002D7D99" w:rsidRDefault="002D7D99" w:rsidP="002D7D99">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Upon filing of a voluntary chapter 11 petition by the debtor, an automatic stay is invoked which applies to any interference with the debtor’s property. However, there are statutory exceptions to the stay which includes regulatory investigations</w:t>
      </w:r>
      <w:r w:rsidR="001650DC">
        <w:rPr>
          <w:rStyle w:val="FootnoteReference"/>
          <w:rFonts w:ascii="Avenir Next" w:hAnsi="Avenir Next"/>
          <w:color w:val="808080" w:themeColor="background1" w:themeShade="80"/>
        </w:rPr>
        <w:footnoteReference w:id="25"/>
      </w:r>
      <w:r>
        <w:rPr>
          <w:rFonts w:ascii="Avenir Next" w:hAnsi="Avenir Next"/>
          <w:color w:val="808080" w:themeColor="background1" w:themeShade="80"/>
        </w:rPr>
        <w:t xml:space="preserve">. Because the potential effects of </w:t>
      </w:r>
      <w:r w:rsidR="001650DC">
        <w:rPr>
          <w:rFonts w:ascii="Avenir Next" w:hAnsi="Avenir Next"/>
          <w:color w:val="808080" w:themeColor="background1" w:themeShade="80"/>
        </w:rPr>
        <w:t xml:space="preserve">disallowing the DOJ investigation could cause more harm than good, for example if the debtor is carrying on fraudulent activities and continues to do so, the regulatory investigation will be able to continue. </w:t>
      </w:r>
    </w:p>
    <w:p w14:paraId="4FD75E6C" w14:textId="77777777" w:rsidR="00875F51" w:rsidRDefault="00875F51" w:rsidP="00875F51">
      <w:pPr>
        <w:pStyle w:val="AODocTxt"/>
        <w:spacing w:before="0" w:line="240" w:lineRule="auto"/>
        <w:rPr>
          <w:rFonts w:ascii="Avenir Next" w:hAnsi="Avenir Next"/>
          <w:color w:val="808080" w:themeColor="background1" w:themeShade="80"/>
        </w:rPr>
      </w:pPr>
    </w:p>
    <w:p w14:paraId="765D7061" w14:textId="7F52258F" w:rsidR="001650DC" w:rsidRDefault="001650DC" w:rsidP="003828F0">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margin loan default</w:t>
      </w:r>
    </w:p>
    <w:p w14:paraId="4B458681" w14:textId="77777777" w:rsidR="001650DC" w:rsidRDefault="001650DC" w:rsidP="001650DC">
      <w:pPr>
        <w:pStyle w:val="AODocTxt"/>
        <w:spacing w:before="0" w:line="240" w:lineRule="auto"/>
        <w:rPr>
          <w:rFonts w:ascii="Avenir Next" w:hAnsi="Avenir Next"/>
          <w:color w:val="808080" w:themeColor="background1" w:themeShade="80"/>
        </w:rPr>
      </w:pPr>
    </w:p>
    <w:p w14:paraId="229B694D" w14:textId="26192E0A" w:rsidR="001650DC" w:rsidRDefault="001650DC" w:rsidP="001650DC">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Another exception to the automatic stay is the exercising of rights under a security contract. The margin loan provided by its broker is likely to be subject to a security contract, given that the shares it purchases are held as collateral. In this situation, the broker will still be able to exercise its rights under this contract and request the shares that are held as collateral due to the default.</w:t>
      </w:r>
    </w:p>
    <w:p w14:paraId="331411E8" w14:textId="77777777" w:rsidR="00875F51" w:rsidRPr="001650DC" w:rsidRDefault="00875F51" w:rsidP="001650DC">
      <w:pPr>
        <w:rPr>
          <w:rFonts w:ascii="Avenir Next" w:hAnsi="Avenir Next"/>
          <w:color w:val="808080" w:themeColor="background1" w:themeShade="80"/>
        </w:rPr>
      </w:pPr>
    </w:p>
    <w:p w14:paraId="17DDCD27" w14:textId="77777777" w:rsidR="00875F51" w:rsidRDefault="00875F51" w:rsidP="00875F51">
      <w:pPr>
        <w:pStyle w:val="AODocTxt"/>
        <w:spacing w:before="0" w:line="240" w:lineRule="auto"/>
        <w:rPr>
          <w:rFonts w:ascii="Avenir Next" w:hAnsi="Avenir Next"/>
          <w:color w:val="808080" w:themeColor="background1" w:themeShade="80"/>
        </w:rPr>
      </w:pPr>
    </w:p>
    <w:p w14:paraId="553D24C0" w14:textId="445949E3" w:rsidR="009A50CD" w:rsidRDefault="009A50CD" w:rsidP="003828F0">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delinquent lease</w:t>
      </w:r>
    </w:p>
    <w:p w14:paraId="2E25A7AA" w14:textId="77777777" w:rsidR="009A50CD" w:rsidRDefault="009A50CD" w:rsidP="009A50CD">
      <w:pPr>
        <w:pStyle w:val="AODocTxt"/>
        <w:spacing w:before="0" w:line="240" w:lineRule="auto"/>
        <w:rPr>
          <w:rFonts w:ascii="Avenir Next" w:hAnsi="Avenir Next"/>
          <w:color w:val="808080" w:themeColor="background1" w:themeShade="80"/>
        </w:rPr>
      </w:pPr>
    </w:p>
    <w:p w14:paraId="456E9118" w14:textId="743A0697" w:rsidR="009A50CD" w:rsidRDefault="009A50CD" w:rsidP="009A50CD">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 xml:space="preserve">The automatic stay will apply to the lease – initially, the lessor will not be able to take any action against the debtor to collect outstanding payment or to evict the debtor from the property unless the lease has expired. If the lease has expired, this would be another exception to the stay of proceedings and the lessor could </w:t>
      </w:r>
      <w:proofErr w:type="gramStart"/>
      <w:r>
        <w:rPr>
          <w:rFonts w:ascii="Avenir Next" w:hAnsi="Avenir Next"/>
          <w:color w:val="808080" w:themeColor="background1" w:themeShade="80"/>
        </w:rPr>
        <w:t>take action</w:t>
      </w:r>
      <w:proofErr w:type="gramEnd"/>
      <w:r>
        <w:rPr>
          <w:rFonts w:ascii="Avenir Next" w:hAnsi="Avenir Next"/>
          <w:color w:val="808080" w:themeColor="background1" w:themeShade="80"/>
        </w:rPr>
        <w:t>.</w:t>
      </w:r>
      <w:r w:rsidR="00BB3B81">
        <w:rPr>
          <w:rStyle w:val="FootnoteReference"/>
          <w:rFonts w:ascii="Avenir Next" w:hAnsi="Avenir Next"/>
          <w:color w:val="808080" w:themeColor="background1" w:themeShade="80"/>
        </w:rPr>
        <w:footnoteReference w:id="26"/>
      </w:r>
      <w:r>
        <w:rPr>
          <w:rFonts w:ascii="Avenir Next" w:hAnsi="Avenir Next"/>
          <w:color w:val="808080" w:themeColor="background1" w:themeShade="80"/>
        </w:rPr>
        <w:t xml:space="preserve"> If it is not expired, the lessor can make a claim that its interests lack adequate protection and that the value of the property may decline during the course of the proceedings.</w:t>
      </w:r>
      <w:r w:rsidR="00BB3B81">
        <w:rPr>
          <w:rStyle w:val="FootnoteReference"/>
          <w:rFonts w:ascii="Avenir Next" w:hAnsi="Avenir Next"/>
          <w:color w:val="808080" w:themeColor="background1" w:themeShade="80"/>
        </w:rPr>
        <w:footnoteReference w:id="27"/>
      </w:r>
      <w:r>
        <w:rPr>
          <w:rFonts w:ascii="Avenir Next" w:hAnsi="Avenir Next"/>
          <w:color w:val="808080" w:themeColor="background1" w:themeShade="80"/>
        </w:rPr>
        <w:t xml:space="preserve"> The lessor would need to assess th</w:t>
      </w:r>
      <w:r w:rsidR="00BB3B81">
        <w:rPr>
          <w:rFonts w:ascii="Avenir Next" w:hAnsi="Avenir Next"/>
          <w:color w:val="808080" w:themeColor="background1" w:themeShade="80"/>
        </w:rPr>
        <w:t xml:space="preserve">at the value of the collateral is less than the secured debt and the court may order that the Speculation Inc makes periodic payments to the lessor to an ‘indubitable equivalent’ of the lost value. </w:t>
      </w:r>
    </w:p>
    <w:p w14:paraId="5205EE3A" w14:textId="77777777" w:rsidR="00BB3B81" w:rsidRDefault="00BB3B81" w:rsidP="009A50CD">
      <w:pPr>
        <w:pStyle w:val="AODocTxt"/>
        <w:spacing w:before="0" w:line="240" w:lineRule="auto"/>
        <w:ind w:left="360"/>
        <w:rPr>
          <w:rFonts w:ascii="Avenir Next" w:hAnsi="Avenir Next"/>
          <w:color w:val="808080" w:themeColor="background1" w:themeShade="80"/>
        </w:rPr>
      </w:pPr>
    </w:p>
    <w:p w14:paraId="26C43A13" w14:textId="4BC0784E" w:rsidR="00875F51" w:rsidRDefault="00BB3B81" w:rsidP="00BB3B81">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Alternatively, as Speculation Inc leases the property, and the property may not be necessary for the reorganisation, the lessor may be granted a lifting of the stay and it would be up to Speculation Inc to show a reasonable chance of successful reorganisation within a certain timeframe if it wishes to avoid this.</w:t>
      </w:r>
    </w:p>
    <w:p w14:paraId="55DF64B7" w14:textId="77777777" w:rsidR="00875F51" w:rsidRDefault="00875F51" w:rsidP="00875F51">
      <w:pPr>
        <w:pStyle w:val="AODocTxt"/>
        <w:spacing w:before="0" w:line="240" w:lineRule="auto"/>
        <w:rPr>
          <w:rFonts w:ascii="Avenir Next" w:hAnsi="Avenir Next"/>
          <w:color w:val="808080" w:themeColor="background1" w:themeShade="80"/>
        </w:rPr>
      </w:pPr>
    </w:p>
    <w:p w14:paraId="69F2CD62" w14:textId="247580DA" w:rsidR="007F5672" w:rsidRDefault="00BB3B81" w:rsidP="003828F0">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Employment discrimination lawsuit </w:t>
      </w:r>
    </w:p>
    <w:p w14:paraId="6B9F67B2" w14:textId="77777777" w:rsidR="00875F51" w:rsidRDefault="00875F51" w:rsidP="00875F51">
      <w:pPr>
        <w:pStyle w:val="AODocTxt"/>
        <w:spacing w:before="0" w:line="240" w:lineRule="auto"/>
        <w:rPr>
          <w:rFonts w:ascii="Avenir Next" w:hAnsi="Avenir Next"/>
          <w:color w:val="808080" w:themeColor="background1" w:themeShade="80"/>
        </w:rPr>
      </w:pPr>
    </w:p>
    <w:p w14:paraId="44EAB88A" w14:textId="6AA01EC5" w:rsidR="003F38CA" w:rsidRDefault="00BB3B81" w:rsidP="00BB3B81">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 xml:space="preserve">The discrimination lawsuit brought by the employee is likely to </w:t>
      </w:r>
      <w:r w:rsidR="003F38CA">
        <w:rPr>
          <w:rFonts w:ascii="Avenir Next" w:hAnsi="Avenir Next"/>
          <w:color w:val="808080" w:themeColor="background1" w:themeShade="80"/>
        </w:rPr>
        <w:t xml:space="preserve">be stayed upon petition. It meets the scope of the stay; in that it would be classed as litigation on a pre-petition claim and does not meet the criteria for any exceptions to the stay of proceedings. If the employee were to continue to pursue the lawsuit, they would be in contempt of court and may be subject to contempt sanctions. </w:t>
      </w:r>
      <w:r w:rsidR="008C27F4">
        <w:rPr>
          <w:rFonts w:ascii="Avenir Next" w:hAnsi="Avenir Next"/>
          <w:color w:val="808080" w:themeColor="background1" w:themeShade="80"/>
        </w:rPr>
        <w:t>However, given that the employees claim does not relate to any property of the debtor, they may be permitted by the court to proceed with the lawsuit. This would be to the discretion of the court.</w:t>
      </w:r>
    </w:p>
    <w:p w14:paraId="20CB8B44" w14:textId="77777777" w:rsidR="003F38CA" w:rsidRDefault="003F38CA" w:rsidP="00BB3B81">
      <w:pPr>
        <w:pStyle w:val="AODocTxt"/>
        <w:spacing w:before="0" w:line="240" w:lineRule="auto"/>
        <w:ind w:left="360"/>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rPr>
      </w:pPr>
    </w:p>
    <w:bookmarkEnd w:id="0"/>
    <w:p w14:paraId="3DFD4CA8" w14:textId="1391F790" w:rsidR="00E01803" w:rsidRPr="001D3BAA" w:rsidRDefault="00C606C3" w:rsidP="001D3BAA">
      <w:pPr>
        <w:jc w:val="center"/>
        <w:rPr>
          <w:rFonts w:ascii="Avenir Next Demi Bold" w:hAnsi="Avenir Next Demi Bold" w:cs="Arial"/>
          <w:b/>
          <w:bCs/>
          <w:sz w:val="22"/>
          <w:szCs w:val="22"/>
        </w:rPr>
      </w:pPr>
      <w:r w:rsidRPr="00C05A9F">
        <w:rPr>
          <w:rFonts w:ascii="Avenir Next Demi Bold" w:hAnsi="Avenir Next Demi Bold" w:cs="Arial"/>
          <w:b/>
          <w:bCs/>
          <w:sz w:val="22"/>
          <w:szCs w:val="22"/>
        </w:rPr>
        <w:t>*</w:t>
      </w:r>
      <w:r w:rsidR="001E25B9" w:rsidRPr="00C05A9F">
        <w:rPr>
          <w:rFonts w:ascii="Avenir Next Demi Bold" w:hAnsi="Avenir Next Demi Bold" w:cs="Arial"/>
          <w:b/>
          <w:bCs/>
          <w:sz w:val="22"/>
          <w:szCs w:val="22"/>
        </w:rPr>
        <w:t xml:space="preserve"> </w:t>
      </w:r>
      <w:r w:rsidR="0077498C" w:rsidRPr="00C05A9F">
        <w:rPr>
          <w:rFonts w:ascii="Avenir Next Demi Bold" w:hAnsi="Avenir Next Demi Bold" w:cs="Arial"/>
          <w:b/>
          <w:bCs/>
          <w:sz w:val="22"/>
          <w:szCs w:val="22"/>
        </w:rPr>
        <w:t>End of Assessment</w:t>
      </w:r>
      <w:r w:rsidR="001E25B9" w:rsidRPr="00C05A9F">
        <w:rPr>
          <w:rFonts w:ascii="Avenir Next Demi Bold" w:hAnsi="Avenir Next Demi Bold" w:cs="Arial"/>
          <w:b/>
          <w:bCs/>
          <w:sz w:val="22"/>
          <w:szCs w:val="22"/>
        </w:rPr>
        <w:t xml:space="preserve"> </w:t>
      </w:r>
      <w:r w:rsidRPr="00C05A9F">
        <w:rPr>
          <w:rFonts w:ascii="Avenir Next Demi Bold" w:hAnsi="Avenir Next Demi Bold" w:cs="Arial"/>
          <w:b/>
          <w:bCs/>
          <w:sz w:val="22"/>
          <w:szCs w:val="22"/>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201D" w14:textId="77777777" w:rsidR="00A840AB" w:rsidRDefault="00A840AB" w:rsidP="00241B44">
      <w:r>
        <w:separator/>
      </w:r>
    </w:p>
  </w:endnote>
  <w:endnote w:type="continuationSeparator" w:id="0">
    <w:p w14:paraId="3D870986" w14:textId="77777777" w:rsidR="00A840AB" w:rsidRDefault="00A840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B12BF2">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BD64026" w:rsidR="00241FA3" w:rsidRPr="00494B81" w:rsidRDefault="008C27F4" w:rsidP="009B4976">
    <w:pPr>
      <w:pStyle w:val="Footer"/>
      <w:ind w:right="360"/>
      <w:rPr>
        <w:rFonts w:ascii="Avenir Next" w:hAnsi="Avenir Next" w:cs="Arial"/>
        <w:sz w:val="22"/>
        <w:szCs w:val="22"/>
      </w:rPr>
    </w:pPr>
    <w:r>
      <w:rPr>
        <w:rFonts w:ascii="Avenir Next" w:hAnsi="Avenir Next" w:cs="Arial"/>
        <w:sz w:val="22"/>
        <w:szCs w:val="22"/>
      </w:rPr>
      <w:t>FC202324-1282</w:t>
    </w:r>
    <w:r w:rsidR="0073158B" w:rsidRPr="00494B81">
      <w:rPr>
        <w:rFonts w:ascii="Avenir Next" w:hAnsi="Avenir Next" w:cs="Arial"/>
        <w:sz w:val="22"/>
        <w:szCs w:val="22"/>
      </w:rPr>
      <w:t>.assessment</w:t>
    </w:r>
    <w:r w:rsidR="00610AC7" w:rsidRPr="00494B81">
      <w:rPr>
        <w:rFonts w:ascii="Avenir Next" w:hAnsi="Avenir Next" w:cs="Arial"/>
        <w:sz w:val="22"/>
        <w:szCs w:val="22"/>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FA25" w14:textId="77777777" w:rsidR="00A840AB" w:rsidRDefault="00A840AB" w:rsidP="00241B44">
      <w:r>
        <w:separator/>
      </w:r>
    </w:p>
  </w:footnote>
  <w:footnote w:type="continuationSeparator" w:id="0">
    <w:p w14:paraId="321B09C9" w14:textId="77777777" w:rsidR="00A840AB" w:rsidRDefault="00A840AB" w:rsidP="00241B44">
      <w:r>
        <w:continuationSeparator/>
      </w:r>
    </w:p>
  </w:footnote>
  <w:footnote w:id="1">
    <w:p w14:paraId="25B00DCB" w14:textId="6E0DF2E5" w:rsidR="002B0282" w:rsidRDefault="002B0282">
      <w:pPr>
        <w:pStyle w:val="FootnoteText"/>
      </w:pPr>
      <w:r>
        <w:rPr>
          <w:rStyle w:val="FootnoteReference"/>
        </w:rPr>
        <w:footnoteRef/>
      </w:r>
      <w:r>
        <w:t xml:space="preserve"> </w:t>
      </w:r>
      <w:r w:rsidRPr="002B0282">
        <w:t>Bankruptcy and Creditors’ Rights: Your Guide to Setoff and Recoupment</w:t>
      </w:r>
      <w:r>
        <w:t xml:space="preserve">, Crawford &amp; Von Keller </w:t>
      </w:r>
      <w:hyperlink r:id="rId1" w:history="1">
        <w:r w:rsidRPr="00AA3CA5">
          <w:rPr>
            <w:rStyle w:val="Hyperlink"/>
          </w:rPr>
          <w:t>https://www.crawfordvk.com/bankruptcy-and-creditors-rights-your-guide-to-setoff-and-recoupment/</w:t>
        </w:r>
      </w:hyperlink>
      <w:r>
        <w:t xml:space="preserve"> Accessed 22 February 2024</w:t>
      </w:r>
    </w:p>
  </w:footnote>
  <w:footnote w:id="2">
    <w:p w14:paraId="78F55786" w14:textId="59CC4452" w:rsidR="00883D94" w:rsidRDefault="00883D94">
      <w:pPr>
        <w:pStyle w:val="FootnoteText"/>
      </w:pPr>
      <w:r>
        <w:rPr>
          <w:rStyle w:val="FootnoteReference"/>
        </w:rPr>
        <w:footnoteRef/>
      </w:r>
      <w:r>
        <w:t xml:space="preserve"> 11 USC </w:t>
      </w:r>
      <w:r w:rsidRPr="00883D94">
        <w:t>Code § 553 - Setoff</w:t>
      </w:r>
    </w:p>
  </w:footnote>
  <w:footnote w:id="3">
    <w:p w14:paraId="04FD863D" w14:textId="603424E5" w:rsidR="004B0C45" w:rsidRDefault="004B0C45">
      <w:pPr>
        <w:pStyle w:val="FootnoteText"/>
      </w:pPr>
      <w:r>
        <w:rPr>
          <w:rStyle w:val="FootnoteReference"/>
        </w:rPr>
        <w:footnoteRef/>
      </w:r>
      <w:r>
        <w:t xml:space="preserve"> 11 USC </w:t>
      </w:r>
      <w:r w:rsidRPr="00883D94">
        <w:t>§</w:t>
      </w:r>
      <w:r>
        <w:t xml:space="preserve"> - Automatic stay</w:t>
      </w:r>
    </w:p>
  </w:footnote>
  <w:footnote w:id="4">
    <w:p w14:paraId="3CCD0E22" w14:textId="66C8C96D" w:rsidR="0061076B" w:rsidRDefault="0061076B">
      <w:pPr>
        <w:pStyle w:val="FootnoteText"/>
      </w:pPr>
      <w:r>
        <w:rPr>
          <w:rStyle w:val="FootnoteReference"/>
        </w:rPr>
        <w:footnoteRef/>
      </w:r>
      <w:r>
        <w:t xml:space="preserve"> USA v Ebony Scott et al. Order of Civil Contempt and coercive incarceration: </w:t>
      </w:r>
      <w:hyperlink r:id="rId2" w:history="1">
        <w:r w:rsidRPr="00AA3CA5">
          <w:rPr>
            <w:rStyle w:val="Hyperlink"/>
          </w:rPr>
          <w:t>https://www.justice.gov/archive/tax/Ordercont218.pdf</w:t>
        </w:r>
      </w:hyperlink>
      <w:r>
        <w:t xml:space="preserve"> Accessed 22 February 2024</w:t>
      </w:r>
    </w:p>
  </w:footnote>
  <w:footnote w:id="5">
    <w:p w14:paraId="4E886376" w14:textId="539CE828" w:rsidR="00DA3188" w:rsidRPr="00DA3188" w:rsidRDefault="00DA3188">
      <w:pPr>
        <w:pStyle w:val="FootnoteText"/>
        <w:rPr>
          <w:lang w:val="en-US"/>
        </w:rPr>
      </w:pPr>
      <w:r>
        <w:rPr>
          <w:rStyle w:val="FootnoteReference"/>
        </w:rPr>
        <w:footnoteRef/>
      </w:r>
      <w:r>
        <w:t xml:space="preserve"> </w:t>
      </w:r>
      <w:r>
        <w:rPr>
          <w:lang w:val="en-US"/>
        </w:rPr>
        <w:t xml:space="preserve">11 USC </w:t>
      </w:r>
      <w:r>
        <w:t>Code</w:t>
      </w:r>
      <w:r w:rsidRPr="00883D94">
        <w:t xml:space="preserve"> </w:t>
      </w:r>
      <w:r>
        <w:t>157(b)(2)</w:t>
      </w:r>
      <w:r>
        <w:rPr>
          <w:lang w:val="en-US"/>
        </w:rPr>
        <w:t xml:space="preserve"> </w:t>
      </w:r>
    </w:p>
  </w:footnote>
  <w:footnote w:id="6">
    <w:p w14:paraId="10538E2C" w14:textId="4FC3D7D5" w:rsidR="00BB560E" w:rsidRPr="00BB560E" w:rsidRDefault="00BB560E">
      <w:pPr>
        <w:pStyle w:val="FootnoteText"/>
        <w:rPr>
          <w:lang w:val="en-US"/>
        </w:rPr>
      </w:pPr>
      <w:r>
        <w:rPr>
          <w:rStyle w:val="FootnoteReference"/>
        </w:rPr>
        <w:footnoteRef/>
      </w:r>
      <w:r>
        <w:t xml:space="preserve"> </w:t>
      </w:r>
      <w:r>
        <w:rPr>
          <w:lang w:val="en-US"/>
        </w:rPr>
        <w:t xml:space="preserve">Executive Benefits Insurance Agency v </w:t>
      </w:r>
      <w:proofErr w:type="spellStart"/>
      <w:r>
        <w:rPr>
          <w:lang w:val="en-US"/>
        </w:rPr>
        <w:t>Arkinson</w:t>
      </w:r>
      <w:proofErr w:type="spellEnd"/>
      <w:r>
        <w:rPr>
          <w:lang w:val="en-US"/>
        </w:rPr>
        <w:t>, 134 S. Ct. 2165 (2014)</w:t>
      </w:r>
    </w:p>
  </w:footnote>
  <w:footnote w:id="7">
    <w:p w14:paraId="40BF02E0" w14:textId="0CA23090" w:rsidR="00BB560E" w:rsidRPr="00BB560E" w:rsidRDefault="00BB560E">
      <w:pPr>
        <w:pStyle w:val="FootnoteText"/>
        <w:rPr>
          <w:lang w:val="en-US"/>
        </w:rPr>
      </w:pPr>
      <w:r>
        <w:rPr>
          <w:rStyle w:val="FootnoteReference"/>
        </w:rPr>
        <w:footnoteRef/>
      </w:r>
      <w:r>
        <w:t xml:space="preserve"> </w:t>
      </w:r>
      <w:r>
        <w:rPr>
          <w:lang w:val="en-US"/>
        </w:rPr>
        <w:t xml:space="preserve">Wellness International Network Ltd v Sharif, 135 S Ct 1932 (2015) </w:t>
      </w:r>
    </w:p>
  </w:footnote>
  <w:footnote w:id="8">
    <w:p w14:paraId="31EEF25A" w14:textId="39693BA3" w:rsidR="0010496C" w:rsidRPr="0010496C" w:rsidRDefault="0010496C">
      <w:pPr>
        <w:pStyle w:val="FootnoteText"/>
        <w:rPr>
          <w:lang w:val="en-US"/>
        </w:rPr>
      </w:pPr>
      <w:r>
        <w:rPr>
          <w:rStyle w:val="FootnoteReference"/>
        </w:rPr>
        <w:footnoteRef/>
      </w:r>
      <w:r>
        <w:t xml:space="preserve"> </w:t>
      </w:r>
      <w:r w:rsidRPr="0010496C">
        <w:t>UNCITRAL Model Law on Cross-Border Insolvency Law with Guide to Enactment and Interpretation</w:t>
      </w:r>
      <w:r>
        <w:t xml:space="preserve">, </w:t>
      </w:r>
      <w:hyperlink r:id="rId3" w:history="1">
        <w:r w:rsidRPr="005E0991">
          <w:rPr>
            <w:rStyle w:val="Hyperlink"/>
          </w:rPr>
          <w:t>https://uncitral.un.org/sites/uncitral.un.org/files/media-documents/uncitral/en/1997-model-law-insol-2013-guide-enactment-e.pdf</w:t>
        </w:r>
      </w:hyperlink>
      <w:r>
        <w:t xml:space="preserve"> Accessed 25 February 2024</w:t>
      </w:r>
    </w:p>
  </w:footnote>
  <w:footnote w:id="9">
    <w:p w14:paraId="7B0D775B" w14:textId="5E72C889" w:rsidR="008020F8" w:rsidRPr="008020F8" w:rsidRDefault="008020F8">
      <w:pPr>
        <w:pStyle w:val="FootnoteText"/>
        <w:rPr>
          <w:lang w:val="en-US"/>
        </w:rPr>
      </w:pPr>
      <w:r>
        <w:rPr>
          <w:rStyle w:val="FootnoteReference"/>
        </w:rPr>
        <w:footnoteRef/>
      </w:r>
      <w:r>
        <w:t xml:space="preserve"> </w:t>
      </w:r>
      <w:r>
        <w:rPr>
          <w:lang w:val="en-US"/>
        </w:rPr>
        <w:t xml:space="preserve">Federal Rules of Bankruptcy Procedure, </w:t>
      </w:r>
      <w:hyperlink r:id="rId4" w:history="1">
        <w:r w:rsidR="008D3096" w:rsidRPr="005E0991">
          <w:rPr>
            <w:rStyle w:val="Hyperlink"/>
            <w:lang w:val="en-US"/>
          </w:rPr>
          <w:t>https://www.uscourts.gov/rules-policies/current-rules-practice-procedure/federal-rules-bankruptcy-procedure</w:t>
        </w:r>
      </w:hyperlink>
      <w:r w:rsidR="008D3096">
        <w:rPr>
          <w:lang w:val="en-US"/>
        </w:rPr>
        <w:t xml:space="preserve"> Accessed 25 February 2024</w:t>
      </w:r>
    </w:p>
  </w:footnote>
  <w:footnote w:id="10">
    <w:p w14:paraId="007DA163" w14:textId="23DFCC90" w:rsidR="00DC4977" w:rsidRPr="00DC4977" w:rsidRDefault="00DC4977">
      <w:pPr>
        <w:pStyle w:val="FootnoteText"/>
        <w:rPr>
          <w:lang w:val="en-US"/>
        </w:rPr>
      </w:pPr>
      <w:r>
        <w:rPr>
          <w:rStyle w:val="FootnoteReference"/>
        </w:rPr>
        <w:footnoteRef/>
      </w:r>
      <w:r>
        <w:t xml:space="preserve"> </w:t>
      </w:r>
      <w:r>
        <w:rPr>
          <w:lang w:val="en-US"/>
        </w:rPr>
        <w:t xml:space="preserve">Directors’ Fiduciary Duties” Back to Delaware Law Basics, Skadden, Arps, Slate Meagher &amp; </w:t>
      </w:r>
      <w:proofErr w:type="spellStart"/>
      <w:r>
        <w:rPr>
          <w:lang w:val="en-US"/>
        </w:rPr>
        <w:t>Flom</w:t>
      </w:r>
      <w:proofErr w:type="spellEnd"/>
      <w:r>
        <w:rPr>
          <w:lang w:val="en-US"/>
        </w:rPr>
        <w:t xml:space="preserve"> LLP and Affiliates </w:t>
      </w:r>
      <w:hyperlink r:id="rId5" w:history="1">
        <w:r w:rsidRPr="007848AF">
          <w:rPr>
            <w:rStyle w:val="Hyperlink"/>
            <w:lang w:val="en-US"/>
          </w:rPr>
          <w:t>https://www.skadden.com/-/media/files/publications/2020/02/directorsfiduciarydutiesbacktodelawarelawbasics.pdf</w:t>
        </w:r>
      </w:hyperlink>
      <w:r>
        <w:rPr>
          <w:lang w:val="en-US"/>
        </w:rPr>
        <w:t xml:space="preserve"> Accessed 26 February 2024</w:t>
      </w:r>
    </w:p>
  </w:footnote>
  <w:footnote w:id="11">
    <w:p w14:paraId="4F37B30B" w14:textId="738C4527" w:rsidR="009259BC" w:rsidRPr="009259BC" w:rsidRDefault="009259BC">
      <w:pPr>
        <w:pStyle w:val="FootnoteText"/>
        <w:rPr>
          <w:lang w:val="en-US"/>
        </w:rPr>
      </w:pPr>
      <w:r>
        <w:rPr>
          <w:rStyle w:val="FootnoteReference"/>
        </w:rPr>
        <w:footnoteRef/>
      </w:r>
      <w:r>
        <w:t xml:space="preserve"> </w:t>
      </w:r>
      <w:r w:rsidRPr="009259BC">
        <w:t>The Delaware Way: Deference to the Business Judgment of Directors Who Act Loyally and Carefully</w:t>
      </w:r>
      <w:r>
        <w:t xml:space="preserve">, </w:t>
      </w:r>
      <w:r w:rsidR="00DF0D77">
        <w:t>Delaware</w:t>
      </w:r>
      <w:r>
        <w:t xml:space="preserve"> Gov, </w:t>
      </w:r>
      <w:hyperlink r:id="rId6" w:history="1">
        <w:r w:rsidRPr="007848AF">
          <w:rPr>
            <w:rStyle w:val="Hyperlink"/>
          </w:rPr>
          <w:t>https://corplaw.delaware.gov/delaware-way-business-judgment/</w:t>
        </w:r>
      </w:hyperlink>
      <w:r>
        <w:t xml:space="preserve"> Accessed 26 February 2024</w:t>
      </w:r>
    </w:p>
  </w:footnote>
  <w:footnote w:id="12">
    <w:p w14:paraId="6CACFD2F" w14:textId="2C8FAB2D" w:rsidR="009259BC" w:rsidRPr="009259BC" w:rsidRDefault="009259BC">
      <w:pPr>
        <w:pStyle w:val="FootnoteText"/>
        <w:rPr>
          <w:lang w:val="en-US"/>
        </w:rPr>
      </w:pPr>
      <w:r>
        <w:rPr>
          <w:rStyle w:val="FootnoteReference"/>
        </w:rPr>
        <w:footnoteRef/>
      </w:r>
      <w:r>
        <w:t xml:space="preserve"> </w:t>
      </w:r>
      <w:r w:rsidRPr="009259BC">
        <w:t xml:space="preserve">North American Catholic Educational Programming v. </w:t>
      </w:r>
      <w:proofErr w:type="spellStart"/>
      <w:r w:rsidRPr="009259BC">
        <w:t>Gheewalla</w:t>
      </w:r>
      <w:proofErr w:type="spellEnd"/>
      <w:r w:rsidRPr="009259BC">
        <w:t xml:space="preserve"> (Del. Supr. 2007)</w:t>
      </w:r>
    </w:p>
  </w:footnote>
  <w:footnote w:id="13">
    <w:p w14:paraId="509F25BD" w14:textId="6627DE00" w:rsidR="00E902E5" w:rsidRPr="00E902E5" w:rsidRDefault="00E902E5">
      <w:pPr>
        <w:pStyle w:val="FootnoteText"/>
        <w:rPr>
          <w:lang w:val="en-US"/>
        </w:rPr>
      </w:pPr>
      <w:r>
        <w:rPr>
          <w:rStyle w:val="FootnoteReference"/>
        </w:rPr>
        <w:footnoteRef/>
      </w:r>
      <w:r>
        <w:t xml:space="preserve"> </w:t>
      </w:r>
      <w:r>
        <w:rPr>
          <w:lang w:val="en-US"/>
        </w:rPr>
        <w:t>Idem Note 12</w:t>
      </w:r>
    </w:p>
  </w:footnote>
  <w:footnote w:id="14">
    <w:p w14:paraId="2FD09AC3" w14:textId="12B40F70" w:rsidR="00CA0AF8" w:rsidRPr="00CA0AF8" w:rsidRDefault="00CA0AF8">
      <w:pPr>
        <w:pStyle w:val="FootnoteText"/>
        <w:rPr>
          <w:lang w:val="en-US"/>
        </w:rPr>
      </w:pPr>
      <w:r>
        <w:rPr>
          <w:rStyle w:val="FootnoteReference"/>
        </w:rPr>
        <w:footnoteRef/>
      </w:r>
      <w:r>
        <w:t xml:space="preserve"> </w:t>
      </w:r>
      <w:r w:rsidRPr="00CA0AF8">
        <w:t>11 U.S. Code § 362 - Automatic stay</w:t>
      </w:r>
      <w:r w:rsidR="005F41F5">
        <w:t xml:space="preserve"> (a)</w:t>
      </w:r>
    </w:p>
  </w:footnote>
  <w:footnote w:id="15">
    <w:p w14:paraId="19D53B6F" w14:textId="293F12BA" w:rsidR="0089687B" w:rsidRPr="0089687B" w:rsidRDefault="0089687B">
      <w:pPr>
        <w:pStyle w:val="FootnoteText"/>
        <w:rPr>
          <w:lang w:val="en-US"/>
        </w:rPr>
      </w:pPr>
      <w:r>
        <w:rPr>
          <w:rStyle w:val="FootnoteReference"/>
        </w:rPr>
        <w:footnoteRef/>
      </w:r>
      <w:r>
        <w:t xml:space="preserve"> </w:t>
      </w:r>
      <w:proofErr w:type="spellStart"/>
      <w:r>
        <w:rPr>
          <w:lang w:val="en-US"/>
        </w:rPr>
        <w:t>Idem</w:t>
      </w:r>
      <w:proofErr w:type="spellEnd"/>
      <w:r>
        <w:rPr>
          <w:lang w:val="en-US"/>
        </w:rPr>
        <w:t xml:space="preserve"> 362 (d)</w:t>
      </w:r>
    </w:p>
  </w:footnote>
  <w:footnote w:id="16">
    <w:p w14:paraId="763DB265" w14:textId="26409D78" w:rsidR="005F41F5" w:rsidRPr="005F41F5" w:rsidRDefault="005F41F5">
      <w:pPr>
        <w:pStyle w:val="FootnoteText"/>
        <w:rPr>
          <w:lang w:val="en-US"/>
        </w:rPr>
      </w:pPr>
      <w:r>
        <w:rPr>
          <w:rStyle w:val="FootnoteReference"/>
        </w:rPr>
        <w:footnoteRef/>
      </w:r>
      <w:r>
        <w:t xml:space="preserve"> </w:t>
      </w:r>
      <w:r>
        <w:rPr>
          <w:lang w:val="en-US"/>
        </w:rPr>
        <w:t xml:space="preserve">11 U.S. Code </w:t>
      </w:r>
      <w:r w:rsidRPr="00CA0AF8">
        <w:t>§ 36</w:t>
      </w:r>
      <w:r>
        <w:t xml:space="preserve">1 and </w:t>
      </w:r>
      <w:r w:rsidRPr="00CA0AF8">
        <w:t>11 U.S. Code § 362</w:t>
      </w:r>
      <w:r>
        <w:t xml:space="preserve"> (d)</w:t>
      </w:r>
    </w:p>
  </w:footnote>
  <w:footnote w:id="17">
    <w:p w14:paraId="5146B665" w14:textId="17DCAA28" w:rsidR="005F41F5" w:rsidRPr="005F41F5" w:rsidRDefault="005F41F5">
      <w:pPr>
        <w:pStyle w:val="FootnoteText"/>
        <w:rPr>
          <w:lang w:val="en-US"/>
        </w:rPr>
      </w:pPr>
      <w:r>
        <w:rPr>
          <w:rStyle w:val="FootnoteReference"/>
        </w:rPr>
        <w:footnoteRef/>
      </w:r>
      <w:r>
        <w:t xml:space="preserve"> </w:t>
      </w:r>
      <w:r>
        <w:rPr>
          <w:lang w:val="en-US"/>
        </w:rPr>
        <w:t>Idem (d)2</w:t>
      </w:r>
    </w:p>
  </w:footnote>
  <w:footnote w:id="18">
    <w:p w14:paraId="57D5D8DF" w14:textId="2BC22BD1" w:rsidR="00A74DA6" w:rsidRPr="00A74DA6" w:rsidRDefault="00A74DA6">
      <w:pPr>
        <w:pStyle w:val="FootnoteText"/>
        <w:rPr>
          <w:lang w:val="en-US"/>
        </w:rPr>
      </w:pPr>
      <w:r>
        <w:rPr>
          <w:rStyle w:val="FootnoteReference"/>
        </w:rPr>
        <w:footnoteRef/>
      </w:r>
      <w:r>
        <w:t xml:space="preserve"> </w:t>
      </w:r>
      <w:r w:rsidRPr="00A74DA6">
        <w:t>11 U.S. Code § 1501 - Purpose and scope of application</w:t>
      </w:r>
    </w:p>
  </w:footnote>
  <w:footnote w:id="19">
    <w:p w14:paraId="1F737631" w14:textId="2F3296CA" w:rsidR="00A74DA6" w:rsidRPr="00A74DA6" w:rsidRDefault="00A74DA6">
      <w:pPr>
        <w:pStyle w:val="FootnoteText"/>
        <w:rPr>
          <w:lang w:val="en-US"/>
        </w:rPr>
      </w:pPr>
      <w:r>
        <w:rPr>
          <w:rStyle w:val="FootnoteReference"/>
        </w:rPr>
        <w:footnoteRef/>
      </w:r>
      <w:r>
        <w:t xml:space="preserve"> </w:t>
      </w:r>
      <w:r>
        <w:rPr>
          <w:lang w:val="en-US"/>
        </w:rPr>
        <w:t>1</w:t>
      </w:r>
      <w:r w:rsidRPr="00A74DA6">
        <w:rPr>
          <w:lang w:val="en-US"/>
        </w:rPr>
        <w:t xml:space="preserve">1 U.S. Code § 101 </w:t>
      </w:r>
      <w:r>
        <w:rPr>
          <w:lang w:val="en-US"/>
        </w:rPr>
        <w:t>–</w:t>
      </w:r>
      <w:r w:rsidRPr="00A74DA6">
        <w:rPr>
          <w:lang w:val="en-US"/>
        </w:rPr>
        <w:t xml:space="preserve"> </w:t>
      </w:r>
      <w:r>
        <w:rPr>
          <w:lang w:val="en-US"/>
        </w:rPr>
        <w:t>“</w:t>
      </w:r>
      <w:r w:rsidRPr="00A74DA6">
        <w:rPr>
          <w:lang w:val="en-US"/>
        </w:rPr>
        <w:t>The term "foreign proceeding" means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Pr>
          <w:lang w:val="en-US"/>
        </w:rPr>
        <w:t>”</w:t>
      </w:r>
    </w:p>
  </w:footnote>
  <w:footnote w:id="20">
    <w:p w14:paraId="3006A192" w14:textId="4D55445E" w:rsidR="00AA3D45" w:rsidRPr="00AA3D45" w:rsidRDefault="00AA3D45">
      <w:pPr>
        <w:pStyle w:val="FootnoteText"/>
        <w:rPr>
          <w:lang w:val="en-US"/>
        </w:rPr>
      </w:pPr>
      <w:r>
        <w:rPr>
          <w:rStyle w:val="FootnoteReference"/>
        </w:rPr>
        <w:footnoteRef/>
      </w:r>
      <w:r>
        <w:t xml:space="preserve"> </w:t>
      </w:r>
      <w:r>
        <w:rPr>
          <w:lang w:val="en-US"/>
        </w:rPr>
        <w:t>Magyar Telecom B.V., Re [2013] EWHC 38000 (Ch)</w:t>
      </w:r>
    </w:p>
  </w:footnote>
  <w:footnote w:id="21">
    <w:p w14:paraId="6A84F7C4" w14:textId="66C99D2F" w:rsidR="00AA3D45" w:rsidRPr="00AA3D45" w:rsidRDefault="00AA3D45">
      <w:pPr>
        <w:pStyle w:val="FootnoteText"/>
        <w:rPr>
          <w:lang w:val="en-US"/>
        </w:rPr>
      </w:pPr>
      <w:r>
        <w:rPr>
          <w:rStyle w:val="FootnoteReference"/>
        </w:rPr>
        <w:footnoteRef/>
      </w:r>
      <w:r>
        <w:t xml:space="preserve"> </w:t>
      </w:r>
      <w:r>
        <w:rPr>
          <w:lang w:val="en-US"/>
        </w:rPr>
        <w:t>Global Cord Blood Corp, Case No 22-11347 (DSJ), 2022 WL 17478530 (</w:t>
      </w:r>
      <w:proofErr w:type="spellStart"/>
      <w:r>
        <w:rPr>
          <w:lang w:val="en-US"/>
        </w:rPr>
        <w:t>Bankr</w:t>
      </w:r>
      <w:proofErr w:type="spellEnd"/>
      <w:r>
        <w:rPr>
          <w:lang w:val="en-US"/>
        </w:rPr>
        <w:t xml:space="preserve"> SDNY Dec 5, 2022)</w:t>
      </w:r>
    </w:p>
  </w:footnote>
  <w:footnote w:id="22">
    <w:p w14:paraId="20162FEE" w14:textId="5E572C77" w:rsidR="00C7465C" w:rsidRPr="00C7465C" w:rsidRDefault="00C7465C">
      <w:pPr>
        <w:pStyle w:val="FootnoteText"/>
        <w:rPr>
          <w:lang w:val="en-US"/>
        </w:rPr>
      </w:pPr>
      <w:r>
        <w:rPr>
          <w:rStyle w:val="FootnoteReference"/>
        </w:rPr>
        <w:footnoteRef/>
      </w:r>
      <w:r>
        <w:t xml:space="preserve"> </w:t>
      </w:r>
      <w:r>
        <w:rPr>
          <w:lang w:val="en-US"/>
        </w:rPr>
        <w:t xml:space="preserve">Morning Mist Holdings Ltd v </w:t>
      </w:r>
      <w:proofErr w:type="spellStart"/>
      <w:r>
        <w:rPr>
          <w:lang w:val="en-US"/>
        </w:rPr>
        <w:t>Krys</w:t>
      </w:r>
      <w:proofErr w:type="spellEnd"/>
      <w:r>
        <w:rPr>
          <w:lang w:val="en-US"/>
        </w:rPr>
        <w:t xml:space="preserve"> (In re Fairfield Sentry Ltd), 714 F.3d 127</w:t>
      </w:r>
    </w:p>
  </w:footnote>
  <w:footnote w:id="23">
    <w:p w14:paraId="3333C7B9" w14:textId="4AE644F1" w:rsidR="002A3FDF" w:rsidRPr="002A3FDF" w:rsidRDefault="002A3FDF">
      <w:pPr>
        <w:pStyle w:val="FootnoteText"/>
        <w:rPr>
          <w:lang w:val="en-US"/>
        </w:rPr>
      </w:pPr>
      <w:r>
        <w:rPr>
          <w:rStyle w:val="FootnoteReference"/>
        </w:rPr>
        <w:footnoteRef/>
      </w:r>
      <w:r>
        <w:t xml:space="preserve"> </w:t>
      </w:r>
      <w:r>
        <w:rPr>
          <w:lang w:val="en-US"/>
        </w:rPr>
        <w:t xml:space="preserve">11 USC </w:t>
      </w:r>
      <w:r w:rsidRPr="00A74DA6">
        <w:t>Code § 15</w:t>
      </w:r>
      <w:r>
        <w:t>20</w:t>
      </w:r>
    </w:p>
  </w:footnote>
  <w:footnote w:id="24">
    <w:p w14:paraId="12FE302E" w14:textId="42AB832C" w:rsidR="002A3FDF" w:rsidRPr="002A3FDF" w:rsidRDefault="002A3FDF">
      <w:pPr>
        <w:pStyle w:val="FootnoteText"/>
        <w:rPr>
          <w:lang w:val="en-US"/>
        </w:rPr>
      </w:pPr>
      <w:r>
        <w:rPr>
          <w:rStyle w:val="FootnoteReference"/>
        </w:rPr>
        <w:footnoteRef/>
      </w:r>
      <w:r>
        <w:t xml:space="preserve"> </w:t>
      </w:r>
      <w:r>
        <w:rPr>
          <w:lang w:val="en-US"/>
        </w:rPr>
        <w:t xml:space="preserve">11 USC </w:t>
      </w:r>
      <w:r w:rsidRPr="00A74DA6">
        <w:t>Code § 15</w:t>
      </w:r>
      <w:r>
        <w:t>21</w:t>
      </w:r>
    </w:p>
  </w:footnote>
  <w:footnote w:id="25">
    <w:p w14:paraId="142C1290" w14:textId="192299FE" w:rsidR="001650DC" w:rsidRPr="001650DC" w:rsidRDefault="001650DC">
      <w:pPr>
        <w:pStyle w:val="FootnoteText"/>
        <w:rPr>
          <w:lang w:val="en-US"/>
        </w:rPr>
      </w:pPr>
      <w:r>
        <w:rPr>
          <w:rStyle w:val="FootnoteReference"/>
        </w:rPr>
        <w:footnoteRef/>
      </w:r>
      <w:r>
        <w:t xml:space="preserve"> </w:t>
      </w:r>
      <w:r>
        <w:rPr>
          <w:lang w:val="en-US"/>
        </w:rPr>
        <w:t xml:space="preserve">11 USC </w:t>
      </w:r>
      <w:r w:rsidRPr="00A74DA6">
        <w:t>Code §</w:t>
      </w:r>
      <w:r>
        <w:t xml:space="preserve"> 362 b</w:t>
      </w:r>
    </w:p>
  </w:footnote>
  <w:footnote w:id="26">
    <w:p w14:paraId="46011C94" w14:textId="78FED23B" w:rsidR="00BB3B81" w:rsidRPr="00BB3B81" w:rsidRDefault="00BB3B81">
      <w:pPr>
        <w:pStyle w:val="FootnoteText"/>
        <w:rPr>
          <w:lang w:val="en-US"/>
        </w:rPr>
      </w:pPr>
      <w:r>
        <w:rPr>
          <w:rStyle w:val="FootnoteReference"/>
        </w:rPr>
        <w:footnoteRef/>
      </w:r>
      <w:r>
        <w:t xml:space="preserve"> </w:t>
      </w:r>
      <w:r>
        <w:rPr>
          <w:lang w:val="en-US"/>
        </w:rPr>
        <w:t xml:space="preserve">11 USC </w:t>
      </w:r>
      <w:r w:rsidRPr="00A74DA6">
        <w:t>Code §</w:t>
      </w:r>
      <w:r>
        <w:t xml:space="preserve"> 362 b</w:t>
      </w:r>
    </w:p>
  </w:footnote>
  <w:footnote w:id="27">
    <w:p w14:paraId="002FC1E5" w14:textId="024D62FF" w:rsidR="00BB3B81" w:rsidRPr="00BB3B81" w:rsidRDefault="00BB3B81">
      <w:pPr>
        <w:pStyle w:val="FootnoteText"/>
        <w:rPr>
          <w:lang w:val="en-US"/>
        </w:rPr>
      </w:pPr>
      <w:r>
        <w:rPr>
          <w:rStyle w:val="FootnoteReference"/>
        </w:rPr>
        <w:footnoteRef/>
      </w:r>
      <w:r>
        <w:t xml:space="preserve"> </w:t>
      </w:r>
      <w:r>
        <w:rPr>
          <w:lang w:val="en-US"/>
        </w:rPr>
        <w:t xml:space="preserve">11 USC </w:t>
      </w:r>
      <w:r w:rsidRPr="00A74DA6">
        <w:t>Code §</w:t>
      </w:r>
      <w:r>
        <w:t xml:space="preserve"> 362 </w:t>
      </w:r>
      <w: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157"/>
    <w:multiLevelType w:val="hybridMultilevel"/>
    <w:tmpl w:val="D5745740"/>
    <w:lvl w:ilvl="0" w:tplc="13040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C2AA5"/>
    <w:multiLevelType w:val="hybridMultilevel"/>
    <w:tmpl w:val="E8CEDF3A"/>
    <w:lvl w:ilvl="0" w:tplc="901E3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F516D"/>
    <w:multiLevelType w:val="hybridMultilevel"/>
    <w:tmpl w:val="348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14E29"/>
    <w:multiLevelType w:val="hybridMultilevel"/>
    <w:tmpl w:val="4FB40934"/>
    <w:lvl w:ilvl="0" w:tplc="1F5EB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14130"/>
    <w:multiLevelType w:val="hybridMultilevel"/>
    <w:tmpl w:val="3D4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1"/>
  </w:num>
  <w:num w:numId="3" w16cid:durableId="1942764495">
    <w:abstractNumId w:val="7"/>
  </w:num>
  <w:num w:numId="4" w16cid:durableId="298269076">
    <w:abstractNumId w:val="11"/>
  </w:num>
  <w:num w:numId="5" w16cid:durableId="730929724">
    <w:abstractNumId w:val="14"/>
  </w:num>
  <w:num w:numId="6" w16cid:durableId="1594360553">
    <w:abstractNumId w:val="34"/>
  </w:num>
  <w:num w:numId="7" w16cid:durableId="1661152946">
    <w:abstractNumId w:val="8"/>
  </w:num>
  <w:num w:numId="8" w16cid:durableId="45877589">
    <w:abstractNumId w:val="38"/>
  </w:num>
  <w:num w:numId="9" w16cid:durableId="876742117">
    <w:abstractNumId w:val="15"/>
  </w:num>
  <w:num w:numId="10" w16cid:durableId="1035689165">
    <w:abstractNumId w:val="30"/>
  </w:num>
  <w:num w:numId="11" w16cid:durableId="926307185">
    <w:abstractNumId w:val="17"/>
  </w:num>
  <w:num w:numId="12" w16cid:durableId="621232781">
    <w:abstractNumId w:val="27"/>
  </w:num>
  <w:num w:numId="13" w16cid:durableId="1204442417">
    <w:abstractNumId w:val="1"/>
  </w:num>
  <w:num w:numId="14" w16cid:durableId="1001467812">
    <w:abstractNumId w:val="13"/>
  </w:num>
  <w:num w:numId="15" w16cid:durableId="189758179">
    <w:abstractNumId w:val="21"/>
  </w:num>
  <w:num w:numId="16" w16cid:durableId="1491479825">
    <w:abstractNumId w:val="10"/>
  </w:num>
  <w:num w:numId="17" w16cid:durableId="882793158">
    <w:abstractNumId w:val="6"/>
  </w:num>
  <w:num w:numId="18" w16cid:durableId="777675833">
    <w:abstractNumId w:val="4"/>
  </w:num>
  <w:num w:numId="19" w16cid:durableId="1129937292">
    <w:abstractNumId w:val="32"/>
  </w:num>
  <w:num w:numId="20" w16cid:durableId="1471096614">
    <w:abstractNumId w:val="9"/>
  </w:num>
  <w:num w:numId="21" w16cid:durableId="398864111">
    <w:abstractNumId w:val="29"/>
  </w:num>
  <w:num w:numId="22" w16cid:durableId="2133940203">
    <w:abstractNumId w:val="40"/>
  </w:num>
  <w:num w:numId="23" w16cid:durableId="950893894">
    <w:abstractNumId w:val="16"/>
  </w:num>
  <w:num w:numId="24" w16cid:durableId="1962497721">
    <w:abstractNumId w:val="33"/>
  </w:num>
  <w:num w:numId="25" w16cid:durableId="869756453">
    <w:abstractNumId w:val="23"/>
  </w:num>
  <w:num w:numId="26" w16cid:durableId="1092049203">
    <w:abstractNumId w:val="25"/>
  </w:num>
  <w:num w:numId="27" w16cid:durableId="1146704350">
    <w:abstractNumId w:val="19"/>
  </w:num>
  <w:num w:numId="28" w16cid:durableId="937979478">
    <w:abstractNumId w:val="36"/>
  </w:num>
  <w:num w:numId="29" w16cid:durableId="1970553734">
    <w:abstractNumId w:val="2"/>
  </w:num>
  <w:num w:numId="30" w16cid:durableId="293563849">
    <w:abstractNumId w:val="20"/>
  </w:num>
  <w:num w:numId="31" w16cid:durableId="2126381093">
    <w:abstractNumId w:val="26"/>
  </w:num>
  <w:num w:numId="32" w16cid:durableId="1605572703">
    <w:abstractNumId w:val="41"/>
  </w:num>
  <w:num w:numId="33" w16cid:durableId="1203253494">
    <w:abstractNumId w:val="18"/>
  </w:num>
  <w:num w:numId="34" w16cid:durableId="1104031608">
    <w:abstractNumId w:val="3"/>
  </w:num>
  <w:num w:numId="35" w16cid:durableId="2144806674">
    <w:abstractNumId w:val="37"/>
  </w:num>
  <w:num w:numId="36" w16cid:durableId="1673992024">
    <w:abstractNumId w:val="39"/>
  </w:num>
  <w:num w:numId="37" w16cid:durableId="2022775299">
    <w:abstractNumId w:val="12"/>
  </w:num>
  <w:num w:numId="38" w16cid:durableId="173569090">
    <w:abstractNumId w:val="5"/>
  </w:num>
  <w:num w:numId="39" w16cid:durableId="408426250">
    <w:abstractNumId w:val="0"/>
  </w:num>
  <w:num w:numId="40" w16cid:durableId="613371162">
    <w:abstractNumId w:val="22"/>
  </w:num>
  <w:num w:numId="41" w16cid:durableId="1400054108">
    <w:abstractNumId w:val="35"/>
  </w:num>
  <w:num w:numId="42" w16cid:durableId="156375867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3B5E"/>
    <w:rsid w:val="000106A0"/>
    <w:rsid w:val="00010BA0"/>
    <w:rsid w:val="00020557"/>
    <w:rsid w:val="00021FC2"/>
    <w:rsid w:val="00022E00"/>
    <w:rsid w:val="0002371F"/>
    <w:rsid w:val="000250C7"/>
    <w:rsid w:val="00026902"/>
    <w:rsid w:val="00026F16"/>
    <w:rsid w:val="000272C3"/>
    <w:rsid w:val="000346E7"/>
    <w:rsid w:val="00037621"/>
    <w:rsid w:val="00037671"/>
    <w:rsid w:val="00044D46"/>
    <w:rsid w:val="00045088"/>
    <w:rsid w:val="00045904"/>
    <w:rsid w:val="000502FD"/>
    <w:rsid w:val="000643AB"/>
    <w:rsid w:val="00065166"/>
    <w:rsid w:val="0006644C"/>
    <w:rsid w:val="0006679D"/>
    <w:rsid w:val="000778B1"/>
    <w:rsid w:val="000810B2"/>
    <w:rsid w:val="00082609"/>
    <w:rsid w:val="000851CC"/>
    <w:rsid w:val="00093BE8"/>
    <w:rsid w:val="000968D6"/>
    <w:rsid w:val="00097B45"/>
    <w:rsid w:val="00097D56"/>
    <w:rsid w:val="000A407B"/>
    <w:rsid w:val="000A636A"/>
    <w:rsid w:val="000A68ED"/>
    <w:rsid w:val="000A7A3D"/>
    <w:rsid w:val="000B2B06"/>
    <w:rsid w:val="000B416C"/>
    <w:rsid w:val="000B5FF1"/>
    <w:rsid w:val="000B609F"/>
    <w:rsid w:val="000C4C5B"/>
    <w:rsid w:val="000C536F"/>
    <w:rsid w:val="000D55A8"/>
    <w:rsid w:val="000D569D"/>
    <w:rsid w:val="000E4841"/>
    <w:rsid w:val="000F1677"/>
    <w:rsid w:val="000F3D6C"/>
    <w:rsid w:val="000F7FC2"/>
    <w:rsid w:val="00100E68"/>
    <w:rsid w:val="00101707"/>
    <w:rsid w:val="00102CC9"/>
    <w:rsid w:val="0010496C"/>
    <w:rsid w:val="00106CA8"/>
    <w:rsid w:val="001109FE"/>
    <w:rsid w:val="0011473D"/>
    <w:rsid w:val="00115C85"/>
    <w:rsid w:val="0012224B"/>
    <w:rsid w:val="00123855"/>
    <w:rsid w:val="00126A4D"/>
    <w:rsid w:val="0013222B"/>
    <w:rsid w:val="0014171F"/>
    <w:rsid w:val="001437A8"/>
    <w:rsid w:val="001445EF"/>
    <w:rsid w:val="0014622C"/>
    <w:rsid w:val="00152348"/>
    <w:rsid w:val="0015456D"/>
    <w:rsid w:val="00154C56"/>
    <w:rsid w:val="00155FA2"/>
    <w:rsid w:val="00160679"/>
    <w:rsid w:val="00161F1B"/>
    <w:rsid w:val="00162829"/>
    <w:rsid w:val="001647AD"/>
    <w:rsid w:val="001650DC"/>
    <w:rsid w:val="00180548"/>
    <w:rsid w:val="00180AC4"/>
    <w:rsid w:val="00180CCE"/>
    <w:rsid w:val="0018267A"/>
    <w:rsid w:val="00182779"/>
    <w:rsid w:val="001830DF"/>
    <w:rsid w:val="00191F68"/>
    <w:rsid w:val="001966D9"/>
    <w:rsid w:val="00197E4B"/>
    <w:rsid w:val="001A7E9A"/>
    <w:rsid w:val="001B0F70"/>
    <w:rsid w:val="001B1763"/>
    <w:rsid w:val="001B33F5"/>
    <w:rsid w:val="001B5016"/>
    <w:rsid w:val="001C45FC"/>
    <w:rsid w:val="001D0469"/>
    <w:rsid w:val="001D1EE2"/>
    <w:rsid w:val="001D3BAA"/>
    <w:rsid w:val="001D4862"/>
    <w:rsid w:val="001E25B9"/>
    <w:rsid w:val="001E49E0"/>
    <w:rsid w:val="001E7B5A"/>
    <w:rsid w:val="001F5F8C"/>
    <w:rsid w:val="001F7412"/>
    <w:rsid w:val="00202DFE"/>
    <w:rsid w:val="0020725B"/>
    <w:rsid w:val="002110F1"/>
    <w:rsid w:val="002204B8"/>
    <w:rsid w:val="00223917"/>
    <w:rsid w:val="00224888"/>
    <w:rsid w:val="002348AE"/>
    <w:rsid w:val="0024116D"/>
    <w:rsid w:val="00241B44"/>
    <w:rsid w:val="00241FA3"/>
    <w:rsid w:val="00245EFB"/>
    <w:rsid w:val="0025386E"/>
    <w:rsid w:val="00256B74"/>
    <w:rsid w:val="002638B0"/>
    <w:rsid w:val="002650C8"/>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A3FDF"/>
    <w:rsid w:val="002B0282"/>
    <w:rsid w:val="002B1C45"/>
    <w:rsid w:val="002B5D64"/>
    <w:rsid w:val="002C13C8"/>
    <w:rsid w:val="002C3547"/>
    <w:rsid w:val="002D0021"/>
    <w:rsid w:val="002D2149"/>
    <w:rsid w:val="002D299D"/>
    <w:rsid w:val="002D3473"/>
    <w:rsid w:val="002D6789"/>
    <w:rsid w:val="002D78C5"/>
    <w:rsid w:val="002D7D99"/>
    <w:rsid w:val="002E5818"/>
    <w:rsid w:val="002F1956"/>
    <w:rsid w:val="002F3440"/>
    <w:rsid w:val="002F75A3"/>
    <w:rsid w:val="00301D2B"/>
    <w:rsid w:val="00303C2F"/>
    <w:rsid w:val="00306500"/>
    <w:rsid w:val="003144EF"/>
    <w:rsid w:val="00323167"/>
    <w:rsid w:val="00326292"/>
    <w:rsid w:val="003262A9"/>
    <w:rsid w:val="00326415"/>
    <w:rsid w:val="00330937"/>
    <w:rsid w:val="00330F31"/>
    <w:rsid w:val="00334648"/>
    <w:rsid w:val="00334B98"/>
    <w:rsid w:val="0033768C"/>
    <w:rsid w:val="00337938"/>
    <w:rsid w:val="00340769"/>
    <w:rsid w:val="00341AA6"/>
    <w:rsid w:val="003502EB"/>
    <w:rsid w:val="00352E16"/>
    <w:rsid w:val="00361A0A"/>
    <w:rsid w:val="0036289A"/>
    <w:rsid w:val="00364836"/>
    <w:rsid w:val="0036565C"/>
    <w:rsid w:val="0036625E"/>
    <w:rsid w:val="0036662D"/>
    <w:rsid w:val="0037465A"/>
    <w:rsid w:val="00380ED3"/>
    <w:rsid w:val="00382261"/>
    <w:rsid w:val="003828F0"/>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D6E6E"/>
    <w:rsid w:val="003E0B16"/>
    <w:rsid w:val="003E67D1"/>
    <w:rsid w:val="003F38CA"/>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2625"/>
    <w:rsid w:val="00477C72"/>
    <w:rsid w:val="004830F8"/>
    <w:rsid w:val="00484B73"/>
    <w:rsid w:val="004859A3"/>
    <w:rsid w:val="00491675"/>
    <w:rsid w:val="00493855"/>
    <w:rsid w:val="00494B81"/>
    <w:rsid w:val="00495E79"/>
    <w:rsid w:val="004A57DD"/>
    <w:rsid w:val="004A7B51"/>
    <w:rsid w:val="004A7D71"/>
    <w:rsid w:val="004A7EF3"/>
    <w:rsid w:val="004B0C45"/>
    <w:rsid w:val="004B11FD"/>
    <w:rsid w:val="004B23A2"/>
    <w:rsid w:val="004C0D4D"/>
    <w:rsid w:val="004D1A5A"/>
    <w:rsid w:val="004D2FFF"/>
    <w:rsid w:val="004D36D5"/>
    <w:rsid w:val="004D3721"/>
    <w:rsid w:val="004D4255"/>
    <w:rsid w:val="004D64F9"/>
    <w:rsid w:val="004D743A"/>
    <w:rsid w:val="004E1F4B"/>
    <w:rsid w:val="004E3A6B"/>
    <w:rsid w:val="004E5AF5"/>
    <w:rsid w:val="004E622C"/>
    <w:rsid w:val="004F49B5"/>
    <w:rsid w:val="004F4F1A"/>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23E9"/>
    <w:rsid w:val="0056391B"/>
    <w:rsid w:val="005650E2"/>
    <w:rsid w:val="00567AD7"/>
    <w:rsid w:val="00575B2D"/>
    <w:rsid w:val="00580B65"/>
    <w:rsid w:val="005833D0"/>
    <w:rsid w:val="00583D8E"/>
    <w:rsid w:val="005846F3"/>
    <w:rsid w:val="0058622F"/>
    <w:rsid w:val="00587019"/>
    <w:rsid w:val="00592F82"/>
    <w:rsid w:val="005979B1"/>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1F5"/>
    <w:rsid w:val="005F4B31"/>
    <w:rsid w:val="00601307"/>
    <w:rsid w:val="00610388"/>
    <w:rsid w:val="0061076B"/>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0765"/>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B6EE1"/>
    <w:rsid w:val="006C65F4"/>
    <w:rsid w:val="006D6BD5"/>
    <w:rsid w:val="006E481A"/>
    <w:rsid w:val="006E5000"/>
    <w:rsid w:val="006E5298"/>
    <w:rsid w:val="006F4A78"/>
    <w:rsid w:val="006F734A"/>
    <w:rsid w:val="00700D83"/>
    <w:rsid w:val="00702860"/>
    <w:rsid w:val="00704852"/>
    <w:rsid w:val="007074E9"/>
    <w:rsid w:val="00713DA4"/>
    <w:rsid w:val="00714BF1"/>
    <w:rsid w:val="00717C2C"/>
    <w:rsid w:val="00721383"/>
    <w:rsid w:val="0072569E"/>
    <w:rsid w:val="00730B0A"/>
    <w:rsid w:val="0073158B"/>
    <w:rsid w:val="007333CC"/>
    <w:rsid w:val="0073399A"/>
    <w:rsid w:val="00740655"/>
    <w:rsid w:val="00741CBF"/>
    <w:rsid w:val="00744EBC"/>
    <w:rsid w:val="00752FB7"/>
    <w:rsid w:val="00756215"/>
    <w:rsid w:val="007603F5"/>
    <w:rsid w:val="00764DB0"/>
    <w:rsid w:val="0076764D"/>
    <w:rsid w:val="00767C70"/>
    <w:rsid w:val="0077498C"/>
    <w:rsid w:val="00776E08"/>
    <w:rsid w:val="00777C53"/>
    <w:rsid w:val="007809BC"/>
    <w:rsid w:val="00784128"/>
    <w:rsid w:val="00784995"/>
    <w:rsid w:val="00787BCC"/>
    <w:rsid w:val="00793173"/>
    <w:rsid w:val="00797B25"/>
    <w:rsid w:val="007A2A33"/>
    <w:rsid w:val="007B0809"/>
    <w:rsid w:val="007B4EAE"/>
    <w:rsid w:val="007B5C89"/>
    <w:rsid w:val="007B624B"/>
    <w:rsid w:val="007C1FCC"/>
    <w:rsid w:val="007C6201"/>
    <w:rsid w:val="007C690E"/>
    <w:rsid w:val="007D0192"/>
    <w:rsid w:val="007D23F3"/>
    <w:rsid w:val="007D29E8"/>
    <w:rsid w:val="007D6135"/>
    <w:rsid w:val="007D7C92"/>
    <w:rsid w:val="007E1154"/>
    <w:rsid w:val="007E6BA4"/>
    <w:rsid w:val="007F12AB"/>
    <w:rsid w:val="007F41F8"/>
    <w:rsid w:val="007F5672"/>
    <w:rsid w:val="007F659B"/>
    <w:rsid w:val="00800AD3"/>
    <w:rsid w:val="008020F8"/>
    <w:rsid w:val="0080454E"/>
    <w:rsid w:val="00804C32"/>
    <w:rsid w:val="00805305"/>
    <w:rsid w:val="00806302"/>
    <w:rsid w:val="00807119"/>
    <w:rsid w:val="00821F0A"/>
    <w:rsid w:val="0082483F"/>
    <w:rsid w:val="008279C0"/>
    <w:rsid w:val="00834F92"/>
    <w:rsid w:val="008370CD"/>
    <w:rsid w:val="0083721E"/>
    <w:rsid w:val="00837A43"/>
    <w:rsid w:val="00850CF1"/>
    <w:rsid w:val="00853272"/>
    <w:rsid w:val="00855BA7"/>
    <w:rsid w:val="00860BAA"/>
    <w:rsid w:val="0087116D"/>
    <w:rsid w:val="008723F3"/>
    <w:rsid w:val="00872711"/>
    <w:rsid w:val="00873698"/>
    <w:rsid w:val="00875912"/>
    <w:rsid w:val="00875F51"/>
    <w:rsid w:val="0087762C"/>
    <w:rsid w:val="00881DE6"/>
    <w:rsid w:val="008837A6"/>
    <w:rsid w:val="00883D94"/>
    <w:rsid w:val="00884643"/>
    <w:rsid w:val="0089145D"/>
    <w:rsid w:val="0089582E"/>
    <w:rsid w:val="00895EF1"/>
    <w:rsid w:val="0089687B"/>
    <w:rsid w:val="008A4DF2"/>
    <w:rsid w:val="008A6CFE"/>
    <w:rsid w:val="008A771D"/>
    <w:rsid w:val="008B065D"/>
    <w:rsid w:val="008B5333"/>
    <w:rsid w:val="008B6223"/>
    <w:rsid w:val="008C27F4"/>
    <w:rsid w:val="008C45A7"/>
    <w:rsid w:val="008C4971"/>
    <w:rsid w:val="008C66E0"/>
    <w:rsid w:val="008D3096"/>
    <w:rsid w:val="008D7934"/>
    <w:rsid w:val="008E3339"/>
    <w:rsid w:val="008F0FCD"/>
    <w:rsid w:val="008F20FC"/>
    <w:rsid w:val="008F5FFE"/>
    <w:rsid w:val="00900BBE"/>
    <w:rsid w:val="009017A1"/>
    <w:rsid w:val="00902FA7"/>
    <w:rsid w:val="00905A43"/>
    <w:rsid w:val="00912C79"/>
    <w:rsid w:val="00921B8C"/>
    <w:rsid w:val="0092565E"/>
    <w:rsid w:val="009259BC"/>
    <w:rsid w:val="0093467C"/>
    <w:rsid w:val="00935386"/>
    <w:rsid w:val="00942123"/>
    <w:rsid w:val="009427E0"/>
    <w:rsid w:val="0095207B"/>
    <w:rsid w:val="00952749"/>
    <w:rsid w:val="00962045"/>
    <w:rsid w:val="00963D77"/>
    <w:rsid w:val="00980E61"/>
    <w:rsid w:val="00991428"/>
    <w:rsid w:val="00992676"/>
    <w:rsid w:val="009954B2"/>
    <w:rsid w:val="00996691"/>
    <w:rsid w:val="009A2F63"/>
    <w:rsid w:val="009A50CD"/>
    <w:rsid w:val="009B0723"/>
    <w:rsid w:val="009B07AD"/>
    <w:rsid w:val="009B0883"/>
    <w:rsid w:val="009B15E2"/>
    <w:rsid w:val="009B2289"/>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07551"/>
    <w:rsid w:val="00A2274A"/>
    <w:rsid w:val="00A235B7"/>
    <w:rsid w:val="00A27A7A"/>
    <w:rsid w:val="00A3165E"/>
    <w:rsid w:val="00A34ABE"/>
    <w:rsid w:val="00A407EF"/>
    <w:rsid w:val="00A46B4C"/>
    <w:rsid w:val="00A5117B"/>
    <w:rsid w:val="00A56D34"/>
    <w:rsid w:val="00A60074"/>
    <w:rsid w:val="00A6313C"/>
    <w:rsid w:val="00A6627C"/>
    <w:rsid w:val="00A67795"/>
    <w:rsid w:val="00A70228"/>
    <w:rsid w:val="00A71019"/>
    <w:rsid w:val="00A74DA6"/>
    <w:rsid w:val="00A75D43"/>
    <w:rsid w:val="00A77C98"/>
    <w:rsid w:val="00A81029"/>
    <w:rsid w:val="00A81F08"/>
    <w:rsid w:val="00A82B32"/>
    <w:rsid w:val="00A840AB"/>
    <w:rsid w:val="00A94F58"/>
    <w:rsid w:val="00A95463"/>
    <w:rsid w:val="00A96489"/>
    <w:rsid w:val="00AA0280"/>
    <w:rsid w:val="00AA3D45"/>
    <w:rsid w:val="00AA5BE5"/>
    <w:rsid w:val="00AA7BE3"/>
    <w:rsid w:val="00AB1B65"/>
    <w:rsid w:val="00AB2425"/>
    <w:rsid w:val="00AB685C"/>
    <w:rsid w:val="00AB6C2D"/>
    <w:rsid w:val="00AC08F7"/>
    <w:rsid w:val="00AC3839"/>
    <w:rsid w:val="00AC7082"/>
    <w:rsid w:val="00AD4BE8"/>
    <w:rsid w:val="00AE797A"/>
    <w:rsid w:val="00AF228E"/>
    <w:rsid w:val="00AF27EF"/>
    <w:rsid w:val="00B016A8"/>
    <w:rsid w:val="00B01E81"/>
    <w:rsid w:val="00B10961"/>
    <w:rsid w:val="00B12BF2"/>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B3B81"/>
    <w:rsid w:val="00BB560E"/>
    <w:rsid w:val="00BD4A58"/>
    <w:rsid w:val="00BD7337"/>
    <w:rsid w:val="00BE4D7E"/>
    <w:rsid w:val="00BE4FF3"/>
    <w:rsid w:val="00BE7AD5"/>
    <w:rsid w:val="00BF0003"/>
    <w:rsid w:val="00BF1B3E"/>
    <w:rsid w:val="00BF50F7"/>
    <w:rsid w:val="00BF6B84"/>
    <w:rsid w:val="00BF76EA"/>
    <w:rsid w:val="00C02F29"/>
    <w:rsid w:val="00C05A9F"/>
    <w:rsid w:val="00C06793"/>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465C"/>
    <w:rsid w:val="00C7736C"/>
    <w:rsid w:val="00C82D87"/>
    <w:rsid w:val="00C8695A"/>
    <w:rsid w:val="00C8712A"/>
    <w:rsid w:val="00C87E0A"/>
    <w:rsid w:val="00C902C8"/>
    <w:rsid w:val="00C919D1"/>
    <w:rsid w:val="00C963D3"/>
    <w:rsid w:val="00CA0AF8"/>
    <w:rsid w:val="00CB1983"/>
    <w:rsid w:val="00CB2CBB"/>
    <w:rsid w:val="00CB6578"/>
    <w:rsid w:val="00CB7CAC"/>
    <w:rsid w:val="00CC4818"/>
    <w:rsid w:val="00CC5335"/>
    <w:rsid w:val="00CC5BA4"/>
    <w:rsid w:val="00CC7F1C"/>
    <w:rsid w:val="00CD4998"/>
    <w:rsid w:val="00CE0ECD"/>
    <w:rsid w:val="00CE1035"/>
    <w:rsid w:val="00CE5282"/>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34D42"/>
    <w:rsid w:val="00D53719"/>
    <w:rsid w:val="00D61CC1"/>
    <w:rsid w:val="00D6273C"/>
    <w:rsid w:val="00D63EFD"/>
    <w:rsid w:val="00D7456A"/>
    <w:rsid w:val="00D768C3"/>
    <w:rsid w:val="00D84752"/>
    <w:rsid w:val="00D85559"/>
    <w:rsid w:val="00D85AF6"/>
    <w:rsid w:val="00D86B3B"/>
    <w:rsid w:val="00D8748A"/>
    <w:rsid w:val="00D93196"/>
    <w:rsid w:val="00D9565D"/>
    <w:rsid w:val="00DA0DC0"/>
    <w:rsid w:val="00DA1D45"/>
    <w:rsid w:val="00DA3188"/>
    <w:rsid w:val="00DB243C"/>
    <w:rsid w:val="00DB482A"/>
    <w:rsid w:val="00DB50FB"/>
    <w:rsid w:val="00DB56F2"/>
    <w:rsid w:val="00DB6EF5"/>
    <w:rsid w:val="00DC3089"/>
    <w:rsid w:val="00DC359F"/>
    <w:rsid w:val="00DC4420"/>
    <w:rsid w:val="00DC4977"/>
    <w:rsid w:val="00DC4AEC"/>
    <w:rsid w:val="00DC5C0A"/>
    <w:rsid w:val="00DC73DF"/>
    <w:rsid w:val="00DD0802"/>
    <w:rsid w:val="00DD2E11"/>
    <w:rsid w:val="00DD7AC9"/>
    <w:rsid w:val="00DE03AF"/>
    <w:rsid w:val="00DE121C"/>
    <w:rsid w:val="00DE5357"/>
    <w:rsid w:val="00DE6633"/>
    <w:rsid w:val="00DE7E9B"/>
    <w:rsid w:val="00DF0D77"/>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30A5"/>
    <w:rsid w:val="00E77C3D"/>
    <w:rsid w:val="00E83A65"/>
    <w:rsid w:val="00E902E5"/>
    <w:rsid w:val="00E90991"/>
    <w:rsid w:val="00E909F0"/>
    <w:rsid w:val="00E90D47"/>
    <w:rsid w:val="00E9126C"/>
    <w:rsid w:val="00E91BE5"/>
    <w:rsid w:val="00E93993"/>
    <w:rsid w:val="00E9597C"/>
    <w:rsid w:val="00EA0913"/>
    <w:rsid w:val="00EA2921"/>
    <w:rsid w:val="00EA5B00"/>
    <w:rsid w:val="00EA78AC"/>
    <w:rsid w:val="00EB146B"/>
    <w:rsid w:val="00EB43A2"/>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678F4"/>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F30EF88E-460C-4008-BDD4-B25975C0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UnresolvedMention">
    <w:name w:val="Unresolved Mention"/>
    <w:basedOn w:val="DefaultParagraphFont"/>
    <w:uiPriority w:val="99"/>
    <w:semiHidden/>
    <w:unhideWhenUsed/>
    <w:rsid w:val="002B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6074036">
      <w:bodyDiv w:val="1"/>
      <w:marLeft w:val="0"/>
      <w:marRight w:val="0"/>
      <w:marTop w:val="0"/>
      <w:marBottom w:val="0"/>
      <w:divBdr>
        <w:top w:val="none" w:sz="0" w:space="0" w:color="auto"/>
        <w:left w:val="none" w:sz="0" w:space="0" w:color="auto"/>
        <w:bottom w:val="none" w:sz="0" w:space="0" w:color="auto"/>
        <w:right w:val="none" w:sz="0" w:space="0" w:color="auto"/>
      </w:divBdr>
    </w:div>
    <w:div w:id="15195461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sites/uncitral.un.org/files/media-documents/uncitral/en/1997-model-law-insol-2013-guide-enactment-e.pdf" TargetMode="External"/><Relationship Id="rId2" Type="http://schemas.openxmlformats.org/officeDocument/2006/relationships/hyperlink" Target="https://www.justice.gov/archive/tax/Ordercont218.pdf" TargetMode="External"/><Relationship Id="rId1" Type="http://schemas.openxmlformats.org/officeDocument/2006/relationships/hyperlink" Target="https://www.crawfordvk.com/bankruptcy-and-creditors-rights-your-guide-to-setoff-and-recoupment/" TargetMode="External"/><Relationship Id="rId6" Type="http://schemas.openxmlformats.org/officeDocument/2006/relationships/hyperlink" Target="https://corplaw.delaware.gov/delaware-way-business-judgment/" TargetMode="External"/><Relationship Id="rId5" Type="http://schemas.openxmlformats.org/officeDocument/2006/relationships/hyperlink" Target="https://www.skadden.com/-/media/files/publications/2020/02/directorsfiduciarydutiesbacktodelawarelawbasics.pdf" TargetMode="External"/><Relationship Id="rId4" Type="http://schemas.openxmlformats.org/officeDocument/2006/relationships/hyperlink" Target="https://www.uscourts.gov/rules-policies/current-rules-practice-procedure/federal-rules-bankrupt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Pippa Thompson (VG)</cp:lastModifiedBy>
  <cp:revision>2</cp:revision>
  <cp:lastPrinted>2019-08-27T05:42:00Z</cp:lastPrinted>
  <dcterms:created xsi:type="dcterms:W3CDTF">2024-02-29T22:52:00Z</dcterms:created>
  <dcterms:modified xsi:type="dcterms:W3CDTF">2024-02-29T22:52:00Z</dcterms:modified>
</cp:coreProperties>
</file>