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7960E0">
        <w:rPr>
          <w:rFonts w:ascii="Avenir Next" w:hAnsi="Avenir Next"/>
          <w:highlight w:val="yellow"/>
        </w:rPr>
        <w:t>(b)</w:t>
      </w:r>
      <w:r w:rsidRPr="007960E0">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7960E0">
        <w:rPr>
          <w:rFonts w:ascii="Avenir Next" w:hAnsi="Avenir Next"/>
        </w:rPr>
        <w:t>(c)</w:t>
      </w:r>
      <w:r w:rsidRPr="007960E0">
        <w:rPr>
          <w:rFonts w:ascii="Avenir Next" w:hAnsi="Avenir Next"/>
        </w:rPr>
        <w:tab/>
        <w:t>A shareholder in Investment Corp, Car Corp’s parent company</w:t>
      </w:r>
      <w:r w:rsidR="00631394" w:rsidRPr="007960E0">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7960E0">
        <w:rPr>
          <w:rFonts w:ascii="Avenir Next" w:hAnsi="Avenir Next"/>
          <w:highlight w:val="yellow"/>
        </w:rPr>
        <w:t>(d)</w:t>
      </w:r>
      <w:r w:rsidRPr="007960E0">
        <w:rPr>
          <w:rFonts w:ascii="Avenir Next" w:hAnsi="Avenir Next"/>
          <w:highlight w:val="yellow"/>
        </w:rPr>
        <w:tab/>
        <w:t>A retired employee of Car Corp who receives payments from the company’s pension plan</w:t>
      </w:r>
      <w:r w:rsidR="00631394" w:rsidRPr="007960E0">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7960E0">
        <w:rPr>
          <w:rFonts w:ascii="Avenir Next" w:hAnsi="Avenir Next"/>
          <w:highlight w:val="yellow"/>
        </w:rPr>
        <w:t>(d)</w:t>
      </w:r>
      <w:r w:rsidRPr="007960E0">
        <w:rPr>
          <w:rFonts w:ascii="Avenir Next" w:hAnsi="Avenir Next"/>
          <w:highlight w:val="yellow"/>
        </w:rPr>
        <w:tab/>
      </w:r>
      <w:r w:rsidR="00B849C5" w:rsidRPr="007960E0">
        <w:rPr>
          <w:rFonts w:ascii="Avenir Next" w:hAnsi="Avenir Next"/>
          <w:highlight w:val="yellow"/>
        </w:rPr>
        <w:t xml:space="preserve">Options (a) to (c) </w:t>
      </w:r>
      <w:r w:rsidRPr="007960E0">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 xml:space="preserve">The board of directors of the debtor if it is a debtor-in-possession in the foreign </w:t>
      </w:r>
      <w:proofErr w:type="gramStart"/>
      <w:r w:rsidRPr="00F71246">
        <w:rPr>
          <w:rFonts w:ascii="Avenir Next" w:hAnsi="Avenir Next"/>
        </w:rPr>
        <w:t>proceeding</w:t>
      </w:r>
      <w:proofErr w:type="gramEnd"/>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D32526">
        <w:rPr>
          <w:rFonts w:ascii="Avenir Next" w:hAnsi="Avenir Next"/>
        </w:rPr>
        <w:t>(c)</w:t>
      </w:r>
      <w:r w:rsidRPr="00D32526">
        <w:rPr>
          <w:rFonts w:ascii="Avenir Next" w:hAnsi="Avenir Next"/>
        </w:rPr>
        <w:tab/>
        <w:t>An insolvency professional appointed by the court overseeing the foreign proceeding</w:t>
      </w:r>
      <w:r w:rsidR="0036662D" w:rsidRPr="00D32526">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0D20A4">
        <w:rPr>
          <w:rFonts w:ascii="Avenir Next" w:hAnsi="Avenir Next"/>
          <w:highlight w:val="yellow"/>
        </w:rPr>
        <w:t>(e)</w:t>
      </w:r>
      <w:r w:rsidRPr="000D20A4">
        <w:rPr>
          <w:rFonts w:ascii="Avenir Next" w:hAnsi="Avenir Next"/>
          <w:highlight w:val="yellow"/>
        </w:rPr>
        <w:tab/>
        <w:t>All of the above</w:t>
      </w:r>
      <w:r w:rsidR="006A42F8" w:rsidRPr="000D20A4">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0D20A4">
        <w:rPr>
          <w:rFonts w:ascii="Avenir Next" w:hAnsi="Avenir Next"/>
          <w:highlight w:val="yellow"/>
        </w:rPr>
        <w:t>(b)</w:t>
      </w:r>
      <w:r w:rsidRPr="000D20A4">
        <w:rPr>
          <w:rFonts w:ascii="Avenir Next" w:hAnsi="Avenir Next"/>
          <w:highlight w:val="yellow"/>
        </w:rPr>
        <w:tab/>
        <w:t xml:space="preserve">Executory contracts are clearly defined by the </w:t>
      </w:r>
      <w:r w:rsidR="00ED7BF3" w:rsidRPr="000D20A4">
        <w:rPr>
          <w:rFonts w:ascii="Avenir Next" w:hAnsi="Avenir Next"/>
          <w:highlight w:val="yellow"/>
        </w:rPr>
        <w:t>B</w:t>
      </w:r>
      <w:r w:rsidRPr="000D20A4">
        <w:rPr>
          <w:rFonts w:ascii="Avenir Next" w:hAnsi="Avenir Next"/>
          <w:highlight w:val="yellow"/>
        </w:rPr>
        <w:t xml:space="preserve">ankruptcy </w:t>
      </w:r>
      <w:r w:rsidR="00ED7BF3" w:rsidRPr="000D20A4">
        <w:rPr>
          <w:rFonts w:ascii="Avenir Next" w:hAnsi="Avenir Next"/>
          <w:highlight w:val="yellow"/>
        </w:rPr>
        <w:t>C</w:t>
      </w:r>
      <w:r w:rsidRPr="000D20A4">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pPr>
        <w:pStyle w:val="AODocTxt"/>
        <w:numPr>
          <w:ilvl w:val="0"/>
          <w:numId w:val="1"/>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0D20A4" w:rsidRDefault="000643AB">
      <w:pPr>
        <w:pStyle w:val="AODocTxt"/>
        <w:numPr>
          <w:ilvl w:val="0"/>
          <w:numId w:val="1"/>
        </w:numPr>
        <w:spacing w:before="0" w:line="240" w:lineRule="auto"/>
        <w:ind w:left="426" w:hanging="426"/>
        <w:rPr>
          <w:rFonts w:ascii="Avenir Next" w:hAnsi="Avenir Next"/>
          <w:highlight w:val="yellow"/>
        </w:rPr>
      </w:pPr>
      <w:r w:rsidRPr="000D20A4">
        <w:rPr>
          <w:rFonts w:ascii="Avenir Next" w:hAnsi="Avenir Next"/>
          <w:highlight w:val="yellow"/>
        </w:rPr>
        <w:t>Acceptance of the plan by all classes of secured creditors</w:t>
      </w:r>
      <w:r w:rsidR="006844A8" w:rsidRPr="000D20A4">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pPr>
        <w:pStyle w:val="AODocTxt"/>
        <w:numPr>
          <w:ilvl w:val="0"/>
          <w:numId w:val="1"/>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0D20A4" w:rsidRDefault="00C24FAB">
      <w:pPr>
        <w:pStyle w:val="AODocTxt"/>
        <w:numPr>
          <w:ilvl w:val="0"/>
          <w:numId w:val="4"/>
        </w:numPr>
        <w:spacing w:before="0" w:line="240" w:lineRule="auto"/>
        <w:ind w:left="426" w:hanging="426"/>
        <w:rPr>
          <w:rFonts w:ascii="Avenir Next" w:hAnsi="Avenir Next"/>
          <w:highlight w:val="yellow"/>
        </w:rPr>
      </w:pPr>
      <w:r w:rsidRPr="000D20A4">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D8AAFD6" w14:textId="77777777" w:rsidR="000F2C62" w:rsidRDefault="000F2C62" w:rsidP="00B77B19">
      <w:pPr>
        <w:pStyle w:val="AODocTxt"/>
        <w:keepNext/>
        <w:spacing w:before="0" w:line="240" w:lineRule="auto"/>
        <w:rPr>
          <w:rFonts w:ascii="Avenir Next Demi Bold" w:hAnsi="Avenir Next Demi Bold"/>
          <w:b/>
          <w:bCs/>
        </w:rPr>
      </w:pPr>
    </w:p>
    <w:p w14:paraId="2A18FD7D" w14:textId="7946D5F2"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Pr="00AA19C4" w:rsidRDefault="00853272">
      <w:pPr>
        <w:pStyle w:val="AODocTxt"/>
        <w:numPr>
          <w:ilvl w:val="0"/>
          <w:numId w:val="2"/>
        </w:numPr>
        <w:spacing w:before="0" w:line="240" w:lineRule="auto"/>
        <w:ind w:left="426" w:hanging="426"/>
        <w:rPr>
          <w:rFonts w:ascii="Avenir Next" w:hAnsi="Avenir Next"/>
        </w:rPr>
      </w:pPr>
      <w:r w:rsidRPr="00AA19C4">
        <w:rPr>
          <w:rFonts w:ascii="Avenir Next" w:hAnsi="Avenir Next"/>
        </w:rPr>
        <w:t>The manufacturer must immediately stop using the trademark.</w:t>
      </w:r>
    </w:p>
    <w:p w14:paraId="73AF8D7E" w14:textId="77777777" w:rsidR="0072569E" w:rsidRPr="00AA19C4" w:rsidRDefault="0072569E" w:rsidP="00BA74EF">
      <w:pPr>
        <w:pStyle w:val="AODocTxt"/>
        <w:spacing w:before="0" w:line="240" w:lineRule="auto"/>
        <w:ind w:hanging="426"/>
        <w:rPr>
          <w:rFonts w:ascii="Avenir Next" w:hAnsi="Avenir Next"/>
        </w:rPr>
      </w:pPr>
    </w:p>
    <w:p w14:paraId="611673BE" w14:textId="51A18967" w:rsidR="00853272" w:rsidRPr="00AA19C4" w:rsidRDefault="00853272">
      <w:pPr>
        <w:pStyle w:val="AODocTxt"/>
        <w:numPr>
          <w:ilvl w:val="0"/>
          <w:numId w:val="2"/>
        </w:numPr>
        <w:spacing w:before="0" w:line="240" w:lineRule="auto"/>
        <w:ind w:left="426" w:hanging="426"/>
        <w:rPr>
          <w:rFonts w:ascii="Avenir Next" w:hAnsi="Avenir Next"/>
        </w:rPr>
      </w:pPr>
      <w:r w:rsidRPr="00AA19C4">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pPr>
        <w:pStyle w:val="AODocTxt"/>
        <w:numPr>
          <w:ilvl w:val="0"/>
          <w:numId w:val="2"/>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5A07C5" w:rsidRDefault="00853272">
      <w:pPr>
        <w:pStyle w:val="AODocTxt"/>
        <w:numPr>
          <w:ilvl w:val="0"/>
          <w:numId w:val="2"/>
        </w:numPr>
        <w:spacing w:before="0" w:line="240" w:lineRule="auto"/>
        <w:ind w:left="426" w:hanging="426"/>
        <w:rPr>
          <w:rFonts w:ascii="Avenir Next" w:hAnsi="Avenir Next"/>
          <w:highlight w:val="yellow"/>
        </w:rPr>
      </w:pPr>
      <w:r w:rsidRPr="005A07C5">
        <w:rPr>
          <w:rFonts w:ascii="Avenir Next" w:hAnsi="Avenir Next"/>
          <w:highlight w:val="yellow"/>
        </w:rPr>
        <w:t xml:space="preserve">Both </w:t>
      </w:r>
      <w:r w:rsidR="0072569E" w:rsidRPr="005A07C5">
        <w:rPr>
          <w:rFonts w:ascii="Avenir Next" w:hAnsi="Avenir Next"/>
          <w:highlight w:val="yellow"/>
        </w:rPr>
        <w:t xml:space="preserve">options </w:t>
      </w:r>
      <w:r w:rsidRPr="005A07C5">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pPr>
        <w:pStyle w:val="AODocTxt"/>
        <w:keepNext/>
        <w:numPr>
          <w:ilvl w:val="0"/>
          <w:numId w:val="3"/>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0D20A4" w:rsidRDefault="00334B98">
      <w:pPr>
        <w:pStyle w:val="AODocTxt"/>
        <w:keepNext/>
        <w:numPr>
          <w:ilvl w:val="0"/>
          <w:numId w:val="3"/>
        </w:numPr>
        <w:spacing w:before="0" w:line="240" w:lineRule="auto"/>
        <w:ind w:left="426" w:hanging="426"/>
        <w:rPr>
          <w:rFonts w:ascii="Avenir Next" w:hAnsi="Avenir Next"/>
          <w:highlight w:val="yellow"/>
        </w:rPr>
      </w:pPr>
      <w:r w:rsidRPr="000D20A4">
        <w:rPr>
          <w:rFonts w:ascii="Avenir Next" w:hAnsi="Avenir Next"/>
          <w:highlight w:val="yellow"/>
        </w:rPr>
        <w:t xml:space="preserve">A creditor’s </w:t>
      </w:r>
      <w:proofErr w:type="gramStart"/>
      <w:r w:rsidRPr="000D20A4">
        <w:rPr>
          <w:rFonts w:ascii="Avenir Next" w:hAnsi="Avenir Next"/>
          <w:highlight w:val="yellow"/>
        </w:rPr>
        <w:t>lien</w:t>
      </w:r>
      <w:proofErr w:type="gramEnd"/>
      <w:r w:rsidRPr="000D20A4">
        <w:rPr>
          <w:rFonts w:ascii="Avenir Next" w:hAnsi="Avenir Next"/>
          <w:highlight w:val="yellow"/>
        </w:rPr>
        <w:t xml:space="preserve">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0D20A4" w:rsidRDefault="00740655">
      <w:pPr>
        <w:pStyle w:val="AODocTxt"/>
        <w:keepNext/>
        <w:numPr>
          <w:ilvl w:val="0"/>
          <w:numId w:val="5"/>
        </w:numPr>
        <w:spacing w:before="0" w:line="240" w:lineRule="auto"/>
        <w:ind w:left="426" w:hanging="426"/>
        <w:rPr>
          <w:rFonts w:ascii="Avenir Next" w:hAnsi="Avenir Next"/>
          <w:highlight w:val="yellow"/>
        </w:rPr>
      </w:pPr>
      <w:r w:rsidRPr="000D20A4">
        <w:rPr>
          <w:rFonts w:ascii="Avenir Next" w:hAnsi="Avenir Next"/>
          <w:highlight w:val="yellow"/>
        </w:rPr>
        <w:t xml:space="preserve">If a creditor can show it extended credit </w:t>
      </w:r>
      <w:proofErr w:type="gramStart"/>
      <w:r w:rsidRPr="000D20A4">
        <w:rPr>
          <w:rFonts w:ascii="Avenir Next" w:hAnsi="Avenir Next"/>
          <w:highlight w:val="yellow"/>
        </w:rPr>
        <w:t>on the basis of</w:t>
      </w:r>
      <w:proofErr w:type="gramEnd"/>
      <w:r w:rsidRPr="000D20A4">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2D6C5F2A" w14:textId="77777777" w:rsidR="00900869" w:rsidRDefault="00900869" w:rsidP="00323167">
      <w:pPr>
        <w:jc w:val="both"/>
        <w:rPr>
          <w:rFonts w:ascii="Avenir Next Demi Bold" w:hAnsi="Avenir Next Demi Bold" w:cs="Arial"/>
          <w:b/>
          <w:bCs/>
          <w:sz w:val="22"/>
          <w:szCs w:val="22"/>
          <w:lang w:val="en-GB"/>
        </w:rPr>
      </w:pPr>
    </w:p>
    <w:p w14:paraId="189D447B" w14:textId="77777777" w:rsidR="00900869" w:rsidRDefault="00900869" w:rsidP="00323167">
      <w:pPr>
        <w:jc w:val="both"/>
        <w:rPr>
          <w:rFonts w:ascii="Avenir Next Demi Bold" w:hAnsi="Avenir Next Demi Bold" w:cs="Arial"/>
          <w:b/>
          <w:bCs/>
          <w:sz w:val="22"/>
          <w:szCs w:val="22"/>
          <w:lang w:val="en-GB"/>
        </w:rPr>
      </w:pPr>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7EAF1451" w14:textId="42AF08B2" w:rsidR="003A5A6A" w:rsidRDefault="00B30E5D"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A</w:t>
      </w:r>
      <w:r w:rsidR="005A5257" w:rsidRPr="00B92A16">
        <w:rPr>
          <w:rFonts w:ascii="Arial" w:hAnsi="Arial" w:cs="Arial"/>
          <w:color w:val="808080" w:themeColor="background1" w:themeShade="80"/>
        </w:rPr>
        <w:t xml:space="preserve"> creditor </w:t>
      </w:r>
      <w:r>
        <w:rPr>
          <w:rFonts w:ascii="Arial" w:hAnsi="Arial" w:cs="Arial"/>
          <w:color w:val="808080" w:themeColor="background1" w:themeShade="80"/>
        </w:rPr>
        <w:t>may</w:t>
      </w:r>
      <w:r w:rsidR="005A5257" w:rsidRPr="00B92A16">
        <w:rPr>
          <w:rFonts w:ascii="Arial" w:hAnsi="Arial" w:cs="Arial"/>
          <w:color w:val="808080" w:themeColor="background1" w:themeShade="80"/>
        </w:rPr>
        <w:t xml:space="preserve"> ha</w:t>
      </w:r>
      <w:r>
        <w:rPr>
          <w:rFonts w:ascii="Arial" w:hAnsi="Arial" w:cs="Arial"/>
          <w:color w:val="808080" w:themeColor="background1" w:themeShade="80"/>
        </w:rPr>
        <w:t>ve</w:t>
      </w:r>
      <w:r w:rsidR="005A5257" w:rsidRPr="00B92A16">
        <w:rPr>
          <w:rFonts w:ascii="Arial" w:hAnsi="Arial" w:cs="Arial"/>
          <w:color w:val="808080" w:themeColor="background1" w:themeShade="80"/>
        </w:rPr>
        <w:t xml:space="preserve"> a claim against </w:t>
      </w:r>
      <w:r w:rsidR="00583613">
        <w:rPr>
          <w:rFonts w:ascii="Arial" w:hAnsi="Arial" w:cs="Arial"/>
          <w:color w:val="808080" w:themeColor="background1" w:themeShade="80"/>
        </w:rPr>
        <w:t>a</w:t>
      </w:r>
      <w:r w:rsidR="005A5257" w:rsidRPr="00B92A16">
        <w:rPr>
          <w:rFonts w:ascii="Arial" w:hAnsi="Arial" w:cs="Arial"/>
          <w:color w:val="808080" w:themeColor="background1" w:themeShade="80"/>
        </w:rPr>
        <w:t xml:space="preserve"> debtor and at the same time owe money to the debtor</w:t>
      </w:r>
      <w:r>
        <w:rPr>
          <w:rFonts w:ascii="Arial" w:hAnsi="Arial" w:cs="Arial"/>
          <w:color w:val="808080" w:themeColor="background1" w:themeShade="80"/>
        </w:rPr>
        <w:t>. Setoff is the process where the creditor can</w:t>
      </w:r>
      <w:r w:rsidR="005A5257" w:rsidRPr="00B92A16">
        <w:rPr>
          <w:rFonts w:ascii="Arial" w:hAnsi="Arial" w:cs="Arial"/>
          <w:color w:val="808080" w:themeColor="background1" w:themeShade="80"/>
        </w:rPr>
        <w:t xml:space="preserve"> net out the two (or more) obligations</w:t>
      </w:r>
      <w:r w:rsidR="0004609C" w:rsidRPr="00B92A16">
        <w:rPr>
          <w:rStyle w:val="FootnoteReference"/>
          <w:rFonts w:ascii="Arial" w:hAnsi="Arial" w:cs="Arial"/>
          <w:color w:val="808080" w:themeColor="background1" w:themeShade="80"/>
        </w:rPr>
        <w:footnoteReference w:id="1"/>
      </w:r>
      <w:r w:rsidR="005A5257" w:rsidRPr="00B92A16">
        <w:rPr>
          <w:rFonts w:ascii="Arial" w:hAnsi="Arial" w:cs="Arial"/>
          <w:color w:val="808080" w:themeColor="background1" w:themeShade="80"/>
        </w:rPr>
        <w:t>. Setoff will reduce the obligation to the estate by the full amount</w:t>
      </w:r>
      <w:r w:rsidR="00583613">
        <w:rPr>
          <w:rFonts w:ascii="Arial" w:hAnsi="Arial" w:cs="Arial"/>
          <w:color w:val="808080" w:themeColor="background1" w:themeShade="80"/>
        </w:rPr>
        <w:t xml:space="preserve"> which</w:t>
      </w:r>
      <w:r w:rsidR="005A5257" w:rsidRPr="00B92A16">
        <w:rPr>
          <w:rFonts w:ascii="Arial" w:hAnsi="Arial" w:cs="Arial"/>
          <w:color w:val="808080" w:themeColor="background1" w:themeShade="80"/>
        </w:rPr>
        <w:t xml:space="preserve"> </w:t>
      </w:r>
      <w:r w:rsidR="00D47F24">
        <w:rPr>
          <w:rFonts w:ascii="Arial" w:hAnsi="Arial" w:cs="Arial"/>
          <w:color w:val="808080" w:themeColor="background1" w:themeShade="80"/>
        </w:rPr>
        <w:t xml:space="preserve">is </w:t>
      </w:r>
      <w:r w:rsidR="005A5257" w:rsidRPr="00B92A16">
        <w:rPr>
          <w:rFonts w:ascii="Arial" w:hAnsi="Arial" w:cs="Arial"/>
          <w:color w:val="808080" w:themeColor="background1" w:themeShade="80"/>
        </w:rPr>
        <w:t xml:space="preserve">owed by the debtor and not </w:t>
      </w:r>
      <w:r w:rsidR="00583613">
        <w:rPr>
          <w:rFonts w:ascii="Arial" w:hAnsi="Arial" w:cs="Arial"/>
          <w:color w:val="808080" w:themeColor="background1" w:themeShade="80"/>
        </w:rPr>
        <w:t xml:space="preserve">by </w:t>
      </w:r>
      <w:r w:rsidR="005A5257" w:rsidRPr="00B92A16">
        <w:rPr>
          <w:rFonts w:ascii="Arial" w:hAnsi="Arial" w:cs="Arial"/>
          <w:color w:val="808080" w:themeColor="background1" w:themeShade="80"/>
        </w:rPr>
        <w:t>the lesser amount the debtor would have paid on the unsecured claim</w:t>
      </w:r>
      <w:r w:rsidR="0004609C" w:rsidRPr="00B92A16">
        <w:rPr>
          <w:rStyle w:val="FootnoteReference"/>
          <w:rFonts w:ascii="Arial" w:hAnsi="Arial" w:cs="Arial"/>
          <w:color w:val="808080" w:themeColor="background1" w:themeShade="80"/>
        </w:rPr>
        <w:footnoteReference w:id="2"/>
      </w:r>
      <w:r w:rsidR="005A5257" w:rsidRPr="00B92A16">
        <w:rPr>
          <w:rFonts w:ascii="Arial" w:hAnsi="Arial" w:cs="Arial"/>
          <w:color w:val="808080" w:themeColor="background1" w:themeShade="80"/>
        </w:rPr>
        <w:t>. Setoff reduces or even extinguishes the amount of the debtor's claim. Setoff is not permitted in many circumstances because setoff rights can improve a creditor's position vis-a-vis other unsecured creditors who are not owed any money by a debtor.</w:t>
      </w:r>
    </w:p>
    <w:p w14:paraId="2BC571A1" w14:textId="77777777" w:rsidR="005A5257" w:rsidRPr="00323167" w:rsidRDefault="005A5257"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299319CA" w14:textId="77777777" w:rsidR="0018534C" w:rsidRDefault="0018534C" w:rsidP="00622C36">
      <w:pPr>
        <w:pStyle w:val="AODocTxt"/>
        <w:spacing w:before="0" w:line="240" w:lineRule="auto"/>
        <w:rPr>
          <w:rFonts w:ascii="Avenir Next" w:hAnsi="Avenir Next"/>
        </w:rPr>
      </w:pPr>
    </w:p>
    <w:p w14:paraId="03593CD6" w14:textId="4D2B3039" w:rsidR="00660D16" w:rsidRPr="008562C6" w:rsidRDefault="00660D16" w:rsidP="001D3BAA">
      <w:pPr>
        <w:pStyle w:val="AODocTxt"/>
        <w:spacing w:before="0" w:line="240" w:lineRule="auto"/>
        <w:rPr>
          <w:rFonts w:ascii="Arial" w:hAnsi="Arial" w:cs="Arial"/>
          <w:color w:val="808080" w:themeColor="background1" w:themeShade="80"/>
        </w:rPr>
      </w:pPr>
      <w:r w:rsidRPr="00333017">
        <w:rPr>
          <w:rFonts w:ascii="Arial" w:hAnsi="Arial" w:cs="Arial"/>
          <w:color w:val="808080" w:themeColor="background1" w:themeShade="80"/>
        </w:rPr>
        <w:t>In the US, the estate pays on an ongoing basis for a debtor's post-petition business expenses and various other costs, including its lawyers and advisors</w:t>
      </w:r>
      <w:r w:rsidR="0004609C" w:rsidRPr="00333017">
        <w:rPr>
          <w:rStyle w:val="FootnoteReference"/>
          <w:rFonts w:ascii="Arial" w:hAnsi="Arial" w:cs="Arial"/>
          <w:color w:val="808080" w:themeColor="background1" w:themeShade="80"/>
        </w:rPr>
        <w:footnoteReference w:id="3"/>
      </w:r>
      <w:r w:rsidRPr="00333017">
        <w:rPr>
          <w:rFonts w:ascii="Arial" w:hAnsi="Arial" w:cs="Arial"/>
          <w:color w:val="808080" w:themeColor="background1" w:themeShade="80"/>
        </w:rPr>
        <w:t xml:space="preserve">. </w:t>
      </w:r>
      <w:proofErr w:type="gramStart"/>
      <w:r w:rsidRPr="00333017">
        <w:rPr>
          <w:rFonts w:ascii="Arial" w:hAnsi="Arial" w:cs="Arial"/>
          <w:color w:val="808080" w:themeColor="background1" w:themeShade="80"/>
        </w:rPr>
        <w:t>In order to</w:t>
      </w:r>
      <w:proofErr w:type="gramEnd"/>
      <w:r w:rsidRPr="00333017">
        <w:rPr>
          <w:rFonts w:ascii="Arial" w:hAnsi="Arial" w:cs="Arial"/>
          <w:color w:val="808080" w:themeColor="background1" w:themeShade="80"/>
        </w:rPr>
        <w:t xml:space="preserve"> try and </w:t>
      </w:r>
      <w:proofErr w:type="spellStart"/>
      <w:r w:rsidRPr="00333017">
        <w:rPr>
          <w:rFonts w:ascii="Arial" w:hAnsi="Arial" w:cs="Arial"/>
          <w:color w:val="808080" w:themeColor="background1" w:themeShade="80"/>
        </w:rPr>
        <w:t>maximise</w:t>
      </w:r>
      <w:proofErr w:type="spellEnd"/>
      <w:r w:rsidRPr="00333017">
        <w:rPr>
          <w:rFonts w:ascii="Arial" w:hAnsi="Arial" w:cs="Arial"/>
          <w:color w:val="808080" w:themeColor="background1" w:themeShade="80"/>
        </w:rPr>
        <w:t xml:space="preserve"> the chances of </w:t>
      </w:r>
      <w:r w:rsidR="00333017">
        <w:rPr>
          <w:rFonts w:ascii="Arial" w:hAnsi="Arial" w:cs="Arial"/>
          <w:color w:val="808080" w:themeColor="background1" w:themeShade="80"/>
        </w:rPr>
        <w:t xml:space="preserve">a </w:t>
      </w:r>
      <w:r w:rsidRPr="00333017">
        <w:rPr>
          <w:rFonts w:ascii="Arial" w:hAnsi="Arial" w:cs="Arial"/>
          <w:color w:val="808080" w:themeColor="background1" w:themeShade="80"/>
        </w:rPr>
        <w:t>successful </w:t>
      </w:r>
      <w:proofErr w:type="spellStart"/>
      <w:r w:rsidRPr="00333017">
        <w:rPr>
          <w:rFonts w:ascii="Arial" w:hAnsi="Arial" w:cs="Arial"/>
          <w:color w:val="808080" w:themeColor="background1" w:themeShade="80"/>
        </w:rPr>
        <w:t>reorg</w:t>
      </w:r>
      <w:r w:rsidR="00583613" w:rsidRPr="00333017">
        <w:rPr>
          <w:rFonts w:ascii="Arial" w:hAnsi="Arial" w:cs="Arial"/>
          <w:color w:val="808080" w:themeColor="background1" w:themeShade="80"/>
        </w:rPr>
        <w:t>a</w:t>
      </w:r>
      <w:r w:rsidRPr="00333017">
        <w:rPr>
          <w:rFonts w:ascii="Arial" w:hAnsi="Arial" w:cs="Arial"/>
          <w:color w:val="808080" w:themeColor="background1" w:themeShade="80"/>
        </w:rPr>
        <w:t>nisation</w:t>
      </w:r>
      <w:proofErr w:type="spellEnd"/>
      <w:r w:rsidRPr="00333017">
        <w:rPr>
          <w:rFonts w:ascii="Arial" w:hAnsi="Arial" w:cs="Arial"/>
          <w:color w:val="808080" w:themeColor="background1" w:themeShade="80"/>
        </w:rPr>
        <w:t>, the Bankruptcy Code provides lenders and counterparties</w:t>
      </w:r>
      <w:r w:rsidR="00333017">
        <w:rPr>
          <w:rFonts w:ascii="Arial" w:hAnsi="Arial" w:cs="Arial"/>
          <w:color w:val="808080" w:themeColor="background1" w:themeShade="80"/>
        </w:rPr>
        <w:t xml:space="preserve"> in the </w:t>
      </w:r>
      <w:proofErr w:type="gramStart"/>
      <w:r w:rsidR="00333017">
        <w:rPr>
          <w:rFonts w:ascii="Arial" w:hAnsi="Arial" w:cs="Arial"/>
          <w:color w:val="808080" w:themeColor="background1" w:themeShade="80"/>
        </w:rPr>
        <w:t>US</w:t>
      </w:r>
      <w:proofErr w:type="gramEnd"/>
      <w:r w:rsidRPr="00333017">
        <w:rPr>
          <w:rFonts w:ascii="Arial" w:hAnsi="Arial" w:cs="Arial"/>
          <w:color w:val="808080" w:themeColor="background1" w:themeShade="80"/>
        </w:rPr>
        <w:t xml:space="preserve"> incentives to extend credit to a debtor. This is known as debtor in possession (DIP) financing</w:t>
      </w:r>
      <w:r w:rsidR="0004609C" w:rsidRPr="00333017">
        <w:rPr>
          <w:rStyle w:val="FootnoteReference"/>
          <w:rFonts w:ascii="Arial" w:hAnsi="Arial" w:cs="Arial"/>
          <w:color w:val="808080" w:themeColor="background1" w:themeShade="80"/>
        </w:rPr>
        <w:footnoteReference w:id="4"/>
      </w:r>
      <w:r w:rsidRPr="00333017">
        <w:rPr>
          <w:rFonts w:ascii="Arial" w:hAnsi="Arial" w:cs="Arial"/>
          <w:color w:val="808080" w:themeColor="background1" w:themeShade="80"/>
        </w:rPr>
        <w:t xml:space="preserve">. There are several ways </w:t>
      </w:r>
      <w:r w:rsidR="00333017">
        <w:rPr>
          <w:rFonts w:ascii="Arial" w:hAnsi="Arial" w:cs="Arial"/>
          <w:color w:val="808080" w:themeColor="background1" w:themeShade="80"/>
        </w:rPr>
        <w:t xml:space="preserve">in which </w:t>
      </w:r>
      <w:r w:rsidRPr="00333017">
        <w:rPr>
          <w:rFonts w:ascii="Arial" w:hAnsi="Arial" w:cs="Arial"/>
          <w:color w:val="808080" w:themeColor="background1" w:themeShade="80"/>
        </w:rPr>
        <w:t>the estate may obtain credit</w:t>
      </w:r>
      <w:r w:rsidR="00900B2A">
        <w:rPr>
          <w:rFonts w:ascii="Arial" w:hAnsi="Arial" w:cs="Arial"/>
          <w:color w:val="808080" w:themeColor="background1" w:themeShade="80"/>
        </w:rPr>
        <w:t>,</w:t>
      </w:r>
      <w:r w:rsidRPr="00333017">
        <w:rPr>
          <w:rFonts w:ascii="Arial" w:hAnsi="Arial" w:cs="Arial"/>
          <w:color w:val="808080" w:themeColor="background1" w:themeShade="80"/>
        </w:rPr>
        <w:t xml:space="preserve"> especially if the estate has substantial unencumbered assets. If financing cannot be obtaine</w:t>
      </w:r>
      <w:r w:rsidR="006D1FAA">
        <w:rPr>
          <w:rFonts w:ascii="Arial" w:hAnsi="Arial" w:cs="Arial"/>
          <w:color w:val="808080" w:themeColor="background1" w:themeShade="80"/>
        </w:rPr>
        <w:t>d</w:t>
      </w:r>
      <w:r w:rsidRPr="00333017">
        <w:rPr>
          <w:rFonts w:ascii="Arial" w:hAnsi="Arial" w:cs="Arial"/>
          <w:color w:val="808080" w:themeColor="background1" w:themeShade="80"/>
        </w:rPr>
        <w:t xml:space="preserve">, the court may grant a "priming </w:t>
      </w:r>
      <w:proofErr w:type="gramStart"/>
      <w:r w:rsidRPr="00333017">
        <w:rPr>
          <w:rFonts w:ascii="Arial" w:hAnsi="Arial" w:cs="Arial"/>
          <w:color w:val="808080" w:themeColor="background1" w:themeShade="80"/>
        </w:rPr>
        <w:t>lien</w:t>
      </w:r>
      <w:proofErr w:type="gramEnd"/>
      <w:r w:rsidRPr="00333017">
        <w:rPr>
          <w:rFonts w:ascii="Arial" w:hAnsi="Arial" w:cs="Arial"/>
          <w:color w:val="808080" w:themeColor="background1" w:themeShade="80"/>
        </w:rPr>
        <w:t>". This is a lien which is "</w:t>
      </w:r>
      <w:r w:rsidRPr="00333017">
        <w:rPr>
          <w:rFonts w:ascii="Arial" w:hAnsi="Arial" w:cs="Arial"/>
          <w:i/>
          <w:iCs/>
          <w:color w:val="808080" w:themeColor="background1" w:themeShade="80"/>
        </w:rPr>
        <w:t>senior or equal to a pre-petition lien on estate property to secure post-petition financing</w:t>
      </w:r>
      <w:r w:rsidRPr="00333017">
        <w:rPr>
          <w:rFonts w:ascii="Arial" w:hAnsi="Arial" w:cs="Arial"/>
          <w:color w:val="808080" w:themeColor="background1" w:themeShade="80"/>
        </w:rPr>
        <w:t>."</w:t>
      </w:r>
      <w:r w:rsidR="00C35FCF" w:rsidRPr="00333017">
        <w:rPr>
          <w:rStyle w:val="FootnoteReference"/>
          <w:rFonts w:ascii="Arial" w:hAnsi="Arial" w:cs="Arial"/>
          <w:color w:val="808080" w:themeColor="background1" w:themeShade="80"/>
        </w:rPr>
        <w:footnoteReference w:id="5"/>
      </w:r>
      <w:r w:rsidRPr="00333017">
        <w:rPr>
          <w:rFonts w:ascii="Arial" w:hAnsi="Arial" w:cs="Arial"/>
          <w:color w:val="808080" w:themeColor="background1" w:themeShade="80"/>
        </w:rPr>
        <w:t xml:space="preserve">. </w:t>
      </w:r>
      <w:r w:rsidR="001A5E46">
        <w:rPr>
          <w:rFonts w:ascii="Arial" w:hAnsi="Arial" w:cs="Arial"/>
          <w:color w:val="808080" w:themeColor="background1" w:themeShade="80"/>
        </w:rPr>
        <w:t>It should be noted that a</w:t>
      </w:r>
      <w:r w:rsidRPr="00333017">
        <w:rPr>
          <w:rFonts w:ascii="Arial" w:hAnsi="Arial" w:cs="Arial"/>
          <w:color w:val="808080" w:themeColor="background1" w:themeShade="80"/>
        </w:rPr>
        <w:t xml:space="preserve"> priming lien "</w:t>
      </w:r>
      <w:r w:rsidRPr="00333017">
        <w:rPr>
          <w:rFonts w:ascii="Arial" w:hAnsi="Arial" w:cs="Arial"/>
          <w:i/>
          <w:iCs/>
          <w:color w:val="808080" w:themeColor="background1" w:themeShade="80"/>
        </w:rPr>
        <w:t xml:space="preserve">is only available as a last resort when the debtor is unable to obtain any other type of </w:t>
      </w:r>
      <w:r w:rsidRPr="00333017">
        <w:rPr>
          <w:rFonts w:ascii="Arial" w:hAnsi="Arial" w:cs="Arial"/>
          <w:i/>
          <w:iCs/>
          <w:color w:val="808080" w:themeColor="background1" w:themeShade="80"/>
        </w:rPr>
        <w:lastRenderedPageBreak/>
        <w:t>financing</w:t>
      </w:r>
      <w:r w:rsidRPr="00333017">
        <w:rPr>
          <w:rFonts w:ascii="Arial" w:hAnsi="Arial" w:cs="Arial"/>
          <w:color w:val="808080" w:themeColor="background1" w:themeShade="80"/>
        </w:rPr>
        <w:t>"</w:t>
      </w:r>
      <w:r w:rsidR="0018534C" w:rsidRPr="00333017">
        <w:rPr>
          <w:rStyle w:val="FootnoteReference"/>
          <w:rFonts w:ascii="Arial" w:hAnsi="Arial" w:cs="Arial"/>
          <w:color w:val="808080" w:themeColor="background1" w:themeShade="80"/>
        </w:rPr>
        <w:footnoteReference w:id="6"/>
      </w:r>
      <w:r w:rsidRPr="00333017">
        <w:rPr>
          <w:rFonts w:ascii="Arial" w:hAnsi="Arial" w:cs="Arial"/>
          <w:color w:val="808080" w:themeColor="background1" w:themeShade="80"/>
        </w:rPr>
        <w:t xml:space="preserve">. </w:t>
      </w:r>
      <w:r w:rsidR="006D1FAA">
        <w:rPr>
          <w:rFonts w:ascii="Arial" w:hAnsi="Arial" w:cs="Arial"/>
          <w:color w:val="808080" w:themeColor="background1" w:themeShade="80"/>
        </w:rPr>
        <w:t>It is a requirement for the debtor to demonstrate that the interests of the secured creditor who is being primed are adequately protected.</w:t>
      </w:r>
      <w:r w:rsidR="006D1FAA">
        <w:rPr>
          <w:rStyle w:val="FootnoteReference"/>
          <w:rFonts w:ascii="Arial" w:hAnsi="Arial" w:cs="Arial"/>
          <w:color w:val="808080" w:themeColor="background1" w:themeShade="80"/>
        </w:rPr>
        <w:footnoteReference w:id="7"/>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00F4D9" w14:textId="77777777" w:rsidR="008562C6" w:rsidRDefault="008562C6" w:rsidP="008562C6">
      <w:pPr>
        <w:pStyle w:val="AODocTxt"/>
        <w:spacing w:before="0" w:line="240" w:lineRule="auto"/>
        <w:rPr>
          <w:rFonts w:ascii="Avenir Next" w:hAnsi="Avenir Next"/>
          <w:color w:val="808080" w:themeColor="background1" w:themeShade="80"/>
        </w:rPr>
      </w:pPr>
    </w:p>
    <w:p w14:paraId="23496C5D" w14:textId="6E3E96D7" w:rsidR="008562C6" w:rsidRPr="00936883" w:rsidRDefault="00840D08" w:rsidP="008562C6">
      <w:pPr>
        <w:pStyle w:val="AODocTxt"/>
        <w:spacing w:before="0" w:line="240" w:lineRule="auto"/>
        <w:rPr>
          <w:rFonts w:ascii="Arial" w:hAnsi="Arial" w:cs="Arial"/>
          <w:color w:val="808080" w:themeColor="background1" w:themeShade="80"/>
        </w:rPr>
      </w:pPr>
      <w:r w:rsidRPr="00936883">
        <w:rPr>
          <w:rFonts w:ascii="Arial" w:hAnsi="Arial" w:cs="Arial"/>
          <w:color w:val="808080" w:themeColor="background1" w:themeShade="80"/>
        </w:rPr>
        <w:t>The automatic stay is effective immediately on the filing of any plenary petition.</w:t>
      </w:r>
      <w:r w:rsidRPr="00936883">
        <w:rPr>
          <w:rStyle w:val="FootnoteReference"/>
          <w:rFonts w:ascii="Arial" w:hAnsi="Arial" w:cs="Arial"/>
          <w:color w:val="808080" w:themeColor="background1" w:themeShade="80"/>
        </w:rPr>
        <w:footnoteReference w:id="8"/>
      </w:r>
      <w:r w:rsidRPr="00936883">
        <w:rPr>
          <w:rFonts w:ascii="Arial" w:hAnsi="Arial" w:cs="Arial"/>
          <w:color w:val="808080" w:themeColor="background1" w:themeShade="80"/>
        </w:rPr>
        <w:t xml:space="preserve"> The automatic stay puts all creditors on an even footing and prevents multiple claims being issued that would otherwise</w:t>
      </w:r>
      <w:r w:rsidR="00C648A8" w:rsidRPr="00936883">
        <w:rPr>
          <w:rFonts w:ascii="Arial" w:hAnsi="Arial" w:cs="Arial"/>
          <w:color w:val="808080" w:themeColor="background1" w:themeShade="80"/>
        </w:rPr>
        <w:t xml:space="preserve"> occur in </w:t>
      </w:r>
      <w:r w:rsidRPr="00936883">
        <w:rPr>
          <w:rFonts w:ascii="Arial" w:hAnsi="Arial" w:cs="Arial"/>
          <w:color w:val="808080" w:themeColor="background1" w:themeShade="80"/>
        </w:rPr>
        <w:t>the absence of</w:t>
      </w:r>
      <w:r w:rsidR="00AC4FCA" w:rsidRPr="00936883">
        <w:rPr>
          <w:rFonts w:ascii="Arial" w:hAnsi="Arial" w:cs="Arial"/>
          <w:color w:val="808080" w:themeColor="background1" w:themeShade="80"/>
        </w:rPr>
        <w:t xml:space="preserve"> any</w:t>
      </w:r>
      <w:r w:rsidRPr="00936883">
        <w:rPr>
          <w:rFonts w:ascii="Arial" w:hAnsi="Arial" w:cs="Arial"/>
          <w:color w:val="808080" w:themeColor="background1" w:themeShade="80"/>
        </w:rPr>
        <w:t xml:space="preserve"> bankruptcy </w:t>
      </w:r>
      <w:r w:rsidR="00C648A8" w:rsidRPr="00936883">
        <w:rPr>
          <w:rFonts w:ascii="Arial" w:hAnsi="Arial" w:cs="Arial"/>
          <w:color w:val="808080" w:themeColor="background1" w:themeShade="80"/>
        </w:rPr>
        <w:t xml:space="preserve">rules. The automatic stay protects </w:t>
      </w:r>
      <w:r w:rsidR="00AC4FCA" w:rsidRPr="00936883">
        <w:rPr>
          <w:rFonts w:ascii="Arial" w:hAnsi="Arial" w:cs="Arial"/>
          <w:color w:val="808080" w:themeColor="background1" w:themeShade="80"/>
        </w:rPr>
        <w:t xml:space="preserve">the </w:t>
      </w:r>
      <w:r w:rsidR="00C648A8" w:rsidRPr="00936883">
        <w:rPr>
          <w:rFonts w:ascii="Arial" w:hAnsi="Arial" w:cs="Arial"/>
          <w:color w:val="808080" w:themeColor="background1" w:themeShade="80"/>
        </w:rPr>
        <w:t>debtor by providing them with “breathing space”</w:t>
      </w:r>
      <w:r w:rsidR="00C648A8" w:rsidRPr="00936883">
        <w:rPr>
          <w:rStyle w:val="FootnoteReference"/>
          <w:rFonts w:ascii="Arial" w:hAnsi="Arial" w:cs="Arial"/>
          <w:color w:val="808080" w:themeColor="background1" w:themeShade="80"/>
        </w:rPr>
        <w:footnoteReference w:id="9"/>
      </w:r>
      <w:r w:rsidR="00C648A8" w:rsidRPr="00936883">
        <w:rPr>
          <w:rFonts w:ascii="Arial" w:hAnsi="Arial" w:cs="Arial"/>
          <w:color w:val="808080" w:themeColor="background1" w:themeShade="80"/>
        </w:rPr>
        <w:t xml:space="preserve"> from creditors, as well as protects creditors from each other.</w:t>
      </w:r>
      <w:r w:rsidR="00C648A8" w:rsidRPr="00936883">
        <w:rPr>
          <w:rStyle w:val="FootnoteReference"/>
          <w:rFonts w:ascii="Arial" w:hAnsi="Arial" w:cs="Arial"/>
          <w:color w:val="808080" w:themeColor="background1" w:themeShade="80"/>
        </w:rPr>
        <w:footnoteReference w:id="10"/>
      </w:r>
      <w:r w:rsidR="00470616" w:rsidRPr="00936883">
        <w:rPr>
          <w:rFonts w:ascii="Arial" w:hAnsi="Arial" w:cs="Arial"/>
          <w:color w:val="808080" w:themeColor="background1" w:themeShade="80"/>
        </w:rPr>
        <w:t xml:space="preserve"> There are consequences of a violation of the automatic stay. </w:t>
      </w:r>
      <w:r w:rsidR="00745FED" w:rsidRPr="00936883">
        <w:rPr>
          <w:rFonts w:ascii="Arial" w:hAnsi="Arial" w:cs="Arial"/>
          <w:color w:val="808080" w:themeColor="background1" w:themeShade="80"/>
        </w:rPr>
        <w:t>Two potential consequences of a violation of the automatic stay are:</w:t>
      </w:r>
    </w:p>
    <w:p w14:paraId="3C59F246" w14:textId="5CDFA870" w:rsidR="008B48C5" w:rsidRPr="00936883" w:rsidRDefault="00D22871">
      <w:pPr>
        <w:pStyle w:val="AODocTxt"/>
        <w:numPr>
          <w:ilvl w:val="0"/>
          <w:numId w:val="7"/>
        </w:numPr>
        <w:spacing w:before="0" w:line="240" w:lineRule="auto"/>
        <w:rPr>
          <w:rFonts w:ascii="Arial" w:hAnsi="Arial" w:cs="Arial"/>
          <w:color w:val="808080" w:themeColor="background1" w:themeShade="80"/>
        </w:rPr>
      </w:pPr>
      <w:r w:rsidRPr="00936883">
        <w:rPr>
          <w:rFonts w:ascii="Arial" w:hAnsi="Arial" w:cs="Arial"/>
          <w:color w:val="808080" w:themeColor="background1" w:themeShade="80"/>
        </w:rPr>
        <w:t xml:space="preserve">Debtor action against violator of automatic stay – </w:t>
      </w:r>
      <w:r w:rsidR="008B48C5" w:rsidRPr="00936883">
        <w:rPr>
          <w:rFonts w:ascii="Arial" w:hAnsi="Arial" w:cs="Arial"/>
          <w:color w:val="808080" w:themeColor="background1" w:themeShade="80"/>
        </w:rPr>
        <w:t xml:space="preserve">if a creditor were to willfully violate the automatic stay and such a violation injures the debtor, the debtor may be permitted to recover legal fees incurred </w:t>
      </w:r>
      <w:r w:rsidR="00037B05" w:rsidRPr="00936883">
        <w:rPr>
          <w:rFonts w:ascii="Arial" w:hAnsi="Arial" w:cs="Arial"/>
          <w:color w:val="808080" w:themeColor="background1" w:themeShade="80"/>
        </w:rPr>
        <w:t>in stopping the violation of the automatic stay and litigating a claim for damages for such violation</w:t>
      </w:r>
      <w:r w:rsidR="00037B05" w:rsidRPr="00936883">
        <w:rPr>
          <w:rStyle w:val="FootnoteReference"/>
          <w:rFonts w:ascii="Arial" w:hAnsi="Arial" w:cs="Arial"/>
          <w:color w:val="808080" w:themeColor="background1" w:themeShade="80"/>
        </w:rPr>
        <w:footnoteReference w:id="11"/>
      </w:r>
      <w:r w:rsidR="00936883">
        <w:rPr>
          <w:rFonts w:ascii="Arial" w:hAnsi="Arial" w:cs="Arial"/>
          <w:color w:val="808080" w:themeColor="background1" w:themeShade="80"/>
        </w:rPr>
        <w:t>; and</w:t>
      </w:r>
    </w:p>
    <w:p w14:paraId="5A96F1B5" w14:textId="450567B1" w:rsidR="00745FED" w:rsidRPr="00936883" w:rsidRDefault="00745FED">
      <w:pPr>
        <w:pStyle w:val="AODocTxt"/>
        <w:numPr>
          <w:ilvl w:val="0"/>
          <w:numId w:val="7"/>
        </w:numPr>
        <w:spacing w:before="0" w:line="240" w:lineRule="auto"/>
        <w:rPr>
          <w:rFonts w:ascii="Arial" w:hAnsi="Arial" w:cs="Arial"/>
          <w:color w:val="808080" w:themeColor="background1" w:themeShade="80"/>
        </w:rPr>
      </w:pPr>
      <w:r w:rsidRPr="00936883">
        <w:rPr>
          <w:rFonts w:ascii="Arial" w:hAnsi="Arial" w:cs="Arial"/>
          <w:color w:val="808080" w:themeColor="background1" w:themeShade="80"/>
        </w:rPr>
        <w:t xml:space="preserve">Contempt of court - an act </w:t>
      </w:r>
      <w:r w:rsidR="00936883">
        <w:rPr>
          <w:rFonts w:ascii="Arial" w:hAnsi="Arial" w:cs="Arial"/>
          <w:color w:val="808080" w:themeColor="background1" w:themeShade="80"/>
        </w:rPr>
        <w:t>which is taken that violates</w:t>
      </w:r>
      <w:r w:rsidRPr="00936883">
        <w:rPr>
          <w:rFonts w:ascii="Arial" w:hAnsi="Arial" w:cs="Arial"/>
          <w:color w:val="808080" w:themeColor="background1" w:themeShade="80"/>
        </w:rPr>
        <w:t xml:space="preserve"> the automatic stay, even when taken with</w:t>
      </w:r>
      <w:r w:rsidR="00936883">
        <w:rPr>
          <w:rFonts w:ascii="Arial" w:hAnsi="Arial" w:cs="Arial"/>
          <w:color w:val="808080" w:themeColor="background1" w:themeShade="80"/>
        </w:rPr>
        <w:t>out any</w:t>
      </w:r>
      <w:r w:rsidRPr="00936883">
        <w:rPr>
          <w:rFonts w:ascii="Arial" w:hAnsi="Arial" w:cs="Arial"/>
          <w:color w:val="808080" w:themeColor="background1" w:themeShade="80"/>
        </w:rPr>
        <w:t xml:space="preserve"> notice of the petition being filed, will constitute contempt of court and is void or voidable (this is dependent on the circuit where the bankruptcy is pending)</w:t>
      </w:r>
      <w:r w:rsidR="00377E1A" w:rsidRPr="00936883">
        <w:rPr>
          <w:rStyle w:val="FootnoteReference"/>
          <w:rFonts w:ascii="Arial" w:hAnsi="Arial" w:cs="Arial"/>
          <w:color w:val="808080" w:themeColor="background1" w:themeShade="80"/>
        </w:rPr>
        <w:footnoteReference w:id="12"/>
      </w:r>
      <w:r w:rsidRPr="00936883">
        <w:rPr>
          <w:rFonts w:ascii="Arial" w:hAnsi="Arial" w:cs="Arial"/>
          <w:color w:val="808080" w:themeColor="background1" w:themeShade="80"/>
        </w:rPr>
        <w:t>. It should be noted that parties in interest may apply "</w:t>
      </w:r>
      <w:r w:rsidRPr="00936883">
        <w:rPr>
          <w:rFonts w:ascii="Arial" w:hAnsi="Arial" w:cs="Arial"/>
          <w:i/>
          <w:iCs/>
          <w:color w:val="808080" w:themeColor="background1" w:themeShade="80"/>
        </w:rPr>
        <w:t>to lift the stay prospectively to permit or retroactively to validate an act that would otherwise be a stay violation</w:t>
      </w:r>
      <w:r w:rsidRPr="00936883">
        <w:rPr>
          <w:rFonts w:ascii="Arial" w:hAnsi="Arial" w:cs="Arial"/>
          <w:color w:val="808080" w:themeColor="background1" w:themeShade="80"/>
        </w:rPr>
        <w:t>"</w:t>
      </w:r>
      <w:r w:rsidR="00377E1A" w:rsidRPr="00936883">
        <w:rPr>
          <w:rStyle w:val="FootnoteReference"/>
          <w:rFonts w:ascii="Arial" w:hAnsi="Arial" w:cs="Arial"/>
          <w:color w:val="808080" w:themeColor="background1" w:themeShade="80"/>
        </w:rPr>
        <w:footnoteReference w:id="13"/>
      </w:r>
      <w:r w:rsidR="00D22871" w:rsidRPr="00936883">
        <w:rPr>
          <w:rFonts w:ascii="Arial" w:hAnsi="Arial" w:cs="Arial"/>
          <w:color w:val="808080" w:themeColor="background1" w:themeShade="80"/>
        </w:rPr>
        <w:t>.</w:t>
      </w:r>
    </w:p>
    <w:p w14:paraId="1B8EBCB1" w14:textId="77777777" w:rsidR="00605870" w:rsidRPr="00622C36" w:rsidRDefault="00605870"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1BF3FD27" w14:textId="77777777" w:rsidR="00F45E9E" w:rsidRPr="00D07A82" w:rsidRDefault="00F45E9E" w:rsidP="00900869">
      <w:pPr>
        <w:pStyle w:val="AODocTxt"/>
        <w:spacing w:before="0" w:line="240" w:lineRule="auto"/>
        <w:rPr>
          <w:rFonts w:ascii="Arial" w:hAnsi="Arial" w:cs="Arial"/>
          <w:color w:val="808080" w:themeColor="background1" w:themeShade="80"/>
        </w:rPr>
      </w:pPr>
    </w:p>
    <w:p w14:paraId="48A62E7B" w14:textId="15DD6367" w:rsidR="00B0719E" w:rsidRPr="00DA3146" w:rsidRDefault="00551CC5" w:rsidP="00900869">
      <w:pPr>
        <w:pStyle w:val="AODocTxt"/>
        <w:spacing w:before="0" w:line="240" w:lineRule="auto"/>
        <w:rPr>
          <w:rFonts w:ascii="Arial" w:hAnsi="Arial" w:cs="Arial"/>
          <w:color w:val="808080" w:themeColor="background1" w:themeShade="80"/>
        </w:rPr>
      </w:pPr>
      <w:r w:rsidRPr="00DA3146">
        <w:rPr>
          <w:rFonts w:ascii="Arial" w:hAnsi="Arial" w:cs="Arial"/>
          <w:color w:val="808080" w:themeColor="background1" w:themeShade="80"/>
        </w:rPr>
        <w:t xml:space="preserve">Classes of claims or interests held by creditors are the basis of voting on a plan of </w:t>
      </w:r>
      <w:proofErr w:type="spellStart"/>
      <w:r w:rsidRPr="00DA3146">
        <w:rPr>
          <w:rFonts w:ascii="Arial" w:hAnsi="Arial" w:cs="Arial"/>
          <w:color w:val="808080" w:themeColor="background1" w:themeShade="80"/>
        </w:rPr>
        <w:t>reorganisation</w:t>
      </w:r>
      <w:proofErr w:type="spellEnd"/>
      <w:r w:rsidR="00B0719E" w:rsidRPr="00DA3146">
        <w:rPr>
          <w:rStyle w:val="FootnoteReference"/>
          <w:rFonts w:ascii="Arial" w:hAnsi="Arial" w:cs="Arial"/>
          <w:color w:val="808080" w:themeColor="background1" w:themeShade="80"/>
        </w:rPr>
        <w:footnoteReference w:id="14"/>
      </w:r>
      <w:r w:rsidRPr="00DA3146">
        <w:rPr>
          <w:rFonts w:ascii="Arial" w:hAnsi="Arial" w:cs="Arial"/>
          <w:color w:val="808080" w:themeColor="background1" w:themeShade="80"/>
        </w:rPr>
        <w:t>. Classes are either impaired or unimpaired. Section 1124 of</w:t>
      </w:r>
      <w:r w:rsidR="006B5BD8" w:rsidRPr="00DA3146">
        <w:rPr>
          <w:rFonts w:ascii="Arial" w:hAnsi="Arial" w:cs="Arial"/>
          <w:color w:val="808080" w:themeColor="background1" w:themeShade="80"/>
        </w:rPr>
        <w:t xml:space="preserve"> </w:t>
      </w:r>
      <w:r w:rsidR="00B0719E" w:rsidRPr="00DA3146">
        <w:rPr>
          <w:rFonts w:ascii="Arial" w:hAnsi="Arial" w:cs="Arial"/>
          <w:color w:val="808080" w:themeColor="background1" w:themeShade="80"/>
        </w:rPr>
        <w:t>Title 11 of the United States Code</w:t>
      </w:r>
      <w:r w:rsidR="006B5BD8" w:rsidRPr="00DA3146">
        <w:rPr>
          <w:rFonts w:ascii="Arial" w:hAnsi="Arial" w:cs="Arial"/>
          <w:color w:val="808080" w:themeColor="background1" w:themeShade="80"/>
        </w:rPr>
        <w:t xml:space="preserve"> </w:t>
      </w:r>
      <w:r w:rsidRPr="00DA3146">
        <w:rPr>
          <w:rFonts w:ascii="Arial" w:hAnsi="Arial" w:cs="Arial"/>
          <w:color w:val="808080" w:themeColor="background1" w:themeShade="80"/>
        </w:rPr>
        <w:t xml:space="preserve">provides that a class of creditors is impaired under a plan </w:t>
      </w:r>
      <w:r w:rsidRPr="00DA3146">
        <w:rPr>
          <w:rFonts w:ascii="Arial" w:hAnsi="Arial" w:cs="Arial"/>
          <w:color w:val="808080" w:themeColor="background1" w:themeShade="80"/>
          <w:u w:val="single"/>
        </w:rPr>
        <w:t>unless</w:t>
      </w:r>
      <w:r w:rsidRPr="00DA3146">
        <w:rPr>
          <w:rFonts w:ascii="Arial" w:hAnsi="Arial" w:cs="Arial"/>
          <w:color w:val="808080" w:themeColor="background1" w:themeShade="80"/>
        </w:rPr>
        <w:t xml:space="preserve"> the plan "</w:t>
      </w:r>
      <w:r w:rsidRPr="00DA3146">
        <w:rPr>
          <w:rFonts w:ascii="Arial" w:hAnsi="Arial" w:cs="Arial"/>
          <w:i/>
          <w:iCs/>
          <w:color w:val="808080" w:themeColor="background1" w:themeShade="80"/>
        </w:rPr>
        <w:t>leaves unaltered the legal, equitable, and contractual rights</w:t>
      </w:r>
      <w:r w:rsidRPr="00DA3146">
        <w:rPr>
          <w:rFonts w:ascii="Arial" w:hAnsi="Arial" w:cs="Arial"/>
          <w:color w:val="808080" w:themeColor="background1" w:themeShade="80"/>
        </w:rPr>
        <w:t>"</w:t>
      </w:r>
      <w:r w:rsidR="00B0719E" w:rsidRPr="00DA3146">
        <w:rPr>
          <w:rStyle w:val="FootnoteReference"/>
          <w:rFonts w:ascii="Arial" w:hAnsi="Arial" w:cs="Arial"/>
          <w:color w:val="808080" w:themeColor="background1" w:themeShade="80"/>
        </w:rPr>
        <w:footnoteReference w:id="15"/>
      </w:r>
      <w:r w:rsidRPr="00DA3146">
        <w:rPr>
          <w:rFonts w:ascii="Arial" w:hAnsi="Arial" w:cs="Arial"/>
          <w:color w:val="808080" w:themeColor="background1" w:themeShade="80"/>
        </w:rPr>
        <w:t xml:space="preserve"> to which each creditor in the class is entitled </w:t>
      </w:r>
      <w:r w:rsidRPr="00DA3146">
        <w:rPr>
          <w:rFonts w:ascii="Arial" w:hAnsi="Arial" w:cs="Arial"/>
          <w:color w:val="808080" w:themeColor="background1" w:themeShade="80"/>
          <w:u w:val="single"/>
        </w:rPr>
        <w:t>or</w:t>
      </w:r>
      <w:r w:rsidRPr="00DA3146">
        <w:rPr>
          <w:rFonts w:ascii="Arial" w:hAnsi="Arial" w:cs="Arial"/>
          <w:color w:val="808080" w:themeColor="background1" w:themeShade="80"/>
        </w:rPr>
        <w:t xml:space="preserve"> cures any default that occurred (with limited exceptions)</w:t>
      </w:r>
      <w:r w:rsidR="00B0719E" w:rsidRPr="00DA3146">
        <w:rPr>
          <w:rStyle w:val="FootnoteReference"/>
          <w:rFonts w:ascii="Arial" w:hAnsi="Arial" w:cs="Arial"/>
          <w:color w:val="808080" w:themeColor="background1" w:themeShade="80"/>
        </w:rPr>
        <w:footnoteReference w:id="16"/>
      </w:r>
      <w:r w:rsidRPr="00DA3146">
        <w:rPr>
          <w:rFonts w:ascii="Arial" w:hAnsi="Arial" w:cs="Arial"/>
          <w:color w:val="808080" w:themeColor="background1" w:themeShade="80"/>
        </w:rPr>
        <w:t>, "</w:t>
      </w:r>
      <w:r w:rsidRPr="00DA3146">
        <w:rPr>
          <w:rFonts w:ascii="Arial" w:hAnsi="Arial" w:cs="Arial"/>
          <w:i/>
          <w:iCs/>
          <w:color w:val="808080" w:themeColor="background1" w:themeShade="80"/>
        </w:rPr>
        <w:t>reinstates the maturity of such claim or interest</w:t>
      </w:r>
      <w:r w:rsidRPr="00DA3146">
        <w:rPr>
          <w:rFonts w:ascii="Arial" w:hAnsi="Arial" w:cs="Arial"/>
          <w:color w:val="808080" w:themeColor="background1" w:themeShade="80"/>
        </w:rPr>
        <w:t>"</w:t>
      </w:r>
      <w:r w:rsidR="00B0719E" w:rsidRPr="00DA3146">
        <w:rPr>
          <w:rStyle w:val="FootnoteReference"/>
          <w:rFonts w:ascii="Arial" w:hAnsi="Arial" w:cs="Arial"/>
          <w:color w:val="808080" w:themeColor="background1" w:themeShade="80"/>
        </w:rPr>
        <w:footnoteReference w:id="17"/>
      </w:r>
      <w:r w:rsidRPr="00DA3146">
        <w:rPr>
          <w:rFonts w:ascii="Arial" w:hAnsi="Arial" w:cs="Arial"/>
          <w:color w:val="808080" w:themeColor="background1" w:themeShade="80"/>
        </w:rPr>
        <w:t xml:space="preserve"> and compensates each creditor in the class for resulting losses</w:t>
      </w:r>
      <w:r w:rsidR="00B0719E" w:rsidRPr="00DA3146">
        <w:rPr>
          <w:rStyle w:val="FootnoteReference"/>
          <w:rFonts w:ascii="Arial" w:hAnsi="Arial" w:cs="Arial"/>
          <w:color w:val="808080" w:themeColor="background1" w:themeShade="80"/>
        </w:rPr>
        <w:footnoteReference w:id="18"/>
      </w:r>
      <w:r w:rsidR="00B0719E" w:rsidRPr="00DA3146">
        <w:rPr>
          <w:rFonts w:ascii="Arial" w:hAnsi="Arial" w:cs="Arial"/>
          <w:color w:val="808080" w:themeColor="background1" w:themeShade="80"/>
        </w:rPr>
        <w:t>.</w:t>
      </w:r>
    </w:p>
    <w:p w14:paraId="67BB25BE" w14:textId="77777777" w:rsidR="00F27AA9" w:rsidRDefault="00F27AA9" w:rsidP="00900869">
      <w:pPr>
        <w:pStyle w:val="AODocTxt"/>
        <w:spacing w:before="0" w:line="240" w:lineRule="auto"/>
        <w:rPr>
          <w:rFonts w:ascii="Arial" w:hAnsi="Arial" w:cs="Arial"/>
          <w:color w:val="808080" w:themeColor="background1" w:themeShade="80"/>
        </w:rPr>
      </w:pPr>
    </w:p>
    <w:p w14:paraId="06124366" w14:textId="77777777" w:rsidR="00DA3146" w:rsidRDefault="00DA3146" w:rsidP="00900869">
      <w:pPr>
        <w:pStyle w:val="AODocTxt"/>
        <w:spacing w:before="0" w:line="240" w:lineRule="auto"/>
        <w:rPr>
          <w:rFonts w:ascii="Arial" w:hAnsi="Arial" w:cs="Arial"/>
          <w:color w:val="808080" w:themeColor="background1" w:themeShade="80"/>
        </w:rPr>
      </w:pPr>
    </w:p>
    <w:p w14:paraId="5671FADB" w14:textId="1899A939" w:rsidR="00F27AA9" w:rsidRPr="00DA3146" w:rsidRDefault="00F27AA9" w:rsidP="00900869">
      <w:pPr>
        <w:pStyle w:val="AODocTxt"/>
        <w:spacing w:before="0" w:line="240" w:lineRule="auto"/>
        <w:rPr>
          <w:rFonts w:ascii="Arial" w:hAnsi="Arial" w:cs="Arial"/>
          <w:b/>
          <w:bCs/>
          <w:color w:val="808080" w:themeColor="background1" w:themeShade="80"/>
          <w:u w:val="single"/>
        </w:rPr>
      </w:pPr>
      <w:r w:rsidRPr="00DA3146">
        <w:rPr>
          <w:rFonts w:ascii="Arial" w:hAnsi="Arial" w:cs="Arial"/>
          <w:b/>
          <w:bCs/>
          <w:color w:val="808080" w:themeColor="background1" w:themeShade="80"/>
          <w:u w:val="single"/>
        </w:rPr>
        <w:lastRenderedPageBreak/>
        <w:t>Deemed acceptance of plan</w:t>
      </w:r>
    </w:p>
    <w:p w14:paraId="46002897" w14:textId="62DD9281" w:rsidR="00551CC5" w:rsidRPr="00DA3146" w:rsidRDefault="00551CC5" w:rsidP="00900869">
      <w:pPr>
        <w:pStyle w:val="AODocTxt"/>
        <w:spacing w:before="0" w:line="240" w:lineRule="auto"/>
        <w:rPr>
          <w:rFonts w:ascii="Arial" w:hAnsi="Arial" w:cs="Arial"/>
          <w:color w:val="808080" w:themeColor="background1" w:themeShade="80"/>
        </w:rPr>
      </w:pPr>
      <w:r w:rsidRPr="00DA3146">
        <w:rPr>
          <w:rFonts w:ascii="Arial" w:hAnsi="Arial" w:cs="Arial"/>
          <w:color w:val="808080" w:themeColor="background1" w:themeShade="80"/>
        </w:rPr>
        <w:t xml:space="preserve">In a </w:t>
      </w:r>
      <w:r w:rsidR="005675C2" w:rsidRPr="00DA3146">
        <w:rPr>
          <w:rFonts w:ascii="Arial" w:hAnsi="Arial" w:cs="Arial"/>
          <w:color w:val="808080" w:themeColor="background1" w:themeShade="80"/>
        </w:rPr>
        <w:t xml:space="preserve">vote on a </w:t>
      </w:r>
      <w:r w:rsidRPr="00DA3146">
        <w:rPr>
          <w:rFonts w:ascii="Arial" w:hAnsi="Arial" w:cs="Arial"/>
          <w:color w:val="808080" w:themeColor="background1" w:themeShade="80"/>
        </w:rPr>
        <w:t xml:space="preserve">plan of </w:t>
      </w:r>
      <w:proofErr w:type="spellStart"/>
      <w:r w:rsidRPr="00DA3146">
        <w:rPr>
          <w:rFonts w:ascii="Arial" w:hAnsi="Arial" w:cs="Arial"/>
          <w:color w:val="808080" w:themeColor="background1" w:themeShade="80"/>
        </w:rPr>
        <w:t>reorganisation</w:t>
      </w:r>
      <w:proofErr w:type="spellEnd"/>
      <w:r w:rsidRPr="00DA3146">
        <w:rPr>
          <w:rFonts w:ascii="Arial" w:hAnsi="Arial" w:cs="Arial"/>
          <w:color w:val="808080" w:themeColor="background1" w:themeShade="80"/>
        </w:rPr>
        <w:t>, the class of creditors who are deemed to have accepted the plan are the holders of unimpaired claims, i.e. the unimpaired classes</w:t>
      </w:r>
      <w:r w:rsidR="002048E6" w:rsidRPr="00DA3146">
        <w:rPr>
          <w:rStyle w:val="FootnoteReference"/>
          <w:rFonts w:ascii="Arial" w:hAnsi="Arial" w:cs="Arial"/>
          <w:color w:val="808080" w:themeColor="background1" w:themeShade="80"/>
        </w:rPr>
        <w:footnoteReference w:id="19"/>
      </w:r>
      <w:r w:rsidRPr="00DA3146">
        <w:rPr>
          <w:rFonts w:ascii="Arial" w:hAnsi="Arial" w:cs="Arial"/>
          <w:color w:val="808080" w:themeColor="background1" w:themeShade="80"/>
        </w:rPr>
        <w:t xml:space="preserve">. </w:t>
      </w:r>
      <w:r w:rsidR="00F27AA9" w:rsidRPr="00DA3146">
        <w:rPr>
          <w:rFonts w:ascii="Arial" w:hAnsi="Arial" w:cs="Arial"/>
          <w:color w:val="808080" w:themeColor="background1" w:themeShade="80"/>
        </w:rPr>
        <w:t>S</w:t>
      </w:r>
      <w:r w:rsidRPr="00DA3146">
        <w:rPr>
          <w:rFonts w:ascii="Arial" w:hAnsi="Arial" w:cs="Arial"/>
          <w:color w:val="808080" w:themeColor="background1" w:themeShade="80"/>
        </w:rPr>
        <w:t>ection 1126(f) states clearly that</w:t>
      </w:r>
      <w:r w:rsidR="005675C2" w:rsidRPr="00DA3146">
        <w:rPr>
          <w:rFonts w:ascii="Arial" w:hAnsi="Arial" w:cs="Arial"/>
          <w:color w:val="808080" w:themeColor="background1" w:themeShade="80"/>
        </w:rPr>
        <w:t xml:space="preserve"> each holder of a claim or interest of a class that is unimpaired under a plan of </w:t>
      </w:r>
      <w:proofErr w:type="spellStart"/>
      <w:r w:rsidR="005675C2" w:rsidRPr="00DA3146">
        <w:rPr>
          <w:rFonts w:ascii="Arial" w:hAnsi="Arial" w:cs="Arial"/>
          <w:color w:val="808080" w:themeColor="background1" w:themeShade="80"/>
        </w:rPr>
        <w:t>reorganisation</w:t>
      </w:r>
      <w:proofErr w:type="spellEnd"/>
      <w:r w:rsidR="005675C2" w:rsidRPr="00DA3146">
        <w:rPr>
          <w:rFonts w:ascii="Arial" w:hAnsi="Arial" w:cs="Arial"/>
          <w:color w:val="808080" w:themeColor="background1" w:themeShade="80"/>
        </w:rPr>
        <w:t xml:space="preserve"> </w:t>
      </w:r>
      <w:r w:rsidRPr="00DA3146">
        <w:rPr>
          <w:rFonts w:ascii="Arial" w:hAnsi="Arial" w:cs="Arial"/>
          <w:color w:val="808080" w:themeColor="background1" w:themeShade="80"/>
        </w:rPr>
        <w:t>"</w:t>
      </w:r>
      <w:r w:rsidRPr="00DA3146">
        <w:rPr>
          <w:rFonts w:ascii="Arial" w:hAnsi="Arial" w:cs="Arial"/>
          <w:i/>
          <w:iCs/>
          <w:color w:val="808080" w:themeColor="background1" w:themeShade="80"/>
        </w:rPr>
        <w:t xml:space="preserve">are </w:t>
      </w:r>
      <w:r w:rsidRPr="00DA3146">
        <w:rPr>
          <w:rFonts w:ascii="Arial" w:hAnsi="Arial" w:cs="Arial"/>
          <w:i/>
          <w:iCs/>
          <w:color w:val="808080" w:themeColor="background1" w:themeShade="80"/>
          <w:u w:val="single"/>
        </w:rPr>
        <w:t>conclusively presumed</w:t>
      </w:r>
      <w:r w:rsidRPr="00DA3146">
        <w:rPr>
          <w:rFonts w:ascii="Arial" w:hAnsi="Arial" w:cs="Arial"/>
          <w:i/>
          <w:iCs/>
          <w:color w:val="808080" w:themeColor="background1" w:themeShade="80"/>
        </w:rPr>
        <w:t xml:space="preserve"> to have </w:t>
      </w:r>
      <w:r w:rsidRPr="00DA3146">
        <w:rPr>
          <w:rFonts w:ascii="Arial" w:hAnsi="Arial" w:cs="Arial"/>
          <w:i/>
          <w:iCs/>
          <w:color w:val="808080" w:themeColor="background1" w:themeShade="80"/>
          <w:u w:val="single"/>
        </w:rPr>
        <w:t>accepted</w:t>
      </w:r>
      <w:r w:rsidRPr="00DA3146">
        <w:rPr>
          <w:rFonts w:ascii="Arial" w:hAnsi="Arial" w:cs="Arial"/>
          <w:i/>
          <w:iCs/>
          <w:color w:val="808080" w:themeColor="background1" w:themeShade="80"/>
        </w:rPr>
        <w:t xml:space="preserve"> the plan, and solicitation of acceptances with respect to such class</w:t>
      </w:r>
      <w:r w:rsidR="002775A4" w:rsidRPr="00DA3146">
        <w:rPr>
          <w:rFonts w:ascii="Arial" w:hAnsi="Arial" w:cs="Arial"/>
          <w:i/>
          <w:iCs/>
          <w:color w:val="808080" w:themeColor="background1" w:themeShade="80"/>
        </w:rPr>
        <w:t>…</w:t>
      </w:r>
      <w:r w:rsidRPr="00DA3146">
        <w:rPr>
          <w:rFonts w:ascii="Arial" w:hAnsi="Arial" w:cs="Arial"/>
          <w:i/>
          <w:iCs/>
          <w:color w:val="808080" w:themeColor="background1" w:themeShade="80"/>
        </w:rPr>
        <w:t xml:space="preserve">is </w:t>
      </w:r>
      <w:r w:rsidRPr="00DA3146">
        <w:rPr>
          <w:rFonts w:ascii="Arial" w:hAnsi="Arial" w:cs="Arial"/>
          <w:i/>
          <w:iCs/>
          <w:color w:val="808080" w:themeColor="background1" w:themeShade="80"/>
          <w:u w:val="single"/>
        </w:rPr>
        <w:t>not required</w:t>
      </w:r>
      <w:r w:rsidRPr="00DA3146">
        <w:rPr>
          <w:rFonts w:ascii="Arial" w:hAnsi="Arial" w:cs="Arial"/>
          <w:color w:val="808080" w:themeColor="background1" w:themeShade="80"/>
        </w:rPr>
        <w:t>. [emphasis added]"</w:t>
      </w:r>
      <w:r w:rsidR="002048E6" w:rsidRPr="00DA3146">
        <w:rPr>
          <w:rStyle w:val="FootnoteReference"/>
          <w:rFonts w:ascii="Arial" w:hAnsi="Arial" w:cs="Arial"/>
          <w:color w:val="808080" w:themeColor="background1" w:themeShade="80"/>
        </w:rPr>
        <w:footnoteReference w:id="20"/>
      </w:r>
    </w:p>
    <w:p w14:paraId="5C885F5B" w14:textId="77777777" w:rsidR="001978CC" w:rsidRPr="00DA3146" w:rsidRDefault="001978CC" w:rsidP="00900869">
      <w:pPr>
        <w:pStyle w:val="AODocTxt"/>
        <w:spacing w:before="0" w:line="240" w:lineRule="auto"/>
        <w:rPr>
          <w:rFonts w:ascii="Arial" w:hAnsi="Arial" w:cs="Arial"/>
          <w:color w:val="808080" w:themeColor="background1" w:themeShade="80"/>
        </w:rPr>
      </w:pPr>
    </w:p>
    <w:p w14:paraId="5FF53CFC" w14:textId="161A746C" w:rsidR="00F27AA9" w:rsidRPr="00DA3146" w:rsidRDefault="00F27AA9" w:rsidP="00900869">
      <w:pPr>
        <w:pStyle w:val="AODocTxt"/>
        <w:spacing w:before="0" w:line="240" w:lineRule="auto"/>
        <w:rPr>
          <w:rFonts w:ascii="Arial" w:hAnsi="Arial" w:cs="Arial"/>
          <w:b/>
          <w:bCs/>
          <w:color w:val="808080" w:themeColor="background1" w:themeShade="80"/>
          <w:u w:val="single"/>
        </w:rPr>
      </w:pPr>
      <w:r w:rsidRPr="00DA3146">
        <w:rPr>
          <w:rFonts w:ascii="Arial" w:hAnsi="Arial" w:cs="Arial"/>
          <w:b/>
          <w:bCs/>
          <w:color w:val="808080" w:themeColor="background1" w:themeShade="80"/>
          <w:u w:val="single"/>
        </w:rPr>
        <w:t>Deemed rejection of plan</w:t>
      </w:r>
    </w:p>
    <w:p w14:paraId="0F21F9B5" w14:textId="78883525" w:rsidR="00551CC5" w:rsidRPr="00DA3146" w:rsidRDefault="00551CC5" w:rsidP="00900869">
      <w:pPr>
        <w:pStyle w:val="AODocTxt"/>
        <w:spacing w:before="0" w:line="240" w:lineRule="auto"/>
        <w:rPr>
          <w:rFonts w:ascii="Arial" w:hAnsi="Arial" w:cs="Arial"/>
          <w:color w:val="808080" w:themeColor="background1" w:themeShade="80"/>
        </w:rPr>
      </w:pPr>
      <w:r w:rsidRPr="00DA3146">
        <w:rPr>
          <w:rFonts w:ascii="Arial" w:hAnsi="Arial" w:cs="Arial"/>
          <w:color w:val="808080" w:themeColor="background1" w:themeShade="80"/>
        </w:rPr>
        <w:t>The class of creditors who are deemed to reject the plan</w:t>
      </w:r>
      <w:r w:rsidR="001978CC" w:rsidRPr="00DA3146">
        <w:rPr>
          <w:rFonts w:ascii="Arial" w:hAnsi="Arial" w:cs="Arial"/>
          <w:color w:val="808080" w:themeColor="background1" w:themeShade="80"/>
        </w:rPr>
        <w:t xml:space="preserve"> of </w:t>
      </w:r>
      <w:proofErr w:type="spellStart"/>
      <w:r w:rsidR="001978CC" w:rsidRPr="00DA3146">
        <w:rPr>
          <w:rFonts w:ascii="Arial" w:hAnsi="Arial" w:cs="Arial"/>
          <w:color w:val="808080" w:themeColor="background1" w:themeShade="80"/>
        </w:rPr>
        <w:t>reorganisation</w:t>
      </w:r>
      <w:proofErr w:type="spellEnd"/>
      <w:r w:rsidRPr="00DA3146">
        <w:rPr>
          <w:rFonts w:ascii="Arial" w:hAnsi="Arial" w:cs="Arial"/>
          <w:color w:val="808080" w:themeColor="background1" w:themeShade="80"/>
        </w:rPr>
        <w:t xml:space="preserve"> are </w:t>
      </w:r>
      <w:r w:rsidR="00F27AA9" w:rsidRPr="00DA3146">
        <w:rPr>
          <w:rFonts w:ascii="Arial" w:hAnsi="Arial" w:cs="Arial"/>
          <w:color w:val="808080" w:themeColor="background1" w:themeShade="80"/>
        </w:rPr>
        <w:t>the class(es) that will receive nothing</w:t>
      </w:r>
      <w:r w:rsidRPr="00DA3146">
        <w:rPr>
          <w:rFonts w:ascii="Arial" w:hAnsi="Arial" w:cs="Arial"/>
          <w:color w:val="808080" w:themeColor="background1" w:themeShade="80"/>
        </w:rPr>
        <w:t>. Section 1126(g) states that "</w:t>
      </w:r>
      <w:r w:rsidRPr="00DA3146">
        <w:rPr>
          <w:rFonts w:ascii="Arial" w:hAnsi="Arial" w:cs="Arial"/>
          <w:i/>
          <w:iCs/>
          <w:color w:val="808080" w:themeColor="background1" w:themeShade="80"/>
        </w:rPr>
        <w:t xml:space="preserve">a class is </w:t>
      </w:r>
      <w:r w:rsidRPr="00DA3146">
        <w:rPr>
          <w:rFonts w:ascii="Arial" w:hAnsi="Arial" w:cs="Arial"/>
          <w:i/>
          <w:iCs/>
          <w:color w:val="808080" w:themeColor="background1" w:themeShade="80"/>
          <w:u w:val="single"/>
        </w:rPr>
        <w:t>deemed not to have accepted a plan</w:t>
      </w:r>
      <w:r w:rsidRPr="00DA3146">
        <w:rPr>
          <w:rFonts w:ascii="Arial" w:hAnsi="Arial" w:cs="Arial"/>
          <w:i/>
          <w:iCs/>
          <w:color w:val="808080" w:themeColor="background1" w:themeShade="80"/>
        </w:rPr>
        <w:t xml:space="preserve"> if such plan provides that the claims or interests of such class </w:t>
      </w:r>
      <w:r w:rsidRPr="00DA3146">
        <w:rPr>
          <w:rFonts w:ascii="Arial" w:hAnsi="Arial" w:cs="Arial"/>
          <w:i/>
          <w:iCs/>
          <w:color w:val="808080" w:themeColor="background1" w:themeShade="80"/>
          <w:u w:val="single"/>
        </w:rPr>
        <w:t>do not entitle</w:t>
      </w:r>
      <w:r w:rsidRPr="00DA3146">
        <w:rPr>
          <w:rFonts w:ascii="Arial" w:hAnsi="Arial" w:cs="Arial"/>
          <w:i/>
          <w:iCs/>
          <w:color w:val="808080" w:themeColor="background1" w:themeShade="80"/>
        </w:rPr>
        <w:t xml:space="preserve"> the holders of such claims or interests to receive or retain any property under the plan</w:t>
      </w:r>
      <w:proofErr w:type="gramStart"/>
      <w:r w:rsidR="00F27AA9" w:rsidRPr="00DA3146">
        <w:rPr>
          <w:rFonts w:ascii="Arial" w:hAnsi="Arial" w:cs="Arial"/>
          <w:color w:val="808080" w:themeColor="background1" w:themeShade="80"/>
        </w:rPr>
        <w:t>…</w:t>
      </w:r>
      <w:r w:rsidRPr="00DA3146">
        <w:rPr>
          <w:rFonts w:ascii="Arial" w:hAnsi="Arial" w:cs="Arial"/>
          <w:color w:val="808080" w:themeColor="background1" w:themeShade="80"/>
        </w:rPr>
        <w:t>[</w:t>
      </w:r>
      <w:proofErr w:type="gramEnd"/>
      <w:r w:rsidRPr="00DA3146">
        <w:rPr>
          <w:rFonts w:ascii="Arial" w:hAnsi="Arial" w:cs="Arial"/>
          <w:color w:val="808080" w:themeColor="background1" w:themeShade="80"/>
        </w:rPr>
        <w:t>emphasis added]"</w:t>
      </w:r>
      <w:r w:rsidR="002048E6" w:rsidRPr="00DA3146">
        <w:rPr>
          <w:rStyle w:val="FootnoteReference"/>
          <w:rFonts w:ascii="Arial" w:hAnsi="Arial" w:cs="Arial"/>
          <w:color w:val="808080" w:themeColor="background1" w:themeShade="80"/>
        </w:rPr>
        <w:footnoteReference w:id="21"/>
      </w:r>
    </w:p>
    <w:p w14:paraId="621704AE" w14:textId="77777777" w:rsidR="00D82F6F" w:rsidRPr="00DA3146" w:rsidRDefault="00D82F6F" w:rsidP="00900869">
      <w:pPr>
        <w:pStyle w:val="AODocTxt"/>
        <w:spacing w:before="0" w:line="240" w:lineRule="auto"/>
        <w:rPr>
          <w:rFonts w:ascii="Arial" w:hAnsi="Arial" w:cs="Arial"/>
          <w:color w:val="808080" w:themeColor="background1" w:themeShade="80"/>
        </w:rPr>
      </w:pPr>
    </w:p>
    <w:p w14:paraId="2C02ECA5" w14:textId="6E01DBB1" w:rsidR="00F27AA9" w:rsidRPr="00DA3146" w:rsidRDefault="00F27AA9" w:rsidP="00900869">
      <w:pPr>
        <w:pStyle w:val="AODocTxt"/>
        <w:spacing w:before="0" w:line="240" w:lineRule="auto"/>
        <w:rPr>
          <w:rFonts w:ascii="Arial" w:hAnsi="Arial" w:cs="Arial"/>
          <w:b/>
          <w:bCs/>
          <w:color w:val="808080" w:themeColor="background1" w:themeShade="80"/>
          <w:u w:val="single"/>
        </w:rPr>
      </w:pPr>
      <w:r w:rsidRPr="00DA3146">
        <w:rPr>
          <w:rFonts w:ascii="Arial" w:hAnsi="Arial" w:cs="Arial"/>
          <w:b/>
          <w:bCs/>
          <w:color w:val="808080" w:themeColor="background1" w:themeShade="80"/>
          <w:u w:val="single"/>
        </w:rPr>
        <w:t xml:space="preserve">Class permitted to vote on </w:t>
      </w:r>
      <w:proofErr w:type="gramStart"/>
      <w:r w:rsidRPr="00DA3146">
        <w:rPr>
          <w:rFonts w:ascii="Arial" w:hAnsi="Arial" w:cs="Arial"/>
          <w:b/>
          <w:bCs/>
          <w:color w:val="808080" w:themeColor="background1" w:themeShade="80"/>
          <w:u w:val="single"/>
        </w:rPr>
        <w:t>plan</w:t>
      </w:r>
      <w:proofErr w:type="gramEnd"/>
    </w:p>
    <w:p w14:paraId="257547DB" w14:textId="33DD7572" w:rsidR="00551CC5" w:rsidRPr="00DA3146" w:rsidRDefault="00551CC5" w:rsidP="00900869">
      <w:pPr>
        <w:pStyle w:val="AODocTxt"/>
        <w:spacing w:before="0" w:line="240" w:lineRule="auto"/>
        <w:rPr>
          <w:rFonts w:ascii="Arial" w:hAnsi="Arial" w:cs="Arial"/>
          <w:color w:val="808080" w:themeColor="background1" w:themeShade="80"/>
        </w:rPr>
      </w:pPr>
      <w:r w:rsidRPr="00DA3146">
        <w:rPr>
          <w:rFonts w:ascii="Arial" w:hAnsi="Arial" w:cs="Arial"/>
          <w:color w:val="808080" w:themeColor="background1" w:themeShade="80"/>
        </w:rPr>
        <w:t xml:space="preserve">The class of creditors who are permitted to vote on a plan of </w:t>
      </w:r>
      <w:proofErr w:type="spellStart"/>
      <w:r w:rsidRPr="00DA3146">
        <w:rPr>
          <w:rFonts w:ascii="Arial" w:hAnsi="Arial" w:cs="Arial"/>
          <w:color w:val="808080" w:themeColor="background1" w:themeShade="80"/>
        </w:rPr>
        <w:t>reorganisation</w:t>
      </w:r>
      <w:proofErr w:type="spellEnd"/>
      <w:r w:rsidRPr="00DA3146">
        <w:rPr>
          <w:rFonts w:ascii="Arial" w:hAnsi="Arial" w:cs="Arial"/>
          <w:color w:val="808080" w:themeColor="background1" w:themeShade="80"/>
        </w:rPr>
        <w:t xml:space="preserve"> are the impaired classes. </w:t>
      </w:r>
      <w:proofErr w:type="gramStart"/>
      <w:r w:rsidRPr="00DA3146">
        <w:rPr>
          <w:rFonts w:ascii="Arial" w:hAnsi="Arial" w:cs="Arial"/>
          <w:color w:val="808080" w:themeColor="background1" w:themeShade="80"/>
        </w:rPr>
        <w:t>In light of</w:t>
      </w:r>
      <w:proofErr w:type="gramEnd"/>
      <w:r w:rsidRPr="00DA3146">
        <w:rPr>
          <w:rFonts w:ascii="Arial" w:hAnsi="Arial" w:cs="Arial"/>
          <w:color w:val="808080" w:themeColor="background1" w:themeShade="80"/>
        </w:rPr>
        <w:t xml:space="preserve"> this, the distinction between impaired and unimpaired </w:t>
      </w:r>
      <w:r w:rsidR="00F07722" w:rsidRPr="00DA3146">
        <w:rPr>
          <w:rFonts w:ascii="Arial" w:hAnsi="Arial" w:cs="Arial"/>
          <w:color w:val="808080" w:themeColor="background1" w:themeShade="80"/>
        </w:rPr>
        <w:t xml:space="preserve">class of creditors </w:t>
      </w:r>
      <w:r w:rsidRPr="00DA3146">
        <w:rPr>
          <w:rFonts w:ascii="Arial" w:hAnsi="Arial" w:cs="Arial"/>
          <w:color w:val="808080" w:themeColor="background1" w:themeShade="80"/>
        </w:rPr>
        <w:t>becomes "</w:t>
      </w:r>
      <w:r w:rsidRPr="00DA3146">
        <w:rPr>
          <w:rFonts w:ascii="Arial" w:hAnsi="Arial" w:cs="Arial"/>
          <w:i/>
          <w:iCs/>
          <w:color w:val="808080" w:themeColor="background1" w:themeShade="80"/>
        </w:rPr>
        <w:t>important because only impaired classes have the ability to vote to accept or reject a plan</w:t>
      </w:r>
      <w:r w:rsidRPr="00DA3146">
        <w:rPr>
          <w:rFonts w:ascii="Arial" w:hAnsi="Arial" w:cs="Arial"/>
          <w:color w:val="808080" w:themeColor="background1" w:themeShade="80"/>
        </w:rPr>
        <w:t>."</w:t>
      </w:r>
      <w:r w:rsidR="002048E6" w:rsidRPr="00DA3146">
        <w:rPr>
          <w:rStyle w:val="FootnoteReference"/>
          <w:rFonts w:ascii="Arial" w:hAnsi="Arial" w:cs="Arial"/>
          <w:color w:val="808080" w:themeColor="background1" w:themeShade="80"/>
        </w:rPr>
        <w:footnoteReference w:id="22"/>
      </w:r>
      <w:r w:rsidR="00A53048" w:rsidRPr="00DA3146">
        <w:rPr>
          <w:rFonts w:ascii="Arial" w:hAnsi="Arial" w:cs="Arial"/>
          <w:color w:val="808080" w:themeColor="background1" w:themeShade="80"/>
        </w:rPr>
        <w:t xml:space="preserve"> </w:t>
      </w:r>
      <w:r w:rsidRPr="00DA3146">
        <w:rPr>
          <w:rFonts w:ascii="Arial" w:hAnsi="Arial" w:cs="Arial"/>
          <w:color w:val="808080" w:themeColor="background1" w:themeShade="80"/>
        </w:rPr>
        <w:t>The balance of decision-making power therefore lies in the impaired classes, i.e. the class who have the most to gain or lose</w:t>
      </w:r>
      <w:r w:rsidR="00F07722" w:rsidRPr="00DA3146">
        <w:rPr>
          <w:rFonts w:ascii="Arial" w:hAnsi="Arial" w:cs="Arial"/>
          <w:color w:val="808080" w:themeColor="background1" w:themeShade="80"/>
        </w:rPr>
        <w:t xml:space="preserve"> on the planned </w:t>
      </w:r>
      <w:proofErr w:type="spellStart"/>
      <w:r w:rsidR="00F07722" w:rsidRPr="00DA3146">
        <w:rPr>
          <w:rFonts w:ascii="Arial" w:hAnsi="Arial" w:cs="Arial"/>
          <w:color w:val="808080" w:themeColor="background1" w:themeShade="80"/>
        </w:rPr>
        <w:t>reorganisation</w:t>
      </w:r>
      <w:proofErr w:type="spellEnd"/>
      <w:r w:rsidR="00A53048" w:rsidRPr="00DA3146">
        <w:rPr>
          <w:rStyle w:val="FootnoteReference"/>
          <w:rFonts w:ascii="Arial" w:hAnsi="Arial" w:cs="Arial"/>
          <w:color w:val="808080" w:themeColor="background1" w:themeShade="80"/>
        </w:rPr>
        <w:footnoteReference w:id="23"/>
      </w:r>
      <w:r w:rsidRPr="00DA3146">
        <w:rPr>
          <w:rFonts w:ascii="Arial" w:hAnsi="Arial" w:cs="Arial"/>
          <w:color w:val="808080" w:themeColor="background1" w:themeShade="80"/>
        </w:rPr>
        <w:t>.</w:t>
      </w:r>
    </w:p>
    <w:p w14:paraId="262ED1A7" w14:textId="77777777" w:rsidR="00F07722" w:rsidRPr="00DA3146" w:rsidRDefault="00F07722" w:rsidP="00900869">
      <w:pPr>
        <w:pStyle w:val="AODocTxt"/>
        <w:spacing w:before="0" w:line="240" w:lineRule="auto"/>
        <w:rPr>
          <w:rFonts w:ascii="Arial" w:hAnsi="Arial" w:cs="Arial"/>
          <w:color w:val="808080" w:themeColor="background1" w:themeShade="80"/>
        </w:rPr>
      </w:pPr>
    </w:p>
    <w:p w14:paraId="77CEDB44" w14:textId="653F108D" w:rsidR="00F27AA9" w:rsidRPr="00DA3146" w:rsidRDefault="00F27AA9" w:rsidP="00900869">
      <w:pPr>
        <w:pStyle w:val="AODocTxt"/>
        <w:spacing w:before="0" w:line="240" w:lineRule="auto"/>
        <w:rPr>
          <w:rFonts w:ascii="Arial" w:hAnsi="Arial" w:cs="Arial"/>
          <w:b/>
          <w:bCs/>
          <w:color w:val="808080" w:themeColor="background1" w:themeShade="80"/>
          <w:u w:val="single"/>
        </w:rPr>
      </w:pPr>
      <w:r w:rsidRPr="00DA3146">
        <w:rPr>
          <w:rFonts w:ascii="Arial" w:hAnsi="Arial" w:cs="Arial"/>
          <w:b/>
          <w:bCs/>
          <w:color w:val="808080" w:themeColor="background1" w:themeShade="80"/>
          <w:u w:val="single"/>
        </w:rPr>
        <w:t>Voting</w:t>
      </w:r>
    </w:p>
    <w:p w14:paraId="4AF56DA6" w14:textId="31F6FE64" w:rsidR="007F1210" w:rsidRPr="00DA3146" w:rsidRDefault="00F07722" w:rsidP="00900869">
      <w:pPr>
        <w:pStyle w:val="AODocTxt"/>
        <w:spacing w:before="0" w:line="240" w:lineRule="auto"/>
        <w:rPr>
          <w:rFonts w:ascii="Arial" w:hAnsi="Arial" w:cs="Arial"/>
          <w:color w:val="808080" w:themeColor="background1" w:themeShade="80"/>
        </w:rPr>
      </w:pPr>
      <w:r w:rsidRPr="00DA3146">
        <w:rPr>
          <w:rFonts w:ascii="Arial" w:hAnsi="Arial" w:cs="Arial"/>
          <w:color w:val="808080" w:themeColor="background1" w:themeShade="80"/>
        </w:rPr>
        <w:t xml:space="preserve">The vote necessary for a class of creditors to accept a plan of </w:t>
      </w:r>
      <w:proofErr w:type="spellStart"/>
      <w:r w:rsidRPr="00DA3146">
        <w:rPr>
          <w:rFonts w:ascii="Arial" w:hAnsi="Arial" w:cs="Arial"/>
          <w:color w:val="808080" w:themeColor="background1" w:themeShade="80"/>
        </w:rPr>
        <w:t>reorganisation</w:t>
      </w:r>
      <w:proofErr w:type="spellEnd"/>
      <w:r w:rsidRPr="00DA3146">
        <w:rPr>
          <w:rFonts w:ascii="Arial" w:hAnsi="Arial" w:cs="Arial"/>
          <w:color w:val="808080" w:themeColor="background1" w:themeShade="80"/>
        </w:rPr>
        <w:t xml:space="preserve"> </w:t>
      </w:r>
      <w:r w:rsidR="00CB32F7">
        <w:rPr>
          <w:rFonts w:ascii="Arial" w:hAnsi="Arial" w:cs="Arial"/>
          <w:color w:val="808080" w:themeColor="background1" w:themeShade="80"/>
        </w:rPr>
        <w:t>is</w:t>
      </w:r>
      <w:r w:rsidRPr="00DA3146">
        <w:rPr>
          <w:rFonts w:ascii="Arial" w:hAnsi="Arial" w:cs="Arial"/>
          <w:color w:val="808080" w:themeColor="background1" w:themeShade="80"/>
        </w:rPr>
        <w:t xml:space="preserve"> set out in section 1126(c)</w:t>
      </w:r>
      <w:r w:rsidR="00DA3146">
        <w:rPr>
          <w:rFonts w:ascii="Arial" w:hAnsi="Arial" w:cs="Arial"/>
          <w:color w:val="808080" w:themeColor="background1" w:themeShade="80"/>
        </w:rPr>
        <w:t xml:space="preserve"> and section 1126(d)</w:t>
      </w:r>
      <w:r w:rsidRPr="00DA3146">
        <w:rPr>
          <w:rFonts w:ascii="Arial" w:hAnsi="Arial" w:cs="Arial"/>
          <w:color w:val="808080" w:themeColor="background1" w:themeShade="80"/>
        </w:rPr>
        <w:t xml:space="preserve">. </w:t>
      </w:r>
      <w:r w:rsidR="00551CC5" w:rsidRPr="00DA3146">
        <w:rPr>
          <w:rFonts w:ascii="Arial" w:hAnsi="Arial" w:cs="Arial"/>
          <w:color w:val="808080" w:themeColor="background1" w:themeShade="80"/>
        </w:rPr>
        <w:t xml:space="preserve">Under </w:t>
      </w:r>
      <w:r w:rsidR="00DA3146">
        <w:rPr>
          <w:rFonts w:ascii="Arial" w:hAnsi="Arial" w:cs="Arial"/>
          <w:color w:val="808080" w:themeColor="background1" w:themeShade="80"/>
        </w:rPr>
        <w:t>s</w:t>
      </w:r>
      <w:r w:rsidR="00551CC5" w:rsidRPr="00DA3146">
        <w:rPr>
          <w:rFonts w:ascii="Arial" w:hAnsi="Arial" w:cs="Arial"/>
          <w:color w:val="808080" w:themeColor="background1" w:themeShade="80"/>
        </w:rPr>
        <w:t xml:space="preserve">ection 1126(c), an entire class of creditors </w:t>
      </w:r>
      <w:r w:rsidRPr="00DA3146">
        <w:rPr>
          <w:rFonts w:ascii="Arial" w:hAnsi="Arial" w:cs="Arial"/>
          <w:color w:val="808080" w:themeColor="background1" w:themeShade="80"/>
        </w:rPr>
        <w:t>has accepted</w:t>
      </w:r>
      <w:r w:rsidR="00551CC5" w:rsidRPr="00DA3146">
        <w:rPr>
          <w:rFonts w:ascii="Arial" w:hAnsi="Arial" w:cs="Arial"/>
          <w:color w:val="808080" w:themeColor="background1" w:themeShade="80"/>
        </w:rPr>
        <w:t xml:space="preserve"> a plan of restructuring if the plan has been voted in </w:t>
      </w:r>
      <w:proofErr w:type="spellStart"/>
      <w:r w:rsidR="00551CC5" w:rsidRPr="00DA3146">
        <w:rPr>
          <w:rFonts w:ascii="Arial" w:hAnsi="Arial" w:cs="Arial"/>
          <w:color w:val="808080" w:themeColor="background1" w:themeShade="80"/>
        </w:rPr>
        <w:t>favour</w:t>
      </w:r>
      <w:proofErr w:type="spellEnd"/>
      <w:r w:rsidR="00551CC5" w:rsidRPr="00DA3146">
        <w:rPr>
          <w:rFonts w:ascii="Arial" w:hAnsi="Arial" w:cs="Arial"/>
          <w:color w:val="808080" w:themeColor="background1" w:themeShade="80"/>
        </w:rPr>
        <w:t xml:space="preserve"> of by creditors in the class who hold at least two-thirds in amount and more than one-half in number of the allowed claims in such class</w:t>
      </w:r>
      <w:r w:rsidR="00A53048" w:rsidRPr="00DA3146">
        <w:rPr>
          <w:rStyle w:val="FootnoteReference"/>
          <w:rFonts w:ascii="Arial" w:hAnsi="Arial" w:cs="Arial"/>
          <w:color w:val="808080" w:themeColor="background1" w:themeShade="80"/>
        </w:rPr>
        <w:footnoteReference w:id="24"/>
      </w:r>
      <w:r w:rsidR="00551CC5" w:rsidRPr="00DA3146">
        <w:rPr>
          <w:rFonts w:ascii="Arial" w:hAnsi="Arial" w:cs="Arial"/>
          <w:color w:val="808080" w:themeColor="background1" w:themeShade="80"/>
        </w:rPr>
        <w:t xml:space="preserve">. In terms of equity interests, pursuant to </w:t>
      </w:r>
      <w:r w:rsidR="00DA3146">
        <w:rPr>
          <w:rFonts w:ascii="Arial" w:hAnsi="Arial" w:cs="Arial"/>
          <w:color w:val="808080" w:themeColor="background1" w:themeShade="80"/>
        </w:rPr>
        <w:t>s</w:t>
      </w:r>
      <w:r w:rsidR="00551CC5" w:rsidRPr="00DA3146">
        <w:rPr>
          <w:rFonts w:ascii="Arial" w:hAnsi="Arial" w:cs="Arial"/>
          <w:color w:val="808080" w:themeColor="background1" w:themeShade="80"/>
        </w:rPr>
        <w:t xml:space="preserve">ection 1126(d), a class of interests will have accepted a plan if such plan has been accepted by at least two-thirds of holders in the </w:t>
      </w:r>
      <w:proofErr w:type="gramStart"/>
      <w:r w:rsidR="00551CC5" w:rsidRPr="00DA3146">
        <w:rPr>
          <w:rFonts w:ascii="Arial" w:hAnsi="Arial" w:cs="Arial"/>
          <w:color w:val="808080" w:themeColor="background1" w:themeShade="80"/>
        </w:rPr>
        <w:t>amount</w:t>
      </w:r>
      <w:proofErr w:type="gramEnd"/>
      <w:r w:rsidR="00551CC5" w:rsidRPr="00DA3146">
        <w:rPr>
          <w:rFonts w:ascii="Arial" w:hAnsi="Arial" w:cs="Arial"/>
          <w:color w:val="808080" w:themeColor="background1" w:themeShade="80"/>
        </w:rPr>
        <w:t xml:space="preserve"> of interests of such class</w:t>
      </w:r>
      <w:r w:rsidR="00A53048" w:rsidRPr="00DA3146">
        <w:rPr>
          <w:rStyle w:val="FootnoteReference"/>
          <w:rFonts w:ascii="Arial" w:hAnsi="Arial" w:cs="Arial"/>
          <w:color w:val="808080" w:themeColor="background1" w:themeShade="80"/>
        </w:rPr>
        <w:footnoteReference w:id="25"/>
      </w:r>
      <w:r w:rsidR="00551CC5" w:rsidRPr="00DA3146">
        <w:rPr>
          <w:rFonts w:ascii="Arial" w:hAnsi="Arial" w:cs="Arial"/>
          <w:color w:val="808080" w:themeColor="background1" w:themeShade="80"/>
        </w:rPr>
        <w:t>.</w:t>
      </w:r>
    </w:p>
    <w:p w14:paraId="0AD83A4B" w14:textId="77777777" w:rsidR="001757F7" w:rsidRPr="00D07A82" w:rsidRDefault="001757F7" w:rsidP="00622C36">
      <w:pPr>
        <w:pStyle w:val="AODocTxt"/>
        <w:spacing w:before="0" w:line="240" w:lineRule="auto"/>
        <w:rPr>
          <w:rFonts w:ascii="Arial" w:hAnsi="Arial" w:cs="Arial"/>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pPr>
        <w:pStyle w:val="AODocTxt"/>
        <w:numPr>
          <w:ilvl w:val="0"/>
          <w:numId w:val="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pPr>
        <w:pStyle w:val="AODocTxt"/>
        <w:numPr>
          <w:ilvl w:val="0"/>
          <w:numId w:val="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pPr>
        <w:pStyle w:val="AODocTxt"/>
        <w:numPr>
          <w:ilvl w:val="0"/>
          <w:numId w:val="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69A6228" w14:textId="77777777" w:rsidR="007400D7" w:rsidRPr="00D07A82" w:rsidRDefault="007400D7" w:rsidP="00B03D78">
      <w:pPr>
        <w:pStyle w:val="AODocTxt"/>
        <w:spacing w:before="0" w:line="240" w:lineRule="auto"/>
        <w:rPr>
          <w:rFonts w:ascii="Arial" w:hAnsi="Arial" w:cs="Arial"/>
          <w:color w:val="808080" w:themeColor="background1" w:themeShade="80"/>
        </w:rPr>
      </w:pPr>
    </w:p>
    <w:p w14:paraId="7F0127AA" w14:textId="7A866F79" w:rsidR="007400D7" w:rsidRPr="002E0F33" w:rsidRDefault="00540A9C" w:rsidP="00BE44F2">
      <w:pPr>
        <w:pStyle w:val="AODocTxt"/>
        <w:numPr>
          <w:ilvl w:val="0"/>
          <w:numId w:val="8"/>
        </w:numPr>
        <w:spacing w:before="0" w:line="240" w:lineRule="auto"/>
        <w:ind w:left="527" w:hanging="357"/>
        <w:rPr>
          <w:rFonts w:ascii="Arial" w:hAnsi="Arial" w:cs="Arial"/>
          <w:color w:val="808080" w:themeColor="background1" w:themeShade="80"/>
        </w:rPr>
      </w:pPr>
      <w:r w:rsidRPr="002E0F33">
        <w:rPr>
          <w:rFonts w:ascii="Arial" w:hAnsi="Arial" w:cs="Arial"/>
          <w:color w:val="808080" w:themeColor="background1" w:themeShade="80"/>
        </w:rPr>
        <w:t xml:space="preserve">A preference claim is the cause of action which applies only to transfers made on account of antecedent debt. A preference is when there is a transfer of a debtor's property during </w:t>
      </w:r>
      <w:r w:rsidRPr="002E0F33">
        <w:rPr>
          <w:rFonts w:ascii="Arial" w:hAnsi="Arial" w:cs="Arial"/>
          <w:color w:val="808080" w:themeColor="background1" w:themeShade="80"/>
        </w:rPr>
        <w:lastRenderedPageBreak/>
        <w:t xml:space="preserve">a suspect period before the filing of the </w:t>
      </w:r>
      <w:r w:rsidR="007400D7" w:rsidRPr="002E0F33">
        <w:rPr>
          <w:rFonts w:ascii="Arial" w:hAnsi="Arial" w:cs="Arial"/>
          <w:color w:val="808080" w:themeColor="background1" w:themeShade="80"/>
        </w:rPr>
        <w:t>petition</w:t>
      </w:r>
      <w:r w:rsidRPr="002E0F33">
        <w:rPr>
          <w:rFonts w:ascii="Arial" w:hAnsi="Arial" w:cs="Arial"/>
          <w:color w:val="808080" w:themeColor="background1" w:themeShade="80"/>
        </w:rPr>
        <w:t xml:space="preserve"> that must be returned to the estate </w:t>
      </w:r>
      <w:proofErr w:type="gramStart"/>
      <w:r w:rsidRPr="002E0F33">
        <w:rPr>
          <w:rFonts w:ascii="Arial" w:hAnsi="Arial" w:cs="Arial"/>
          <w:color w:val="808080" w:themeColor="background1" w:themeShade="80"/>
        </w:rPr>
        <w:t>in the event that</w:t>
      </w:r>
      <w:proofErr w:type="gramEnd"/>
      <w:r w:rsidRPr="002E0F33">
        <w:rPr>
          <w:rFonts w:ascii="Arial" w:hAnsi="Arial" w:cs="Arial"/>
          <w:color w:val="808080" w:themeColor="background1" w:themeShade="80"/>
        </w:rPr>
        <w:t xml:space="preserve"> it exceeds the amount the recipient would have received in a chapter 7 liquidation</w:t>
      </w:r>
      <w:r w:rsidR="007400D7" w:rsidRPr="002E0F33">
        <w:rPr>
          <w:rStyle w:val="FootnoteReference"/>
          <w:rFonts w:ascii="Arial" w:hAnsi="Arial" w:cs="Arial"/>
          <w:color w:val="808080" w:themeColor="background1" w:themeShade="80"/>
        </w:rPr>
        <w:footnoteReference w:id="26"/>
      </w:r>
      <w:r w:rsidR="007400D7" w:rsidRPr="002E0F33">
        <w:rPr>
          <w:rFonts w:ascii="Arial" w:hAnsi="Arial" w:cs="Arial"/>
          <w:color w:val="808080" w:themeColor="background1" w:themeShade="80"/>
        </w:rPr>
        <w:t xml:space="preserve"> </w:t>
      </w:r>
      <w:r w:rsidRPr="002E0F33">
        <w:rPr>
          <w:rFonts w:ascii="Arial" w:hAnsi="Arial" w:cs="Arial"/>
          <w:color w:val="808080" w:themeColor="background1" w:themeShade="80"/>
        </w:rPr>
        <w:t xml:space="preserve">had such a transfer not </w:t>
      </w:r>
      <w:r w:rsidR="007400D7" w:rsidRPr="002E0F33">
        <w:rPr>
          <w:rFonts w:ascii="Arial" w:hAnsi="Arial" w:cs="Arial"/>
          <w:color w:val="808080" w:themeColor="background1" w:themeShade="80"/>
        </w:rPr>
        <w:t>occurred</w:t>
      </w:r>
      <w:r w:rsidR="007400D7" w:rsidRPr="002E0F33">
        <w:rPr>
          <w:rStyle w:val="FootnoteReference"/>
          <w:rFonts w:ascii="Arial" w:hAnsi="Arial" w:cs="Arial"/>
          <w:color w:val="808080" w:themeColor="background1" w:themeShade="80"/>
        </w:rPr>
        <w:footnoteReference w:id="27"/>
      </w:r>
      <w:r w:rsidR="007400D7" w:rsidRPr="002E0F33">
        <w:rPr>
          <w:rFonts w:ascii="Arial" w:hAnsi="Arial" w:cs="Arial"/>
          <w:color w:val="808080" w:themeColor="background1" w:themeShade="80"/>
        </w:rPr>
        <w:t xml:space="preserve">. </w:t>
      </w:r>
      <w:r w:rsidR="00446415">
        <w:rPr>
          <w:rFonts w:ascii="Arial" w:hAnsi="Arial" w:cs="Arial"/>
          <w:color w:val="808080" w:themeColor="background1" w:themeShade="80"/>
        </w:rPr>
        <w:t>The various elements of a preference claim are set out in s</w:t>
      </w:r>
      <w:r w:rsidRPr="002E0F33">
        <w:rPr>
          <w:rFonts w:ascii="Arial" w:hAnsi="Arial" w:cs="Arial"/>
          <w:color w:val="808080" w:themeColor="background1" w:themeShade="80"/>
        </w:rPr>
        <w:t xml:space="preserve">ection 547(b) of </w:t>
      </w:r>
      <w:r w:rsidR="007400D7" w:rsidRPr="002E0F33">
        <w:rPr>
          <w:rFonts w:ascii="Arial" w:hAnsi="Arial" w:cs="Arial"/>
          <w:color w:val="808080" w:themeColor="background1" w:themeShade="80"/>
        </w:rPr>
        <w:t>Title</w:t>
      </w:r>
      <w:r w:rsidRPr="002E0F33">
        <w:rPr>
          <w:rFonts w:ascii="Arial" w:hAnsi="Arial" w:cs="Arial"/>
          <w:color w:val="808080" w:themeColor="background1" w:themeShade="80"/>
        </w:rPr>
        <w:t xml:space="preserve"> 11 of the U</w:t>
      </w:r>
      <w:r w:rsidR="007400D7" w:rsidRPr="002E0F33">
        <w:rPr>
          <w:rFonts w:ascii="Arial" w:hAnsi="Arial" w:cs="Arial"/>
          <w:color w:val="808080" w:themeColor="background1" w:themeShade="80"/>
        </w:rPr>
        <w:t>nited States Code</w:t>
      </w:r>
      <w:r w:rsidR="00980654">
        <w:rPr>
          <w:rFonts w:ascii="Arial" w:hAnsi="Arial" w:cs="Arial"/>
          <w:color w:val="808080" w:themeColor="background1" w:themeShade="80"/>
        </w:rPr>
        <w:t>. The elements</w:t>
      </w:r>
      <w:r w:rsidRPr="002E0F33">
        <w:rPr>
          <w:rFonts w:ascii="Arial" w:hAnsi="Arial" w:cs="Arial"/>
          <w:color w:val="808080" w:themeColor="background1" w:themeShade="80"/>
        </w:rPr>
        <w:t xml:space="preserve"> </w:t>
      </w:r>
      <w:r w:rsidR="00446415">
        <w:rPr>
          <w:rFonts w:ascii="Arial" w:hAnsi="Arial" w:cs="Arial"/>
          <w:color w:val="808080" w:themeColor="background1" w:themeShade="80"/>
        </w:rPr>
        <w:t>include</w:t>
      </w:r>
      <w:r w:rsidR="00980654">
        <w:rPr>
          <w:rFonts w:ascii="Arial" w:hAnsi="Arial" w:cs="Arial"/>
          <w:color w:val="808080" w:themeColor="background1" w:themeShade="80"/>
        </w:rPr>
        <w:t xml:space="preserve"> a transfer of an interest of the debtor in property</w:t>
      </w:r>
      <w:r w:rsidRPr="002E0F33">
        <w:rPr>
          <w:rFonts w:ascii="Arial" w:hAnsi="Arial" w:cs="Arial"/>
          <w:color w:val="808080" w:themeColor="background1" w:themeShade="80"/>
        </w:rPr>
        <w:t>:</w:t>
      </w:r>
    </w:p>
    <w:p w14:paraId="31259682" w14:textId="6B061594" w:rsidR="007400D7" w:rsidRDefault="007A761B" w:rsidP="00BE44F2">
      <w:pPr>
        <w:pStyle w:val="AODocTxt"/>
        <w:numPr>
          <w:ilvl w:val="0"/>
          <w:numId w:val="9"/>
        </w:numPr>
        <w:spacing w:before="0" w:line="240" w:lineRule="auto"/>
        <w:ind w:left="1094" w:hanging="357"/>
        <w:rPr>
          <w:rFonts w:ascii="Arial" w:hAnsi="Arial" w:cs="Arial"/>
          <w:color w:val="808080" w:themeColor="background1" w:themeShade="80"/>
        </w:rPr>
      </w:pPr>
      <w:r>
        <w:rPr>
          <w:rFonts w:ascii="Arial" w:hAnsi="Arial" w:cs="Arial"/>
          <w:color w:val="808080" w:themeColor="background1" w:themeShade="80"/>
        </w:rPr>
        <w:t>“</w:t>
      </w:r>
      <w:proofErr w:type="gramStart"/>
      <w:r w:rsidR="00540A9C" w:rsidRPr="007A761B">
        <w:rPr>
          <w:rFonts w:ascii="Arial" w:hAnsi="Arial" w:cs="Arial"/>
          <w:i/>
          <w:iCs/>
          <w:color w:val="808080" w:themeColor="background1" w:themeShade="80"/>
        </w:rPr>
        <w:t>to</w:t>
      </w:r>
      <w:proofErr w:type="gramEnd"/>
      <w:r w:rsidR="00540A9C" w:rsidRPr="007A761B">
        <w:rPr>
          <w:rFonts w:ascii="Arial" w:hAnsi="Arial" w:cs="Arial"/>
          <w:i/>
          <w:iCs/>
          <w:color w:val="808080" w:themeColor="background1" w:themeShade="80"/>
        </w:rPr>
        <w:t xml:space="preserve"> or for the benefit of a creditor</w:t>
      </w:r>
      <w:r>
        <w:rPr>
          <w:rFonts w:ascii="Arial" w:hAnsi="Arial" w:cs="Arial"/>
          <w:color w:val="808080" w:themeColor="background1" w:themeShade="80"/>
        </w:rPr>
        <w:t>”</w:t>
      </w:r>
      <w:r w:rsidR="00A25FB1" w:rsidRPr="002E0F33">
        <w:rPr>
          <w:rStyle w:val="FootnoteReference"/>
          <w:rFonts w:ascii="Arial" w:hAnsi="Arial" w:cs="Arial"/>
          <w:color w:val="808080" w:themeColor="background1" w:themeShade="80"/>
        </w:rPr>
        <w:footnoteReference w:id="28"/>
      </w:r>
      <w:r w:rsidR="00A25FB1" w:rsidRPr="002E0F33">
        <w:rPr>
          <w:rFonts w:ascii="Arial" w:hAnsi="Arial" w:cs="Arial"/>
          <w:color w:val="808080" w:themeColor="background1" w:themeShade="80"/>
        </w:rPr>
        <w:t xml:space="preserve"> -</w:t>
      </w:r>
      <w:r w:rsidR="00540A9C" w:rsidRPr="002E0F33">
        <w:rPr>
          <w:rFonts w:ascii="Arial" w:hAnsi="Arial" w:cs="Arial"/>
          <w:color w:val="808080" w:themeColor="background1" w:themeShade="80"/>
        </w:rPr>
        <w:t xml:space="preserve"> </w:t>
      </w:r>
      <w:r w:rsidR="00A25FB1" w:rsidRPr="002E0F33">
        <w:rPr>
          <w:rFonts w:ascii="Arial" w:hAnsi="Arial" w:cs="Arial"/>
          <w:color w:val="808080" w:themeColor="background1" w:themeShade="80"/>
        </w:rPr>
        <w:t>s</w:t>
      </w:r>
      <w:r w:rsidR="00540A9C" w:rsidRPr="002E0F33">
        <w:rPr>
          <w:rFonts w:ascii="Arial" w:hAnsi="Arial" w:cs="Arial"/>
          <w:color w:val="808080" w:themeColor="background1" w:themeShade="80"/>
        </w:rPr>
        <w:t xml:space="preserve">uch </w:t>
      </w:r>
      <w:r>
        <w:rPr>
          <w:rFonts w:ascii="Arial" w:hAnsi="Arial" w:cs="Arial"/>
          <w:color w:val="808080" w:themeColor="background1" w:themeShade="80"/>
        </w:rPr>
        <w:t xml:space="preserve">a </w:t>
      </w:r>
      <w:r w:rsidR="00540A9C" w:rsidRPr="002E0F33">
        <w:rPr>
          <w:rFonts w:ascii="Arial" w:hAnsi="Arial" w:cs="Arial"/>
          <w:color w:val="808080" w:themeColor="background1" w:themeShade="80"/>
        </w:rPr>
        <w:t>transfer could be of funds, property or an interest in property</w:t>
      </w:r>
      <w:r w:rsidR="00A25FB1" w:rsidRPr="002E0F33">
        <w:rPr>
          <w:rStyle w:val="FootnoteReference"/>
          <w:rFonts w:ascii="Arial" w:hAnsi="Arial" w:cs="Arial"/>
          <w:color w:val="808080" w:themeColor="background1" w:themeShade="80"/>
        </w:rPr>
        <w:footnoteReference w:id="29"/>
      </w:r>
      <w:r w:rsidR="00540A9C" w:rsidRPr="002E0F33">
        <w:rPr>
          <w:rFonts w:ascii="Arial" w:hAnsi="Arial" w:cs="Arial"/>
          <w:color w:val="808080" w:themeColor="background1" w:themeShade="80"/>
        </w:rPr>
        <w:t xml:space="preserve">. The recipient must be a creditor of a debtor </w:t>
      </w:r>
      <w:r w:rsidR="00540A9C" w:rsidRPr="00044236">
        <w:rPr>
          <w:rFonts w:ascii="Arial" w:hAnsi="Arial" w:cs="Arial"/>
          <w:color w:val="808080" w:themeColor="background1" w:themeShade="80"/>
          <w:u w:val="single"/>
        </w:rPr>
        <w:t>prior</w:t>
      </w:r>
      <w:r w:rsidR="00540A9C" w:rsidRPr="002E0F33">
        <w:rPr>
          <w:rFonts w:ascii="Arial" w:hAnsi="Arial" w:cs="Arial"/>
          <w:color w:val="808080" w:themeColor="background1" w:themeShade="80"/>
        </w:rPr>
        <w:t xml:space="preserve"> to the transfer in question, otherwise such transfer cannot constitute a preference</w:t>
      </w:r>
      <w:r w:rsidR="00A25FB1" w:rsidRPr="002E0F33">
        <w:rPr>
          <w:rStyle w:val="FootnoteReference"/>
          <w:rFonts w:ascii="Arial" w:hAnsi="Arial" w:cs="Arial"/>
          <w:color w:val="808080" w:themeColor="background1" w:themeShade="80"/>
        </w:rPr>
        <w:footnoteReference w:id="30"/>
      </w:r>
      <w:r w:rsidR="00540A9C" w:rsidRPr="002E0F33">
        <w:rPr>
          <w:rFonts w:ascii="Arial" w:hAnsi="Arial" w:cs="Arial"/>
          <w:color w:val="808080" w:themeColor="background1" w:themeShade="80"/>
        </w:rPr>
        <w:t>;</w:t>
      </w:r>
      <w:r w:rsidR="00446415">
        <w:rPr>
          <w:rFonts w:ascii="Arial" w:hAnsi="Arial" w:cs="Arial"/>
          <w:color w:val="808080" w:themeColor="background1" w:themeShade="80"/>
        </w:rPr>
        <w:t xml:space="preserve"> and</w:t>
      </w:r>
    </w:p>
    <w:p w14:paraId="577308B6" w14:textId="77777777" w:rsidR="00980654" w:rsidRDefault="00980654" w:rsidP="00980654">
      <w:pPr>
        <w:pStyle w:val="AODocTxt"/>
        <w:spacing w:before="0" w:line="240" w:lineRule="auto"/>
        <w:rPr>
          <w:rFonts w:ascii="Arial" w:hAnsi="Arial" w:cs="Arial"/>
          <w:color w:val="808080" w:themeColor="background1" w:themeShade="80"/>
        </w:rPr>
      </w:pPr>
    </w:p>
    <w:p w14:paraId="417DC6CC" w14:textId="0DE7C76A" w:rsidR="007400D7" w:rsidRPr="00980654" w:rsidRDefault="00980654" w:rsidP="00980654">
      <w:pPr>
        <w:pStyle w:val="AODocTxt"/>
        <w:numPr>
          <w:ilvl w:val="0"/>
          <w:numId w:val="9"/>
        </w:numPr>
        <w:spacing w:before="0" w:line="240" w:lineRule="auto"/>
        <w:ind w:left="1094" w:hanging="357"/>
        <w:rPr>
          <w:rFonts w:ascii="Arial" w:hAnsi="Arial" w:cs="Arial"/>
          <w:color w:val="808080" w:themeColor="background1" w:themeShade="80"/>
        </w:rPr>
      </w:pPr>
      <w:r>
        <w:rPr>
          <w:rFonts w:ascii="Arial" w:hAnsi="Arial" w:cs="Arial"/>
          <w:color w:val="808080" w:themeColor="background1" w:themeShade="80"/>
        </w:rPr>
        <w:t>“</w:t>
      </w:r>
      <w:proofErr w:type="gramStart"/>
      <w:r w:rsidR="00540A9C" w:rsidRPr="00980654">
        <w:rPr>
          <w:rFonts w:ascii="Arial" w:hAnsi="Arial" w:cs="Arial"/>
          <w:i/>
          <w:iCs/>
          <w:color w:val="808080" w:themeColor="background1" w:themeShade="80"/>
        </w:rPr>
        <w:t>for</w:t>
      </w:r>
      <w:proofErr w:type="gramEnd"/>
      <w:r w:rsidR="00540A9C" w:rsidRPr="00980654">
        <w:rPr>
          <w:rFonts w:ascii="Arial" w:hAnsi="Arial" w:cs="Arial"/>
          <w:i/>
          <w:iCs/>
          <w:color w:val="808080" w:themeColor="background1" w:themeShade="80"/>
        </w:rPr>
        <w:t xml:space="preserve"> or on account of an </w:t>
      </w:r>
      <w:r w:rsidR="00540A9C" w:rsidRPr="00980654">
        <w:rPr>
          <w:rFonts w:ascii="Arial" w:hAnsi="Arial" w:cs="Arial"/>
          <w:i/>
          <w:iCs/>
          <w:color w:val="808080" w:themeColor="background1" w:themeShade="80"/>
          <w:u w:val="single"/>
        </w:rPr>
        <w:t>antecedent debt</w:t>
      </w:r>
      <w:r w:rsidR="00540A9C" w:rsidRPr="00980654">
        <w:rPr>
          <w:rFonts w:ascii="Arial" w:hAnsi="Arial" w:cs="Arial"/>
          <w:i/>
          <w:iCs/>
          <w:color w:val="808080" w:themeColor="background1" w:themeShade="80"/>
        </w:rPr>
        <w:t xml:space="preserve"> owed by the debtor before such transfer was made</w:t>
      </w:r>
      <w:r w:rsidR="00540A9C" w:rsidRPr="00980654">
        <w:rPr>
          <w:rFonts w:ascii="Arial" w:hAnsi="Arial" w:cs="Arial"/>
          <w:color w:val="808080" w:themeColor="background1" w:themeShade="80"/>
        </w:rPr>
        <w:t xml:space="preserve"> [emphasis added]"</w:t>
      </w:r>
      <w:r w:rsidR="00A25FB1" w:rsidRPr="002E0F33">
        <w:rPr>
          <w:rStyle w:val="FootnoteReference"/>
          <w:rFonts w:ascii="Arial" w:hAnsi="Arial" w:cs="Arial"/>
          <w:color w:val="808080" w:themeColor="background1" w:themeShade="80"/>
        </w:rPr>
        <w:footnoteReference w:id="31"/>
      </w:r>
      <w:r w:rsidR="00A25FB1" w:rsidRPr="00980654">
        <w:rPr>
          <w:rFonts w:ascii="Arial" w:hAnsi="Arial" w:cs="Arial"/>
          <w:color w:val="808080" w:themeColor="background1" w:themeShade="80"/>
        </w:rPr>
        <w:t xml:space="preserve"> </w:t>
      </w:r>
      <w:r w:rsidR="00540A9C" w:rsidRPr="00980654">
        <w:rPr>
          <w:rFonts w:ascii="Arial" w:hAnsi="Arial" w:cs="Arial"/>
          <w:color w:val="808080" w:themeColor="background1" w:themeShade="80"/>
        </w:rPr>
        <w:t xml:space="preserve">- </w:t>
      </w:r>
      <w:r w:rsidR="00A25FB1" w:rsidRPr="00980654">
        <w:rPr>
          <w:rFonts w:ascii="Arial" w:hAnsi="Arial" w:cs="Arial"/>
          <w:color w:val="808080" w:themeColor="background1" w:themeShade="80"/>
        </w:rPr>
        <w:t>a</w:t>
      </w:r>
      <w:r w:rsidR="00540A9C" w:rsidRPr="00980654">
        <w:rPr>
          <w:rFonts w:ascii="Arial" w:hAnsi="Arial" w:cs="Arial"/>
          <w:color w:val="808080" w:themeColor="background1" w:themeShade="80"/>
        </w:rPr>
        <w:t xml:space="preserve"> preference claim is only available if the debtor is paying a creditor for a pre-existing debt (so a </w:t>
      </w:r>
      <w:r w:rsidR="007400D7" w:rsidRPr="00980654">
        <w:rPr>
          <w:rFonts w:ascii="Arial" w:hAnsi="Arial" w:cs="Arial"/>
          <w:color w:val="808080" w:themeColor="background1" w:themeShade="80"/>
        </w:rPr>
        <w:t>contemporaneous</w:t>
      </w:r>
      <w:r w:rsidR="00540A9C" w:rsidRPr="00980654">
        <w:rPr>
          <w:rFonts w:ascii="Arial" w:hAnsi="Arial" w:cs="Arial"/>
          <w:color w:val="808080" w:themeColor="background1" w:themeShade="80"/>
        </w:rPr>
        <w:t xml:space="preserve"> exchange of value will not constitute a preference)</w:t>
      </w:r>
      <w:r w:rsidR="00A25FB1" w:rsidRPr="002E0F33">
        <w:rPr>
          <w:rStyle w:val="FootnoteReference"/>
          <w:rFonts w:ascii="Arial" w:hAnsi="Arial" w:cs="Arial"/>
          <w:color w:val="808080" w:themeColor="background1" w:themeShade="80"/>
        </w:rPr>
        <w:footnoteReference w:id="32"/>
      </w:r>
      <w:r w:rsidR="00540A9C" w:rsidRPr="00980654">
        <w:rPr>
          <w:rFonts w:ascii="Arial" w:hAnsi="Arial" w:cs="Arial"/>
          <w:color w:val="808080" w:themeColor="background1" w:themeShade="80"/>
        </w:rPr>
        <w:t xml:space="preserve">. Further, a preference claim does not arise in the situation where there is a prepayment for goods and services </w:t>
      </w:r>
      <w:r w:rsidR="007400D7" w:rsidRPr="00980654">
        <w:rPr>
          <w:rFonts w:ascii="Arial" w:hAnsi="Arial" w:cs="Arial"/>
          <w:color w:val="808080" w:themeColor="background1" w:themeShade="80"/>
        </w:rPr>
        <w:t>because</w:t>
      </w:r>
      <w:r w:rsidR="00540A9C" w:rsidRPr="00980654">
        <w:rPr>
          <w:rFonts w:ascii="Arial" w:hAnsi="Arial" w:cs="Arial"/>
          <w:color w:val="808080" w:themeColor="background1" w:themeShade="80"/>
        </w:rPr>
        <w:t xml:space="preserve"> debt (if any) does not arise until the debtor receives the product</w:t>
      </w:r>
      <w:r w:rsidR="00A25FB1" w:rsidRPr="002E0F33">
        <w:rPr>
          <w:rStyle w:val="FootnoteReference"/>
          <w:rFonts w:ascii="Arial" w:hAnsi="Arial" w:cs="Arial"/>
          <w:color w:val="808080" w:themeColor="background1" w:themeShade="80"/>
        </w:rPr>
        <w:footnoteReference w:id="33"/>
      </w:r>
      <w:r w:rsidR="00446415" w:rsidRPr="00980654">
        <w:rPr>
          <w:rFonts w:ascii="Arial" w:hAnsi="Arial" w:cs="Arial"/>
          <w:color w:val="808080" w:themeColor="background1" w:themeShade="80"/>
        </w:rPr>
        <w:t>.</w:t>
      </w:r>
    </w:p>
    <w:p w14:paraId="6653F606" w14:textId="77777777" w:rsidR="00446415" w:rsidRPr="002E0F33" w:rsidRDefault="00446415" w:rsidP="007400D7">
      <w:pPr>
        <w:pStyle w:val="AODocTxt"/>
        <w:spacing w:before="0" w:line="240" w:lineRule="auto"/>
        <w:rPr>
          <w:rFonts w:ascii="Arial" w:hAnsi="Arial" w:cs="Arial"/>
          <w:color w:val="808080" w:themeColor="background1" w:themeShade="80"/>
        </w:rPr>
      </w:pPr>
    </w:p>
    <w:p w14:paraId="0EF3A1A2" w14:textId="576FAD92" w:rsidR="00A25FB1" w:rsidRPr="001757F7" w:rsidRDefault="00540A9C" w:rsidP="001757F7">
      <w:pPr>
        <w:pStyle w:val="AODocTxt"/>
        <w:numPr>
          <w:ilvl w:val="0"/>
          <w:numId w:val="8"/>
        </w:numPr>
        <w:spacing w:before="0" w:line="240" w:lineRule="auto"/>
        <w:ind w:left="527" w:hanging="357"/>
        <w:rPr>
          <w:rFonts w:ascii="Arial" w:hAnsi="Arial" w:cs="Arial"/>
          <w:color w:val="808080" w:themeColor="background1" w:themeShade="80"/>
        </w:rPr>
      </w:pPr>
      <w:r w:rsidRPr="00DC0618">
        <w:rPr>
          <w:rFonts w:ascii="Arial" w:hAnsi="Arial" w:cs="Arial"/>
          <w:color w:val="808080" w:themeColor="background1" w:themeShade="80"/>
        </w:rPr>
        <w:t xml:space="preserve">Constructive fraudulent conveyance is the cause of </w:t>
      </w:r>
      <w:proofErr w:type="gramStart"/>
      <w:r w:rsidRPr="00DC0618">
        <w:rPr>
          <w:rFonts w:ascii="Arial" w:hAnsi="Arial" w:cs="Arial"/>
          <w:color w:val="808080" w:themeColor="background1" w:themeShade="80"/>
        </w:rPr>
        <w:t>action</w:t>
      </w:r>
      <w:proofErr w:type="gramEnd"/>
      <w:r w:rsidRPr="00DC0618">
        <w:rPr>
          <w:rFonts w:ascii="Arial" w:hAnsi="Arial" w:cs="Arial"/>
          <w:color w:val="808080" w:themeColor="background1" w:themeShade="80"/>
        </w:rPr>
        <w:t xml:space="preserve"> which requires that the debtor be presumed or proven to have been insolvent at the time of the transfer. A constructive fraudulent conveyance is proven by showing that the debtor in question "</w:t>
      </w:r>
      <w:r w:rsidRPr="00DC0618">
        <w:rPr>
          <w:rFonts w:ascii="Arial" w:hAnsi="Arial" w:cs="Arial"/>
          <w:i/>
          <w:iCs/>
          <w:color w:val="808080" w:themeColor="background1" w:themeShade="80"/>
        </w:rPr>
        <w:t>received less than a reasonably equivalent value in exchange for such transfer or obligation</w:t>
      </w:r>
      <w:r w:rsidRPr="00DC0618">
        <w:rPr>
          <w:rFonts w:ascii="Arial" w:hAnsi="Arial" w:cs="Arial"/>
          <w:color w:val="808080" w:themeColor="background1" w:themeShade="80"/>
        </w:rPr>
        <w:t>"</w:t>
      </w:r>
      <w:r w:rsidR="00A25FB1" w:rsidRPr="00DC0618">
        <w:rPr>
          <w:rStyle w:val="FootnoteReference"/>
          <w:rFonts w:ascii="Arial" w:hAnsi="Arial" w:cs="Arial"/>
          <w:color w:val="808080" w:themeColor="background1" w:themeShade="80"/>
        </w:rPr>
        <w:footnoteReference w:id="34"/>
      </w:r>
      <w:r w:rsidR="00A25FB1" w:rsidRPr="00DC0618">
        <w:rPr>
          <w:rFonts w:ascii="Arial" w:hAnsi="Arial" w:cs="Arial"/>
          <w:color w:val="808080" w:themeColor="background1" w:themeShade="80"/>
        </w:rPr>
        <w:t xml:space="preserve"> </w:t>
      </w:r>
      <w:r w:rsidRPr="00DC0618">
        <w:rPr>
          <w:rFonts w:ascii="Arial" w:hAnsi="Arial" w:cs="Arial"/>
          <w:color w:val="808080" w:themeColor="background1" w:themeShade="80"/>
        </w:rPr>
        <w:t xml:space="preserve">and </w:t>
      </w:r>
      <w:r w:rsidR="00DC0618">
        <w:rPr>
          <w:rFonts w:ascii="Arial" w:hAnsi="Arial" w:cs="Arial"/>
          <w:color w:val="808080" w:themeColor="background1" w:themeShade="80"/>
        </w:rPr>
        <w:t xml:space="preserve">any </w:t>
      </w:r>
      <w:r w:rsidRPr="00DC0618">
        <w:rPr>
          <w:rFonts w:ascii="Arial" w:hAnsi="Arial" w:cs="Arial"/>
          <w:color w:val="808080" w:themeColor="background1" w:themeShade="80"/>
        </w:rPr>
        <w:t xml:space="preserve">one of the conditions in </w:t>
      </w:r>
      <w:r w:rsidR="006E6446" w:rsidRPr="00DC0618">
        <w:rPr>
          <w:rFonts w:ascii="Arial" w:hAnsi="Arial" w:cs="Arial"/>
          <w:color w:val="808080" w:themeColor="background1" w:themeShade="80"/>
        </w:rPr>
        <w:t>s</w:t>
      </w:r>
      <w:r w:rsidRPr="00DC0618">
        <w:rPr>
          <w:rFonts w:ascii="Arial" w:hAnsi="Arial" w:cs="Arial"/>
          <w:color w:val="808080" w:themeColor="background1" w:themeShade="80"/>
        </w:rPr>
        <w:t>ection 548(a)(1)(B)(ii) are</w:t>
      </w:r>
      <w:r w:rsidR="001757F7">
        <w:rPr>
          <w:rFonts w:ascii="Arial" w:hAnsi="Arial" w:cs="Arial"/>
          <w:color w:val="808080" w:themeColor="background1" w:themeShade="80"/>
        </w:rPr>
        <w:t xml:space="preserve"> met. One of the conditions in section 548(a)(1)(B)(ii) is that </w:t>
      </w:r>
      <w:r w:rsidRPr="001757F7">
        <w:rPr>
          <w:rFonts w:ascii="Arial" w:hAnsi="Arial" w:cs="Arial"/>
          <w:color w:val="808080" w:themeColor="background1" w:themeShade="80"/>
        </w:rPr>
        <w:t>the debtor "</w:t>
      </w:r>
      <w:r w:rsidRPr="001757F7">
        <w:rPr>
          <w:rFonts w:ascii="Arial" w:hAnsi="Arial" w:cs="Arial"/>
          <w:i/>
          <w:iCs/>
          <w:color w:val="808080" w:themeColor="background1" w:themeShade="80"/>
        </w:rPr>
        <w:t xml:space="preserve">was </w:t>
      </w:r>
      <w:r w:rsidRPr="001757F7">
        <w:rPr>
          <w:rFonts w:ascii="Arial" w:hAnsi="Arial" w:cs="Arial"/>
          <w:i/>
          <w:iCs/>
          <w:color w:val="808080" w:themeColor="background1" w:themeShade="80"/>
          <w:u w:val="single"/>
        </w:rPr>
        <w:t>insolvent</w:t>
      </w:r>
      <w:r w:rsidRPr="001757F7">
        <w:rPr>
          <w:rFonts w:ascii="Arial" w:hAnsi="Arial" w:cs="Arial"/>
          <w:i/>
          <w:iCs/>
          <w:color w:val="808080" w:themeColor="background1" w:themeShade="80"/>
        </w:rPr>
        <w:t xml:space="preserve"> on the date that such transfer was </w:t>
      </w:r>
      <w:proofErr w:type="gramStart"/>
      <w:r w:rsidRPr="001757F7">
        <w:rPr>
          <w:rFonts w:ascii="Arial" w:hAnsi="Arial" w:cs="Arial"/>
          <w:i/>
          <w:iCs/>
          <w:color w:val="808080" w:themeColor="background1" w:themeShade="80"/>
        </w:rPr>
        <w:t>made</w:t>
      </w:r>
      <w:proofErr w:type="gramEnd"/>
      <w:r w:rsidRPr="001757F7">
        <w:rPr>
          <w:rFonts w:ascii="Arial" w:hAnsi="Arial" w:cs="Arial"/>
          <w:i/>
          <w:iCs/>
          <w:color w:val="808080" w:themeColor="background1" w:themeShade="80"/>
        </w:rPr>
        <w:t xml:space="preserve"> or such obligation was incurred, </w:t>
      </w:r>
      <w:r w:rsidRPr="001757F7">
        <w:rPr>
          <w:rFonts w:ascii="Arial" w:hAnsi="Arial" w:cs="Arial"/>
          <w:i/>
          <w:iCs/>
          <w:color w:val="808080" w:themeColor="background1" w:themeShade="80"/>
          <w:u w:val="single"/>
        </w:rPr>
        <w:t>or became insolvent</w:t>
      </w:r>
      <w:r w:rsidRPr="001757F7">
        <w:rPr>
          <w:rFonts w:ascii="Arial" w:hAnsi="Arial" w:cs="Arial"/>
          <w:i/>
          <w:iCs/>
          <w:color w:val="808080" w:themeColor="background1" w:themeShade="80"/>
        </w:rPr>
        <w:t xml:space="preserve"> as a result</w:t>
      </w:r>
      <w:r w:rsidR="001757F7">
        <w:rPr>
          <w:rFonts w:ascii="Arial" w:hAnsi="Arial" w:cs="Arial"/>
          <w:i/>
          <w:iCs/>
          <w:color w:val="808080" w:themeColor="background1" w:themeShade="80"/>
        </w:rPr>
        <w:t xml:space="preserve"> of such transfer or obligation</w:t>
      </w:r>
      <w:r w:rsidRPr="001757F7">
        <w:rPr>
          <w:rFonts w:ascii="Arial" w:hAnsi="Arial" w:cs="Arial"/>
          <w:color w:val="808080" w:themeColor="background1" w:themeShade="80"/>
        </w:rPr>
        <w:t xml:space="preserve"> [emphasis added]"</w:t>
      </w:r>
      <w:r w:rsidR="00A25FB1" w:rsidRPr="00DC0618">
        <w:rPr>
          <w:rStyle w:val="FootnoteReference"/>
          <w:rFonts w:ascii="Arial" w:hAnsi="Arial" w:cs="Arial"/>
          <w:color w:val="808080" w:themeColor="background1" w:themeShade="80"/>
        </w:rPr>
        <w:footnoteReference w:id="35"/>
      </w:r>
      <w:r w:rsidR="001757F7">
        <w:rPr>
          <w:rFonts w:ascii="Arial" w:hAnsi="Arial" w:cs="Arial"/>
          <w:color w:val="808080" w:themeColor="background1" w:themeShade="80"/>
        </w:rPr>
        <w:t>.</w:t>
      </w:r>
    </w:p>
    <w:p w14:paraId="769ADEAA" w14:textId="77777777" w:rsidR="00482421" w:rsidRPr="00DC0618" w:rsidRDefault="00482421" w:rsidP="00A25FB1">
      <w:pPr>
        <w:pStyle w:val="AODocTxt"/>
        <w:spacing w:before="0" w:line="240" w:lineRule="auto"/>
        <w:rPr>
          <w:rFonts w:ascii="Arial" w:hAnsi="Arial" w:cs="Arial"/>
          <w:color w:val="808080" w:themeColor="background1" w:themeShade="80"/>
        </w:rPr>
      </w:pPr>
    </w:p>
    <w:p w14:paraId="58565B6E" w14:textId="5D2F0C28" w:rsidR="000B234A" w:rsidRPr="007D14A6" w:rsidRDefault="00540A9C" w:rsidP="007D14A6">
      <w:pPr>
        <w:pStyle w:val="AODocTxt"/>
        <w:numPr>
          <w:ilvl w:val="0"/>
          <w:numId w:val="8"/>
        </w:numPr>
        <w:spacing w:before="0" w:line="240" w:lineRule="auto"/>
        <w:ind w:left="527" w:hanging="357"/>
        <w:rPr>
          <w:rFonts w:ascii="Arial" w:hAnsi="Arial" w:cs="Arial"/>
          <w:color w:val="808080" w:themeColor="background1" w:themeShade="80"/>
        </w:rPr>
      </w:pPr>
      <w:r w:rsidRPr="00DC0618">
        <w:rPr>
          <w:rFonts w:ascii="Arial" w:hAnsi="Arial" w:cs="Arial"/>
          <w:color w:val="808080" w:themeColor="background1" w:themeShade="80"/>
        </w:rPr>
        <w:t xml:space="preserve">Actual fraudulent </w:t>
      </w:r>
      <w:r w:rsidR="007400D7" w:rsidRPr="00DC0618">
        <w:rPr>
          <w:rFonts w:ascii="Arial" w:hAnsi="Arial" w:cs="Arial"/>
          <w:color w:val="808080" w:themeColor="background1" w:themeShade="80"/>
        </w:rPr>
        <w:t>conveyance</w:t>
      </w:r>
      <w:r w:rsidRPr="00DC0618">
        <w:rPr>
          <w:rFonts w:ascii="Arial" w:hAnsi="Arial" w:cs="Arial"/>
          <w:color w:val="808080" w:themeColor="background1" w:themeShade="80"/>
        </w:rPr>
        <w:t xml:space="preserve"> is the cause of action which requires that the debtor be proven to have intended to frustrate creditors' recoveries. Section 548(a)(1)(A) states that actual fraudulent conveyance is proven by showing that the debtor</w:t>
      </w:r>
      <w:r w:rsidR="007B6B2B">
        <w:rPr>
          <w:rFonts w:ascii="Arial" w:hAnsi="Arial" w:cs="Arial"/>
          <w:color w:val="808080" w:themeColor="background1" w:themeShade="80"/>
        </w:rPr>
        <w:t xml:space="preserve"> had made the transfer (or incurred the obligation)</w:t>
      </w:r>
      <w:r w:rsidRPr="00DC0618">
        <w:rPr>
          <w:rFonts w:ascii="Arial" w:hAnsi="Arial" w:cs="Arial"/>
          <w:color w:val="808080" w:themeColor="background1" w:themeShade="80"/>
        </w:rPr>
        <w:t xml:space="preserve"> "</w:t>
      </w:r>
      <w:r w:rsidRPr="00DC0618">
        <w:rPr>
          <w:rFonts w:ascii="Arial" w:hAnsi="Arial" w:cs="Arial"/>
          <w:i/>
          <w:iCs/>
          <w:color w:val="808080" w:themeColor="background1" w:themeShade="80"/>
        </w:rPr>
        <w:t xml:space="preserve">with </w:t>
      </w:r>
      <w:r w:rsidRPr="007B6B2B">
        <w:rPr>
          <w:rFonts w:ascii="Arial" w:hAnsi="Arial" w:cs="Arial"/>
          <w:i/>
          <w:iCs/>
          <w:color w:val="808080" w:themeColor="background1" w:themeShade="80"/>
          <w:u w:val="single"/>
        </w:rPr>
        <w:t>actual intent</w:t>
      </w:r>
      <w:r w:rsidRPr="00DC0618">
        <w:rPr>
          <w:rFonts w:ascii="Arial" w:hAnsi="Arial" w:cs="Arial"/>
          <w:i/>
          <w:iCs/>
          <w:color w:val="808080" w:themeColor="background1" w:themeShade="80"/>
        </w:rPr>
        <w:t xml:space="preserve"> to hinder, delay, or defraud any entity to which the debtor was or became</w:t>
      </w:r>
      <w:r w:rsidR="007B6B2B">
        <w:rPr>
          <w:rFonts w:ascii="Arial" w:hAnsi="Arial" w:cs="Arial"/>
          <w:i/>
          <w:iCs/>
          <w:color w:val="808080" w:themeColor="background1" w:themeShade="80"/>
        </w:rPr>
        <w:t>…</w:t>
      </w:r>
      <w:r w:rsidRPr="007B6B2B">
        <w:rPr>
          <w:rFonts w:ascii="Arial" w:hAnsi="Arial" w:cs="Arial"/>
          <w:i/>
          <w:iCs/>
          <w:color w:val="808080" w:themeColor="background1" w:themeShade="80"/>
          <w:u w:val="single"/>
        </w:rPr>
        <w:t>indebted</w:t>
      </w:r>
      <w:r w:rsidR="007B6B2B">
        <w:rPr>
          <w:rFonts w:ascii="Arial" w:hAnsi="Arial" w:cs="Arial"/>
          <w:i/>
          <w:iCs/>
          <w:color w:val="808080" w:themeColor="background1" w:themeShade="80"/>
        </w:rPr>
        <w:t xml:space="preserve"> </w:t>
      </w:r>
      <w:r w:rsidR="007B6B2B">
        <w:rPr>
          <w:rFonts w:ascii="Arial" w:hAnsi="Arial" w:cs="Arial"/>
          <w:color w:val="808080" w:themeColor="background1" w:themeShade="80"/>
        </w:rPr>
        <w:t>[emphasis added]</w:t>
      </w:r>
      <w:r w:rsidRPr="00DC0618">
        <w:rPr>
          <w:rFonts w:ascii="Arial" w:hAnsi="Arial" w:cs="Arial"/>
          <w:color w:val="808080" w:themeColor="background1" w:themeShade="80"/>
        </w:rPr>
        <w:t>"</w:t>
      </w:r>
      <w:r w:rsidR="003A5998" w:rsidRPr="00DC0618">
        <w:rPr>
          <w:rStyle w:val="FootnoteReference"/>
          <w:rFonts w:ascii="Arial" w:hAnsi="Arial" w:cs="Arial"/>
          <w:color w:val="808080" w:themeColor="background1" w:themeShade="80"/>
        </w:rPr>
        <w:footnoteReference w:id="36"/>
      </w:r>
      <w:r w:rsidRPr="00DC0618">
        <w:rPr>
          <w:rFonts w:ascii="Arial" w:hAnsi="Arial" w:cs="Arial"/>
          <w:color w:val="808080" w:themeColor="background1" w:themeShade="80"/>
        </w:rPr>
        <w:t xml:space="preserve">. </w:t>
      </w:r>
      <w:r w:rsidR="007D14A6">
        <w:rPr>
          <w:rFonts w:ascii="Arial" w:hAnsi="Arial" w:cs="Arial"/>
          <w:color w:val="808080" w:themeColor="background1" w:themeShade="80"/>
        </w:rPr>
        <w:t xml:space="preserve"> </w:t>
      </w:r>
      <w:r w:rsidRPr="007D14A6">
        <w:rPr>
          <w:rFonts w:ascii="Arial" w:hAnsi="Arial" w:cs="Arial"/>
          <w:color w:val="808080" w:themeColor="background1" w:themeShade="80"/>
        </w:rPr>
        <w:t>Such transfer includes transfers</w:t>
      </w:r>
      <w:r w:rsidR="00BD5784">
        <w:rPr>
          <w:rFonts w:ascii="Arial" w:hAnsi="Arial" w:cs="Arial"/>
          <w:color w:val="808080" w:themeColor="background1" w:themeShade="80"/>
        </w:rPr>
        <w:t xml:space="preserve"> which are</w:t>
      </w:r>
      <w:r w:rsidRPr="007D14A6">
        <w:rPr>
          <w:rFonts w:ascii="Arial" w:hAnsi="Arial" w:cs="Arial"/>
          <w:i/>
          <w:iCs/>
          <w:color w:val="808080" w:themeColor="background1" w:themeShade="80"/>
        </w:rPr>
        <w:t xml:space="preserve"> "made in anticipation of any money judgment, settlement, civil penalty, equitable order, or criminal fine incurred by, or which the debtor believed would be incurred by...any violation of the securities laws</w:t>
      </w:r>
      <w:r w:rsidR="003A5998" w:rsidRPr="00DC0618">
        <w:rPr>
          <w:rStyle w:val="FootnoteReference"/>
          <w:rFonts w:ascii="Arial" w:hAnsi="Arial" w:cs="Arial"/>
          <w:i/>
          <w:iCs/>
          <w:color w:val="808080" w:themeColor="background1" w:themeShade="80"/>
        </w:rPr>
        <w:footnoteReference w:id="37"/>
      </w:r>
      <w:r w:rsidRPr="007D14A6">
        <w:rPr>
          <w:rFonts w:ascii="Arial" w:hAnsi="Arial" w:cs="Arial"/>
          <w:color w:val="808080" w:themeColor="background1" w:themeShade="80"/>
        </w:rPr>
        <w:t>...</w:t>
      </w:r>
      <w:r w:rsidRPr="007D14A6">
        <w:rPr>
          <w:rFonts w:ascii="Arial" w:hAnsi="Arial" w:cs="Arial"/>
          <w:i/>
          <w:iCs/>
          <w:color w:val="808080" w:themeColor="background1" w:themeShade="80"/>
        </w:rPr>
        <w:t>or fraud, deceit, or manipulation in a fiduciary capacity or in connection with the purchase or sale of any security</w:t>
      </w:r>
      <w:r w:rsidRPr="007D14A6">
        <w:rPr>
          <w:rFonts w:ascii="Arial" w:hAnsi="Arial" w:cs="Arial"/>
          <w:color w:val="808080" w:themeColor="background1" w:themeShade="80"/>
        </w:rPr>
        <w:t>..."</w:t>
      </w:r>
      <w:r w:rsidR="003A5998" w:rsidRPr="00DC0618">
        <w:rPr>
          <w:rStyle w:val="FootnoteReference"/>
          <w:rFonts w:ascii="Arial" w:hAnsi="Arial" w:cs="Arial"/>
          <w:color w:val="808080" w:themeColor="background1" w:themeShade="80"/>
        </w:rPr>
        <w:footnoteReference w:id="38"/>
      </w:r>
      <w:r w:rsidRPr="007D14A6">
        <w:rPr>
          <w:rFonts w:ascii="Arial" w:hAnsi="Arial" w:cs="Arial"/>
          <w:color w:val="808080" w:themeColor="background1" w:themeShade="80"/>
        </w:rPr>
        <w:t>. The threshold of intent may be proven circumstantially</w:t>
      </w:r>
      <w:r w:rsidR="003A5998" w:rsidRPr="00DC0618">
        <w:rPr>
          <w:rStyle w:val="FootnoteReference"/>
          <w:rFonts w:ascii="Arial" w:hAnsi="Arial" w:cs="Arial"/>
          <w:color w:val="808080" w:themeColor="background1" w:themeShade="80"/>
        </w:rPr>
        <w:footnoteReference w:id="39"/>
      </w:r>
      <w:r w:rsidRPr="007D14A6">
        <w:rPr>
          <w:rFonts w:ascii="Arial" w:hAnsi="Arial" w:cs="Arial"/>
          <w:color w:val="808080" w:themeColor="background1" w:themeShade="80"/>
        </w:rPr>
        <w:t xml:space="preserve"> with references to "badges of fraud". "</w:t>
      </w:r>
      <w:r w:rsidR="00BD5784">
        <w:rPr>
          <w:rFonts w:ascii="Arial" w:hAnsi="Arial" w:cs="Arial"/>
          <w:color w:val="808080" w:themeColor="background1" w:themeShade="80"/>
        </w:rPr>
        <w:t>B</w:t>
      </w:r>
      <w:r w:rsidRPr="007D14A6">
        <w:rPr>
          <w:rFonts w:ascii="Arial" w:hAnsi="Arial" w:cs="Arial"/>
          <w:color w:val="808080" w:themeColor="background1" w:themeShade="80"/>
        </w:rPr>
        <w:t>adges of fraud" are a list of circumstantial factors that a court may use to infer fraudulent intent (a court will normally infer fraud by considering circumstantial evidence</w:t>
      </w:r>
      <w:r w:rsidR="00BD5784">
        <w:rPr>
          <w:rFonts w:ascii="Arial" w:hAnsi="Arial" w:cs="Arial"/>
          <w:color w:val="808080" w:themeColor="background1" w:themeShade="80"/>
        </w:rPr>
        <w:t xml:space="preserve"> as direct evidence of fraud is rare</w:t>
      </w:r>
      <w:r w:rsidRPr="007D14A6">
        <w:rPr>
          <w:rFonts w:ascii="Arial" w:hAnsi="Arial" w:cs="Arial"/>
          <w:color w:val="808080" w:themeColor="background1" w:themeShade="80"/>
        </w:rPr>
        <w:t>)</w:t>
      </w:r>
      <w:r w:rsidR="003A5998" w:rsidRPr="00DC0618">
        <w:rPr>
          <w:rStyle w:val="FootnoteReference"/>
          <w:rFonts w:ascii="Arial" w:hAnsi="Arial" w:cs="Arial"/>
          <w:color w:val="808080" w:themeColor="background1" w:themeShade="80"/>
        </w:rPr>
        <w:footnoteReference w:id="40"/>
      </w:r>
      <w:r w:rsidRPr="007D14A6">
        <w:rPr>
          <w:rFonts w:ascii="Arial" w:hAnsi="Arial" w:cs="Arial"/>
          <w:color w:val="808080" w:themeColor="background1" w:themeShade="80"/>
        </w:rPr>
        <w:t xml:space="preserve">. These factors </w:t>
      </w:r>
      <w:proofErr w:type="gramStart"/>
      <w:r w:rsidRPr="007D14A6">
        <w:rPr>
          <w:rFonts w:ascii="Arial" w:hAnsi="Arial" w:cs="Arial"/>
          <w:color w:val="808080" w:themeColor="background1" w:themeShade="80"/>
        </w:rPr>
        <w:t>include:</w:t>
      </w:r>
      <w:proofErr w:type="gramEnd"/>
      <w:r w:rsidRPr="007D14A6">
        <w:rPr>
          <w:rFonts w:ascii="Arial" w:hAnsi="Arial" w:cs="Arial"/>
          <w:color w:val="808080" w:themeColor="background1" w:themeShade="80"/>
        </w:rPr>
        <w:t xml:space="preserve"> before the transfer or obligation in question, the debtor had been sued (or threatened with legal action)</w:t>
      </w:r>
      <w:r w:rsidR="0066517C">
        <w:rPr>
          <w:rFonts w:ascii="Arial" w:hAnsi="Arial" w:cs="Arial"/>
          <w:color w:val="808080" w:themeColor="background1" w:themeShade="80"/>
        </w:rPr>
        <w:t>,</w:t>
      </w:r>
      <w:r w:rsidRPr="007D14A6">
        <w:rPr>
          <w:rFonts w:ascii="Arial" w:hAnsi="Arial" w:cs="Arial"/>
          <w:color w:val="808080" w:themeColor="background1" w:themeShade="80"/>
        </w:rPr>
        <w:t xml:space="preserve"> the transfer </w:t>
      </w:r>
      <w:r w:rsidR="0066517C">
        <w:rPr>
          <w:rFonts w:ascii="Arial" w:hAnsi="Arial" w:cs="Arial"/>
          <w:color w:val="808080" w:themeColor="background1" w:themeShade="80"/>
        </w:rPr>
        <w:t xml:space="preserve">in question </w:t>
      </w:r>
      <w:r w:rsidRPr="007D14A6">
        <w:rPr>
          <w:rFonts w:ascii="Arial" w:hAnsi="Arial" w:cs="Arial"/>
          <w:color w:val="808080" w:themeColor="background1" w:themeShade="80"/>
        </w:rPr>
        <w:t xml:space="preserve">was of substantially </w:t>
      </w:r>
      <w:r w:rsidR="0066517C">
        <w:rPr>
          <w:rFonts w:ascii="Arial" w:hAnsi="Arial" w:cs="Arial"/>
          <w:color w:val="808080" w:themeColor="background1" w:themeShade="80"/>
        </w:rPr>
        <w:t xml:space="preserve">of </w:t>
      </w:r>
      <w:r w:rsidRPr="007D14A6">
        <w:rPr>
          <w:rFonts w:ascii="Arial" w:hAnsi="Arial" w:cs="Arial"/>
          <w:color w:val="808080" w:themeColor="background1" w:themeShade="80"/>
        </w:rPr>
        <w:t>the debtor's assets</w:t>
      </w:r>
      <w:r w:rsidR="0066517C">
        <w:rPr>
          <w:rFonts w:ascii="Arial" w:hAnsi="Arial" w:cs="Arial"/>
          <w:color w:val="808080" w:themeColor="background1" w:themeShade="80"/>
        </w:rPr>
        <w:t xml:space="preserve"> </w:t>
      </w:r>
      <w:r w:rsidRPr="007D14A6">
        <w:rPr>
          <w:rFonts w:ascii="Arial" w:hAnsi="Arial" w:cs="Arial"/>
          <w:color w:val="808080" w:themeColor="background1" w:themeShade="80"/>
        </w:rPr>
        <w:t xml:space="preserve">and </w:t>
      </w:r>
      <w:r w:rsidRPr="007D14A6">
        <w:rPr>
          <w:rFonts w:ascii="Arial" w:hAnsi="Arial" w:cs="Arial"/>
          <w:color w:val="808080" w:themeColor="background1" w:themeShade="80"/>
        </w:rPr>
        <w:lastRenderedPageBreak/>
        <w:t xml:space="preserve">the debtor was insolvent (or became </w:t>
      </w:r>
      <w:r w:rsidR="004D3363" w:rsidRPr="007D14A6">
        <w:rPr>
          <w:rFonts w:ascii="Arial" w:hAnsi="Arial" w:cs="Arial"/>
          <w:color w:val="808080" w:themeColor="background1" w:themeShade="80"/>
        </w:rPr>
        <w:t>insolvent</w:t>
      </w:r>
      <w:r w:rsidRPr="007D14A6">
        <w:rPr>
          <w:rFonts w:ascii="Arial" w:hAnsi="Arial" w:cs="Arial"/>
          <w:color w:val="808080" w:themeColor="background1" w:themeShade="80"/>
        </w:rPr>
        <w:t xml:space="preserve"> shortly after the transfer was made or obligation was incurred)</w:t>
      </w:r>
      <w:r w:rsidR="003A5998" w:rsidRPr="00DC0618">
        <w:rPr>
          <w:rStyle w:val="FootnoteReference"/>
          <w:rFonts w:ascii="Arial" w:hAnsi="Arial" w:cs="Arial"/>
          <w:color w:val="808080" w:themeColor="background1" w:themeShade="80"/>
        </w:rPr>
        <w:footnoteReference w:id="41"/>
      </w:r>
      <w:r w:rsidR="003A5998" w:rsidRPr="007D14A6">
        <w:rPr>
          <w:rFonts w:ascii="Arial" w:hAnsi="Arial" w:cs="Arial"/>
          <w:color w:val="808080" w:themeColor="background1" w:themeShade="80"/>
        </w:rPr>
        <w:t>.</w:t>
      </w:r>
    </w:p>
    <w:p w14:paraId="2CBFED7A" w14:textId="77777777" w:rsidR="00A800E6" w:rsidRDefault="00A800E6" w:rsidP="00B03D78">
      <w:pPr>
        <w:pStyle w:val="AODocTxt"/>
        <w:spacing w:before="0" w:line="240" w:lineRule="auto"/>
        <w:rPr>
          <w:rFonts w:ascii="Avenir Next" w:hAnsi="Avenir Next"/>
          <w:color w:val="808080" w:themeColor="background1" w:themeShade="80"/>
        </w:rPr>
      </w:pPr>
    </w:p>
    <w:p w14:paraId="37109F81" w14:textId="77777777" w:rsidR="00A800E6" w:rsidRDefault="00A800E6" w:rsidP="00B03D78">
      <w:pPr>
        <w:pStyle w:val="AODocTxt"/>
        <w:spacing w:before="0" w:line="240" w:lineRule="auto"/>
        <w:rPr>
          <w:rFonts w:ascii="Avenir Next" w:hAnsi="Avenir Next"/>
          <w:color w:val="808080" w:themeColor="background1" w:themeShade="80"/>
        </w:rPr>
      </w:pPr>
    </w:p>
    <w:p w14:paraId="09805B91" w14:textId="77777777" w:rsidR="006252B6" w:rsidRPr="001B1763" w:rsidRDefault="006252B6" w:rsidP="00B03D78">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39F69D32" w14:textId="77777777" w:rsidR="00FB14AE" w:rsidRDefault="00FB14AE" w:rsidP="00562F82">
      <w:pPr>
        <w:pStyle w:val="AODocTxt"/>
        <w:spacing w:before="0" w:line="240" w:lineRule="auto"/>
        <w:rPr>
          <w:rFonts w:ascii="Arial" w:hAnsi="Arial" w:cs="Arial"/>
          <w:color w:val="808080" w:themeColor="background1" w:themeShade="80"/>
        </w:rPr>
      </w:pPr>
    </w:p>
    <w:p w14:paraId="0B65C763" w14:textId="1D959F27" w:rsidR="000B3401" w:rsidRPr="00D8620D" w:rsidRDefault="000B3401" w:rsidP="00562F82">
      <w:pPr>
        <w:pStyle w:val="AODocTxt"/>
        <w:spacing w:before="0" w:line="240" w:lineRule="auto"/>
        <w:rPr>
          <w:rFonts w:ascii="Arial" w:hAnsi="Arial" w:cs="Arial"/>
          <w:b/>
          <w:bCs/>
          <w:color w:val="808080" w:themeColor="background1" w:themeShade="80"/>
          <w:u w:val="single"/>
        </w:rPr>
      </w:pPr>
      <w:r w:rsidRPr="00D8620D">
        <w:rPr>
          <w:rFonts w:ascii="Arial" w:hAnsi="Arial" w:cs="Arial"/>
          <w:b/>
          <w:bCs/>
          <w:color w:val="808080" w:themeColor="background1" w:themeShade="80"/>
          <w:u w:val="single"/>
        </w:rPr>
        <w:t>Background to jurisdiction of bankruptcy courts</w:t>
      </w:r>
    </w:p>
    <w:p w14:paraId="0301658E" w14:textId="0A46B428" w:rsidR="005970B0" w:rsidRPr="00D8620D" w:rsidRDefault="000B234A"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 xml:space="preserve">Federal judicial power is set out in </w:t>
      </w:r>
      <w:r w:rsidR="00483A6B" w:rsidRPr="00D8620D">
        <w:rPr>
          <w:rFonts w:ascii="Arial" w:hAnsi="Arial" w:cs="Arial"/>
          <w:color w:val="808080" w:themeColor="background1" w:themeShade="80"/>
        </w:rPr>
        <w:t>s</w:t>
      </w:r>
      <w:r w:rsidRPr="00D8620D">
        <w:rPr>
          <w:rFonts w:ascii="Arial" w:hAnsi="Arial" w:cs="Arial"/>
          <w:color w:val="808080" w:themeColor="background1" w:themeShade="80"/>
        </w:rPr>
        <w:t>ection 1 of Article III of the US Constitution</w:t>
      </w:r>
      <w:r w:rsidR="00661068" w:rsidRPr="00D8620D">
        <w:rPr>
          <w:rFonts w:ascii="Arial" w:hAnsi="Arial" w:cs="Arial"/>
          <w:color w:val="808080" w:themeColor="background1" w:themeShade="80"/>
        </w:rPr>
        <w:t xml:space="preserve"> (“</w:t>
      </w:r>
      <w:r w:rsidR="00661068" w:rsidRPr="00D8620D">
        <w:rPr>
          <w:rFonts w:ascii="Arial" w:hAnsi="Arial" w:cs="Arial"/>
          <w:b/>
          <w:bCs/>
          <w:color w:val="808080" w:themeColor="background1" w:themeShade="80"/>
        </w:rPr>
        <w:t>Article III</w:t>
      </w:r>
      <w:r w:rsidR="00661068" w:rsidRPr="00D8620D">
        <w:rPr>
          <w:rFonts w:ascii="Arial" w:hAnsi="Arial" w:cs="Arial"/>
          <w:color w:val="808080" w:themeColor="background1" w:themeShade="80"/>
        </w:rPr>
        <w:t>”)</w:t>
      </w:r>
      <w:r w:rsidRPr="00D8620D">
        <w:rPr>
          <w:rFonts w:ascii="Arial" w:hAnsi="Arial" w:cs="Arial"/>
          <w:color w:val="808080" w:themeColor="background1" w:themeShade="80"/>
        </w:rPr>
        <w:t xml:space="preserve">. These judges hold office during good </w:t>
      </w:r>
      <w:proofErr w:type="spellStart"/>
      <w:r w:rsidRPr="00D8620D">
        <w:rPr>
          <w:rFonts w:ascii="Arial" w:hAnsi="Arial" w:cs="Arial"/>
          <w:color w:val="808080" w:themeColor="background1" w:themeShade="80"/>
        </w:rPr>
        <w:t>behaviour</w:t>
      </w:r>
      <w:proofErr w:type="spellEnd"/>
      <w:r w:rsidRPr="00D8620D">
        <w:rPr>
          <w:rFonts w:ascii="Arial" w:hAnsi="Arial" w:cs="Arial"/>
          <w:color w:val="808080" w:themeColor="background1" w:themeShade="80"/>
        </w:rPr>
        <w:t xml:space="preserve"> and receive compensation that will not be reduced whilst in office.</w:t>
      </w:r>
      <w:r w:rsidRPr="00D8620D">
        <w:rPr>
          <w:rStyle w:val="FootnoteReference"/>
          <w:rFonts w:ascii="Arial" w:hAnsi="Arial" w:cs="Arial"/>
          <w:color w:val="808080" w:themeColor="background1" w:themeShade="80"/>
        </w:rPr>
        <w:footnoteReference w:id="42"/>
      </w:r>
      <w:r w:rsidRPr="00D8620D">
        <w:rPr>
          <w:rFonts w:ascii="Arial" w:hAnsi="Arial" w:cs="Arial"/>
          <w:color w:val="808080" w:themeColor="background1" w:themeShade="80"/>
        </w:rPr>
        <w:t xml:space="preserve"> </w:t>
      </w:r>
      <w:r w:rsidR="00C33350" w:rsidRPr="00D8620D">
        <w:rPr>
          <w:rFonts w:ascii="Arial" w:hAnsi="Arial" w:cs="Arial"/>
          <w:color w:val="808080" w:themeColor="background1" w:themeShade="80"/>
        </w:rPr>
        <w:t>B</w:t>
      </w:r>
      <w:r w:rsidRPr="00D8620D">
        <w:rPr>
          <w:rFonts w:ascii="Arial" w:hAnsi="Arial" w:cs="Arial"/>
          <w:color w:val="808080" w:themeColor="background1" w:themeShade="80"/>
        </w:rPr>
        <w:t>ankruptcy judges are not Article III judges –</w:t>
      </w:r>
      <w:r w:rsidR="00D34E95" w:rsidRPr="00D8620D">
        <w:rPr>
          <w:rFonts w:ascii="Arial" w:hAnsi="Arial" w:cs="Arial"/>
          <w:color w:val="808080" w:themeColor="background1" w:themeShade="80"/>
        </w:rPr>
        <w:t xml:space="preserve"> bankruptcy courts are created by legislation.</w:t>
      </w:r>
      <w:r w:rsidRPr="00D8620D">
        <w:rPr>
          <w:rStyle w:val="FootnoteReference"/>
          <w:rFonts w:ascii="Arial" w:hAnsi="Arial" w:cs="Arial"/>
          <w:color w:val="808080" w:themeColor="background1" w:themeShade="80"/>
        </w:rPr>
        <w:footnoteReference w:id="43"/>
      </w:r>
      <w:r w:rsidR="00191822" w:rsidRPr="00D8620D">
        <w:rPr>
          <w:rFonts w:ascii="Arial" w:hAnsi="Arial" w:cs="Arial"/>
          <w:color w:val="808080" w:themeColor="background1" w:themeShade="80"/>
        </w:rPr>
        <w:t xml:space="preserve"> Due to the nature of how bankruptcy courts are established, </w:t>
      </w:r>
      <w:r w:rsidR="000B3401" w:rsidRPr="00D8620D">
        <w:rPr>
          <w:rFonts w:ascii="Arial" w:hAnsi="Arial" w:cs="Arial"/>
          <w:color w:val="808080" w:themeColor="background1" w:themeShade="80"/>
        </w:rPr>
        <w:t>they</w:t>
      </w:r>
      <w:r w:rsidR="00191822" w:rsidRPr="00D8620D">
        <w:rPr>
          <w:rFonts w:ascii="Arial" w:hAnsi="Arial" w:cs="Arial"/>
          <w:color w:val="808080" w:themeColor="background1" w:themeShade="80"/>
        </w:rPr>
        <w:t xml:space="preserve"> have a limited jurisdiction to enter final orders</w:t>
      </w:r>
      <w:r w:rsidR="00A37D63" w:rsidRPr="00D8620D">
        <w:rPr>
          <w:rFonts w:ascii="Arial" w:hAnsi="Arial" w:cs="Arial"/>
          <w:color w:val="808080" w:themeColor="background1" w:themeShade="80"/>
        </w:rPr>
        <w:t xml:space="preserve">, </w:t>
      </w:r>
      <w:r w:rsidR="00191822" w:rsidRPr="00D8620D">
        <w:rPr>
          <w:rFonts w:ascii="Arial" w:hAnsi="Arial" w:cs="Arial"/>
          <w:color w:val="808080" w:themeColor="background1" w:themeShade="80"/>
        </w:rPr>
        <w:t>other than on core bankruptcy issues.</w:t>
      </w:r>
      <w:r w:rsidR="00191822" w:rsidRPr="00D8620D">
        <w:rPr>
          <w:rStyle w:val="FootnoteReference"/>
          <w:rFonts w:ascii="Arial" w:hAnsi="Arial" w:cs="Arial"/>
          <w:color w:val="808080" w:themeColor="background1" w:themeShade="80"/>
        </w:rPr>
        <w:footnoteReference w:id="44"/>
      </w:r>
    </w:p>
    <w:p w14:paraId="1FF8CD85" w14:textId="77777777" w:rsidR="007F105F" w:rsidRPr="00D8620D" w:rsidRDefault="007F105F" w:rsidP="00562F82">
      <w:pPr>
        <w:pStyle w:val="AODocTxt"/>
        <w:spacing w:before="0" w:line="240" w:lineRule="auto"/>
        <w:rPr>
          <w:rFonts w:ascii="Arial" w:hAnsi="Arial" w:cs="Arial"/>
          <w:color w:val="808080" w:themeColor="background1" w:themeShade="80"/>
        </w:rPr>
      </w:pPr>
    </w:p>
    <w:p w14:paraId="153EFEF0" w14:textId="26A97BE8" w:rsidR="000B3401" w:rsidRPr="00D8620D" w:rsidRDefault="009D5A76"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Section 1334(a) of Title 28 of the United States Code states that</w:t>
      </w:r>
      <w:r w:rsidR="00A37D63" w:rsidRPr="00D8620D">
        <w:rPr>
          <w:rFonts w:ascii="Arial" w:hAnsi="Arial" w:cs="Arial"/>
          <w:color w:val="808080" w:themeColor="background1" w:themeShade="80"/>
        </w:rPr>
        <w:t xml:space="preserve"> “</w:t>
      </w:r>
      <w:r w:rsidR="00A17B05" w:rsidRPr="00D8620D">
        <w:rPr>
          <w:rFonts w:ascii="Arial" w:hAnsi="Arial" w:cs="Arial"/>
          <w:i/>
          <w:iCs/>
          <w:color w:val="808080" w:themeColor="background1" w:themeShade="80"/>
        </w:rPr>
        <w:t xml:space="preserve">the district courts shall have </w:t>
      </w:r>
      <w:r w:rsidR="00D00F0A" w:rsidRPr="00D8620D">
        <w:rPr>
          <w:rFonts w:ascii="Arial" w:hAnsi="Arial" w:cs="Arial"/>
          <w:i/>
          <w:iCs/>
          <w:color w:val="808080" w:themeColor="background1" w:themeShade="80"/>
        </w:rPr>
        <w:t>original and exclusive jurisdiction of all cases under title 11</w:t>
      </w:r>
      <w:r w:rsidR="00A37D63" w:rsidRPr="00D8620D">
        <w:rPr>
          <w:rFonts w:ascii="Arial" w:hAnsi="Arial" w:cs="Arial"/>
          <w:color w:val="808080" w:themeColor="background1" w:themeShade="80"/>
        </w:rPr>
        <w:t>”</w:t>
      </w:r>
      <w:r w:rsidR="00A37D63" w:rsidRPr="00D8620D">
        <w:rPr>
          <w:rStyle w:val="FootnoteReference"/>
          <w:rFonts w:ascii="Arial" w:hAnsi="Arial" w:cs="Arial"/>
          <w:color w:val="808080" w:themeColor="background1" w:themeShade="80"/>
        </w:rPr>
        <w:footnoteReference w:id="45"/>
      </w:r>
      <w:r w:rsidR="00A37D63" w:rsidRPr="00D8620D">
        <w:rPr>
          <w:rFonts w:ascii="Arial" w:hAnsi="Arial" w:cs="Arial"/>
          <w:color w:val="808080" w:themeColor="background1" w:themeShade="80"/>
        </w:rPr>
        <w:t xml:space="preserve">. </w:t>
      </w:r>
      <w:r w:rsidR="005A58F8" w:rsidRPr="00D8620D">
        <w:rPr>
          <w:rFonts w:ascii="Arial" w:hAnsi="Arial" w:cs="Arial"/>
          <w:color w:val="808080" w:themeColor="background1" w:themeShade="80"/>
        </w:rPr>
        <w:t>Each district</w:t>
      </w:r>
      <w:r w:rsidR="000877CC" w:rsidRPr="00D8620D">
        <w:rPr>
          <w:rFonts w:ascii="Arial" w:hAnsi="Arial" w:cs="Arial"/>
          <w:color w:val="808080" w:themeColor="background1" w:themeShade="80"/>
        </w:rPr>
        <w:t xml:space="preserve"> court </w:t>
      </w:r>
      <w:r w:rsidR="0099133A">
        <w:rPr>
          <w:rFonts w:ascii="Arial" w:hAnsi="Arial" w:cs="Arial"/>
          <w:color w:val="808080" w:themeColor="background1" w:themeShade="80"/>
        </w:rPr>
        <w:t>may (but need not)</w:t>
      </w:r>
      <w:r w:rsidR="000877CC" w:rsidRPr="00D8620D">
        <w:rPr>
          <w:rFonts w:ascii="Arial" w:hAnsi="Arial" w:cs="Arial"/>
          <w:color w:val="808080" w:themeColor="background1" w:themeShade="80"/>
        </w:rPr>
        <w:t xml:space="preserve"> </w:t>
      </w:r>
      <w:r w:rsidR="0099133A">
        <w:rPr>
          <w:rFonts w:ascii="Arial" w:hAnsi="Arial" w:cs="Arial"/>
          <w:color w:val="808080" w:themeColor="background1" w:themeShade="80"/>
        </w:rPr>
        <w:t xml:space="preserve">refer </w:t>
      </w:r>
      <w:r w:rsidR="000877CC" w:rsidRPr="00D8620D">
        <w:rPr>
          <w:rFonts w:ascii="Arial" w:hAnsi="Arial" w:cs="Arial"/>
          <w:color w:val="808080" w:themeColor="background1" w:themeShade="80"/>
        </w:rPr>
        <w:t>a matter under Title 11 of the United States Code to the bankruptcy judges of that district.</w:t>
      </w:r>
      <w:r w:rsidR="00A37D63" w:rsidRPr="00D8620D">
        <w:rPr>
          <w:rStyle w:val="FootnoteReference"/>
          <w:rFonts w:ascii="Arial" w:hAnsi="Arial" w:cs="Arial"/>
          <w:color w:val="808080" w:themeColor="background1" w:themeShade="80"/>
        </w:rPr>
        <w:footnoteReference w:id="46"/>
      </w:r>
    </w:p>
    <w:p w14:paraId="23ECA457" w14:textId="77777777" w:rsidR="0099133A" w:rsidRPr="00D8620D" w:rsidRDefault="0099133A" w:rsidP="00562F82">
      <w:pPr>
        <w:pStyle w:val="AODocTxt"/>
        <w:spacing w:before="0" w:line="240" w:lineRule="auto"/>
        <w:rPr>
          <w:rFonts w:ascii="Arial" w:hAnsi="Arial" w:cs="Arial"/>
          <w:color w:val="808080" w:themeColor="background1" w:themeShade="80"/>
        </w:rPr>
      </w:pPr>
    </w:p>
    <w:p w14:paraId="5F918CBE" w14:textId="18ED559B" w:rsidR="000B3401" w:rsidRPr="00D8620D" w:rsidRDefault="000B3401" w:rsidP="00562F82">
      <w:pPr>
        <w:pStyle w:val="AODocTxt"/>
        <w:spacing w:before="0" w:line="240" w:lineRule="auto"/>
        <w:rPr>
          <w:rFonts w:ascii="Arial" w:hAnsi="Arial" w:cs="Arial"/>
          <w:b/>
          <w:bCs/>
          <w:color w:val="808080" w:themeColor="background1" w:themeShade="80"/>
          <w:u w:val="single"/>
        </w:rPr>
      </w:pPr>
      <w:r w:rsidRPr="00D8620D">
        <w:rPr>
          <w:rFonts w:ascii="Arial" w:hAnsi="Arial" w:cs="Arial"/>
          <w:b/>
          <w:bCs/>
          <w:color w:val="808080" w:themeColor="background1" w:themeShade="80"/>
          <w:u w:val="single"/>
        </w:rPr>
        <w:t>“Core” and “non-core” proceedings</w:t>
      </w:r>
    </w:p>
    <w:p w14:paraId="34846A5A" w14:textId="1498DF18" w:rsidR="0074435D" w:rsidRPr="00D8620D" w:rsidRDefault="005A58F8"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S</w:t>
      </w:r>
      <w:r w:rsidR="000877CC" w:rsidRPr="00D8620D">
        <w:rPr>
          <w:rFonts w:ascii="Arial" w:hAnsi="Arial" w:cs="Arial"/>
          <w:color w:val="808080" w:themeColor="background1" w:themeShade="80"/>
        </w:rPr>
        <w:t>ection 157 makes</w:t>
      </w:r>
      <w:r w:rsidR="00734B4E" w:rsidRPr="00D8620D">
        <w:rPr>
          <w:rFonts w:ascii="Arial" w:hAnsi="Arial" w:cs="Arial"/>
          <w:color w:val="808080" w:themeColor="background1" w:themeShade="80"/>
        </w:rPr>
        <w:t xml:space="preserve"> a </w:t>
      </w:r>
      <w:r w:rsidR="00A37D63" w:rsidRPr="00D8620D">
        <w:rPr>
          <w:rFonts w:ascii="Arial" w:hAnsi="Arial" w:cs="Arial"/>
          <w:color w:val="808080" w:themeColor="background1" w:themeShade="80"/>
        </w:rPr>
        <w:t>distin</w:t>
      </w:r>
      <w:r w:rsidR="00734B4E" w:rsidRPr="00D8620D">
        <w:rPr>
          <w:rFonts w:ascii="Arial" w:hAnsi="Arial" w:cs="Arial"/>
          <w:color w:val="808080" w:themeColor="background1" w:themeShade="80"/>
        </w:rPr>
        <w:t>ction</w:t>
      </w:r>
      <w:r w:rsidR="00A37D63" w:rsidRPr="00D8620D">
        <w:rPr>
          <w:rFonts w:ascii="Arial" w:hAnsi="Arial" w:cs="Arial"/>
          <w:color w:val="808080" w:themeColor="background1" w:themeShade="80"/>
        </w:rPr>
        <w:t xml:space="preserve"> between “core” and “non-core” </w:t>
      </w:r>
      <w:r w:rsidR="000877CC" w:rsidRPr="00D8620D">
        <w:rPr>
          <w:rFonts w:ascii="Arial" w:hAnsi="Arial" w:cs="Arial"/>
          <w:color w:val="808080" w:themeColor="background1" w:themeShade="80"/>
        </w:rPr>
        <w:t>proceedings</w:t>
      </w:r>
      <w:r w:rsidR="00A37D63" w:rsidRPr="00D8620D">
        <w:rPr>
          <w:rStyle w:val="FootnoteReference"/>
          <w:rFonts w:ascii="Arial" w:hAnsi="Arial" w:cs="Arial"/>
          <w:color w:val="808080" w:themeColor="background1" w:themeShade="80"/>
        </w:rPr>
        <w:footnoteReference w:id="47"/>
      </w:r>
      <w:r w:rsidRPr="00D8620D">
        <w:rPr>
          <w:rFonts w:ascii="Arial" w:hAnsi="Arial" w:cs="Arial"/>
          <w:color w:val="808080" w:themeColor="background1" w:themeShade="80"/>
        </w:rPr>
        <w:t xml:space="preserve"> and </w:t>
      </w:r>
      <w:r w:rsidR="00061C1C" w:rsidRPr="00D8620D">
        <w:rPr>
          <w:rFonts w:ascii="Arial" w:hAnsi="Arial" w:cs="Arial"/>
          <w:color w:val="808080" w:themeColor="background1" w:themeShade="80"/>
        </w:rPr>
        <w:t>provides that bankruptcy judges</w:t>
      </w:r>
      <w:r w:rsidR="000877CC" w:rsidRPr="00D8620D">
        <w:rPr>
          <w:rFonts w:ascii="Arial" w:hAnsi="Arial" w:cs="Arial"/>
          <w:color w:val="808080" w:themeColor="background1" w:themeShade="80"/>
        </w:rPr>
        <w:t xml:space="preserve"> </w:t>
      </w:r>
      <w:r w:rsidR="00061C1C" w:rsidRPr="00D8620D">
        <w:rPr>
          <w:rFonts w:ascii="Arial" w:hAnsi="Arial" w:cs="Arial"/>
          <w:color w:val="808080" w:themeColor="background1" w:themeShade="80"/>
        </w:rPr>
        <w:t>“</w:t>
      </w:r>
      <w:r w:rsidR="00061C1C" w:rsidRPr="00D8620D">
        <w:rPr>
          <w:rFonts w:ascii="Arial" w:hAnsi="Arial" w:cs="Arial"/>
          <w:i/>
          <w:iCs/>
          <w:color w:val="808080" w:themeColor="background1" w:themeShade="80"/>
        </w:rPr>
        <w:t xml:space="preserve">may hear and determine all cases under title 11 and </w:t>
      </w:r>
      <w:r w:rsidR="00061C1C" w:rsidRPr="00D8620D">
        <w:rPr>
          <w:rFonts w:ascii="Arial" w:hAnsi="Arial" w:cs="Arial"/>
          <w:i/>
          <w:iCs/>
          <w:color w:val="808080" w:themeColor="background1" w:themeShade="80"/>
          <w:u w:val="single"/>
        </w:rPr>
        <w:t>all core proceedings</w:t>
      </w:r>
      <w:r w:rsidR="000877CC" w:rsidRPr="00D8620D">
        <w:rPr>
          <w:rFonts w:ascii="Arial" w:hAnsi="Arial" w:cs="Arial"/>
          <w:i/>
          <w:iCs/>
          <w:color w:val="808080" w:themeColor="background1" w:themeShade="80"/>
        </w:rPr>
        <w:t>…and may enter appropriate orders and judgments</w:t>
      </w:r>
      <w:r w:rsidR="00061C1C" w:rsidRPr="00D8620D">
        <w:rPr>
          <w:rFonts w:ascii="Arial" w:hAnsi="Arial" w:cs="Arial"/>
          <w:color w:val="808080" w:themeColor="background1" w:themeShade="80"/>
        </w:rPr>
        <w:t xml:space="preserve"> [emphasis added]”</w:t>
      </w:r>
      <w:r w:rsidR="00061C1C" w:rsidRPr="00D8620D">
        <w:rPr>
          <w:rStyle w:val="FootnoteReference"/>
          <w:rFonts w:ascii="Arial" w:hAnsi="Arial" w:cs="Arial"/>
          <w:color w:val="808080" w:themeColor="background1" w:themeShade="80"/>
        </w:rPr>
        <w:footnoteReference w:id="48"/>
      </w:r>
      <w:r w:rsidR="00061C1C" w:rsidRPr="00D8620D">
        <w:rPr>
          <w:rFonts w:ascii="Arial" w:hAnsi="Arial" w:cs="Arial"/>
          <w:color w:val="808080" w:themeColor="background1" w:themeShade="80"/>
        </w:rPr>
        <w:t>. Section 157 further provides a non-exhaustive list of core proceedings, which include matters concerning the administration of the estate.</w:t>
      </w:r>
      <w:r w:rsidR="003935BA" w:rsidRPr="00D8620D">
        <w:rPr>
          <w:rStyle w:val="FootnoteReference"/>
          <w:rFonts w:ascii="Arial" w:hAnsi="Arial" w:cs="Arial"/>
          <w:color w:val="808080" w:themeColor="background1" w:themeShade="80"/>
        </w:rPr>
        <w:footnoteReference w:id="49"/>
      </w:r>
      <w:r w:rsidR="003935BA" w:rsidRPr="00D8620D">
        <w:rPr>
          <w:rFonts w:ascii="Arial" w:hAnsi="Arial" w:cs="Arial"/>
          <w:color w:val="808080" w:themeColor="background1" w:themeShade="80"/>
        </w:rPr>
        <w:t xml:space="preserve"> </w:t>
      </w:r>
      <w:r w:rsidR="00686869" w:rsidRPr="00D8620D">
        <w:rPr>
          <w:rFonts w:ascii="Arial" w:hAnsi="Arial" w:cs="Arial"/>
          <w:color w:val="808080" w:themeColor="background1" w:themeShade="80"/>
        </w:rPr>
        <w:t>The bankruptcy court’s jurisdiction to determine core proceedings can be contrasted with its jurisdiction</w:t>
      </w:r>
      <w:r w:rsidR="000B3401" w:rsidRPr="00D8620D">
        <w:rPr>
          <w:rFonts w:ascii="Arial" w:hAnsi="Arial" w:cs="Arial"/>
          <w:color w:val="808080" w:themeColor="background1" w:themeShade="80"/>
        </w:rPr>
        <w:t xml:space="preserve"> </w:t>
      </w:r>
      <w:r w:rsidR="009C3CBE" w:rsidRPr="00D8620D">
        <w:rPr>
          <w:rFonts w:ascii="Arial" w:hAnsi="Arial" w:cs="Arial"/>
          <w:color w:val="808080" w:themeColor="background1" w:themeShade="80"/>
        </w:rPr>
        <w:t>to determine</w:t>
      </w:r>
      <w:r w:rsidR="00686869" w:rsidRPr="00D8620D">
        <w:rPr>
          <w:rFonts w:ascii="Arial" w:hAnsi="Arial" w:cs="Arial"/>
          <w:color w:val="808080" w:themeColor="background1" w:themeShade="80"/>
        </w:rPr>
        <w:t xml:space="preserve"> non-core proceedings. The bankruptcy court can hear non-core proceedings </w:t>
      </w:r>
      <w:r w:rsidR="003A59C6" w:rsidRPr="00D8620D">
        <w:rPr>
          <w:rFonts w:ascii="Arial" w:hAnsi="Arial" w:cs="Arial"/>
          <w:color w:val="808080" w:themeColor="background1" w:themeShade="80"/>
        </w:rPr>
        <w:t>where it is</w:t>
      </w:r>
      <w:r w:rsidR="0074435D" w:rsidRPr="00D8620D">
        <w:rPr>
          <w:rFonts w:ascii="Arial" w:hAnsi="Arial" w:cs="Arial"/>
          <w:color w:val="808080" w:themeColor="background1" w:themeShade="80"/>
        </w:rPr>
        <w:t xml:space="preserve"> related to a bankruptcy proceeding</w:t>
      </w:r>
      <w:r w:rsidR="0074435D" w:rsidRPr="00D8620D">
        <w:rPr>
          <w:rStyle w:val="FootnoteReference"/>
          <w:rFonts w:ascii="Arial" w:hAnsi="Arial" w:cs="Arial"/>
          <w:color w:val="808080" w:themeColor="background1" w:themeShade="80"/>
        </w:rPr>
        <w:footnoteReference w:id="50"/>
      </w:r>
      <w:r w:rsidR="0074435D" w:rsidRPr="00D8620D">
        <w:rPr>
          <w:rFonts w:ascii="Arial" w:hAnsi="Arial" w:cs="Arial"/>
          <w:color w:val="808080" w:themeColor="background1" w:themeShade="80"/>
        </w:rPr>
        <w:t xml:space="preserve">. </w:t>
      </w:r>
      <w:r w:rsidR="007B7BDB" w:rsidRPr="00D8620D">
        <w:rPr>
          <w:rFonts w:ascii="Arial" w:hAnsi="Arial" w:cs="Arial"/>
          <w:color w:val="808080" w:themeColor="background1" w:themeShade="80"/>
        </w:rPr>
        <w:t xml:space="preserve">However, the bankruptcy court does not have jurisdiction to determine non-core proceedings. Instead, </w:t>
      </w:r>
      <w:r w:rsidR="0094637D" w:rsidRPr="00D8620D">
        <w:rPr>
          <w:rFonts w:ascii="Arial" w:hAnsi="Arial" w:cs="Arial"/>
          <w:color w:val="808080" w:themeColor="background1" w:themeShade="80"/>
        </w:rPr>
        <w:t xml:space="preserve">the bankruptcy judge shall submit their proposed findings of fact and conclusions of law to the district court. The district judge shall enter any final order upon consideration of the bankruptcy judge’s proposed findings and conclusions and after reviewing </w:t>
      </w:r>
      <w:r w:rsidR="0094637D" w:rsidRPr="00D8620D">
        <w:rPr>
          <w:rFonts w:ascii="Arial" w:hAnsi="Arial" w:cs="Arial"/>
          <w:i/>
          <w:iCs/>
          <w:color w:val="808080" w:themeColor="background1" w:themeShade="80"/>
        </w:rPr>
        <w:t>de novo</w:t>
      </w:r>
      <w:r w:rsidR="0094637D" w:rsidRPr="00D8620D">
        <w:rPr>
          <w:rFonts w:ascii="Arial" w:hAnsi="Arial" w:cs="Arial"/>
          <w:color w:val="808080" w:themeColor="background1" w:themeShade="80"/>
        </w:rPr>
        <w:t xml:space="preserve"> those matters to which any party has objected to</w:t>
      </w:r>
      <w:r w:rsidR="0094637D" w:rsidRPr="00D8620D">
        <w:rPr>
          <w:rStyle w:val="FootnoteReference"/>
          <w:rFonts w:ascii="Arial" w:hAnsi="Arial" w:cs="Arial"/>
          <w:color w:val="808080" w:themeColor="background1" w:themeShade="80"/>
        </w:rPr>
        <w:footnoteReference w:id="51"/>
      </w:r>
      <w:r w:rsidR="0094637D" w:rsidRPr="00D8620D">
        <w:rPr>
          <w:rFonts w:ascii="Arial" w:hAnsi="Arial" w:cs="Arial"/>
          <w:color w:val="808080" w:themeColor="background1" w:themeShade="80"/>
        </w:rPr>
        <w:t>.</w:t>
      </w:r>
    </w:p>
    <w:p w14:paraId="6DA3F983" w14:textId="77777777" w:rsidR="007C7036" w:rsidRDefault="007C7036" w:rsidP="00562F82">
      <w:pPr>
        <w:pStyle w:val="AODocTxt"/>
        <w:spacing w:before="0" w:line="240" w:lineRule="auto"/>
        <w:rPr>
          <w:rFonts w:ascii="Arial" w:hAnsi="Arial" w:cs="Arial"/>
          <w:color w:val="808080" w:themeColor="background1" w:themeShade="80"/>
        </w:rPr>
      </w:pPr>
    </w:p>
    <w:p w14:paraId="3F4E397E" w14:textId="77777777" w:rsidR="00BD65BD" w:rsidRDefault="00BD65BD" w:rsidP="00562F82">
      <w:pPr>
        <w:pStyle w:val="AODocTxt"/>
        <w:spacing w:before="0" w:line="240" w:lineRule="auto"/>
        <w:rPr>
          <w:rFonts w:ascii="Arial" w:hAnsi="Arial" w:cs="Arial"/>
          <w:color w:val="808080" w:themeColor="background1" w:themeShade="80"/>
        </w:rPr>
      </w:pPr>
    </w:p>
    <w:p w14:paraId="25211D67" w14:textId="77777777" w:rsidR="00BD65BD" w:rsidRPr="00D8620D" w:rsidRDefault="00BD65BD" w:rsidP="00562F82">
      <w:pPr>
        <w:pStyle w:val="AODocTxt"/>
        <w:spacing w:before="0" w:line="240" w:lineRule="auto"/>
        <w:rPr>
          <w:rFonts w:ascii="Arial" w:hAnsi="Arial" w:cs="Arial"/>
          <w:color w:val="808080" w:themeColor="background1" w:themeShade="80"/>
        </w:rPr>
      </w:pPr>
    </w:p>
    <w:p w14:paraId="073AD542" w14:textId="5ECB5088" w:rsidR="000B3401" w:rsidRPr="00D8620D" w:rsidRDefault="00F63F6D" w:rsidP="00562F82">
      <w:pPr>
        <w:pStyle w:val="AODocTxt"/>
        <w:spacing w:before="0" w:line="240" w:lineRule="auto"/>
        <w:rPr>
          <w:rFonts w:ascii="Arial" w:hAnsi="Arial" w:cs="Arial"/>
          <w:b/>
          <w:bCs/>
          <w:color w:val="808080" w:themeColor="background1" w:themeShade="80"/>
          <w:u w:val="single"/>
        </w:rPr>
      </w:pPr>
      <w:r w:rsidRPr="00D8620D">
        <w:rPr>
          <w:rFonts w:ascii="Arial" w:hAnsi="Arial" w:cs="Arial"/>
          <w:b/>
          <w:bCs/>
          <w:color w:val="808080" w:themeColor="background1" w:themeShade="80"/>
          <w:u w:val="single"/>
        </w:rPr>
        <w:lastRenderedPageBreak/>
        <w:t xml:space="preserve">US </w:t>
      </w:r>
      <w:r w:rsidR="000B3401" w:rsidRPr="00D8620D">
        <w:rPr>
          <w:rFonts w:ascii="Arial" w:hAnsi="Arial" w:cs="Arial"/>
          <w:b/>
          <w:bCs/>
          <w:color w:val="808080" w:themeColor="background1" w:themeShade="80"/>
          <w:u w:val="single"/>
        </w:rPr>
        <w:t xml:space="preserve">Supreme Court </w:t>
      </w:r>
      <w:r w:rsidRPr="00D8620D">
        <w:rPr>
          <w:rFonts w:ascii="Arial" w:hAnsi="Arial" w:cs="Arial"/>
          <w:b/>
          <w:bCs/>
          <w:color w:val="808080" w:themeColor="background1" w:themeShade="80"/>
          <w:u w:val="single"/>
        </w:rPr>
        <w:t xml:space="preserve">(“Supreme Court”) </w:t>
      </w:r>
      <w:r w:rsidR="000B3401" w:rsidRPr="00D8620D">
        <w:rPr>
          <w:rFonts w:ascii="Arial" w:hAnsi="Arial" w:cs="Arial"/>
          <w:b/>
          <w:bCs/>
          <w:color w:val="808080" w:themeColor="background1" w:themeShade="80"/>
          <w:u w:val="single"/>
        </w:rPr>
        <w:t>decisions</w:t>
      </w:r>
    </w:p>
    <w:p w14:paraId="384BA942" w14:textId="5B6736F9" w:rsidR="007C7036" w:rsidRPr="00D8620D" w:rsidRDefault="00C33350"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 xml:space="preserve">Notwithstanding the above, </w:t>
      </w:r>
      <w:r w:rsidR="00EC61AD" w:rsidRPr="00D8620D">
        <w:rPr>
          <w:rFonts w:ascii="Arial" w:hAnsi="Arial" w:cs="Arial"/>
          <w:i/>
          <w:iCs/>
          <w:color w:val="808080" w:themeColor="background1" w:themeShade="80"/>
        </w:rPr>
        <w:t>Stern v Marshall</w:t>
      </w:r>
      <w:r w:rsidR="00EC61AD" w:rsidRPr="00D8620D">
        <w:rPr>
          <w:rStyle w:val="FootnoteReference"/>
          <w:rFonts w:ascii="Arial" w:hAnsi="Arial" w:cs="Arial"/>
          <w:color w:val="808080" w:themeColor="background1" w:themeShade="80"/>
        </w:rPr>
        <w:footnoteReference w:id="52"/>
      </w:r>
      <w:r w:rsidR="00EC61AD"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held that, even in core proceedings, a bankruptcy court </w:t>
      </w:r>
      <w:r w:rsidR="00E157AD" w:rsidRPr="00D8620D">
        <w:rPr>
          <w:rFonts w:ascii="Arial" w:hAnsi="Arial" w:cs="Arial"/>
          <w:color w:val="808080" w:themeColor="background1" w:themeShade="80"/>
        </w:rPr>
        <w:t>did not have jurisdiction to</w:t>
      </w:r>
      <w:r w:rsidRPr="00D8620D">
        <w:rPr>
          <w:rFonts w:ascii="Arial" w:hAnsi="Arial" w:cs="Arial"/>
          <w:color w:val="808080" w:themeColor="background1" w:themeShade="80"/>
        </w:rPr>
        <w:t xml:space="preserve"> issue a final order that would infringe on Article III’s jurisdiction</w:t>
      </w:r>
      <w:r w:rsidRPr="00D8620D">
        <w:rPr>
          <w:rStyle w:val="FootnoteReference"/>
          <w:rFonts w:ascii="Arial" w:hAnsi="Arial" w:cs="Arial"/>
          <w:color w:val="808080" w:themeColor="background1" w:themeShade="80"/>
        </w:rPr>
        <w:footnoteReference w:id="53"/>
      </w:r>
      <w:r w:rsidRPr="00D8620D">
        <w:rPr>
          <w:rFonts w:ascii="Arial" w:hAnsi="Arial" w:cs="Arial"/>
          <w:color w:val="808080" w:themeColor="background1" w:themeShade="80"/>
        </w:rPr>
        <w:t xml:space="preserve">. The </w:t>
      </w:r>
      <w:r w:rsidR="00F63F6D" w:rsidRPr="00D8620D">
        <w:rPr>
          <w:rFonts w:ascii="Arial" w:hAnsi="Arial" w:cs="Arial"/>
          <w:color w:val="808080" w:themeColor="background1" w:themeShade="80"/>
        </w:rPr>
        <w:t>Supreme Court</w:t>
      </w:r>
      <w:r w:rsidR="00141AE8"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ruled, 5-4, that a bankruptcy judge did not have constitutional authority </w:t>
      </w:r>
      <w:r w:rsidR="00F623CD" w:rsidRPr="00D8620D">
        <w:rPr>
          <w:rFonts w:ascii="Arial" w:hAnsi="Arial" w:cs="Arial"/>
          <w:color w:val="808080" w:themeColor="background1" w:themeShade="80"/>
        </w:rPr>
        <w:t>“</w:t>
      </w:r>
      <w:r w:rsidRPr="00D8620D">
        <w:rPr>
          <w:rFonts w:ascii="Arial" w:hAnsi="Arial" w:cs="Arial"/>
          <w:i/>
          <w:iCs/>
          <w:color w:val="808080" w:themeColor="background1" w:themeShade="80"/>
        </w:rPr>
        <w:t>to issue a final ruling on state law counterclaims by a debtor</w:t>
      </w:r>
      <w:r w:rsidR="00F623CD" w:rsidRPr="00D8620D">
        <w:rPr>
          <w:rFonts w:ascii="Arial" w:hAnsi="Arial" w:cs="Arial"/>
          <w:i/>
          <w:iCs/>
          <w:color w:val="808080" w:themeColor="background1" w:themeShade="80"/>
        </w:rPr>
        <w:t xml:space="preserve"> against a claimant</w:t>
      </w:r>
      <w:r w:rsidR="00F623CD" w:rsidRPr="00D8620D">
        <w:rPr>
          <w:rFonts w:ascii="Arial" w:hAnsi="Arial" w:cs="Arial"/>
          <w:color w:val="808080" w:themeColor="background1" w:themeShade="80"/>
        </w:rPr>
        <w:t>”.</w:t>
      </w:r>
      <w:r w:rsidRPr="00D8620D">
        <w:rPr>
          <w:rStyle w:val="FootnoteReference"/>
          <w:rFonts w:ascii="Arial" w:hAnsi="Arial" w:cs="Arial"/>
          <w:color w:val="808080" w:themeColor="background1" w:themeShade="80"/>
        </w:rPr>
        <w:footnoteReference w:id="54"/>
      </w:r>
      <w:r w:rsidRPr="00D8620D">
        <w:rPr>
          <w:rFonts w:ascii="Arial" w:hAnsi="Arial" w:cs="Arial"/>
          <w:color w:val="808080" w:themeColor="background1" w:themeShade="80"/>
        </w:rPr>
        <w:t xml:space="preserve"> </w:t>
      </w:r>
      <w:r w:rsidR="007C7036" w:rsidRPr="00D8620D">
        <w:rPr>
          <w:rFonts w:ascii="Arial" w:hAnsi="Arial" w:cs="Arial"/>
          <w:color w:val="808080" w:themeColor="background1" w:themeShade="80"/>
        </w:rPr>
        <w:t>Even though</w:t>
      </w:r>
      <w:r w:rsidR="00625E79" w:rsidRPr="00D8620D">
        <w:rPr>
          <w:rFonts w:ascii="Arial" w:hAnsi="Arial" w:cs="Arial"/>
          <w:color w:val="808080" w:themeColor="background1" w:themeShade="80"/>
        </w:rPr>
        <w:t xml:space="preserve"> </w:t>
      </w:r>
      <w:r w:rsidR="00625E79" w:rsidRPr="00D8620D">
        <w:rPr>
          <w:rFonts w:ascii="Arial" w:hAnsi="Arial" w:cs="Arial"/>
          <w:i/>
          <w:iCs/>
          <w:color w:val="808080" w:themeColor="background1" w:themeShade="80"/>
        </w:rPr>
        <w:t>Stern</w:t>
      </w:r>
      <w:r w:rsidR="001B5CA5" w:rsidRPr="00D8620D">
        <w:rPr>
          <w:rFonts w:ascii="Arial" w:hAnsi="Arial" w:cs="Arial"/>
          <w:color w:val="808080" w:themeColor="background1" w:themeShade="80"/>
        </w:rPr>
        <w:t xml:space="preserve"> </w:t>
      </w:r>
      <w:r w:rsidR="00523B59" w:rsidRPr="00D8620D">
        <w:rPr>
          <w:rFonts w:ascii="Arial" w:hAnsi="Arial" w:cs="Arial"/>
          <w:color w:val="808080" w:themeColor="background1" w:themeShade="80"/>
        </w:rPr>
        <w:t xml:space="preserve">held </w:t>
      </w:r>
      <w:r w:rsidR="001B5CA5" w:rsidRPr="00D8620D">
        <w:rPr>
          <w:rFonts w:ascii="Arial" w:hAnsi="Arial" w:cs="Arial"/>
          <w:color w:val="808080" w:themeColor="background1" w:themeShade="80"/>
        </w:rPr>
        <w:t>that Article III prohibited</w:t>
      </w:r>
      <w:r w:rsidR="00523B59" w:rsidRPr="00D8620D">
        <w:rPr>
          <w:rFonts w:ascii="Arial" w:hAnsi="Arial" w:cs="Arial"/>
          <w:color w:val="808080" w:themeColor="background1" w:themeShade="80"/>
        </w:rPr>
        <w:t xml:space="preserve"> </w:t>
      </w:r>
      <w:r w:rsidR="001B5CA5" w:rsidRPr="00D8620D">
        <w:rPr>
          <w:rFonts w:ascii="Arial" w:hAnsi="Arial" w:cs="Arial"/>
          <w:color w:val="808080" w:themeColor="background1" w:themeShade="80"/>
        </w:rPr>
        <w:t>Congress from vesting bankruptcy judges with authority to finally adjudicate certain claim</w:t>
      </w:r>
      <w:r w:rsidR="00141AE8" w:rsidRPr="00D8620D">
        <w:rPr>
          <w:rFonts w:ascii="Arial" w:hAnsi="Arial" w:cs="Arial"/>
          <w:color w:val="808080" w:themeColor="background1" w:themeShade="80"/>
        </w:rPr>
        <w:t>s</w:t>
      </w:r>
      <w:r w:rsidR="001B5CA5" w:rsidRPr="00D8620D">
        <w:rPr>
          <w:rFonts w:ascii="Arial" w:hAnsi="Arial" w:cs="Arial"/>
          <w:color w:val="808080" w:themeColor="background1" w:themeShade="80"/>
        </w:rPr>
        <w:t xml:space="preserve"> </w:t>
      </w:r>
      <w:proofErr w:type="spellStart"/>
      <w:r w:rsidR="001B5CA5" w:rsidRPr="00D8620D">
        <w:rPr>
          <w:rFonts w:ascii="Arial" w:hAnsi="Arial" w:cs="Arial"/>
          <w:color w:val="808080" w:themeColor="background1" w:themeShade="80"/>
        </w:rPr>
        <w:t>categorised</w:t>
      </w:r>
      <w:proofErr w:type="spellEnd"/>
      <w:r w:rsidR="001B5CA5" w:rsidRPr="00D8620D">
        <w:rPr>
          <w:rFonts w:ascii="Arial" w:hAnsi="Arial" w:cs="Arial"/>
          <w:color w:val="808080" w:themeColor="background1" w:themeShade="80"/>
        </w:rPr>
        <w:t xml:space="preserve"> as “core”</w:t>
      </w:r>
      <w:r w:rsidR="007C7036" w:rsidRPr="00D8620D">
        <w:rPr>
          <w:rFonts w:ascii="Arial" w:hAnsi="Arial" w:cs="Arial"/>
          <w:color w:val="808080" w:themeColor="background1" w:themeShade="80"/>
        </w:rPr>
        <w:t>,</w:t>
      </w:r>
      <w:r w:rsidR="00856E13" w:rsidRPr="00D8620D">
        <w:rPr>
          <w:rFonts w:ascii="Arial" w:hAnsi="Arial" w:cs="Arial"/>
          <w:color w:val="808080" w:themeColor="background1" w:themeShade="80"/>
        </w:rPr>
        <w:t xml:space="preserve"> </w:t>
      </w:r>
      <w:r w:rsidR="00705EEE" w:rsidRPr="00D8620D">
        <w:rPr>
          <w:rFonts w:ascii="Arial" w:hAnsi="Arial" w:cs="Arial"/>
          <w:color w:val="808080" w:themeColor="background1" w:themeShade="80"/>
        </w:rPr>
        <w:t>it did not</w:t>
      </w:r>
      <w:r w:rsidR="001B5CA5" w:rsidRPr="00D8620D">
        <w:rPr>
          <w:rFonts w:ascii="Arial" w:hAnsi="Arial" w:cs="Arial"/>
          <w:color w:val="808080" w:themeColor="background1" w:themeShade="80"/>
        </w:rPr>
        <w:t xml:space="preserve"> address how </w:t>
      </w:r>
      <w:r w:rsidR="00523B59" w:rsidRPr="00D8620D">
        <w:rPr>
          <w:rFonts w:ascii="Arial" w:hAnsi="Arial" w:cs="Arial"/>
          <w:color w:val="808080" w:themeColor="background1" w:themeShade="80"/>
        </w:rPr>
        <w:t xml:space="preserve">the </w:t>
      </w:r>
      <w:r w:rsidR="001B5CA5" w:rsidRPr="00D8620D">
        <w:rPr>
          <w:rFonts w:ascii="Arial" w:hAnsi="Arial" w:cs="Arial"/>
          <w:color w:val="808080" w:themeColor="background1" w:themeShade="80"/>
        </w:rPr>
        <w:t xml:space="preserve">bankruptcy courts should proceed in </w:t>
      </w:r>
      <w:r w:rsidR="00856E13" w:rsidRPr="00D8620D">
        <w:rPr>
          <w:rFonts w:ascii="Arial" w:hAnsi="Arial" w:cs="Arial"/>
          <w:color w:val="808080" w:themeColor="background1" w:themeShade="80"/>
        </w:rPr>
        <w:t>this situation</w:t>
      </w:r>
      <w:r w:rsidR="001B5CA5" w:rsidRPr="00D8620D">
        <w:rPr>
          <w:rFonts w:ascii="Arial" w:hAnsi="Arial" w:cs="Arial"/>
          <w:color w:val="808080" w:themeColor="background1" w:themeShade="80"/>
        </w:rPr>
        <w:t xml:space="preserve">. </w:t>
      </w:r>
    </w:p>
    <w:p w14:paraId="7DF22BF2" w14:textId="77777777" w:rsidR="007C7036" w:rsidRPr="00D8620D" w:rsidRDefault="007C7036" w:rsidP="00562F82">
      <w:pPr>
        <w:pStyle w:val="AODocTxt"/>
        <w:spacing w:before="0" w:line="240" w:lineRule="auto"/>
        <w:rPr>
          <w:rFonts w:ascii="Arial" w:hAnsi="Arial" w:cs="Arial"/>
          <w:color w:val="808080" w:themeColor="background1" w:themeShade="80"/>
        </w:rPr>
      </w:pPr>
    </w:p>
    <w:p w14:paraId="4A6E30BF" w14:textId="3CABEA82" w:rsidR="001B5CA5" w:rsidRPr="00D8620D" w:rsidRDefault="001B5CA5"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 xml:space="preserve">In 2014, </w:t>
      </w:r>
      <w:r w:rsidRPr="00D8620D">
        <w:rPr>
          <w:rFonts w:ascii="Arial" w:hAnsi="Arial" w:cs="Arial"/>
          <w:i/>
          <w:iCs/>
          <w:color w:val="808080" w:themeColor="background1" w:themeShade="80"/>
        </w:rPr>
        <w:t xml:space="preserve">Executive Benefits Ins Agency v. </w:t>
      </w:r>
      <w:proofErr w:type="spellStart"/>
      <w:r w:rsidRPr="00D8620D">
        <w:rPr>
          <w:rFonts w:ascii="Arial" w:hAnsi="Arial" w:cs="Arial"/>
          <w:i/>
          <w:iCs/>
          <w:color w:val="808080" w:themeColor="background1" w:themeShade="80"/>
        </w:rPr>
        <w:t>Arkison</w:t>
      </w:r>
      <w:proofErr w:type="spellEnd"/>
      <w:r w:rsidR="00562F82" w:rsidRPr="00D8620D">
        <w:rPr>
          <w:rStyle w:val="FootnoteReference"/>
          <w:rFonts w:ascii="Arial" w:hAnsi="Arial" w:cs="Arial"/>
          <w:i/>
          <w:iCs/>
          <w:color w:val="808080" w:themeColor="background1" w:themeShade="80"/>
        </w:rPr>
        <w:footnoteReference w:id="55"/>
      </w:r>
      <w:r w:rsidRPr="00D8620D">
        <w:rPr>
          <w:rFonts w:ascii="Arial" w:hAnsi="Arial" w:cs="Arial"/>
          <w:color w:val="808080" w:themeColor="background1" w:themeShade="80"/>
        </w:rPr>
        <w:t xml:space="preserve"> partially resolved the procedural uncertainty created in</w:t>
      </w:r>
      <w:r w:rsidR="00562F82" w:rsidRPr="00D8620D">
        <w:rPr>
          <w:rFonts w:ascii="Arial" w:hAnsi="Arial" w:cs="Arial"/>
          <w:color w:val="808080" w:themeColor="background1" w:themeShade="80"/>
        </w:rPr>
        <w:t xml:space="preserve"> </w:t>
      </w:r>
      <w:r w:rsidR="00562F82" w:rsidRPr="00D8620D">
        <w:rPr>
          <w:rFonts w:ascii="Arial" w:hAnsi="Arial" w:cs="Arial"/>
          <w:i/>
          <w:iCs/>
          <w:color w:val="808080" w:themeColor="background1" w:themeShade="80"/>
        </w:rPr>
        <w:t>Stern</w:t>
      </w:r>
      <w:r w:rsidRPr="00D8620D">
        <w:rPr>
          <w:rFonts w:ascii="Arial" w:hAnsi="Arial" w:cs="Arial"/>
          <w:color w:val="808080" w:themeColor="background1" w:themeShade="80"/>
        </w:rPr>
        <w:t>.</w:t>
      </w:r>
      <w:r w:rsidR="00856E13"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The Supreme Court (with Justice Thomas delivering the </w:t>
      </w:r>
      <w:r w:rsidR="00475350" w:rsidRPr="00D8620D">
        <w:rPr>
          <w:rFonts w:ascii="Arial" w:hAnsi="Arial" w:cs="Arial"/>
          <w:color w:val="808080" w:themeColor="background1" w:themeShade="80"/>
        </w:rPr>
        <w:t xml:space="preserve">court’s </w:t>
      </w:r>
      <w:r w:rsidR="007C7036" w:rsidRPr="00D8620D">
        <w:rPr>
          <w:rFonts w:ascii="Arial" w:hAnsi="Arial" w:cs="Arial"/>
          <w:color w:val="808080" w:themeColor="background1" w:themeShade="80"/>
        </w:rPr>
        <w:t>o</w:t>
      </w:r>
      <w:r w:rsidRPr="00D8620D">
        <w:rPr>
          <w:rFonts w:ascii="Arial" w:hAnsi="Arial" w:cs="Arial"/>
          <w:color w:val="808080" w:themeColor="background1" w:themeShade="80"/>
        </w:rPr>
        <w:t xml:space="preserve">pinion) held in </w:t>
      </w:r>
      <w:r w:rsidRPr="00D8620D">
        <w:rPr>
          <w:rFonts w:ascii="Arial" w:hAnsi="Arial" w:cs="Arial"/>
          <w:i/>
          <w:iCs/>
          <w:color w:val="808080" w:themeColor="background1" w:themeShade="80"/>
        </w:rPr>
        <w:t>Executive Benefit</w:t>
      </w:r>
      <w:r w:rsidR="00661068" w:rsidRPr="00D8620D">
        <w:rPr>
          <w:rFonts w:ascii="Arial" w:hAnsi="Arial" w:cs="Arial"/>
          <w:i/>
          <w:iCs/>
          <w:color w:val="808080" w:themeColor="background1" w:themeShade="80"/>
        </w:rPr>
        <w:t>s</w:t>
      </w:r>
      <w:r w:rsidRPr="00D8620D">
        <w:rPr>
          <w:rFonts w:ascii="Arial" w:hAnsi="Arial" w:cs="Arial"/>
          <w:color w:val="808080" w:themeColor="background1" w:themeShade="80"/>
        </w:rPr>
        <w:t xml:space="preserve"> that where </w:t>
      </w:r>
      <w:r w:rsidR="00661068" w:rsidRPr="00D8620D">
        <w:rPr>
          <w:rFonts w:ascii="Arial" w:hAnsi="Arial" w:cs="Arial"/>
          <w:color w:val="808080" w:themeColor="background1" w:themeShade="80"/>
        </w:rPr>
        <w:t xml:space="preserve">the bankruptcy court is not permitted by Article III </w:t>
      </w:r>
      <w:r w:rsidRPr="00D8620D">
        <w:rPr>
          <w:rFonts w:ascii="Arial" w:hAnsi="Arial" w:cs="Arial"/>
          <w:color w:val="808080" w:themeColor="background1" w:themeShade="80"/>
        </w:rPr>
        <w:t xml:space="preserve">to enter final judgment on a core bankruptcy claim, the bankruptcy court may issue proposed findings and conclusions which are to be reviewed </w:t>
      </w:r>
      <w:r w:rsidRPr="00D8620D">
        <w:rPr>
          <w:rFonts w:ascii="Arial" w:hAnsi="Arial" w:cs="Arial"/>
          <w:i/>
          <w:iCs/>
          <w:color w:val="808080" w:themeColor="background1" w:themeShade="80"/>
        </w:rPr>
        <w:t>de novo</w:t>
      </w:r>
      <w:r w:rsidRPr="00D8620D">
        <w:rPr>
          <w:rFonts w:ascii="Arial" w:hAnsi="Arial" w:cs="Arial"/>
          <w:color w:val="808080" w:themeColor="background1" w:themeShade="80"/>
        </w:rPr>
        <w:t xml:space="preserve"> by a district court</w:t>
      </w:r>
      <w:r w:rsidR="00C15D31" w:rsidRPr="00D8620D">
        <w:rPr>
          <w:rStyle w:val="FootnoteReference"/>
          <w:rFonts w:ascii="Arial" w:hAnsi="Arial" w:cs="Arial"/>
          <w:color w:val="808080" w:themeColor="background1" w:themeShade="80"/>
        </w:rPr>
        <w:footnoteReference w:id="56"/>
      </w:r>
      <w:r w:rsidR="00C15D31"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(i.e. deal with such claims as they would in "non-core" proceedings).  </w:t>
      </w:r>
      <w:r w:rsidR="007C7036" w:rsidRPr="00D8620D">
        <w:rPr>
          <w:rFonts w:ascii="Arial" w:hAnsi="Arial" w:cs="Arial"/>
          <w:color w:val="808080" w:themeColor="background1" w:themeShade="80"/>
        </w:rPr>
        <w:t>However, t</w:t>
      </w:r>
      <w:r w:rsidRPr="00D8620D">
        <w:rPr>
          <w:rFonts w:ascii="Arial" w:hAnsi="Arial" w:cs="Arial"/>
          <w:color w:val="808080" w:themeColor="background1" w:themeShade="80"/>
        </w:rPr>
        <w:t xml:space="preserve">he </w:t>
      </w:r>
      <w:r w:rsidR="00661068" w:rsidRPr="00D8620D">
        <w:rPr>
          <w:rFonts w:ascii="Arial" w:hAnsi="Arial" w:cs="Arial"/>
          <w:color w:val="808080" w:themeColor="background1" w:themeShade="80"/>
        </w:rPr>
        <w:t xml:space="preserve">Supreme </w:t>
      </w:r>
      <w:r w:rsidRPr="00D8620D">
        <w:rPr>
          <w:rFonts w:ascii="Arial" w:hAnsi="Arial" w:cs="Arial"/>
          <w:color w:val="808080" w:themeColor="background1" w:themeShade="80"/>
        </w:rPr>
        <w:t>Court did not address whether Article III permit</w:t>
      </w:r>
      <w:r w:rsidR="00661068" w:rsidRPr="00D8620D">
        <w:rPr>
          <w:rFonts w:ascii="Arial" w:hAnsi="Arial" w:cs="Arial"/>
          <w:color w:val="808080" w:themeColor="background1" w:themeShade="80"/>
        </w:rPr>
        <w:t>ted</w:t>
      </w:r>
      <w:r w:rsidRPr="00D8620D">
        <w:rPr>
          <w:rFonts w:ascii="Arial" w:hAnsi="Arial" w:cs="Arial"/>
          <w:color w:val="808080" w:themeColor="background1" w:themeShade="80"/>
        </w:rPr>
        <w:t xml:space="preserve"> a bankruptcy court</w:t>
      </w:r>
      <w:r w:rsidR="007C7036" w:rsidRPr="00D8620D">
        <w:rPr>
          <w:rFonts w:ascii="Arial" w:hAnsi="Arial" w:cs="Arial"/>
          <w:color w:val="808080" w:themeColor="background1" w:themeShade="80"/>
        </w:rPr>
        <w:t xml:space="preserve"> (</w:t>
      </w:r>
      <w:r w:rsidRPr="00D8620D">
        <w:rPr>
          <w:rFonts w:ascii="Arial" w:hAnsi="Arial" w:cs="Arial"/>
          <w:color w:val="808080" w:themeColor="background1" w:themeShade="80"/>
        </w:rPr>
        <w:t>with the consent of the parties</w:t>
      </w:r>
      <w:r w:rsidR="007C7036" w:rsidRPr="00D8620D">
        <w:rPr>
          <w:rFonts w:ascii="Arial" w:hAnsi="Arial" w:cs="Arial"/>
          <w:color w:val="808080" w:themeColor="background1" w:themeShade="80"/>
        </w:rPr>
        <w:t>)</w:t>
      </w:r>
      <w:r w:rsidRPr="00D8620D">
        <w:rPr>
          <w:rFonts w:ascii="Arial" w:hAnsi="Arial" w:cs="Arial"/>
          <w:color w:val="808080" w:themeColor="background1" w:themeShade="80"/>
        </w:rPr>
        <w:t xml:space="preserve"> to enter final judgment when it could not do so in the absence of consent</w:t>
      </w:r>
      <w:r w:rsidR="00C15D31" w:rsidRPr="00D8620D">
        <w:rPr>
          <w:rStyle w:val="FootnoteReference"/>
          <w:rFonts w:ascii="Arial" w:hAnsi="Arial" w:cs="Arial"/>
          <w:color w:val="808080" w:themeColor="background1" w:themeShade="80"/>
        </w:rPr>
        <w:footnoteReference w:id="57"/>
      </w:r>
      <w:r w:rsidR="00C15D31" w:rsidRPr="00D8620D">
        <w:rPr>
          <w:rFonts w:ascii="Arial" w:hAnsi="Arial" w:cs="Arial"/>
          <w:color w:val="808080" w:themeColor="background1" w:themeShade="80"/>
        </w:rPr>
        <w:t>.</w:t>
      </w:r>
    </w:p>
    <w:p w14:paraId="65BE94A7" w14:textId="77777777" w:rsidR="00134804" w:rsidRPr="00D8620D" w:rsidRDefault="00134804" w:rsidP="00562F82">
      <w:pPr>
        <w:pStyle w:val="AODocTxt"/>
        <w:spacing w:before="0" w:line="240" w:lineRule="auto"/>
        <w:rPr>
          <w:rFonts w:ascii="Arial" w:hAnsi="Arial" w:cs="Arial"/>
          <w:color w:val="808080" w:themeColor="background1" w:themeShade="80"/>
        </w:rPr>
      </w:pPr>
    </w:p>
    <w:p w14:paraId="32B5802A" w14:textId="2F116048" w:rsidR="00DD4C48" w:rsidRPr="00D8620D" w:rsidRDefault="00DD4C48" w:rsidP="00562F82">
      <w:pPr>
        <w:pStyle w:val="AODocTxt"/>
        <w:spacing w:before="0" w:line="240" w:lineRule="auto"/>
        <w:rPr>
          <w:rFonts w:ascii="Arial" w:hAnsi="Arial" w:cs="Arial"/>
          <w:b/>
          <w:bCs/>
          <w:color w:val="808080" w:themeColor="background1" w:themeShade="80"/>
          <w:u w:val="single"/>
        </w:rPr>
      </w:pPr>
      <w:r w:rsidRPr="00D8620D">
        <w:rPr>
          <w:rFonts w:ascii="Arial" w:hAnsi="Arial" w:cs="Arial"/>
          <w:b/>
          <w:bCs/>
          <w:color w:val="808080" w:themeColor="background1" w:themeShade="80"/>
          <w:u w:val="single"/>
        </w:rPr>
        <w:t xml:space="preserve">Consent for bankruptcy court to adjudicate claim normally reserved by an Article III </w:t>
      </w:r>
      <w:proofErr w:type="gramStart"/>
      <w:r w:rsidRPr="00D8620D">
        <w:rPr>
          <w:rFonts w:ascii="Arial" w:hAnsi="Arial" w:cs="Arial"/>
          <w:b/>
          <w:bCs/>
          <w:color w:val="808080" w:themeColor="background1" w:themeShade="80"/>
          <w:u w:val="single"/>
        </w:rPr>
        <w:t>court</w:t>
      </w:r>
      <w:proofErr w:type="gramEnd"/>
    </w:p>
    <w:p w14:paraId="0050E423" w14:textId="560EFA59" w:rsidR="001B5CA5" w:rsidRPr="00D8620D" w:rsidRDefault="00DD4C48"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It was held by the</w:t>
      </w:r>
      <w:r w:rsidR="001B5CA5" w:rsidRPr="00D8620D">
        <w:rPr>
          <w:rFonts w:ascii="Arial" w:hAnsi="Arial" w:cs="Arial"/>
          <w:color w:val="808080" w:themeColor="background1" w:themeShade="80"/>
        </w:rPr>
        <w:t xml:space="preserve"> Supreme Court in </w:t>
      </w:r>
      <w:r w:rsidR="001B5CA5" w:rsidRPr="00D8620D">
        <w:rPr>
          <w:rFonts w:ascii="Arial" w:hAnsi="Arial" w:cs="Arial"/>
          <w:i/>
          <w:iCs/>
          <w:color w:val="808080" w:themeColor="background1" w:themeShade="80"/>
        </w:rPr>
        <w:t>Wellness International Network Ltd v Sharif</w:t>
      </w:r>
      <w:r w:rsidR="00C15D31" w:rsidRPr="00D8620D">
        <w:rPr>
          <w:rStyle w:val="FootnoteReference"/>
          <w:rFonts w:ascii="Arial" w:hAnsi="Arial" w:cs="Arial"/>
          <w:i/>
          <w:iCs/>
          <w:color w:val="808080" w:themeColor="background1" w:themeShade="80"/>
        </w:rPr>
        <w:footnoteReference w:id="58"/>
      </w:r>
      <w:r w:rsidR="00C15D31" w:rsidRPr="00D8620D">
        <w:rPr>
          <w:rFonts w:ascii="Arial" w:hAnsi="Arial" w:cs="Arial"/>
          <w:color w:val="808080" w:themeColor="background1" w:themeShade="80"/>
        </w:rPr>
        <w:t xml:space="preserve"> </w:t>
      </w:r>
      <w:r w:rsidR="001B5CA5" w:rsidRPr="00D8620D">
        <w:rPr>
          <w:rFonts w:ascii="Arial" w:hAnsi="Arial" w:cs="Arial"/>
          <w:color w:val="808080" w:themeColor="background1" w:themeShade="80"/>
        </w:rPr>
        <w:t>that so long as the parties knowingly and voluntarily consented, Article III allow</w:t>
      </w:r>
      <w:r w:rsidR="001F7932" w:rsidRPr="00D8620D">
        <w:rPr>
          <w:rFonts w:ascii="Arial" w:hAnsi="Arial" w:cs="Arial"/>
          <w:color w:val="808080" w:themeColor="background1" w:themeShade="80"/>
        </w:rPr>
        <w:t>ed</w:t>
      </w:r>
      <w:r w:rsidR="001B5CA5" w:rsidRPr="00D8620D">
        <w:rPr>
          <w:rFonts w:ascii="Arial" w:hAnsi="Arial" w:cs="Arial"/>
          <w:color w:val="808080" w:themeColor="background1" w:themeShade="80"/>
        </w:rPr>
        <w:t xml:space="preserve"> bankruptcy courts to adjudicate claims normall</w:t>
      </w:r>
      <w:r w:rsidR="00134804" w:rsidRPr="00D8620D">
        <w:rPr>
          <w:rFonts w:ascii="Arial" w:hAnsi="Arial" w:cs="Arial"/>
          <w:color w:val="808080" w:themeColor="background1" w:themeShade="80"/>
        </w:rPr>
        <w:t>y</w:t>
      </w:r>
      <w:r w:rsidR="001B5CA5" w:rsidRPr="00D8620D">
        <w:rPr>
          <w:rFonts w:ascii="Arial" w:hAnsi="Arial" w:cs="Arial"/>
          <w:color w:val="808080" w:themeColor="background1" w:themeShade="80"/>
        </w:rPr>
        <w:t xml:space="preserve"> reserved by an Article III court. </w:t>
      </w:r>
      <w:r w:rsidR="00134804" w:rsidRPr="00D8620D">
        <w:rPr>
          <w:rFonts w:ascii="Arial" w:hAnsi="Arial" w:cs="Arial"/>
          <w:color w:val="808080" w:themeColor="background1" w:themeShade="80"/>
        </w:rPr>
        <w:t>A</w:t>
      </w:r>
      <w:r w:rsidR="001B5CA5" w:rsidRPr="00D8620D">
        <w:rPr>
          <w:rFonts w:ascii="Arial" w:hAnsi="Arial" w:cs="Arial"/>
          <w:color w:val="808080" w:themeColor="background1" w:themeShade="80"/>
        </w:rPr>
        <w:t>s Congress created the bankruptcy courts (with limited purpose and limited powers), there is no separation of powers problem with the bankruptcy courts exercising the powers which Congress delegated to them</w:t>
      </w:r>
      <w:r w:rsidR="00134804" w:rsidRPr="00D8620D">
        <w:rPr>
          <w:rFonts w:ascii="Arial" w:hAnsi="Arial" w:cs="Arial"/>
          <w:color w:val="808080" w:themeColor="background1" w:themeShade="80"/>
        </w:rPr>
        <w:t xml:space="preserve"> (</w:t>
      </w:r>
      <w:r w:rsidR="001B5CA5" w:rsidRPr="00D8620D">
        <w:rPr>
          <w:rFonts w:ascii="Arial" w:hAnsi="Arial" w:cs="Arial"/>
          <w:color w:val="808080" w:themeColor="background1" w:themeShade="80"/>
        </w:rPr>
        <w:t xml:space="preserve">including adjudicating non-bankruptcy claims </w:t>
      </w:r>
      <w:r w:rsidR="00134804" w:rsidRPr="00D8620D">
        <w:rPr>
          <w:rFonts w:ascii="Arial" w:hAnsi="Arial" w:cs="Arial"/>
          <w:color w:val="808080" w:themeColor="background1" w:themeShade="80"/>
        </w:rPr>
        <w:t>if</w:t>
      </w:r>
      <w:r w:rsidR="001B5CA5" w:rsidRPr="00D8620D">
        <w:rPr>
          <w:rFonts w:ascii="Arial" w:hAnsi="Arial" w:cs="Arial"/>
          <w:color w:val="808080" w:themeColor="background1" w:themeShade="80"/>
        </w:rPr>
        <w:t xml:space="preserve"> the </w:t>
      </w:r>
      <w:proofErr w:type="gramStart"/>
      <w:r w:rsidR="001B5CA5" w:rsidRPr="00D8620D">
        <w:rPr>
          <w:rFonts w:ascii="Arial" w:hAnsi="Arial" w:cs="Arial"/>
          <w:color w:val="808080" w:themeColor="background1" w:themeShade="80"/>
        </w:rPr>
        <w:t>parties</w:t>
      </w:r>
      <w:proofErr w:type="gramEnd"/>
      <w:r w:rsidR="001B5CA5" w:rsidRPr="00D8620D">
        <w:rPr>
          <w:rFonts w:ascii="Arial" w:hAnsi="Arial" w:cs="Arial"/>
          <w:color w:val="808080" w:themeColor="background1" w:themeShade="80"/>
        </w:rPr>
        <w:t xml:space="preserve"> consent to it</w:t>
      </w:r>
      <w:r w:rsidR="00134804" w:rsidRPr="00D8620D">
        <w:rPr>
          <w:rFonts w:ascii="Arial" w:hAnsi="Arial" w:cs="Arial"/>
          <w:color w:val="808080" w:themeColor="background1" w:themeShade="80"/>
        </w:rPr>
        <w:t>)</w:t>
      </w:r>
      <w:r w:rsidR="00C15D31" w:rsidRPr="00D8620D">
        <w:rPr>
          <w:rStyle w:val="FootnoteReference"/>
          <w:rFonts w:ascii="Arial" w:hAnsi="Arial" w:cs="Arial"/>
          <w:color w:val="808080" w:themeColor="background1" w:themeShade="80"/>
        </w:rPr>
        <w:footnoteReference w:id="59"/>
      </w:r>
      <w:r w:rsidR="00C15D31" w:rsidRPr="00D8620D">
        <w:rPr>
          <w:rFonts w:ascii="Arial" w:hAnsi="Arial" w:cs="Arial"/>
          <w:color w:val="808080" w:themeColor="background1" w:themeShade="80"/>
        </w:rPr>
        <w:t>.</w:t>
      </w:r>
      <w:r w:rsidR="00C354D5" w:rsidRPr="00D8620D">
        <w:rPr>
          <w:rFonts w:ascii="Arial" w:hAnsi="Arial" w:cs="Arial"/>
          <w:color w:val="808080" w:themeColor="background1" w:themeShade="80"/>
        </w:rPr>
        <w:t xml:space="preserve"> </w:t>
      </w:r>
      <w:r w:rsidR="001B5CA5" w:rsidRPr="00D8620D">
        <w:rPr>
          <w:rFonts w:ascii="Arial" w:hAnsi="Arial" w:cs="Arial"/>
          <w:color w:val="808080" w:themeColor="background1" w:themeShade="80"/>
        </w:rPr>
        <w:t xml:space="preserve">It was also further held that judicial history </w:t>
      </w:r>
      <w:r w:rsidR="001F7932" w:rsidRPr="00D8620D">
        <w:rPr>
          <w:rFonts w:ascii="Arial" w:hAnsi="Arial" w:cs="Arial"/>
          <w:color w:val="808080" w:themeColor="background1" w:themeShade="80"/>
        </w:rPr>
        <w:t>relating</w:t>
      </w:r>
      <w:r w:rsidR="001B5CA5" w:rsidRPr="00D8620D">
        <w:rPr>
          <w:rFonts w:ascii="Arial" w:hAnsi="Arial" w:cs="Arial"/>
          <w:color w:val="808080" w:themeColor="background1" w:themeShade="80"/>
        </w:rPr>
        <w:t xml:space="preserve"> to the right of an </w:t>
      </w:r>
      <w:proofErr w:type="gramStart"/>
      <w:r w:rsidR="001B5CA5" w:rsidRPr="00D8620D">
        <w:rPr>
          <w:rFonts w:ascii="Arial" w:hAnsi="Arial" w:cs="Arial"/>
          <w:color w:val="808080" w:themeColor="background1" w:themeShade="80"/>
        </w:rPr>
        <w:t>Article</w:t>
      </w:r>
      <w:proofErr w:type="gramEnd"/>
      <w:r w:rsidR="001B5CA5" w:rsidRPr="00D8620D">
        <w:rPr>
          <w:rFonts w:ascii="Arial" w:hAnsi="Arial" w:cs="Arial"/>
          <w:color w:val="808080" w:themeColor="background1" w:themeShade="80"/>
        </w:rPr>
        <w:t xml:space="preserve"> III judge clearly states that such a right could be waived. </w:t>
      </w:r>
      <w:r w:rsidR="001F7932" w:rsidRPr="00D8620D">
        <w:rPr>
          <w:rFonts w:ascii="Arial" w:hAnsi="Arial" w:cs="Arial"/>
          <w:color w:val="808080" w:themeColor="background1" w:themeShade="80"/>
        </w:rPr>
        <w:t>A</w:t>
      </w:r>
      <w:r w:rsidR="001B5CA5" w:rsidRPr="00D8620D">
        <w:rPr>
          <w:rFonts w:ascii="Arial" w:hAnsi="Arial" w:cs="Arial"/>
          <w:color w:val="808080" w:themeColor="background1" w:themeShade="80"/>
        </w:rPr>
        <w:t xml:space="preserve"> bankruptcy judge could therefore adjudicate the state law at issue so long as Article III courts retain</w:t>
      </w:r>
      <w:r w:rsidR="001F7932" w:rsidRPr="00D8620D">
        <w:rPr>
          <w:rFonts w:ascii="Arial" w:hAnsi="Arial" w:cs="Arial"/>
          <w:color w:val="808080" w:themeColor="background1" w:themeShade="80"/>
        </w:rPr>
        <w:t>ed</w:t>
      </w:r>
      <w:r w:rsidR="001B5CA5" w:rsidRPr="00D8620D">
        <w:rPr>
          <w:rFonts w:ascii="Arial" w:hAnsi="Arial" w:cs="Arial"/>
          <w:color w:val="808080" w:themeColor="background1" w:themeShade="80"/>
        </w:rPr>
        <w:t xml:space="preserve"> supervision</w:t>
      </w:r>
      <w:r w:rsidR="00C354D5" w:rsidRPr="00D8620D">
        <w:rPr>
          <w:rStyle w:val="FootnoteReference"/>
          <w:rFonts w:ascii="Arial" w:hAnsi="Arial" w:cs="Arial"/>
          <w:color w:val="808080" w:themeColor="background1" w:themeShade="80"/>
        </w:rPr>
        <w:footnoteReference w:id="60"/>
      </w:r>
      <w:r w:rsidR="001B5CA5" w:rsidRPr="00D8620D">
        <w:rPr>
          <w:rFonts w:ascii="Arial" w:hAnsi="Arial" w:cs="Arial"/>
          <w:color w:val="808080" w:themeColor="background1" w:themeShade="80"/>
        </w:rPr>
        <w:t xml:space="preserve">. Nothing in the </w:t>
      </w:r>
      <w:r w:rsidR="001F7932" w:rsidRPr="00D8620D">
        <w:rPr>
          <w:rFonts w:ascii="Arial" w:hAnsi="Arial" w:cs="Arial"/>
          <w:color w:val="808080" w:themeColor="background1" w:themeShade="80"/>
        </w:rPr>
        <w:t xml:space="preserve">US </w:t>
      </w:r>
      <w:r w:rsidR="001B5CA5" w:rsidRPr="00D8620D">
        <w:rPr>
          <w:rFonts w:ascii="Arial" w:hAnsi="Arial" w:cs="Arial"/>
          <w:color w:val="808080" w:themeColor="background1" w:themeShade="80"/>
        </w:rPr>
        <w:t xml:space="preserve">Constitution required </w:t>
      </w:r>
      <w:r w:rsidR="002B70D1" w:rsidRPr="00D8620D">
        <w:rPr>
          <w:rFonts w:ascii="Arial" w:hAnsi="Arial" w:cs="Arial"/>
          <w:color w:val="808080" w:themeColor="background1" w:themeShade="80"/>
        </w:rPr>
        <w:t xml:space="preserve">an express waiver </w:t>
      </w:r>
      <w:r w:rsidR="001B5CA5" w:rsidRPr="00D8620D">
        <w:rPr>
          <w:rFonts w:ascii="Arial" w:hAnsi="Arial" w:cs="Arial"/>
          <w:color w:val="808080" w:themeColor="background1" w:themeShade="80"/>
        </w:rPr>
        <w:t xml:space="preserve">- so long as the litigant was aware of the right to an </w:t>
      </w:r>
      <w:proofErr w:type="gramStart"/>
      <w:r w:rsidR="001B5CA5" w:rsidRPr="00D8620D">
        <w:rPr>
          <w:rFonts w:ascii="Arial" w:hAnsi="Arial" w:cs="Arial"/>
          <w:color w:val="808080" w:themeColor="background1" w:themeShade="80"/>
        </w:rPr>
        <w:t>Article</w:t>
      </w:r>
      <w:proofErr w:type="gramEnd"/>
      <w:r w:rsidR="001B5CA5" w:rsidRPr="00D8620D">
        <w:rPr>
          <w:rFonts w:ascii="Arial" w:hAnsi="Arial" w:cs="Arial"/>
          <w:color w:val="808080" w:themeColor="background1" w:themeShade="80"/>
        </w:rPr>
        <w:t xml:space="preserve"> III judge, the </w:t>
      </w:r>
      <w:r w:rsidR="002B70D1" w:rsidRPr="00D8620D">
        <w:rPr>
          <w:rFonts w:ascii="Arial" w:hAnsi="Arial" w:cs="Arial"/>
          <w:color w:val="808080" w:themeColor="background1" w:themeShade="80"/>
        </w:rPr>
        <w:t>litigant</w:t>
      </w:r>
      <w:r w:rsidR="001B5CA5" w:rsidRPr="00D8620D">
        <w:rPr>
          <w:rFonts w:ascii="Arial" w:hAnsi="Arial" w:cs="Arial"/>
          <w:color w:val="808080" w:themeColor="background1" w:themeShade="80"/>
        </w:rPr>
        <w:t xml:space="preserve"> proceeding </w:t>
      </w:r>
      <w:r w:rsidR="002B70D1" w:rsidRPr="00D8620D">
        <w:rPr>
          <w:rFonts w:ascii="Arial" w:hAnsi="Arial" w:cs="Arial"/>
          <w:color w:val="808080" w:themeColor="background1" w:themeShade="80"/>
        </w:rPr>
        <w:t xml:space="preserve">voluntarily </w:t>
      </w:r>
      <w:r w:rsidR="001B5CA5" w:rsidRPr="00D8620D">
        <w:rPr>
          <w:rFonts w:ascii="Arial" w:hAnsi="Arial" w:cs="Arial"/>
          <w:color w:val="808080" w:themeColor="background1" w:themeShade="80"/>
        </w:rPr>
        <w:t>with a case before a non-Article III judge would constitute a waiver</w:t>
      </w:r>
      <w:r w:rsidR="00C354D5" w:rsidRPr="00D8620D">
        <w:rPr>
          <w:rStyle w:val="FootnoteReference"/>
          <w:rFonts w:ascii="Arial" w:hAnsi="Arial" w:cs="Arial"/>
          <w:color w:val="808080" w:themeColor="background1" w:themeShade="80"/>
        </w:rPr>
        <w:footnoteReference w:id="61"/>
      </w:r>
      <w:r w:rsidR="001B5CA5" w:rsidRPr="00D8620D">
        <w:rPr>
          <w:rFonts w:ascii="Arial" w:hAnsi="Arial" w:cs="Arial"/>
          <w:color w:val="808080" w:themeColor="background1" w:themeShade="80"/>
        </w:rPr>
        <w:t xml:space="preserve">. </w:t>
      </w:r>
      <w:r w:rsidR="001F7932" w:rsidRPr="00D8620D">
        <w:rPr>
          <w:rFonts w:ascii="Arial" w:hAnsi="Arial" w:cs="Arial"/>
          <w:color w:val="808080" w:themeColor="background1" w:themeShade="80"/>
        </w:rPr>
        <w:t xml:space="preserve">In </w:t>
      </w:r>
      <w:r w:rsidR="001F7932" w:rsidRPr="00D8620D">
        <w:rPr>
          <w:rFonts w:ascii="Arial" w:hAnsi="Arial" w:cs="Arial"/>
          <w:i/>
          <w:iCs/>
          <w:color w:val="808080" w:themeColor="background1" w:themeShade="80"/>
        </w:rPr>
        <w:t>Wellness</w:t>
      </w:r>
      <w:r w:rsidR="001F7932" w:rsidRPr="00D8620D">
        <w:rPr>
          <w:rFonts w:ascii="Arial" w:hAnsi="Arial" w:cs="Arial"/>
          <w:color w:val="808080" w:themeColor="background1" w:themeShade="80"/>
        </w:rPr>
        <w:t>, the</w:t>
      </w:r>
      <w:r w:rsidR="001B5CA5" w:rsidRPr="00D8620D">
        <w:rPr>
          <w:rFonts w:ascii="Arial" w:hAnsi="Arial" w:cs="Arial"/>
          <w:color w:val="808080" w:themeColor="background1" w:themeShade="80"/>
        </w:rPr>
        <w:t xml:space="preserve"> </w:t>
      </w:r>
      <w:r w:rsidR="002B70D1" w:rsidRPr="00D8620D">
        <w:rPr>
          <w:rFonts w:ascii="Arial" w:hAnsi="Arial" w:cs="Arial"/>
          <w:color w:val="808080" w:themeColor="background1" w:themeShade="80"/>
        </w:rPr>
        <w:t xml:space="preserve">Supreme </w:t>
      </w:r>
      <w:r w:rsidR="001B5CA5" w:rsidRPr="00D8620D">
        <w:rPr>
          <w:rFonts w:ascii="Arial" w:hAnsi="Arial" w:cs="Arial"/>
          <w:color w:val="808080" w:themeColor="background1" w:themeShade="80"/>
        </w:rPr>
        <w:t>Court's "</w:t>
      </w:r>
      <w:r w:rsidR="001B5CA5" w:rsidRPr="00D8620D">
        <w:rPr>
          <w:rFonts w:ascii="Arial" w:hAnsi="Arial" w:cs="Arial"/>
          <w:i/>
          <w:iCs/>
          <w:color w:val="808080" w:themeColor="background1" w:themeShade="80"/>
        </w:rPr>
        <w:t>breezy pragmatism skirted several rigid, formalist approaches to defining the contours of Article III, suggesting that the Court will adopt a more flexible approach in considering future challenges to the constitutionality of non–Article III tribunals</w:t>
      </w:r>
      <w:r w:rsidR="001B5CA5" w:rsidRPr="00D8620D">
        <w:rPr>
          <w:rFonts w:ascii="Arial" w:hAnsi="Arial" w:cs="Arial"/>
          <w:color w:val="808080" w:themeColor="background1" w:themeShade="80"/>
        </w:rPr>
        <w:t>."</w:t>
      </w:r>
      <w:r w:rsidR="00C354D5" w:rsidRPr="00D8620D">
        <w:rPr>
          <w:rStyle w:val="FootnoteReference"/>
          <w:rFonts w:ascii="Arial" w:hAnsi="Arial" w:cs="Arial"/>
          <w:color w:val="808080" w:themeColor="background1" w:themeShade="80"/>
        </w:rPr>
        <w:footnoteReference w:id="62"/>
      </w:r>
    </w:p>
    <w:p w14:paraId="5DE52A32" w14:textId="77777777" w:rsidR="00134804" w:rsidRPr="00D8620D" w:rsidRDefault="00134804" w:rsidP="00562F82">
      <w:pPr>
        <w:pStyle w:val="AODocTxt"/>
        <w:spacing w:before="0" w:line="240" w:lineRule="auto"/>
        <w:rPr>
          <w:rFonts w:ascii="Arial" w:hAnsi="Arial" w:cs="Arial"/>
          <w:color w:val="808080" w:themeColor="background1" w:themeShade="80"/>
        </w:rPr>
      </w:pPr>
    </w:p>
    <w:p w14:paraId="65C84328" w14:textId="61AA2B3D" w:rsidR="0072574E" w:rsidRPr="00D8620D" w:rsidRDefault="001B5CA5"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 xml:space="preserve">The </w:t>
      </w:r>
      <w:r w:rsidR="00DD4C48" w:rsidRPr="00D8620D">
        <w:rPr>
          <w:rFonts w:ascii="Arial" w:hAnsi="Arial" w:cs="Arial"/>
          <w:color w:val="808080" w:themeColor="background1" w:themeShade="80"/>
        </w:rPr>
        <w:t>Federal Rules of Bankruptcy Procedure (“</w:t>
      </w:r>
      <w:r w:rsidR="00DD4C48" w:rsidRPr="00D8620D">
        <w:rPr>
          <w:rFonts w:ascii="Arial" w:hAnsi="Arial" w:cs="Arial"/>
          <w:b/>
          <w:bCs/>
          <w:color w:val="808080" w:themeColor="background1" w:themeShade="80"/>
        </w:rPr>
        <w:t>Bankruptcy Rules</w:t>
      </w:r>
      <w:r w:rsidR="00DD4C48"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reflect these rulings. They require litigants </w:t>
      </w:r>
      <w:r w:rsidR="00770C98" w:rsidRPr="00D8620D">
        <w:rPr>
          <w:rFonts w:ascii="Arial" w:hAnsi="Arial" w:cs="Arial"/>
          <w:color w:val="808080" w:themeColor="background1" w:themeShade="80"/>
        </w:rPr>
        <w:t xml:space="preserve">in adversary proceedings </w:t>
      </w:r>
      <w:r w:rsidRPr="00D8620D">
        <w:rPr>
          <w:rFonts w:ascii="Arial" w:hAnsi="Arial" w:cs="Arial"/>
          <w:color w:val="808080" w:themeColor="background1" w:themeShade="80"/>
        </w:rPr>
        <w:t xml:space="preserve">to state in their respective pleadings whether they </w:t>
      </w:r>
      <w:r w:rsidR="00770C98" w:rsidRPr="00D8620D">
        <w:rPr>
          <w:rFonts w:ascii="Arial" w:hAnsi="Arial" w:cs="Arial"/>
          <w:color w:val="808080" w:themeColor="background1" w:themeShade="80"/>
        </w:rPr>
        <w:t>“</w:t>
      </w:r>
      <w:r w:rsidR="00770C98" w:rsidRPr="00D8620D">
        <w:rPr>
          <w:rFonts w:ascii="Arial" w:hAnsi="Arial" w:cs="Arial"/>
          <w:i/>
          <w:iCs/>
          <w:color w:val="808080" w:themeColor="background1" w:themeShade="80"/>
        </w:rPr>
        <w:t>consent to entry of final orders or judgment by the bankruptcy court</w:t>
      </w:r>
      <w:r w:rsidR="00770C98" w:rsidRPr="00D8620D">
        <w:rPr>
          <w:rFonts w:ascii="Arial" w:hAnsi="Arial" w:cs="Arial"/>
          <w:color w:val="808080" w:themeColor="background1" w:themeShade="80"/>
        </w:rPr>
        <w:t>.”</w:t>
      </w:r>
      <w:r w:rsidR="00770C98" w:rsidRPr="00D8620D">
        <w:rPr>
          <w:rStyle w:val="FootnoteReference"/>
          <w:rFonts w:ascii="Arial" w:hAnsi="Arial" w:cs="Arial"/>
          <w:color w:val="808080" w:themeColor="background1" w:themeShade="80"/>
        </w:rPr>
        <w:footnoteReference w:id="63"/>
      </w:r>
      <w:r w:rsidR="00770C98"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Should such requirement not be complied </w:t>
      </w:r>
      <w:proofErr w:type="gramStart"/>
      <w:r w:rsidRPr="00D8620D">
        <w:rPr>
          <w:rFonts w:ascii="Arial" w:hAnsi="Arial" w:cs="Arial"/>
          <w:color w:val="808080" w:themeColor="background1" w:themeShade="80"/>
        </w:rPr>
        <w:t>with,</w:t>
      </w:r>
      <w:proofErr w:type="gramEnd"/>
      <w:r w:rsidRPr="00D8620D">
        <w:rPr>
          <w:rFonts w:ascii="Arial" w:hAnsi="Arial" w:cs="Arial"/>
          <w:color w:val="808080" w:themeColor="background1" w:themeShade="80"/>
        </w:rPr>
        <w:t xml:space="preserve"> the non-complying party</w:t>
      </w:r>
      <w:r w:rsidR="00723686" w:rsidRPr="00D8620D">
        <w:rPr>
          <w:rFonts w:ascii="Arial" w:hAnsi="Arial" w:cs="Arial"/>
          <w:color w:val="808080" w:themeColor="background1" w:themeShade="80"/>
        </w:rPr>
        <w:t xml:space="preserve"> may be deemed</w:t>
      </w:r>
      <w:r w:rsidRPr="00D8620D">
        <w:rPr>
          <w:rFonts w:ascii="Arial" w:hAnsi="Arial" w:cs="Arial"/>
          <w:color w:val="808080" w:themeColor="background1" w:themeShade="80"/>
        </w:rPr>
        <w:t xml:space="preserve"> to have consented </w:t>
      </w:r>
      <w:r w:rsidRPr="00D8620D">
        <w:rPr>
          <w:rFonts w:ascii="Arial" w:hAnsi="Arial" w:cs="Arial"/>
          <w:color w:val="808080" w:themeColor="background1" w:themeShade="80"/>
        </w:rPr>
        <w:lastRenderedPageBreak/>
        <w:t xml:space="preserve">to the exercise of </w:t>
      </w:r>
      <w:r w:rsidR="001F7932" w:rsidRPr="00D8620D">
        <w:rPr>
          <w:rFonts w:ascii="Arial" w:hAnsi="Arial" w:cs="Arial"/>
          <w:color w:val="808080" w:themeColor="background1" w:themeShade="80"/>
        </w:rPr>
        <w:t>the court’s</w:t>
      </w:r>
      <w:r w:rsidRPr="00D8620D">
        <w:rPr>
          <w:rFonts w:ascii="Arial" w:hAnsi="Arial" w:cs="Arial"/>
          <w:color w:val="808080" w:themeColor="background1" w:themeShade="80"/>
        </w:rPr>
        <w:t xml:space="preserve"> jurisdiction</w:t>
      </w:r>
      <w:r w:rsidR="001B342F" w:rsidRPr="00D8620D">
        <w:rPr>
          <w:rStyle w:val="FootnoteReference"/>
          <w:rFonts w:ascii="Arial" w:hAnsi="Arial" w:cs="Arial"/>
          <w:color w:val="808080" w:themeColor="background1" w:themeShade="80"/>
        </w:rPr>
        <w:footnoteReference w:id="64"/>
      </w:r>
      <w:r w:rsidRPr="00D8620D">
        <w:rPr>
          <w:rFonts w:ascii="Arial" w:hAnsi="Arial" w:cs="Arial"/>
          <w:color w:val="808080" w:themeColor="background1" w:themeShade="80"/>
        </w:rPr>
        <w:t>.</w:t>
      </w:r>
      <w:r w:rsidR="00CF399C" w:rsidRPr="00D8620D">
        <w:rPr>
          <w:rFonts w:ascii="Arial" w:hAnsi="Arial" w:cs="Arial"/>
          <w:color w:val="808080" w:themeColor="background1" w:themeShade="80"/>
        </w:rPr>
        <w:t xml:space="preserve"> </w:t>
      </w:r>
      <w:r w:rsidRPr="00D8620D">
        <w:rPr>
          <w:rFonts w:ascii="Arial" w:hAnsi="Arial" w:cs="Arial"/>
          <w:color w:val="808080" w:themeColor="background1" w:themeShade="80"/>
        </w:rPr>
        <w:t xml:space="preserve">Further, the </w:t>
      </w:r>
      <w:r w:rsidR="00723686" w:rsidRPr="00D8620D">
        <w:rPr>
          <w:rFonts w:ascii="Arial" w:hAnsi="Arial" w:cs="Arial"/>
          <w:color w:val="808080" w:themeColor="background1" w:themeShade="80"/>
        </w:rPr>
        <w:t>Bankruptcy Rules</w:t>
      </w:r>
      <w:r w:rsidRPr="00D8620D">
        <w:rPr>
          <w:rFonts w:ascii="Arial" w:hAnsi="Arial" w:cs="Arial"/>
          <w:color w:val="808080" w:themeColor="background1" w:themeShade="80"/>
        </w:rPr>
        <w:t xml:space="preserve"> </w:t>
      </w:r>
      <w:r w:rsidR="0072574E" w:rsidRPr="00D8620D">
        <w:rPr>
          <w:rFonts w:ascii="Arial" w:hAnsi="Arial" w:cs="Arial"/>
          <w:color w:val="808080" w:themeColor="background1" w:themeShade="80"/>
        </w:rPr>
        <w:t xml:space="preserve">states </w:t>
      </w:r>
      <w:r w:rsidR="00CF399C" w:rsidRPr="00D8620D">
        <w:rPr>
          <w:rFonts w:ascii="Arial" w:hAnsi="Arial" w:cs="Arial"/>
          <w:color w:val="808080" w:themeColor="background1" w:themeShade="80"/>
        </w:rPr>
        <w:t>at Rule 8018.1 that if</w:t>
      </w:r>
      <w:r w:rsidR="0072574E" w:rsidRPr="00D8620D">
        <w:rPr>
          <w:rFonts w:ascii="Arial" w:hAnsi="Arial" w:cs="Arial"/>
          <w:color w:val="808080" w:themeColor="background1" w:themeShade="80"/>
        </w:rPr>
        <w:t xml:space="preserve"> on appeal,</w:t>
      </w:r>
      <w:r w:rsidRPr="00D8620D">
        <w:rPr>
          <w:rFonts w:ascii="Arial" w:hAnsi="Arial" w:cs="Arial"/>
          <w:color w:val="808080" w:themeColor="background1" w:themeShade="80"/>
        </w:rPr>
        <w:t xml:space="preserve"> a district court </w:t>
      </w:r>
      <w:r w:rsidR="00CF399C" w:rsidRPr="00D8620D">
        <w:rPr>
          <w:rFonts w:ascii="Arial" w:hAnsi="Arial" w:cs="Arial"/>
          <w:color w:val="808080" w:themeColor="background1" w:themeShade="80"/>
        </w:rPr>
        <w:t>adjudicates</w:t>
      </w:r>
      <w:r w:rsidRPr="00D8620D">
        <w:rPr>
          <w:rFonts w:ascii="Arial" w:hAnsi="Arial" w:cs="Arial"/>
          <w:color w:val="808080" w:themeColor="background1" w:themeShade="80"/>
        </w:rPr>
        <w:t xml:space="preserve"> that a bankruptcy court did not have jurisdiction </w:t>
      </w:r>
      <w:r w:rsidR="00CF399C" w:rsidRPr="00D8620D">
        <w:rPr>
          <w:rFonts w:ascii="Arial" w:hAnsi="Arial" w:cs="Arial"/>
          <w:color w:val="808080" w:themeColor="background1" w:themeShade="80"/>
        </w:rPr>
        <w:t>(</w:t>
      </w:r>
      <w:r w:rsidR="0072574E" w:rsidRPr="00D8620D">
        <w:rPr>
          <w:rFonts w:ascii="Arial" w:hAnsi="Arial" w:cs="Arial"/>
          <w:color w:val="808080" w:themeColor="background1" w:themeShade="80"/>
        </w:rPr>
        <w:t>under Article III</w:t>
      </w:r>
      <w:r w:rsidR="00CF399C" w:rsidRPr="00D8620D">
        <w:rPr>
          <w:rFonts w:ascii="Arial" w:hAnsi="Arial" w:cs="Arial"/>
          <w:color w:val="808080" w:themeColor="background1" w:themeShade="80"/>
        </w:rPr>
        <w:t>)</w:t>
      </w:r>
      <w:r w:rsidR="0072574E" w:rsidRPr="00D8620D">
        <w:rPr>
          <w:rFonts w:ascii="Arial" w:hAnsi="Arial" w:cs="Arial"/>
          <w:color w:val="808080" w:themeColor="background1" w:themeShade="80"/>
        </w:rPr>
        <w:t xml:space="preserve"> </w:t>
      </w:r>
      <w:r w:rsidRPr="00D8620D">
        <w:rPr>
          <w:rFonts w:ascii="Arial" w:hAnsi="Arial" w:cs="Arial"/>
          <w:color w:val="808080" w:themeColor="background1" w:themeShade="80"/>
        </w:rPr>
        <w:t>to enter a</w:t>
      </w:r>
      <w:r w:rsidR="00CF399C" w:rsidRPr="00D8620D">
        <w:rPr>
          <w:rFonts w:ascii="Arial" w:hAnsi="Arial" w:cs="Arial"/>
          <w:color w:val="808080" w:themeColor="background1" w:themeShade="80"/>
        </w:rPr>
        <w:t>n</w:t>
      </w:r>
      <w:r w:rsidRPr="00D8620D">
        <w:rPr>
          <w:rFonts w:ascii="Arial" w:hAnsi="Arial" w:cs="Arial"/>
          <w:color w:val="808080" w:themeColor="background1" w:themeShade="80"/>
        </w:rPr>
        <w:t xml:space="preserve"> order</w:t>
      </w:r>
      <w:r w:rsidR="00CF399C" w:rsidRPr="00D8620D">
        <w:rPr>
          <w:rFonts w:ascii="Arial" w:hAnsi="Arial" w:cs="Arial"/>
          <w:color w:val="808080" w:themeColor="background1" w:themeShade="80"/>
        </w:rPr>
        <w:t>, the district court</w:t>
      </w:r>
      <w:r w:rsidRPr="00D8620D">
        <w:rPr>
          <w:rFonts w:ascii="Arial" w:hAnsi="Arial" w:cs="Arial"/>
          <w:color w:val="808080" w:themeColor="background1" w:themeShade="80"/>
        </w:rPr>
        <w:t xml:space="preserve"> </w:t>
      </w:r>
      <w:r w:rsidR="00CF399C" w:rsidRPr="00D8620D">
        <w:rPr>
          <w:rFonts w:ascii="Arial" w:hAnsi="Arial" w:cs="Arial"/>
          <w:color w:val="808080" w:themeColor="background1" w:themeShade="80"/>
        </w:rPr>
        <w:t>“</w:t>
      </w:r>
      <w:r w:rsidR="0072574E" w:rsidRPr="00D8620D">
        <w:rPr>
          <w:rFonts w:ascii="Arial" w:hAnsi="Arial" w:cs="Arial"/>
          <w:i/>
          <w:iCs/>
          <w:color w:val="808080" w:themeColor="background1" w:themeShade="80"/>
        </w:rPr>
        <w:t>may treat it as a proposed findings of fact and conclusions of law</w:t>
      </w:r>
      <w:r w:rsidR="0072574E" w:rsidRPr="00D8620D">
        <w:rPr>
          <w:rFonts w:ascii="Arial" w:hAnsi="Arial" w:cs="Arial"/>
          <w:color w:val="808080" w:themeColor="background1" w:themeShade="80"/>
        </w:rPr>
        <w:t>.</w:t>
      </w:r>
      <w:r w:rsidR="00CF399C" w:rsidRPr="00D8620D">
        <w:rPr>
          <w:rFonts w:ascii="Arial" w:hAnsi="Arial" w:cs="Arial"/>
          <w:color w:val="808080" w:themeColor="background1" w:themeShade="80"/>
        </w:rPr>
        <w:t>”</w:t>
      </w:r>
      <w:r w:rsidR="00CF399C" w:rsidRPr="00D8620D">
        <w:rPr>
          <w:rStyle w:val="FootnoteReference"/>
          <w:rFonts w:ascii="Arial" w:hAnsi="Arial" w:cs="Arial"/>
          <w:color w:val="808080" w:themeColor="background1" w:themeShade="80"/>
        </w:rPr>
        <w:footnoteReference w:id="65"/>
      </w:r>
    </w:p>
    <w:p w14:paraId="21DF5F2F" w14:textId="77777777" w:rsidR="00661068" w:rsidRPr="00D8620D" w:rsidRDefault="00661068" w:rsidP="00562F82">
      <w:pPr>
        <w:pStyle w:val="AODocTxt"/>
        <w:spacing w:before="0" w:line="240" w:lineRule="auto"/>
        <w:rPr>
          <w:rFonts w:ascii="Arial" w:hAnsi="Arial" w:cs="Arial"/>
          <w:color w:val="808080" w:themeColor="background1" w:themeShade="80"/>
        </w:rPr>
      </w:pPr>
    </w:p>
    <w:p w14:paraId="6CC99015" w14:textId="25F6A6A1" w:rsidR="004B0E88" w:rsidRPr="00D8620D" w:rsidRDefault="004B0E88" w:rsidP="00562F82">
      <w:pPr>
        <w:pStyle w:val="AODocTxt"/>
        <w:spacing w:before="0" w:line="240" w:lineRule="auto"/>
        <w:rPr>
          <w:rFonts w:ascii="Arial" w:hAnsi="Arial" w:cs="Arial"/>
          <w:b/>
          <w:bCs/>
          <w:color w:val="808080" w:themeColor="background1" w:themeShade="80"/>
          <w:u w:val="single"/>
        </w:rPr>
      </w:pPr>
      <w:r w:rsidRPr="00D8620D">
        <w:rPr>
          <w:rFonts w:ascii="Arial" w:hAnsi="Arial" w:cs="Arial"/>
          <w:b/>
          <w:bCs/>
          <w:color w:val="808080" w:themeColor="background1" w:themeShade="80"/>
          <w:u w:val="single"/>
        </w:rPr>
        <w:t>Review of appeals from bankruptcy court orders</w:t>
      </w:r>
    </w:p>
    <w:p w14:paraId="799AEA02" w14:textId="77777777" w:rsidR="00D8620D" w:rsidRPr="00D8620D" w:rsidRDefault="001F7932"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A</w:t>
      </w:r>
      <w:r w:rsidR="001B5CA5" w:rsidRPr="00D8620D">
        <w:rPr>
          <w:rFonts w:ascii="Arial" w:hAnsi="Arial" w:cs="Arial"/>
          <w:color w:val="808080" w:themeColor="background1" w:themeShade="80"/>
        </w:rPr>
        <w:t>ppeals from</w:t>
      </w:r>
      <w:r w:rsidR="000131DF" w:rsidRPr="00D8620D">
        <w:rPr>
          <w:rFonts w:ascii="Arial" w:hAnsi="Arial" w:cs="Arial"/>
          <w:color w:val="808080" w:themeColor="background1" w:themeShade="80"/>
        </w:rPr>
        <w:t xml:space="preserve"> decisions of the bankruptcy court</w:t>
      </w:r>
      <w:r w:rsidR="001B5CA5" w:rsidRPr="00D8620D">
        <w:rPr>
          <w:rFonts w:ascii="Arial" w:hAnsi="Arial" w:cs="Arial"/>
          <w:color w:val="808080" w:themeColor="background1" w:themeShade="80"/>
        </w:rPr>
        <w:t xml:space="preserve"> will </w:t>
      </w:r>
      <w:r w:rsidRPr="00D8620D">
        <w:rPr>
          <w:rFonts w:ascii="Arial" w:hAnsi="Arial" w:cs="Arial"/>
          <w:color w:val="808080" w:themeColor="background1" w:themeShade="80"/>
        </w:rPr>
        <w:t xml:space="preserve">generally </w:t>
      </w:r>
      <w:r w:rsidR="001B5CA5" w:rsidRPr="00D8620D">
        <w:rPr>
          <w:rFonts w:ascii="Arial" w:hAnsi="Arial" w:cs="Arial"/>
          <w:color w:val="808080" w:themeColor="background1" w:themeShade="80"/>
        </w:rPr>
        <w:t xml:space="preserve">be heard by the district court for the district in which the bankruptcy court sits. However, further to </w:t>
      </w:r>
      <w:r w:rsidR="00275F12" w:rsidRPr="00D8620D">
        <w:rPr>
          <w:rFonts w:ascii="Arial" w:hAnsi="Arial" w:cs="Arial"/>
          <w:color w:val="808080" w:themeColor="background1" w:themeShade="80"/>
        </w:rPr>
        <w:t>s</w:t>
      </w:r>
      <w:r w:rsidR="001B5CA5" w:rsidRPr="00D8620D">
        <w:rPr>
          <w:rFonts w:ascii="Arial" w:hAnsi="Arial" w:cs="Arial"/>
          <w:color w:val="808080" w:themeColor="background1" w:themeShade="80"/>
        </w:rPr>
        <w:t xml:space="preserve">ection 158(b), the First, Sixth, Eight, Ninth and Tenth Circuits have </w:t>
      </w:r>
      <w:r w:rsidR="00D4228F" w:rsidRPr="00D8620D">
        <w:rPr>
          <w:rFonts w:ascii="Arial" w:hAnsi="Arial" w:cs="Arial"/>
          <w:color w:val="808080" w:themeColor="background1" w:themeShade="80"/>
        </w:rPr>
        <w:t xml:space="preserve">elected to </w:t>
      </w:r>
      <w:r w:rsidR="001B5CA5" w:rsidRPr="00D8620D">
        <w:rPr>
          <w:rFonts w:ascii="Arial" w:hAnsi="Arial" w:cs="Arial"/>
          <w:color w:val="808080" w:themeColor="background1" w:themeShade="80"/>
        </w:rPr>
        <w:t>form the Bankruptcy Appellate Panel ("</w:t>
      </w:r>
      <w:r w:rsidR="001B5CA5" w:rsidRPr="00D8620D">
        <w:rPr>
          <w:rFonts w:ascii="Arial" w:hAnsi="Arial" w:cs="Arial"/>
          <w:b/>
          <w:bCs/>
          <w:color w:val="808080" w:themeColor="background1" w:themeShade="80"/>
        </w:rPr>
        <w:t>BAP</w:t>
      </w:r>
      <w:r w:rsidR="001B5CA5" w:rsidRPr="00D8620D">
        <w:rPr>
          <w:rFonts w:ascii="Arial" w:hAnsi="Arial" w:cs="Arial"/>
          <w:color w:val="808080" w:themeColor="background1" w:themeShade="80"/>
        </w:rPr>
        <w:t>") - bankruptcy appeals are heard by a BAP which will be convened from the judges of the bankruptcy courts within that circuit</w:t>
      </w:r>
      <w:r w:rsidR="00D4228F" w:rsidRPr="00D8620D">
        <w:rPr>
          <w:rStyle w:val="FootnoteReference"/>
          <w:rFonts w:ascii="Arial" w:hAnsi="Arial" w:cs="Arial"/>
          <w:color w:val="808080" w:themeColor="background1" w:themeShade="80"/>
        </w:rPr>
        <w:footnoteReference w:id="66"/>
      </w:r>
      <w:r w:rsidR="001B5CA5" w:rsidRPr="00D8620D">
        <w:rPr>
          <w:rFonts w:ascii="Arial" w:hAnsi="Arial" w:cs="Arial"/>
          <w:color w:val="808080" w:themeColor="background1" w:themeShade="80"/>
        </w:rPr>
        <w:t>. Within those circuits, a party can</w:t>
      </w:r>
      <w:r w:rsidR="000131DF" w:rsidRPr="00D8620D">
        <w:rPr>
          <w:rFonts w:ascii="Arial" w:hAnsi="Arial" w:cs="Arial"/>
          <w:color w:val="808080" w:themeColor="background1" w:themeShade="80"/>
        </w:rPr>
        <w:t xml:space="preserve"> </w:t>
      </w:r>
      <w:r w:rsidR="001B5CA5" w:rsidRPr="00D8620D">
        <w:rPr>
          <w:rFonts w:ascii="Arial" w:hAnsi="Arial" w:cs="Arial"/>
          <w:color w:val="808080" w:themeColor="background1" w:themeShade="80"/>
        </w:rPr>
        <w:t>request that the appeal is heard by the district court instead.</w:t>
      </w:r>
    </w:p>
    <w:p w14:paraId="58C1E5FF" w14:textId="77777777" w:rsidR="00D8620D" w:rsidRPr="00D8620D" w:rsidRDefault="00D8620D" w:rsidP="00562F82">
      <w:pPr>
        <w:pStyle w:val="AODocTxt"/>
        <w:spacing w:before="0" w:line="240" w:lineRule="auto"/>
        <w:rPr>
          <w:rFonts w:ascii="Arial" w:hAnsi="Arial" w:cs="Arial"/>
          <w:color w:val="808080" w:themeColor="background1" w:themeShade="80"/>
        </w:rPr>
      </w:pPr>
    </w:p>
    <w:p w14:paraId="2B1D5CDA" w14:textId="4DA39ECE" w:rsidR="001B5CA5" w:rsidRPr="00D8620D" w:rsidRDefault="00D8620D" w:rsidP="00562F82">
      <w:pPr>
        <w:pStyle w:val="AODocTxt"/>
        <w:spacing w:before="0" w:line="240" w:lineRule="auto"/>
        <w:rPr>
          <w:rFonts w:ascii="Arial" w:hAnsi="Arial" w:cs="Arial"/>
          <w:color w:val="808080" w:themeColor="background1" w:themeShade="80"/>
        </w:rPr>
      </w:pPr>
      <w:r w:rsidRPr="00D8620D">
        <w:rPr>
          <w:rFonts w:ascii="Arial" w:hAnsi="Arial" w:cs="Arial"/>
          <w:color w:val="808080" w:themeColor="background1" w:themeShade="80"/>
        </w:rPr>
        <w:t>T</w:t>
      </w:r>
      <w:r w:rsidR="001B5CA5" w:rsidRPr="00D8620D">
        <w:rPr>
          <w:rFonts w:ascii="Arial" w:hAnsi="Arial" w:cs="Arial"/>
          <w:color w:val="808080" w:themeColor="background1" w:themeShade="80"/>
        </w:rPr>
        <w:t>here is a further appeal of right to the circuit court of appeals (from the district court or BAP)</w:t>
      </w:r>
      <w:r w:rsidR="001B342F" w:rsidRPr="00D8620D">
        <w:rPr>
          <w:rStyle w:val="FootnoteReference"/>
          <w:rFonts w:ascii="Arial" w:hAnsi="Arial" w:cs="Arial"/>
          <w:color w:val="808080" w:themeColor="background1" w:themeShade="80"/>
        </w:rPr>
        <w:footnoteReference w:id="67"/>
      </w:r>
      <w:r w:rsidR="001B5CA5" w:rsidRPr="00D8620D">
        <w:rPr>
          <w:rFonts w:ascii="Arial" w:hAnsi="Arial" w:cs="Arial"/>
          <w:color w:val="808080" w:themeColor="background1" w:themeShade="80"/>
        </w:rPr>
        <w:t>. It is possible (although rare) that an appeal from the bankruptcy court goes directly to the court of appeals, where the bankruptcy court or district court certifies that:</w:t>
      </w:r>
    </w:p>
    <w:p w14:paraId="047CC905" w14:textId="430E7522" w:rsidR="00275F12" w:rsidRPr="00D8620D" w:rsidRDefault="001B5CA5" w:rsidP="0042541A">
      <w:pPr>
        <w:pStyle w:val="AODocTxt"/>
        <w:numPr>
          <w:ilvl w:val="0"/>
          <w:numId w:val="11"/>
        </w:numPr>
        <w:spacing w:before="0" w:line="240" w:lineRule="auto"/>
        <w:ind w:left="527" w:hanging="357"/>
        <w:rPr>
          <w:rFonts w:ascii="Arial" w:hAnsi="Arial" w:cs="Arial"/>
          <w:color w:val="808080" w:themeColor="background1" w:themeShade="80"/>
        </w:rPr>
      </w:pPr>
      <w:r w:rsidRPr="00D8620D">
        <w:rPr>
          <w:rFonts w:ascii="Arial" w:hAnsi="Arial" w:cs="Arial"/>
          <w:color w:val="808080" w:themeColor="background1" w:themeShade="80"/>
        </w:rPr>
        <w:t>the appeal raises "</w:t>
      </w:r>
      <w:r w:rsidRPr="00D8620D">
        <w:rPr>
          <w:rFonts w:ascii="Arial" w:hAnsi="Arial" w:cs="Arial"/>
          <w:i/>
          <w:iCs/>
          <w:color w:val="808080" w:themeColor="background1" w:themeShade="80"/>
        </w:rPr>
        <w:t>a question of law as to which there is no controlling decision of the court of appeals for the circuit or of the Supreme Court</w:t>
      </w:r>
      <w:r w:rsidR="00EB1E13">
        <w:rPr>
          <w:rFonts w:ascii="Arial" w:hAnsi="Arial" w:cs="Arial"/>
          <w:i/>
          <w:iCs/>
          <w:color w:val="808080" w:themeColor="background1" w:themeShade="80"/>
        </w:rPr>
        <w:t>…</w:t>
      </w:r>
      <w:r w:rsidRPr="00D8620D">
        <w:rPr>
          <w:rFonts w:ascii="Arial" w:hAnsi="Arial" w:cs="Arial"/>
          <w:i/>
          <w:iCs/>
          <w:color w:val="808080" w:themeColor="background1" w:themeShade="80"/>
        </w:rPr>
        <w:t>or involves a matter of public importance</w:t>
      </w:r>
      <w:r w:rsidRPr="00D8620D">
        <w:rPr>
          <w:rFonts w:ascii="Arial" w:hAnsi="Arial" w:cs="Arial"/>
          <w:color w:val="808080" w:themeColor="background1" w:themeShade="80"/>
        </w:rPr>
        <w:t>"</w:t>
      </w:r>
      <w:r w:rsidR="00275F12" w:rsidRPr="00D8620D">
        <w:rPr>
          <w:rStyle w:val="FootnoteReference"/>
          <w:rFonts w:ascii="Arial" w:hAnsi="Arial" w:cs="Arial"/>
          <w:color w:val="808080" w:themeColor="background1" w:themeShade="80"/>
        </w:rPr>
        <w:footnoteReference w:id="68"/>
      </w:r>
      <w:r w:rsidRPr="00D8620D">
        <w:rPr>
          <w:rFonts w:ascii="Arial" w:hAnsi="Arial" w:cs="Arial"/>
          <w:color w:val="808080" w:themeColor="background1" w:themeShade="80"/>
        </w:rPr>
        <w:t>;</w:t>
      </w:r>
    </w:p>
    <w:p w14:paraId="6D2C06C7" w14:textId="77777777" w:rsidR="0042541A" w:rsidRPr="00D8620D" w:rsidRDefault="00275F12" w:rsidP="0042541A">
      <w:pPr>
        <w:pStyle w:val="AODocTxt"/>
        <w:numPr>
          <w:ilvl w:val="0"/>
          <w:numId w:val="11"/>
        </w:numPr>
        <w:spacing w:before="0" w:line="240" w:lineRule="auto"/>
        <w:ind w:left="527" w:hanging="357"/>
        <w:rPr>
          <w:rFonts w:ascii="Arial" w:hAnsi="Arial" w:cs="Arial"/>
          <w:color w:val="808080" w:themeColor="background1" w:themeShade="80"/>
        </w:rPr>
      </w:pPr>
      <w:r w:rsidRPr="00D8620D">
        <w:rPr>
          <w:rFonts w:ascii="Arial" w:hAnsi="Arial" w:cs="Arial"/>
          <w:color w:val="808080" w:themeColor="background1" w:themeShade="80"/>
        </w:rPr>
        <w:t>t</w:t>
      </w:r>
      <w:r w:rsidR="001B5CA5" w:rsidRPr="00D8620D">
        <w:rPr>
          <w:rFonts w:ascii="Arial" w:hAnsi="Arial" w:cs="Arial"/>
          <w:color w:val="808080" w:themeColor="background1" w:themeShade="80"/>
        </w:rPr>
        <w:t>he order "</w:t>
      </w:r>
      <w:r w:rsidR="001B5CA5" w:rsidRPr="00D8620D">
        <w:rPr>
          <w:rFonts w:ascii="Arial" w:hAnsi="Arial" w:cs="Arial"/>
          <w:i/>
          <w:iCs/>
          <w:color w:val="808080" w:themeColor="background1" w:themeShade="80"/>
        </w:rPr>
        <w:t>involves a question of law requiring resolution of conflicting decisions</w:t>
      </w:r>
      <w:r w:rsidR="001B5CA5" w:rsidRPr="00D8620D">
        <w:rPr>
          <w:rFonts w:ascii="Arial" w:hAnsi="Arial" w:cs="Arial"/>
          <w:color w:val="808080" w:themeColor="background1" w:themeShade="80"/>
        </w:rPr>
        <w:t>"</w:t>
      </w:r>
      <w:r w:rsidRPr="00D8620D">
        <w:rPr>
          <w:rStyle w:val="FootnoteReference"/>
          <w:rFonts w:ascii="Arial" w:hAnsi="Arial" w:cs="Arial"/>
          <w:color w:val="808080" w:themeColor="background1" w:themeShade="80"/>
        </w:rPr>
        <w:footnoteReference w:id="69"/>
      </w:r>
      <w:r w:rsidR="001B5CA5" w:rsidRPr="00D8620D">
        <w:rPr>
          <w:rFonts w:ascii="Arial" w:hAnsi="Arial" w:cs="Arial"/>
          <w:color w:val="808080" w:themeColor="background1" w:themeShade="80"/>
        </w:rPr>
        <w:t>;</w:t>
      </w:r>
      <w:r w:rsidRPr="00D8620D">
        <w:rPr>
          <w:rFonts w:ascii="Arial" w:hAnsi="Arial" w:cs="Arial"/>
          <w:color w:val="808080" w:themeColor="background1" w:themeShade="80"/>
        </w:rPr>
        <w:t xml:space="preserve"> </w:t>
      </w:r>
      <w:r w:rsidR="001B5CA5" w:rsidRPr="00D8620D">
        <w:rPr>
          <w:rFonts w:ascii="Arial" w:hAnsi="Arial" w:cs="Arial"/>
          <w:color w:val="808080" w:themeColor="background1" w:themeShade="80"/>
        </w:rPr>
        <w:t>or</w:t>
      </w:r>
    </w:p>
    <w:p w14:paraId="0D54EA6F" w14:textId="47B45BA1" w:rsidR="001B5CA5" w:rsidRPr="00D8620D" w:rsidRDefault="001B5CA5" w:rsidP="0042541A">
      <w:pPr>
        <w:pStyle w:val="AODocTxt"/>
        <w:numPr>
          <w:ilvl w:val="0"/>
          <w:numId w:val="11"/>
        </w:numPr>
        <w:spacing w:before="0" w:line="240" w:lineRule="auto"/>
        <w:ind w:left="527" w:hanging="357"/>
        <w:rPr>
          <w:rFonts w:ascii="Arial" w:hAnsi="Arial" w:cs="Arial"/>
          <w:color w:val="808080" w:themeColor="background1" w:themeShade="80"/>
        </w:rPr>
      </w:pPr>
      <w:r w:rsidRPr="00D8620D">
        <w:rPr>
          <w:rFonts w:ascii="Arial" w:hAnsi="Arial" w:cs="Arial"/>
          <w:color w:val="808080" w:themeColor="background1" w:themeShade="80"/>
        </w:rPr>
        <w:t>an immediate appeal from the order "</w:t>
      </w:r>
      <w:r w:rsidRPr="00D8620D">
        <w:rPr>
          <w:rFonts w:ascii="Arial" w:hAnsi="Arial" w:cs="Arial"/>
          <w:i/>
          <w:iCs/>
          <w:color w:val="808080" w:themeColor="background1" w:themeShade="80"/>
        </w:rPr>
        <w:t>may materially advance the progress of the case or proceeding in which the appeal is taken</w:t>
      </w:r>
      <w:r w:rsidRPr="00D8620D">
        <w:rPr>
          <w:rFonts w:ascii="Arial" w:hAnsi="Arial" w:cs="Arial"/>
          <w:color w:val="808080" w:themeColor="background1" w:themeShade="80"/>
        </w:rPr>
        <w:t>"</w:t>
      </w:r>
      <w:r w:rsidR="00275F12" w:rsidRPr="00D8620D">
        <w:rPr>
          <w:rStyle w:val="FootnoteReference"/>
          <w:rFonts w:ascii="Arial" w:hAnsi="Arial" w:cs="Arial"/>
          <w:color w:val="808080" w:themeColor="background1" w:themeShade="80"/>
        </w:rPr>
        <w:footnoteReference w:id="70"/>
      </w:r>
      <w:r w:rsidR="00275F12" w:rsidRPr="00D8620D">
        <w:rPr>
          <w:rFonts w:ascii="Arial" w:hAnsi="Arial" w:cs="Arial"/>
          <w:color w:val="808080" w:themeColor="background1" w:themeShade="80"/>
        </w:rPr>
        <w:t>.</w:t>
      </w:r>
    </w:p>
    <w:p w14:paraId="2944C7E3" w14:textId="77777777" w:rsidR="00BD65BD" w:rsidRPr="00E01803" w:rsidRDefault="00BD65BD"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FD52C5E" w14:textId="77777777" w:rsidR="0023793B" w:rsidRDefault="0023793B" w:rsidP="0023793B">
      <w:pPr>
        <w:pStyle w:val="AODocTxt"/>
        <w:spacing w:before="0" w:line="240" w:lineRule="auto"/>
        <w:rPr>
          <w:rFonts w:ascii="Arial" w:hAnsi="Arial" w:cs="Arial"/>
          <w:color w:val="808080" w:themeColor="background1" w:themeShade="80"/>
        </w:rPr>
      </w:pPr>
    </w:p>
    <w:p w14:paraId="627DBA58" w14:textId="51F39D39" w:rsidR="0023793B" w:rsidRPr="006A6A49" w:rsidRDefault="002C44E1" w:rsidP="0023793B">
      <w:pPr>
        <w:pStyle w:val="AODocTxt"/>
        <w:spacing w:before="0" w:line="240" w:lineRule="auto"/>
        <w:rPr>
          <w:rFonts w:ascii="Arial" w:hAnsi="Arial" w:cs="Arial"/>
          <w:color w:val="808080" w:themeColor="background1" w:themeShade="80"/>
        </w:rPr>
      </w:pPr>
      <w:r w:rsidRPr="006A6A49">
        <w:rPr>
          <w:rFonts w:ascii="Arial" w:hAnsi="Arial" w:cs="Arial"/>
          <w:color w:val="808080" w:themeColor="background1" w:themeShade="80"/>
        </w:rPr>
        <w:t>Chapter 15</w:t>
      </w:r>
      <w:r w:rsidR="006A6A49" w:rsidRPr="006A6A49">
        <w:rPr>
          <w:rFonts w:ascii="Arial" w:hAnsi="Arial" w:cs="Arial"/>
          <w:color w:val="808080" w:themeColor="background1" w:themeShade="80"/>
        </w:rPr>
        <w:t xml:space="preserve"> of </w:t>
      </w:r>
      <w:r w:rsidRPr="006A6A49">
        <w:rPr>
          <w:rFonts w:ascii="Arial" w:hAnsi="Arial" w:cs="Arial"/>
          <w:color w:val="808080" w:themeColor="background1" w:themeShade="80"/>
        </w:rPr>
        <w:t>Title 11 of the United States Code</w:t>
      </w:r>
      <w:r w:rsidR="006A6A49" w:rsidRPr="006A6A49">
        <w:rPr>
          <w:rFonts w:ascii="Arial" w:hAnsi="Arial" w:cs="Arial"/>
          <w:color w:val="808080" w:themeColor="background1" w:themeShade="80"/>
        </w:rPr>
        <w:t xml:space="preserve"> (i.e.</w:t>
      </w:r>
      <w:r w:rsidR="00C54BFF">
        <w:rPr>
          <w:rFonts w:ascii="Arial" w:hAnsi="Arial" w:cs="Arial"/>
          <w:color w:val="808080" w:themeColor="background1" w:themeShade="80"/>
        </w:rPr>
        <w:t xml:space="preserve"> the </w:t>
      </w:r>
      <w:r w:rsidR="006A6A49" w:rsidRPr="006A6A49">
        <w:rPr>
          <w:rFonts w:ascii="Arial" w:hAnsi="Arial" w:cs="Arial"/>
          <w:color w:val="808080" w:themeColor="background1" w:themeShade="80"/>
        </w:rPr>
        <w:t>Bankruptcy Code</w:t>
      </w:r>
      <w:r w:rsidRPr="006A6A49">
        <w:rPr>
          <w:rFonts w:ascii="Arial" w:hAnsi="Arial" w:cs="Arial"/>
          <w:color w:val="808080" w:themeColor="background1" w:themeShade="80"/>
        </w:rPr>
        <w:t>) is a new chapter added by the Bankruptcy Abuse Prevention and Consumer Protection Act of 2005. The purpose of Chapter 15 (and the UNCITRAL Model Law on Cross-Border Insolvency</w:t>
      </w:r>
      <w:r w:rsidR="0023793B" w:rsidRPr="006A6A49">
        <w:rPr>
          <w:rFonts w:ascii="Arial" w:hAnsi="Arial" w:cs="Arial"/>
          <w:color w:val="808080" w:themeColor="background1" w:themeShade="80"/>
        </w:rPr>
        <w:t xml:space="preserve"> which Chapter 15 is based on</w:t>
      </w:r>
      <w:r w:rsidRPr="006A6A49">
        <w:rPr>
          <w:rFonts w:ascii="Arial" w:hAnsi="Arial" w:cs="Arial"/>
          <w:color w:val="808080" w:themeColor="background1" w:themeShade="80"/>
        </w:rPr>
        <w:t xml:space="preserve">) is to provide effective mechanisms when dealing with insolvency cases which involve debtors, </w:t>
      </w:r>
      <w:proofErr w:type="gramStart"/>
      <w:r w:rsidRPr="006A6A49">
        <w:rPr>
          <w:rFonts w:ascii="Arial" w:hAnsi="Arial" w:cs="Arial"/>
          <w:color w:val="808080" w:themeColor="background1" w:themeShade="80"/>
        </w:rPr>
        <w:t>assets</w:t>
      </w:r>
      <w:proofErr w:type="gramEnd"/>
      <w:r w:rsidRPr="006A6A49">
        <w:rPr>
          <w:rFonts w:ascii="Arial" w:hAnsi="Arial" w:cs="Arial"/>
          <w:color w:val="808080" w:themeColor="background1" w:themeShade="80"/>
        </w:rPr>
        <w:t xml:space="preserve"> and other parties of interest </w:t>
      </w:r>
      <w:r w:rsidR="00C54BFF">
        <w:rPr>
          <w:rFonts w:ascii="Arial" w:hAnsi="Arial" w:cs="Arial"/>
          <w:color w:val="808080" w:themeColor="background1" w:themeShade="80"/>
        </w:rPr>
        <w:t>in</w:t>
      </w:r>
      <w:r w:rsidRPr="006A6A49">
        <w:rPr>
          <w:rFonts w:ascii="Arial" w:hAnsi="Arial" w:cs="Arial"/>
          <w:color w:val="808080" w:themeColor="background1" w:themeShade="80"/>
        </w:rPr>
        <w:t xml:space="preserve"> more than one country</w:t>
      </w:r>
      <w:r w:rsidR="00680FCC" w:rsidRPr="006A6A49">
        <w:rPr>
          <w:rFonts w:ascii="Arial" w:hAnsi="Arial" w:cs="Arial"/>
          <w:color w:val="808080" w:themeColor="background1" w:themeShade="80"/>
        </w:rPr>
        <w:t>.</w:t>
      </w:r>
      <w:r w:rsidR="0023793B" w:rsidRPr="006A6A49">
        <w:rPr>
          <w:rStyle w:val="FootnoteReference"/>
          <w:rFonts w:ascii="Arial" w:hAnsi="Arial" w:cs="Arial"/>
          <w:color w:val="808080" w:themeColor="background1" w:themeShade="80"/>
        </w:rPr>
        <w:footnoteReference w:id="71"/>
      </w:r>
    </w:p>
    <w:p w14:paraId="3E33E38B" w14:textId="77777777" w:rsidR="0023793B" w:rsidRPr="00BA1A60" w:rsidRDefault="0023793B" w:rsidP="0023793B">
      <w:pPr>
        <w:pStyle w:val="AODocTxt"/>
        <w:spacing w:before="0" w:line="240" w:lineRule="auto"/>
        <w:rPr>
          <w:rFonts w:ascii="Arial" w:hAnsi="Arial" w:cs="Arial"/>
          <w:color w:val="808080" w:themeColor="background1" w:themeShade="80"/>
        </w:rPr>
      </w:pPr>
    </w:p>
    <w:p w14:paraId="1AE57755" w14:textId="1E28D22D" w:rsidR="002374FE" w:rsidRPr="00BA1A60" w:rsidRDefault="002C44E1" w:rsidP="006A6A49">
      <w:pPr>
        <w:pStyle w:val="AODocTxt"/>
        <w:spacing w:before="0" w:line="240" w:lineRule="auto"/>
        <w:rPr>
          <w:rFonts w:ascii="Arial" w:hAnsi="Arial" w:cs="Arial"/>
          <w:color w:val="808080" w:themeColor="background1" w:themeShade="80"/>
        </w:rPr>
      </w:pPr>
      <w:r w:rsidRPr="00BA1A60">
        <w:rPr>
          <w:rFonts w:ascii="Arial" w:hAnsi="Arial" w:cs="Arial"/>
          <w:color w:val="808080" w:themeColor="background1" w:themeShade="80"/>
        </w:rPr>
        <w:t xml:space="preserve">Section 1521(a) states that upon recognition of </w:t>
      </w:r>
      <w:r w:rsidR="002374FE" w:rsidRPr="00BA1A60">
        <w:rPr>
          <w:rFonts w:ascii="Arial" w:hAnsi="Arial" w:cs="Arial"/>
          <w:color w:val="808080" w:themeColor="background1" w:themeShade="80"/>
        </w:rPr>
        <w:t xml:space="preserve">a </w:t>
      </w:r>
      <w:r w:rsidRPr="00BA1A60">
        <w:rPr>
          <w:rFonts w:ascii="Arial" w:hAnsi="Arial" w:cs="Arial"/>
          <w:color w:val="808080" w:themeColor="background1" w:themeShade="80"/>
        </w:rPr>
        <w:t xml:space="preserve">foreign proceeding, the court may </w:t>
      </w:r>
      <w:r w:rsidR="002374FE" w:rsidRPr="00BA1A60">
        <w:rPr>
          <w:rFonts w:ascii="Arial" w:hAnsi="Arial" w:cs="Arial"/>
          <w:color w:val="808080" w:themeColor="background1" w:themeShade="80"/>
        </w:rPr>
        <w:t xml:space="preserve">(at the request of the foreign representative) grant </w:t>
      </w:r>
      <w:r w:rsidRPr="00BA1A60">
        <w:rPr>
          <w:rFonts w:ascii="Arial" w:hAnsi="Arial" w:cs="Arial"/>
          <w:color w:val="808080" w:themeColor="background1" w:themeShade="80"/>
        </w:rPr>
        <w:t>any appropriate relief, including staying the commencement or continuation of an individual action or proceeding which concerns the debtor’s assets, rights, obligations or liabilities</w:t>
      </w:r>
      <w:r w:rsidR="0023793B" w:rsidRPr="00BA1A60">
        <w:rPr>
          <w:rStyle w:val="FootnoteReference"/>
          <w:rFonts w:ascii="Arial" w:hAnsi="Arial" w:cs="Arial"/>
          <w:color w:val="808080" w:themeColor="background1" w:themeShade="80"/>
        </w:rPr>
        <w:footnoteReference w:id="72"/>
      </w:r>
      <w:r w:rsidR="0023793B" w:rsidRPr="00BA1A60">
        <w:rPr>
          <w:rFonts w:ascii="Arial" w:hAnsi="Arial" w:cs="Arial"/>
          <w:color w:val="808080" w:themeColor="background1" w:themeShade="80"/>
        </w:rPr>
        <w:t xml:space="preserve"> </w:t>
      </w:r>
      <w:r w:rsidRPr="00BA1A60">
        <w:rPr>
          <w:rFonts w:ascii="Arial" w:hAnsi="Arial" w:cs="Arial"/>
          <w:color w:val="808080" w:themeColor="background1" w:themeShade="80"/>
        </w:rPr>
        <w:t>and "</w:t>
      </w:r>
      <w:r w:rsidRPr="00BA1A60">
        <w:rPr>
          <w:rFonts w:ascii="Arial" w:hAnsi="Arial" w:cs="Arial"/>
          <w:i/>
          <w:iCs/>
          <w:color w:val="808080" w:themeColor="background1" w:themeShade="80"/>
        </w:rPr>
        <w:t xml:space="preserve">any additional relief that may be available to a trustee, </w:t>
      </w:r>
      <w:r w:rsidRPr="00BA1A60">
        <w:rPr>
          <w:rFonts w:ascii="Arial" w:hAnsi="Arial" w:cs="Arial"/>
          <w:i/>
          <w:iCs/>
          <w:color w:val="808080" w:themeColor="background1" w:themeShade="80"/>
          <w:u w:val="single"/>
        </w:rPr>
        <w:t>except for</w:t>
      </w:r>
      <w:r w:rsidRPr="00BA1A60">
        <w:rPr>
          <w:rFonts w:ascii="Arial" w:hAnsi="Arial" w:cs="Arial"/>
          <w:i/>
          <w:iCs/>
          <w:color w:val="808080" w:themeColor="background1" w:themeShade="80"/>
        </w:rPr>
        <w:t xml:space="preserve"> relief available under sections 522, 544, 545, 547, 548, 550, and 724(a)</w:t>
      </w:r>
      <w:r w:rsidRPr="00BA1A60">
        <w:rPr>
          <w:rFonts w:ascii="Arial" w:hAnsi="Arial" w:cs="Arial"/>
          <w:color w:val="808080" w:themeColor="background1" w:themeShade="80"/>
        </w:rPr>
        <w:t>.</w:t>
      </w:r>
      <w:r w:rsidR="00BA1A60" w:rsidRPr="00BA1A60">
        <w:rPr>
          <w:rFonts w:ascii="Arial" w:hAnsi="Arial" w:cs="Arial"/>
          <w:color w:val="808080" w:themeColor="background1" w:themeShade="80"/>
        </w:rPr>
        <w:t xml:space="preserve"> [emphasis added]</w:t>
      </w:r>
      <w:r w:rsidRPr="00BA1A60">
        <w:rPr>
          <w:rFonts w:ascii="Arial" w:hAnsi="Arial" w:cs="Arial"/>
          <w:color w:val="808080" w:themeColor="background1" w:themeShade="80"/>
        </w:rPr>
        <w:t>"</w:t>
      </w:r>
      <w:r w:rsidR="0023793B" w:rsidRPr="00BA1A60">
        <w:rPr>
          <w:rStyle w:val="FootnoteReference"/>
          <w:rFonts w:ascii="Arial" w:hAnsi="Arial" w:cs="Arial"/>
          <w:color w:val="808080" w:themeColor="background1" w:themeShade="80"/>
        </w:rPr>
        <w:footnoteReference w:id="73"/>
      </w:r>
      <w:r w:rsidRPr="00BA1A60">
        <w:rPr>
          <w:rFonts w:ascii="Arial" w:hAnsi="Arial" w:cs="Arial"/>
          <w:color w:val="808080" w:themeColor="background1" w:themeShade="80"/>
        </w:rPr>
        <w:t xml:space="preserve"> The reliefs listed in section 1521(a)(7) that are not available to a foreign representative</w:t>
      </w:r>
      <w:r w:rsidR="00E53993">
        <w:rPr>
          <w:rFonts w:ascii="Arial" w:hAnsi="Arial" w:cs="Arial"/>
          <w:color w:val="808080" w:themeColor="background1" w:themeShade="80"/>
        </w:rPr>
        <w:t xml:space="preserve"> in a Chapter 15 proceeding</w:t>
      </w:r>
      <w:r w:rsidR="006A6A49" w:rsidRPr="00BA1A60">
        <w:rPr>
          <w:rFonts w:ascii="Arial" w:hAnsi="Arial" w:cs="Arial"/>
          <w:color w:val="808080" w:themeColor="background1" w:themeShade="80"/>
        </w:rPr>
        <w:t xml:space="preserve"> </w:t>
      </w:r>
      <w:r w:rsidR="002374FE" w:rsidRPr="00BA1A60">
        <w:rPr>
          <w:rFonts w:ascii="Arial" w:hAnsi="Arial" w:cs="Arial"/>
          <w:color w:val="808080" w:themeColor="background1" w:themeShade="80"/>
        </w:rPr>
        <w:t>are:</w:t>
      </w:r>
    </w:p>
    <w:p w14:paraId="0EC8F28A" w14:textId="0E9586D1" w:rsidR="002374FE" w:rsidRPr="00BA1A60" w:rsidRDefault="002374FE" w:rsidP="002374FE">
      <w:pPr>
        <w:pStyle w:val="AODocTxt"/>
        <w:numPr>
          <w:ilvl w:val="0"/>
          <w:numId w:val="13"/>
        </w:numPr>
        <w:spacing w:before="0" w:line="240" w:lineRule="auto"/>
        <w:rPr>
          <w:rFonts w:ascii="Arial" w:hAnsi="Arial" w:cs="Arial"/>
          <w:color w:val="808080" w:themeColor="background1" w:themeShade="80"/>
        </w:rPr>
      </w:pPr>
      <w:r w:rsidRPr="00BA1A60">
        <w:rPr>
          <w:rFonts w:ascii="Arial" w:hAnsi="Arial" w:cs="Arial"/>
          <w:color w:val="808080" w:themeColor="background1" w:themeShade="80"/>
        </w:rPr>
        <w:t>Section 522 - "Exemptions</w:t>
      </w:r>
      <w:proofErr w:type="gramStart"/>
      <w:r w:rsidR="00E53993">
        <w:rPr>
          <w:rFonts w:ascii="Arial" w:hAnsi="Arial" w:cs="Arial"/>
          <w:color w:val="808080" w:themeColor="background1" w:themeShade="80"/>
        </w:rPr>
        <w:t>”</w:t>
      </w:r>
      <w:r w:rsidRPr="00BA1A60">
        <w:rPr>
          <w:rFonts w:ascii="Arial" w:hAnsi="Arial" w:cs="Arial"/>
          <w:color w:val="808080" w:themeColor="background1" w:themeShade="80"/>
        </w:rPr>
        <w:t>;</w:t>
      </w:r>
      <w:proofErr w:type="gramEnd"/>
    </w:p>
    <w:p w14:paraId="4E0D62E9" w14:textId="77777777" w:rsidR="002374FE" w:rsidRPr="00BA1A60" w:rsidRDefault="002374FE" w:rsidP="002374FE">
      <w:pPr>
        <w:pStyle w:val="AODocTxt"/>
        <w:numPr>
          <w:ilvl w:val="0"/>
          <w:numId w:val="13"/>
        </w:numPr>
        <w:spacing w:before="0" w:line="240" w:lineRule="auto"/>
        <w:rPr>
          <w:rFonts w:ascii="Arial" w:hAnsi="Arial" w:cs="Arial"/>
          <w:color w:val="808080" w:themeColor="background1" w:themeShade="80"/>
        </w:rPr>
      </w:pPr>
      <w:r w:rsidRPr="00BA1A60">
        <w:rPr>
          <w:rFonts w:ascii="Arial" w:hAnsi="Arial" w:cs="Arial"/>
          <w:color w:val="808080" w:themeColor="background1" w:themeShade="80"/>
        </w:rPr>
        <w:lastRenderedPageBreak/>
        <w:t>Section 544 - "Trustee as lien creditor and as successor to certain creditors and purchasers</w:t>
      </w:r>
      <w:proofErr w:type="gramStart"/>
      <w:r w:rsidRPr="00BA1A60">
        <w:rPr>
          <w:rFonts w:ascii="Arial" w:hAnsi="Arial" w:cs="Arial"/>
          <w:color w:val="808080" w:themeColor="background1" w:themeShade="80"/>
        </w:rPr>
        <w:t>";</w:t>
      </w:r>
      <w:proofErr w:type="gramEnd"/>
    </w:p>
    <w:p w14:paraId="7298691F" w14:textId="77777777" w:rsidR="002374FE" w:rsidRPr="00BA1A60" w:rsidRDefault="002374FE" w:rsidP="002374FE">
      <w:pPr>
        <w:pStyle w:val="AODocTxt"/>
        <w:numPr>
          <w:ilvl w:val="0"/>
          <w:numId w:val="13"/>
        </w:numPr>
        <w:spacing w:before="0" w:line="240" w:lineRule="auto"/>
        <w:rPr>
          <w:rFonts w:ascii="Arial" w:hAnsi="Arial" w:cs="Arial"/>
          <w:color w:val="808080" w:themeColor="background1" w:themeShade="80"/>
        </w:rPr>
      </w:pPr>
      <w:r w:rsidRPr="00BA1A60">
        <w:rPr>
          <w:rFonts w:ascii="Arial" w:hAnsi="Arial" w:cs="Arial"/>
          <w:color w:val="808080" w:themeColor="background1" w:themeShade="80"/>
        </w:rPr>
        <w:t>Section 545 - "Statutory liens</w:t>
      </w:r>
      <w:proofErr w:type="gramStart"/>
      <w:r w:rsidRPr="00BA1A60">
        <w:rPr>
          <w:rFonts w:ascii="Arial" w:hAnsi="Arial" w:cs="Arial"/>
          <w:color w:val="808080" w:themeColor="background1" w:themeShade="80"/>
        </w:rPr>
        <w:t>";</w:t>
      </w:r>
      <w:proofErr w:type="gramEnd"/>
    </w:p>
    <w:p w14:paraId="5C05BA5A" w14:textId="77777777" w:rsidR="002374FE" w:rsidRPr="00BA1A60" w:rsidRDefault="002374FE" w:rsidP="002374FE">
      <w:pPr>
        <w:pStyle w:val="AODocTxt"/>
        <w:numPr>
          <w:ilvl w:val="0"/>
          <w:numId w:val="13"/>
        </w:numPr>
        <w:spacing w:before="0" w:line="240" w:lineRule="auto"/>
        <w:rPr>
          <w:rFonts w:ascii="Arial" w:hAnsi="Arial" w:cs="Arial"/>
          <w:color w:val="808080" w:themeColor="background1" w:themeShade="80"/>
        </w:rPr>
      </w:pPr>
      <w:r w:rsidRPr="00BA1A60">
        <w:rPr>
          <w:rFonts w:ascii="Arial" w:hAnsi="Arial" w:cs="Arial"/>
          <w:color w:val="808080" w:themeColor="background1" w:themeShade="80"/>
        </w:rPr>
        <w:t>Section 547 - "Preferences</w:t>
      </w:r>
      <w:proofErr w:type="gramStart"/>
      <w:r w:rsidRPr="00BA1A60">
        <w:rPr>
          <w:rFonts w:ascii="Arial" w:hAnsi="Arial" w:cs="Arial"/>
          <w:color w:val="808080" w:themeColor="background1" w:themeShade="80"/>
        </w:rPr>
        <w:t>";</w:t>
      </w:r>
      <w:proofErr w:type="gramEnd"/>
    </w:p>
    <w:p w14:paraId="62CB04B5" w14:textId="77777777" w:rsidR="002374FE" w:rsidRPr="00BA1A60" w:rsidRDefault="002374FE" w:rsidP="002374FE">
      <w:pPr>
        <w:pStyle w:val="AODocTxt"/>
        <w:numPr>
          <w:ilvl w:val="0"/>
          <w:numId w:val="13"/>
        </w:numPr>
        <w:spacing w:before="0" w:line="240" w:lineRule="auto"/>
        <w:rPr>
          <w:rFonts w:ascii="Arial" w:hAnsi="Arial" w:cs="Arial"/>
          <w:color w:val="808080" w:themeColor="background1" w:themeShade="80"/>
        </w:rPr>
      </w:pPr>
      <w:r w:rsidRPr="00BA1A60">
        <w:rPr>
          <w:rFonts w:ascii="Arial" w:hAnsi="Arial" w:cs="Arial"/>
          <w:color w:val="808080" w:themeColor="background1" w:themeShade="80"/>
        </w:rPr>
        <w:t>Section 548 - "Fraudulent transfers and obligations</w:t>
      </w:r>
      <w:proofErr w:type="gramStart"/>
      <w:r w:rsidRPr="00BA1A60">
        <w:rPr>
          <w:rFonts w:ascii="Arial" w:hAnsi="Arial" w:cs="Arial"/>
          <w:color w:val="808080" w:themeColor="background1" w:themeShade="80"/>
        </w:rPr>
        <w:t>";</w:t>
      </w:r>
      <w:proofErr w:type="gramEnd"/>
    </w:p>
    <w:p w14:paraId="218070D1" w14:textId="77777777" w:rsidR="002374FE" w:rsidRPr="00E53993" w:rsidRDefault="002374FE" w:rsidP="002374FE">
      <w:pPr>
        <w:pStyle w:val="AODocTxt"/>
        <w:numPr>
          <w:ilvl w:val="0"/>
          <w:numId w:val="13"/>
        </w:numPr>
        <w:spacing w:before="0" w:line="240" w:lineRule="auto"/>
        <w:rPr>
          <w:rFonts w:ascii="Arial" w:hAnsi="Arial" w:cs="Arial"/>
          <w:color w:val="808080" w:themeColor="background1" w:themeShade="80"/>
        </w:rPr>
      </w:pPr>
      <w:r w:rsidRPr="00E53993">
        <w:rPr>
          <w:rFonts w:ascii="Arial" w:hAnsi="Arial" w:cs="Arial"/>
          <w:color w:val="808080" w:themeColor="background1" w:themeShade="80"/>
        </w:rPr>
        <w:t>Section 550 - "Liability of transferee of avoided transfer"; and</w:t>
      </w:r>
    </w:p>
    <w:p w14:paraId="1500FECE" w14:textId="402EB4F8" w:rsidR="00E53993" w:rsidRPr="00E53993" w:rsidRDefault="002374FE" w:rsidP="00567B8F">
      <w:pPr>
        <w:pStyle w:val="AODocTxt"/>
        <w:numPr>
          <w:ilvl w:val="0"/>
          <w:numId w:val="13"/>
        </w:numPr>
        <w:spacing w:before="0" w:line="240" w:lineRule="auto"/>
        <w:rPr>
          <w:rFonts w:ascii="Arial" w:hAnsi="Arial" w:cs="Arial"/>
          <w:color w:val="808080" w:themeColor="background1" w:themeShade="80"/>
        </w:rPr>
      </w:pPr>
      <w:r w:rsidRPr="00E53993">
        <w:rPr>
          <w:rFonts w:ascii="Arial" w:hAnsi="Arial" w:cs="Arial"/>
          <w:color w:val="808080" w:themeColor="background1" w:themeShade="80"/>
        </w:rPr>
        <w:t xml:space="preserve">Section 724(a) which relates to </w:t>
      </w:r>
      <w:r w:rsidR="00E53993" w:rsidRPr="00E53993">
        <w:rPr>
          <w:rFonts w:ascii="Arial" w:hAnsi="Arial" w:cs="Arial"/>
          <w:color w:val="808080" w:themeColor="background1" w:themeShade="80"/>
        </w:rPr>
        <w:t xml:space="preserve">the trustee avoiding a </w:t>
      </w:r>
      <w:proofErr w:type="gramStart"/>
      <w:r w:rsidR="00E53993" w:rsidRPr="00E53993">
        <w:rPr>
          <w:rFonts w:ascii="Arial" w:hAnsi="Arial" w:cs="Arial"/>
          <w:color w:val="808080" w:themeColor="background1" w:themeShade="80"/>
        </w:rPr>
        <w:t>lien</w:t>
      </w:r>
      <w:proofErr w:type="gramEnd"/>
      <w:r w:rsidR="00E53993" w:rsidRPr="00E53993">
        <w:rPr>
          <w:rFonts w:ascii="Arial" w:hAnsi="Arial" w:cs="Arial"/>
          <w:color w:val="808080" w:themeColor="background1" w:themeShade="80"/>
        </w:rPr>
        <w:t xml:space="preserve"> that secures a claim of a kind specified in section 726(a)(4).</w:t>
      </w:r>
    </w:p>
    <w:p w14:paraId="2FB20689" w14:textId="77777777" w:rsidR="00E53993" w:rsidRPr="00E53993" w:rsidRDefault="00E53993" w:rsidP="00567B8F">
      <w:pPr>
        <w:pStyle w:val="AODocTxt"/>
        <w:spacing w:before="0" w:line="240" w:lineRule="auto"/>
        <w:rPr>
          <w:rFonts w:ascii="Arial" w:hAnsi="Arial" w:cs="Arial"/>
          <w:color w:val="808080" w:themeColor="background1" w:themeShade="80"/>
        </w:rPr>
      </w:pPr>
    </w:p>
    <w:p w14:paraId="419240B7" w14:textId="1CB06388" w:rsidR="00F6195A" w:rsidRPr="00CA365B" w:rsidRDefault="002C44E1" w:rsidP="0023793B">
      <w:pPr>
        <w:pStyle w:val="AODocTxt"/>
        <w:spacing w:before="0" w:line="240" w:lineRule="auto"/>
        <w:rPr>
          <w:rFonts w:ascii="Arial" w:hAnsi="Arial" w:cs="Arial"/>
          <w:color w:val="808080" w:themeColor="background1" w:themeShade="80"/>
        </w:rPr>
      </w:pPr>
      <w:r w:rsidRPr="00CA365B">
        <w:rPr>
          <w:rFonts w:ascii="Arial" w:hAnsi="Arial" w:cs="Arial"/>
          <w:color w:val="808080" w:themeColor="background1" w:themeShade="80"/>
        </w:rPr>
        <w:t xml:space="preserve">Chapter 15 </w:t>
      </w:r>
      <w:r w:rsidR="00E53993" w:rsidRPr="00CA365B">
        <w:rPr>
          <w:rFonts w:ascii="Arial" w:hAnsi="Arial" w:cs="Arial"/>
          <w:color w:val="808080" w:themeColor="background1" w:themeShade="80"/>
        </w:rPr>
        <w:t xml:space="preserve">therefore </w:t>
      </w:r>
      <w:r w:rsidRPr="00CA365B">
        <w:rPr>
          <w:rFonts w:ascii="Arial" w:hAnsi="Arial" w:cs="Arial"/>
          <w:color w:val="808080" w:themeColor="background1" w:themeShade="80"/>
        </w:rPr>
        <w:t xml:space="preserve">excludes from the rights </w:t>
      </w:r>
      <w:r w:rsidR="00E53993" w:rsidRPr="00CA365B">
        <w:rPr>
          <w:rFonts w:ascii="Arial" w:hAnsi="Arial" w:cs="Arial"/>
          <w:color w:val="808080" w:themeColor="background1" w:themeShade="80"/>
        </w:rPr>
        <w:t xml:space="preserve">which are </w:t>
      </w:r>
      <w:r w:rsidRPr="00CA365B">
        <w:rPr>
          <w:rFonts w:ascii="Arial" w:hAnsi="Arial" w:cs="Arial"/>
          <w:color w:val="808080" w:themeColor="background1" w:themeShade="80"/>
        </w:rPr>
        <w:t>granted to a foreign representative the use of</w:t>
      </w:r>
      <w:r w:rsidR="00E53993" w:rsidRPr="00CA365B">
        <w:rPr>
          <w:rFonts w:ascii="Arial" w:hAnsi="Arial" w:cs="Arial"/>
          <w:color w:val="808080" w:themeColor="background1" w:themeShade="80"/>
        </w:rPr>
        <w:t xml:space="preserve"> the</w:t>
      </w:r>
      <w:r w:rsidRPr="00CA365B">
        <w:rPr>
          <w:rFonts w:ascii="Arial" w:hAnsi="Arial" w:cs="Arial"/>
          <w:color w:val="808080" w:themeColor="background1" w:themeShade="80"/>
        </w:rPr>
        <w:t xml:space="preserve"> avoidance powers </w:t>
      </w:r>
      <w:r w:rsidR="00891636" w:rsidRPr="00CA365B">
        <w:rPr>
          <w:rFonts w:ascii="Arial" w:hAnsi="Arial" w:cs="Arial"/>
          <w:color w:val="808080" w:themeColor="background1" w:themeShade="80"/>
        </w:rPr>
        <w:t>available</w:t>
      </w:r>
      <w:r w:rsidR="00E53993" w:rsidRPr="00CA365B">
        <w:rPr>
          <w:rFonts w:ascii="Arial" w:hAnsi="Arial" w:cs="Arial"/>
          <w:color w:val="808080" w:themeColor="background1" w:themeShade="80"/>
        </w:rPr>
        <w:t xml:space="preserve"> in</w:t>
      </w:r>
      <w:r w:rsidRPr="00CA365B">
        <w:rPr>
          <w:rFonts w:ascii="Arial" w:hAnsi="Arial" w:cs="Arial"/>
          <w:color w:val="808080" w:themeColor="background1" w:themeShade="80"/>
        </w:rPr>
        <w:t xml:space="preserve"> the Bankruptcy Code</w:t>
      </w:r>
      <w:r w:rsidR="00F6195A" w:rsidRPr="00CA365B">
        <w:rPr>
          <w:rStyle w:val="FootnoteReference"/>
          <w:rFonts w:ascii="Arial" w:hAnsi="Arial" w:cs="Arial"/>
          <w:color w:val="808080" w:themeColor="background1" w:themeShade="80"/>
        </w:rPr>
        <w:footnoteReference w:id="74"/>
      </w:r>
      <w:r w:rsidR="00F6195A" w:rsidRPr="00CA365B">
        <w:rPr>
          <w:rFonts w:ascii="Arial" w:hAnsi="Arial" w:cs="Arial"/>
          <w:color w:val="808080" w:themeColor="background1" w:themeShade="80"/>
        </w:rPr>
        <w:t>.</w:t>
      </w:r>
      <w:r w:rsidR="00891636" w:rsidRPr="00CA365B">
        <w:rPr>
          <w:rFonts w:ascii="Arial" w:hAnsi="Arial" w:cs="Arial"/>
          <w:color w:val="808080" w:themeColor="background1" w:themeShade="80"/>
        </w:rPr>
        <w:t xml:space="preserve"> </w:t>
      </w:r>
      <w:r w:rsidRPr="00CA365B">
        <w:rPr>
          <w:rFonts w:ascii="Arial" w:hAnsi="Arial" w:cs="Arial"/>
          <w:color w:val="808080" w:themeColor="background1" w:themeShade="80"/>
        </w:rPr>
        <w:t xml:space="preserve">Notwithstanding </w:t>
      </w:r>
      <w:r w:rsidR="00891636" w:rsidRPr="00CA365B">
        <w:rPr>
          <w:rFonts w:ascii="Arial" w:hAnsi="Arial" w:cs="Arial"/>
          <w:color w:val="808080" w:themeColor="background1" w:themeShade="80"/>
        </w:rPr>
        <w:t>this</w:t>
      </w:r>
      <w:r w:rsidRPr="00CA365B">
        <w:rPr>
          <w:rFonts w:ascii="Arial" w:hAnsi="Arial" w:cs="Arial"/>
          <w:color w:val="808080" w:themeColor="background1" w:themeShade="80"/>
        </w:rPr>
        <w:t>, the two ways in which the foreign representative can obtain equivalent relief are:</w:t>
      </w:r>
    </w:p>
    <w:p w14:paraId="3F72DA47" w14:textId="4EF46AA8" w:rsidR="00F6195A" w:rsidRPr="00CA365B" w:rsidRDefault="002C44E1">
      <w:pPr>
        <w:pStyle w:val="AODocTxt"/>
        <w:numPr>
          <w:ilvl w:val="0"/>
          <w:numId w:val="14"/>
        </w:numPr>
        <w:spacing w:before="0" w:line="240" w:lineRule="auto"/>
        <w:rPr>
          <w:rFonts w:ascii="Arial" w:hAnsi="Arial" w:cs="Arial"/>
          <w:color w:val="808080" w:themeColor="background1" w:themeShade="80"/>
        </w:rPr>
      </w:pPr>
      <w:r w:rsidRPr="00CA365B">
        <w:rPr>
          <w:rFonts w:ascii="Arial" w:hAnsi="Arial" w:cs="Arial"/>
          <w:color w:val="808080" w:themeColor="background1" w:themeShade="80"/>
        </w:rPr>
        <w:t xml:space="preserve">Asserting an avoidance claim under applicable </w:t>
      </w:r>
      <w:r w:rsidR="00F6292F" w:rsidRPr="00CA365B">
        <w:rPr>
          <w:rFonts w:ascii="Arial" w:hAnsi="Arial" w:cs="Arial"/>
          <w:color w:val="808080" w:themeColor="background1" w:themeShade="80"/>
        </w:rPr>
        <w:t xml:space="preserve">US or </w:t>
      </w:r>
      <w:r w:rsidRPr="00CA365B">
        <w:rPr>
          <w:rFonts w:ascii="Arial" w:hAnsi="Arial" w:cs="Arial"/>
          <w:color w:val="808080" w:themeColor="background1" w:themeShade="80"/>
        </w:rPr>
        <w:t xml:space="preserve">foreign law - </w:t>
      </w:r>
      <w:r w:rsidR="00461153" w:rsidRPr="00CA365B">
        <w:rPr>
          <w:rFonts w:ascii="Arial" w:hAnsi="Arial" w:cs="Arial"/>
          <w:color w:val="808080" w:themeColor="background1" w:themeShade="80"/>
        </w:rPr>
        <w:t>s</w:t>
      </w:r>
      <w:r w:rsidRPr="00CA365B">
        <w:rPr>
          <w:rFonts w:ascii="Arial" w:hAnsi="Arial" w:cs="Arial"/>
          <w:color w:val="808080" w:themeColor="background1" w:themeShade="80"/>
        </w:rPr>
        <w:t xml:space="preserve">ection 1521(a) has been interpreted to only apply to the use of the Bankruptcy Code's powers of avoidance of preferences (section 547) and fraudulent conveyances (section 548) and not to preclude </w:t>
      </w:r>
      <w:r w:rsidR="00461153" w:rsidRPr="00CA365B">
        <w:rPr>
          <w:rFonts w:ascii="Arial" w:hAnsi="Arial" w:cs="Arial"/>
          <w:color w:val="808080" w:themeColor="background1" w:themeShade="80"/>
        </w:rPr>
        <w:t>the</w:t>
      </w:r>
      <w:r w:rsidRPr="00CA365B">
        <w:rPr>
          <w:rFonts w:ascii="Arial" w:hAnsi="Arial" w:cs="Arial"/>
          <w:color w:val="808080" w:themeColor="background1" w:themeShade="80"/>
        </w:rPr>
        <w:t xml:space="preserve"> foreign representative from applying to avoid pre-petition transactions under other applicable US law or foreign law</w:t>
      </w:r>
      <w:r w:rsidR="00F6195A" w:rsidRPr="00CA365B">
        <w:rPr>
          <w:rStyle w:val="FootnoteReference"/>
          <w:rFonts w:ascii="Arial" w:hAnsi="Arial" w:cs="Arial"/>
          <w:color w:val="808080" w:themeColor="background1" w:themeShade="80"/>
        </w:rPr>
        <w:footnoteReference w:id="75"/>
      </w:r>
      <w:r w:rsidRPr="00CA365B">
        <w:rPr>
          <w:rFonts w:ascii="Arial" w:hAnsi="Arial" w:cs="Arial"/>
          <w:color w:val="808080" w:themeColor="background1" w:themeShade="80"/>
        </w:rPr>
        <w:t>.</w:t>
      </w:r>
    </w:p>
    <w:p w14:paraId="755F47D2" w14:textId="77777777" w:rsidR="00CA365B" w:rsidRPr="00CA365B" w:rsidRDefault="00CA365B" w:rsidP="00F6195A">
      <w:pPr>
        <w:pStyle w:val="AODocTxt"/>
        <w:spacing w:before="0" w:line="240" w:lineRule="auto"/>
        <w:rPr>
          <w:rFonts w:ascii="Arial" w:hAnsi="Arial" w:cs="Arial"/>
          <w:color w:val="808080" w:themeColor="background1" w:themeShade="80"/>
        </w:rPr>
      </w:pPr>
    </w:p>
    <w:p w14:paraId="6A0DCF10" w14:textId="246D22D0" w:rsidR="00F6195A" w:rsidRPr="00CA365B" w:rsidRDefault="00F6195A" w:rsidP="00F6195A">
      <w:pPr>
        <w:pStyle w:val="AODocTxt"/>
        <w:spacing w:before="0" w:line="240" w:lineRule="auto"/>
        <w:ind w:left="720"/>
        <w:rPr>
          <w:rFonts w:ascii="Arial" w:hAnsi="Arial" w:cs="Arial"/>
          <w:color w:val="808080" w:themeColor="background1" w:themeShade="80"/>
        </w:rPr>
      </w:pPr>
      <w:r w:rsidRPr="00CA365B">
        <w:rPr>
          <w:rFonts w:ascii="Arial" w:hAnsi="Arial" w:cs="Arial"/>
          <w:color w:val="808080" w:themeColor="background1" w:themeShade="80"/>
        </w:rPr>
        <w:t xml:space="preserve">Case law </w:t>
      </w:r>
      <w:r w:rsidR="00CA365B" w:rsidRPr="00CA365B">
        <w:rPr>
          <w:rFonts w:ascii="Arial" w:hAnsi="Arial" w:cs="Arial"/>
          <w:color w:val="808080" w:themeColor="background1" w:themeShade="80"/>
        </w:rPr>
        <w:t>interpreting</w:t>
      </w:r>
      <w:r w:rsidRPr="00CA365B">
        <w:rPr>
          <w:rFonts w:ascii="Arial" w:hAnsi="Arial" w:cs="Arial"/>
          <w:color w:val="808080" w:themeColor="background1" w:themeShade="80"/>
        </w:rPr>
        <w:t xml:space="preserve"> section 1521(a)(7) has permitted a foreign representative to prosecute avoidance actions under foreign law in Chapter 15 proceedings (without the need to commence </w:t>
      </w:r>
      <w:r w:rsidR="00303B8C">
        <w:rPr>
          <w:rFonts w:ascii="Arial" w:hAnsi="Arial" w:cs="Arial"/>
          <w:color w:val="808080" w:themeColor="background1" w:themeShade="80"/>
        </w:rPr>
        <w:t xml:space="preserve">either </w:t>
      </w:r>
      <w:r w:rsidRPr="00CA365B">
        <w:rPr>
          <w:rFonts w:ascii="Arial" w:hAnsi="Arial" w:cs="Arial"/>
          <w:color w:val="808080" w:themeColor="background1" w:themeShade="80"/>
        </w:rPr>
        <w:t xml:space="preserve">a Chapter 7 or Chapter 11 action). In </w:t>
      </w:r>
      <w:r w:rsidRPr="00CA365B">
        <w:rPr>
          <w:rFonts w:ascii="Arial" w:hAnsi="Arial" w:cs="Arial"/>
          <w:i/>
          <w:iCs/>
          <w:color w:val="808080" w:themeColor="background1" w:themeShade="80"/>
        </w:rPr>
        <w:t>Re Condor Ins. Ltd</w:t>
      </w:r>
      <w:r w:rsidRPr="00CA365B">
        <w:rPr>
          <w:rStyle w:val="FootnoteReference"/>
          <w:rFonts w:ascii="Arial" w:hAnsi="Arial" w:cs="Arial"/>
          <w:i/>
          <w:iCs/>
          <w:color w:val="808080" w:themeColor="background1" w:themeShade="80"/>
        </w:rPr>
        <w:footnoteReference w:id="76"/>
      </w:r>
      <w:r w:rsidRPr="00CA365B">
        <w:rPr>
          <w:rFonts w:ascii="Arial" w:hAnsi="Arial" w:cs="Arial"/>
          <w:color w:val="808080" w:themeColor="background1" w:themeShade="80"/>
        </w:rPr>
        <w:t xml:space="preserve">, Higginbotham CJ stated that the question before the court was whether the exceptions listed in section 1521(a)(7) to the relief available in the ancillary proceeding exclude avoidance actions under US law </w:t>
      </w:r>
      <w:proofErr w:type="gramStart"/>
      <w:r w:rsidRPr="00CA365B">
        <w:rPr>
          <w:rFonts w:ascii="Arial" w:hAnsi="Arial" w:cs="Arial"/>
          <w:color w:val="808080" w:themeColor="background1" w:themeShade="80"/>
        </w:rPr>
        <w:t>and also</w:t>
      </w:r>
      <w:proofErr w:type="gramEnd"/>
      <w:r w:rsidRPr="00CA365B">
        <w:rPr>
          <w:rFonts w:ascii="Arial" w:hAnsi="Arial" w:cs="Arial"/>
          <w:color w:val="808080" w:themeColor="background1" w:themeShade="80"/>
        </w:rPr>
        <w:t xml:space="preserve"> excludes reliance upon domestic law of the foreign main proceeding. It was held in </w:t>
      </w:r>
      <w:r w:rsidRPr="00CA365B">
        <w:rPr>
          <w:rFonts w:ascii="Arial" w:hAnsi="Arial" w:cs="Arial"/>
          <w:i/>
          <w:iCs/>
          <w:color w:val="808080" w:themeColor="background1" w:themeShade="80"/>
        </w:rPr>
        <w:t>Re Condor Ins Ltd</w:t>
      </w:r>
      <w:r w:rsidRPr="00CA365B">
        <w:rPr>
          <w:rFonts w:ascii="Arial" w:hAnsi="Arial" w:cs="Arial"/>
          <w:color w:val="808080" w:themeColor="background1" w:themeShade="80"/>
        </w:rPr>
        <w:t xml:space="preserve"> that as Chapter 15 was intended to facilitate cooperation between US courts and foreign bankruptcy proceedings, section 1521(a)(7) must be interpreted </w:t>
      </w:r>
      <w:proofErr w:type="gramStart"/>
      <w:r w:rsidRPr="00CA365B">
        <w:rPr>
          <w:rFonts w:ascii="Arial" w:hAnsi="Arial" w:cs="Arial"/>
          <w:color w:val="808080" w:themeColor="background1" w:themeShade="80"/>
        </w:rPr>
        <w:t>in light of</w:t>
      </w:r>
      <w:proofErr w:type="gramEnd"/>
      <w:r w:rsidRPr="00CA365B">
        <w:rPr>
          <w:rFonts w:ascii="Arial" w:hAnsi="Arial" w:cs="Arial"/>
          <w:color w:val="808080" w:themeColor="background1" w:themeShade="80"/>
        </w:rPr>
        <w:t xml:space="preserve"> Chapter 15. This meant that a court has authority to permit relief under foreign avoidance law.</w:t>
      </w:r>
    </w:p>
    <w:p w14:paraId="1FAAC92E" w14:textId="77777777" w:rsidR="00F6195A" w:rsidRPr="00CA365B" w:rsidRDefault="00F6195A" w:rsidP="00F6195A">
      <w:pPr>
        <w:pStyle w:val="AODocTxt"/>
        <w:spacing w:before="0" w:line="240" w:lineRule="auto"/>
        <w:ind w:left="720"/>
        <w:rPr>
          <w:rFonts w:ascii="Arial" w:hAnsi="Arial" w:cs="Arial"/>
          <w:color w:val="808080" w:themeColor="background1" w:themeShade="80"/>
        </w:rPr>
      </w:pPr>
    </w:p>
    <w:p w14:paraId="75103B91" w14:textId="6C4FD69C" w:rsidR="00F6195A" w:rsidRPr="00F6195A" w:rsidRDefault="00F6195A" w:rsidP="00F6195A">
      <w:pPr>
        <w:pStyle w:val="AODocTxt"/>
        <w:spacing w:before="0" w:line="240" w:lineRule="auto"/>
        <w:ind w:left="720"/>
        <w:rPr>
          <w:rFonts w:ascii="Arial" w:hAnsi="Arial" w:cs="Arial"/>
          <w:color w:val="808080" w:themeColor="background1" w:themeShade="80"/>
        </w:rPr>
      </w:pPr>
      <w:proofErr w:type="gramStart"/>
      <w:r w:rsidRPr="00CA365B">
        <w:rPr>
          <w:rFonts w:ascii="Arial" w:hAnsi="Arial" w:cs="Arial"/>
          <w:color w:val="808080" w:themeColor="background1" w:themeShade="80"/>
        </w:rPr>
        <w:t>In light of</w:t>
      </w:r>
      <w:proofErr w:type="gramEnd"/>
      <w:r w:rsidRPr="00CA365B">
        <w:rPr>
          <w:rFonts w:ascii="Arial" w:hAnsi="Arial" w:cs="Arial"/>
          <w:color w:val="808080" w:themeColor="background1" w:themeShade="80"/>
        </w:rPr>
        <w:t xml:space="preserve"> the above, the restriction</w:t>
      </w:r>
      <w:r w:rsidR="008B3939">
        <w:rPr>
          <w:rFonts w:ascii="Arial" w:hAnsi="Arial" w:cs="Arial"/>
          <w:color w:val="808080" w:themeColor="background1" w:themeShade="80"/>
        </w:rPr>
        <w:t>s</w:t>
      </w:r>
      <w:r w:rsidRPr="00CA365B">
        <w:rPr>
          <w:rFonts w:ascii="Arial" w:hAnsi="Arial" w:cs="Arial"/>
          <w:color w:val="808080" w:themeColor="background1" w:themeShade="80"/>
        </w:rPr>
        <w:t xml:space="preserve"> in section 1521(a)(7) on a foreign representative's use of certain provisions of the Bankruptcy Code does not necessarily bar </w:t>
      </w:r>
      <w:r w:rsidR="008B3939">
        <w:rPr>
          <w:rFonts w:ascii="Arial" w:hAnsi="Arial" w:cs="Arial"/>
          <w:color w:val="808080" w:themeColor="background1" w:themeShade="80"/>
        </w:rPr>
        <w:t>them</w:t>
      </w:r>
      <w:r w:rsidRPr="00CA365B">
        <w:rPr>
          <w:rFonts w:ascii="Arial" w:hAnsi="Arial" w:cs="Arial"/>
          <w:color w:val="808080" w:themeColor="background1" w:themeShade="80"/>
        </w:rPr>
        <w:t xml:space="preserve"> from </w:t>
      </w:r>
      <w:r w:rsidR="008B3939">
        <w:rPr>
          <w:rFonts w:ascii="Arial" w:hAnsi="Arial" w:cs="Arial"/>
          <w:color w:val="808080" w:themeColor="background1" w:themeShade="80"/>
        </w:rPr>
        <w:t>pursuing</w:t>
      </w:r>
      <w:r w:rsidRPr="00CA365B">
        <w:rPr>
          <w:rFonts w:ascii="Arial" w:hAnsi="Arial" w:cs="Arial"/>
          <w:color w:val="808080" w:themeColor="background1" w:themeShade="80"/>
        </w:rPr>
        <w:t xml:space="preserve"> an avoidance claim under applicable foreign law.</w:t>
      </w:r>
      <w:r w:rsidR="002D294B">
        <w:rPr>
          <w:rStyle w:val="FootnoteReference"/>
          <w:rFonts w:ascii="Arial" w:hAnsi="Arial" w:cs="Arial"/>
          <w:color w:val="808080" w:themeColor="background1" w:themeShade="80"/>
        </w:rPr>
        <w:footnoteReference w:id="77"/>
      </w:r>
    </w:p>
    <w:p w14:paraId="237349EF" w14:textId="77777777" w:rsidR="00CA365B" w:rsidRPr="00F6195A" w:rsidRDefault="00CA365B" w:rsidP="00F6195A">
      <w:pPr>
        <w:pStyle w:val="AODocTxt"/>
        <w:spacing w:before="0" w:line="240" w:lineRule="auto"/>
        <w:rPr>
          <w:rFonts w:ascii="Arial" w:hAnsi="Arial" w:cs="Arial"/>
          <w:color w:val="808080" w:themeColor="background1" w:themeShade="80"/>
        </w:rPr>
      </w:pPr>
    </w:p>
    <w:p w14:paraId="0E14CFB6" w14:textId="2A8DED4F" w:rsidR="00F6195A" w:rsidRPr="00E7066D" w:rsidRDefault="00CA365B" w:rsidP="0023793B">
      <w:pPr>
        <w:pStyle w:val="AODocTxt"/>
        <w:numPr>
          <w:ilvl w:val="0"/>
          <w:numId w:val="14"/>
        </w:numPr>
        <w:spacing w:before="0" w:line="240" w:lineRule="auto"/>
        <w:rPr>
          <w:rFonts w:ascii="Arial" w:hAnsi="Arial" w:cs="Arial"/>
          <w:color w:val="808080" w:themeColor="background1" w:themeShade="80"/>
        </w:rPr>
      </w:pPr>
      <w:r w:rsidRPr="00412A41">
        <w:rPr>
          <w:rFonts w:ascii="Arial" w:hAnsi="Arial" w:cs="Arial"/>
          <w:color w:val="808080" w:themeColor="background1" w:themeShade="80"/>
        </w:rPr>
        <w:t>Actions to avoid acts detrimental to creditors</w:t>
      </w:r>
      <w:r w:rsidR="002C44E1" w:rsidRPr="00412A41">
        <w:rPr>
          <w:rFonts w:ascii="Arial" w:hAnsi="Arial" w:cs="Arial"/>
          <w:color w:val="808080" w:themeColor="background1" w:themeShade="80"/>
        </w:rPr>
        <w:t xml:space="preserve"> -</w:t>
      </w:r>
      <w:r w:rsidRPr="00412A41">
        <w:rPr>
          <w:rFonts w:ascii="Arial" w:hAnsi="Arial" w:cs="Arial"/>
          <w:color w:val="808080" w:themeColor="background1" w:themeShade="80"/>
        </w:rPr>
        <w:t xml:space="preserve"> s</w:t>
      </w:r>
      <w:r w:rsidR="002C44E1" w:rsidRPr="00412A41">
        <w:rPr>
          <w:rFonts w:ascii="Arial" w:hAnsi="Arial" w:cs="Arial"/>
          <w:color w:val="808080" w:themeColor="background1" w:themeShade="80"/>
        </w:rPr>
        <w:t>ection 1523(a) provides that, upon recognition of a foreign proceeding, a foreign representative has "</w:t>
      </w:r>
      <w:r w:rsidR="002C44E1" w:rsidRPr="00412A41">
        <w:rPr>
          <w:rFonts w:ascii="Arial" w:hAnsi="Arial" w:cs="Arial"/>
          <w:i/>
          <w:iCs/>
          <w:color w:val="808080" w:themeColor="background1" w:themeShade="80"/>
        </w:rPr>
        <w:t xml:space="preserve">standing in a case concerning the debtor </w:t>
      </w:r>
      <w:r w:rsidR="002C44E1" w:rsidRPr="00412A41">
        <w:rPr>
          <w:rFonts w:ascii="Arial" w:hAnsi="Arial" w:cs="Arial"/>
          <w:i/>
          <w:iCs/>
          <w:color w:val="808080" w:themeColor="background1" w:themeShade="80"/>
          <w:u w:val="single"/>
        </w:rPr>
        <w:t>pending under another chapter</w:t>
      </w:r>
      <w:r w:rsidR="00412A41" w:rsidRPr="00412A41">
        <w:rPr>
          <w:rFonts w:ascii="Arial" w:hAnsi="Arial" w:cs="Arial"/>
          <w:i/>
          <w:iCs/>
          <w:color w:val="808080" w:themeColor="background1" w:themeShade="80"/>
        </w:rPr>
        <w:t>…</w:t>
      </w:r>
      <w:r w:rsidR="002C44E1" w:rsidRPr="00412A41">
        <w:rPr>
          <w:rFonts w:ascii="Arial" w:hAnsi="Arial" w:cs="Arial"/>
          <w:i/>
          <w:iCs/>
          <w:color w:val="808080" w:themeColor="background1" w:themeShade="80"/>
        </w:rPr>
        <w:t xml:space="preserve">to </w:t>
      </w:r>
      <w:r w:rsidR="002C44E1" w:rsidRPr="00412A41">
        <w:rPr>
          <w:rFonts w:ascii="Arial" w:hAnsi="Arial" w:cs="Arial"/>
          <w:i/>
          <w:iCs/>
          <w:color w:val="808080" w:themeColor="background1" w:themeShade="80"/>
          <w:u w:val="single"/>
        </w:rPr>
        <w:t>initiate actions</w:t>
      </w:r>
      <w:r w:rsidR="002C44E1" w:rsidRPr="00412A41">
        <w:rPr>
          <w:rFonts w:ascii="Arial" w:hAnsi="Arial" w:cs="Arial"/>
          <w:i/>
          <w:iCs/>
          <w:color w:val="808080" w:themeColor="background1" w:themeShade="80"/>
        </w:rPr>
        <w:t xml:space="preserve"> under sections 522, 544, 545, 547, 548, 550, 553, and 724(a)</w:t>
      </w:r>
      <w:r w:rsidR="002C44E1" w:rsidRPr="00412A41">
        <w:rPr>
          <w:rFonts w:ascii="Arial" w:hAnsi="Arial" w:cs="Arial"/>
          <w:color w:val="808080" w:themeColor="background1" w:themeShade="80"/>
        </w:rPr>
        <w:t>.</w:t>
      </w:r>
      <w:r w:rsidR="00412A41" w:rsidRPr="00412A41">
        <w:rPr>
          <w:rFonts w:ascii="Arial" w:hAnsi="Arial" w:cs="Arial"/>
          <w:color w:val="808080" w:themeColor="background1" w:themeShade="80"/>
        </w:rPr>
        <w:t xml:space="preserve"> [emphasis added]</w:t>
      </w:r>
      <w:r w:rsidR="002C44E1" w:rsidRPr="00412A41">
        <w:rPr>
          <w:rFonts w:ascii="Arial" w:hAnsi="Arial" w:cs="Arial"/>
          <w:color w:val="808080" w:themeColor="background1" w:themeShade="80"/>
        </w:rPr>
        <w:t>"</w:t>
      </w:r>
      <w:r w:rsidR="00F6195A" w:rsidRPr="00412A41">
        <w:rPr>
          <w:rStyle w:val="FootnoteReference"/>
          <w:rFonts w:ascii="Arial" w:hAnsi="Arial" w:cs="Arial"/>
          <w:color w:val="808080" w:themeColor="background1" w:themeShade="80"/>
        </w:rPr>
        <w:footnoteReference w:id="78"/>
      </w:r>
      <w:r w:rsidR="002C44E1" w:rsidRPr="00412A41">
        <w:rPr>
          <w:rFonts w:ascii="Arial" w:hAnsi="Arial" w:cs="Arial"/>
          <w:color w:val="808080" w:themeColor="background1" w:themeShade="80"/>
        </w:rPr>
        <w:t xml:space="preserve"> </w:t>
      </w:r>
      <w:r w:rsidR="00412A41" w:rsidRPr="00412A41">
        <w:rPr>
          <w:rFonts w:ascii="Arial" w:hAnsi="Arial" w:cs="Arial"/>
          <w:color w:val="808080" w:themeColor="background1" w:themeShade="80"/>
        </w:rPr>
        <w:t>Under</w:t>
      </w:r>
      <w:r w:rsidR="002C44E1" w:rsidRPr="00412A41">
        <w:rPr>
          <w:rFonts w:ascii="Arial" w:hAnsi="Arial" w:cs="Arial"/>
          <w:color w:val="808080" w:themeColor="background1" w:themeShade="80"/>
        </w:rPr>
        <w:t xml:space="preserve"> 1523(a), a foreign representative can invoke the avoidance powers </w:t>
      </w:r>
      <w:r w:rsidR="00412A41" w:rsidRPr="00412A41">
        <w:rPr>
          <w:rFonts w:ascii="Arial" w:hAnsi="Arial" w:cs="Arial"/>
          <w:color w:val="808080" w:themeColor="background1" w:themeShade="80"/>
        </w:rPr>
        <w:t xml:space="preserve">in the Bankruptcy Code </w:t>
      </w:r>
      <w:r w:rsidR="002C44E1" w:rsidRPr="00412A41">
        <w:rPr>
          <w:rFonts w:ascii="Arial" w:hAnsi="Arial" w:cs="Arial"/>
          <w:color w:val="808080" w:themeColor="background1" w:themeShade="80"/>
        </w:rPr>
        <w:t xml:space="preserve">in a plenary proceeding </w:t>
      </w:r>
      <w:r w:rsidR="00412A41" w:rsidRPr="00412A41">
        <w:rPr>
          <w:rFonts w:ascii="Arial" w:hAnsi="Arial" w:cs="Arial"/>
          <w:color w:val="808080" w:themeColor="background1" w:themeShade="80"/>
        </w:rPr>
        <w:t>under</w:t>
      </w:r>
      <w:r w:rsidR="002C44E1" w:rsidRPr="00412A41">
        <w:rPr>
          <w:rFonts w:ascii="Arial" w:hAnsi="Arial" w:cs="Arial"/>
          <w:color w:val="808080" w:themeColor="background1" w:themeShade="80"/>
        </w:rPr>
        <w:t xml:space="preserve"> </w:t>
      </w:r>
      <w:r w:rsidR="00A67E80">
        <w:rPr>
          <w:rFonts w:ascii="Arial" w:hAnsi="Arial" w:cs="Arial"/>
          <w:color w:val="808080" w:themeColor="background1" w:themeShade="80"/>
        </w:rPr>
        <w:t xml:space="preserve">either </w:t>
      </w:r>
      <w:r w:rsidR="002C44E1" w:rsidRPr="00412A41">
        <w:rPr>
          <w:rFonts w:ascii="Arial" w:hAnsi="Arial" w:cs="Arial"/>
          <w:color w:val="808080" w:themeColor="background1" w:themeShade="80"/>
        </w:rPr>
        <w:t>Chapter 7 or Chapter 11.</w:t>
      </w:r>
      <w:r w:rsidR="00412A41" w:rsidRPr="00412A41">
        <w:rPr>
          <w:rFonts w:ascii="Arial" w:hAnsi="Arial" w:cs="Arial"/>
          <w:color w:val="808080" w:themeColor="background1" w:themeShade="80"/>
        </w:rPr>
        <w:t xml:space="preserve"> Plenary proceedings commenced by a foreign representative would be an option for the foreign representative </w:t>
      </w:r>
      <w:proofErr w:type="gramStart"/>
      <w:r w:rsidR="00412A41" w:rsidRPr="00412A41">
        <w:rPr>
          <w:rFonts w:ascii="Arial" w:hAnsi="Arial" w:cs="Arial"/>
          <w:color w:val="808080" w:themeColor="background1" w:themeShade="80"/>
        </w:rPr>
        <w:t>in the event that</w:t>
      </w:r>
      <w:proofErr w:type="gramEnd"/>
      <w:r w:rsidR="00412A41" w:rsidRPr="00412A41">
        <w:rPr>
          <w:rFonts w:ascii="Arial" w:hAnsi="Arial" w:cs="Arial"/>
          <w:color w:val="808080" w:themeColor="background1" w:themeShade="80"/>
        </w:rPr>
        <w:t xml:space="preserve"> relief is unsatisfactory under other applicable law (such as where the statute of limitations has expired)</w:t>
      </w:r>
      <w:r w:rsidR="00412A41" w:rsidRPr="00412A41">
        <w:rPr>
          <w:rStyle w:val="FootnoteReference"/>
          <w:rFonts w:ascii="Arial" w:hAnsi="Arial" w:cs="Arial"/>
          <w:color w:val="808080" w:themeColor="background1" w:themeShade="80"/>
        </w:rPr>
        <w:footnoteReference w:id="79"/>
      </w:r>
      <w:r w:rsidR="00412A41" w:rsidRPr="00412A41">
        <w:rPr>
          <w:rFonts w:ascii="Arial" w:hAnsi="Arial" w:cs="Arial"/>
          <w:color w:val="808080" w:themeColor="background1" w:themeShade="80"/>
        </w:rPr>
        <w:t>.</w:t>
      </w:r>
    </w:p>
    <w:p w14:paraId="53EA726E" w14:textId="77777777" w:rsidR="00DE276F" w:rsidRDefault="00DE276F" w:rsidP="0023793B">
      <w:pPr>
        <w:pStyle w:val="AODocTxt"/>
        <w:spacing w:before="0" w:line="240" w:lineRule="auto"/>
        <w:rPr>
          <w:rFonts w:ascii="Arial" w:hAnsi="Arial" w:cs="Arial"/>
        </w:rPr>
      </w:pPr>
    </w:p>
    <w:p w14:paraId="4831CA2B" w14:textId="77777777" w:rsidR="00C54BFF" w:rsidRDefault="00C54BFF" w:rsidP="0023793B">
      <w:pPr>
        <w:pStyle w:val="AODocTxt"/>
        <w:spacing w:before="0" w:line="240" w:lineRule="auto"/>
        <w:rPr>
          <w:rFonts w:ascii="Arial" w:hAnsi="Arial" w:cs="Arial"/>
        </w:rPr>
      </w:pPr>
    </w:p>
    <w:p w14:paraId="76A74C16" w14:textId="77777777" w:rsidR="00C54BFF" w:rsidRDefault="00C54BFF" w:rsidP="0023793B">
      <w:pPr>
        <w:pStyle w:val="AODocTxt"/>
        <w:spacing w:before="0" w:line="240" w:lineRule="auto"/>
        <w:rPr>
          <w:rFonts w:ascii="Arial" w:hAnsi="Arial" w:cs="Arial"/>
        </w:rPr>
      </w:pPr>
    </w:p>
    <w:p w14:paraId="3AB06411" w14:textId="77777777" w:rsidR="00C54BFF" w:rsidRDefault="00C54BFF" w:rsidP="0023793B">
      <w:pPr>
        <w:pStyle w:val="AODocTxt"/>
        <w:spacing w:before="0" w:line="240" w:lineRule="auto"/>
        <w:rPr>
          <w:rFonts w:ascii="Arial" w:hAnsi="Arial" w:cs="Arial"/>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lastRenderedPageBreak/>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7E1C77CB" w14:textId="77777777" w:rsidR="00494630" w:rsidRDefault="00494630" w:rsidP="003B0BBB">
      <w:pPr>
        <w:pStyle w:val="AODocTxt"/>
        <w:spacing w:before="0" w:line="240" w:lineRule="auto"/>
        <w:rPr>
          <w:rFonts w:ascii="Avenir Next" w:hAnsi="Avenir Next"/>
          <w:color w:val="808080" w:themeColor="background1" w:themeShade="80"/>
        </w:rPr>
      </w:pPr>
    </w:p>
    <w:p w14:paraId="4678B5DD" w14:textId="697C73A6" w:rsidR="003B0BBB" w:rsidRPr="00355742" w:rsidRDefault="00B760A3" w:rsidP="00D56162">
      <w:pPr>
        <w:pStyle w:val="AODocTxt"/>
        <w:spacing w:before="0" w:line="240" w:lineRule="auto"/>
        <w:rPr>
          <w:rFonts w:ascii="Arial" w:hAnsi="Arial" w:cs="Arial"/>
          <w:color w:val="808080" w:themeColor="background1" w:themeShade="80"/>
        </w:rPr>
      </w:pPr>
      <w:r w:rsidRPr="00355742">
        <w:rPr>
          <w:rFonts w:ascii="Arial" w:hAnsi="Arial" w:cs="Arial"/>
          <w:color w:val="808080" w:themeColor="background1" w:themeShade="80"/>
        </w:rPr>
        <w:t>The rules that one should review when preparing a filing for a bankruptcy court are:</w:t>
      </w:r>
    </w:p>
    <w:p w14:paraId="6D889D72" w14:textId="31473562" w:rsidR="000628C1" w:rsidRPr="00355742" w:rsidRDefault="00316881">
      <w:pPr>
        <w:pStyle w:val="AODocTxt"/>
        <w:numPr>
          <w:ilvl w:val="0"/>
          <w:numId w:val="12"/>
        </w:numPr>
        <w:spacing w:before="0" w:line="240" w:lineRule="auto"/>
        <w:rPr>
          <w:rFonts w:ascii="Arial" w:hAnsi="Arial" w:cs="Arial"/>
          <w:color w:val="808080" w:themeColor="background1" w:themeShade="80"/>
        </w:rPr>
      </w:pPr>
      <w:r w:rsidRPr="00355742">
        <w:rPr>
          <w:rFonts w:ascii="Arial" w:hAnsi="Arial" w:cs="Arial"/>
          <w:color w:val="808080" w:themeColor="background1" w:themeShade="80"/>
        </w:rPr>
        <w:t>The Federal Rules of Bankruptcy Procedure ("</w:t>
      </w:r>
      <w:r w:rsidRPr="00355742">
        <w:rPr>
          <w:rFonts w:ascii="Arial" w:hAnsi="Arial" w:cs="Arial"/>
          <w:b/>
          <w:bCs/>
          <w:color w:val="808080" w:themeColor="background1" w:themeShade="80"/>
        </w:rPr>
        <w:t>Bankruptcy Rules</w:t>
      </w:r>
      <w:r w:rsidRPr="00355742">
        <w:rPr>
          <w:rFonts w:ascii="Arial" w:hAnsi="Arial" w:cs="Arial"/>
          <w:color w:val="808080" w:themeColor="background1" w:themeShade="80"/>
        </w:rPr>
        <w:t xml:space="preserve">") </w:t>
      </w:r>
      <w:r w:rsidR="00B760A3" w:rsidRPr="00355742">
        <w:rPr>
          <w:rFonts w:ascii="Arial" w:hAnsi="Arial" w:cs="Arial"/>
          <w:color w:val="808080" w:themeColor="background1" w:themeShade="80"/>
        </w:rPr>
        <w:t xml:space="preserve">– the Bankruptcy Rules </w:t>
      </w:r>
      <w:r w:rsidRPr="00355742">
        <w:rPr>
          <w:rFonts w:ascii="Arial" w:hAnsi="Arial" w:cs="Arial"/>
          <w:color w:val="808080" w:themeColor="background1" w:themeShade="80"/>
        </w:rPr>
        <w:t>governs the processes and procedures that are followed by a bankruptcy court in bankruptcy proceedings in order to implement the Bankruptcy Code (</w:t>
      </w:r>
      <w:r w:rsidR="00863B68" w:rsidRPr="00355742">
        <w:rPr>
          <w:rFonts w:ascii="Arial" w:hAnsi="Arial" w:cs="Arial"/>
          <w:color w:val="808080" w:themeColor="background1" w:themeShade="80"/>
        </w:rPr>
        <w:t>i.e. Title 11 of the United States Code).</w:t>
      </w:r>
      <w:r w:rsidR="00863B68" w:rsidRPr="00355742">
        <w:rPr>
          <w:rStyle w:val="FootnoteReference"/>
          <w:rFonts w:ascii="Arial" w:hAnsi="Arial" w:cs="Arial"/>
          <w:color w:val="808080" w:themeColor="background1" w:themeShade="80"/>
        </w:rPr>
        <w:footnoteReference w:id="80"/>
      </w:r>
      <w:r w:rsidR="00863B68" w:rsidRPr="00355742">
        <w:rPr>
          <w:rFonts w:ascii="Arial" w:hAnsi="Arial" w:cs="Arial"/>
          <w:color w:val="808080" w:themeColor="background1" w:themeShade="80"/>
        </w:rPr>
        <w:t xml:space="preserve"> </w:t>
      </w:r>
      <w:r w:rsidRPr="00355742">
        <w:rPr>
          <w:rFonts w:ascii="Arial" w:hAnsi="Arial" w:cs="Arial"/>
          <w:color w:val="808080" w:themeColor="background1" w:themeShade="80"/>
        </w:rPr>
        <w:t>The Bankruptcy Rules are to be applied "</w:t>
      </w:r>
      <w:r w:rsidRPr="00355742">
        <w:rPr>
          <w:rFonts w:ascii="Arial" w:hAnsi="Arial" w:cs="Arial"/>
          <w:i/>
          <w:iCs/>
          <w:color w:val="808080" w:themeColor="background1" w:themeShade="80"/>
        </w:rPr>
        <w:t>by the court and the parties to secure the just, speedy, and inexpensive determination of every case and proceeding</w:t>
      </w:r>
      <w:r w:rsidRPr="00355742">
        <w:rPr>
          <w:rFonts w:ascii="Arial" w:hAnsi="Arial" w:cs="Arial"/>
          <w:color w:val="808080" w:themeColor="background1" w:themeShade="80"/>
        </w:rPr>
        <w:t>."</w:t>
      </w:r>
      <w:r w:rsidR="00863B68" w:rsidRPr="00355742">
        <w:rPr>
          <w:rStyle w:val="FootnoteReference"/>
          <w:rFonts w:ascii="Arial" w:hAnsi="Arial" w:cs="Arial"/>
          <w:color w:val="808080" w:themeColor="background1" w:themeShade="80"/>
        </w:rPr>
        <w:footnoteReference w:id="81"/>
      </w:r>
      <w:r w:rsidRPr="00355742">
        <w:rPr>
          <w:rFonts w:ascii="Arial" w:hAnsi="Arial" w:cs="Arial"/>
          <w:color w:val="808080" w:themeColor="background1" w:themeShade="80"/>
        </w:rPr>
        <w:t xml:space="preserve"> The</w:t>
      </w:r>
      <w:r w:rsidR="005F43CF" w:rsidRPr="00355742">
        <w:rPr>
          <w:rFonts w:ascii="Arial" w:hAnsi="Arial" w:cs="Arial"/>
          <w:color w:val="808080" w:themeColor="background1" w:themeShade="80"/>
        </w:rPr>
        <w:t xml:space="preserve">y </w:t>
      </w:r>
      <w:r w:rsidRPr="00355742">
        <w:rPr>
          <w:rFonts w:ascii="Arial" w:hAnsi="Arial" w:cs="Arial"/>
          <w:color w:val="808080" w:themeColor="background1" w:themeShade="80"/>
        </w:rPr>
        <w:t>are split into 9 parts</w:t>
      </w:r>
      <w:r w:rsidR="00D04FB3">
        <w:rPr>
          <w:rFonts w:ascii="Arial" w:hAnsi="Arial" w:cs="Arial"/>
          <w:color w:val="808080" w:themeColor="background1" w:themeShade="80"/>
        </w:rPr>
        <w:t xml:space="preserve">. Part I deals with </w:t>
      </w:r>
      <w:r w:rsidRPr="00355742">
        <w:rPr>
          <w:rFonts w:ascii="Arial" w:hAnsi="Arial" w:cs="Arial"/>
          <w:color w:val="808080" w:themeColor="background1" w:themeShade="80"/>
        </w:rPr>
        <w:t>the commencement of a case and proceedings relating to a petition</w:t>
      </w:r>
      <w:r w:rsidR="00863B68" w:rsidRPr="00355742">
        <w:rPr>
          <w:rStyle w:val="FootnoteReference"/>
          <w:rFonts w:ascii="Arial" w:hAnsi="Arial" w:cs="Arial"/>
          <w:color w:val="808080" w:themeColor="background1" w:themeShade="80"/>
        </w:rPr>
        <w:footnoteReference w:id="82"/>
      </w:r>
      <w:r w:rsidRPr="00355742">
        <w:rPr>
          <w:rFonts w:ascii="Arial" w:hAnsi="Arial" w:cs="Arial"/>
          <w:color w:val="808080" w:themeColor="background1" w:themeShade="80"/>
        </w:rPr>
        <w:t>. The Bankruptcy Rules govern the process of commencing a case - a petition commencing a case shall be filed with the clerk</w:t>
      </w:r>
      <w:r w:rsidR="00BF2174" w:rsidRPr="00355742">
        <w:rPr>
          <w:rStyle w:val="FootnoteReference"/>
          <w:rFonts w:ascii="Arial" w:hAnsi="Arial" w:cs="Arial"/>
          <w:color w:val="808080" w:themeColor="background1" w:themeShade="80"/>
        </w:rPr>
        <w:footnoteReference w:id="83"/>
      </w:r>
      <w:r w:rsidRPr="00355742">
        <w:rPr>
          <w:rFonts w:ascii="Arial" w:hAnsi="Arial" w:cs="Arial"/>
          <w:color w:val="808080" w:themeColor="background1" w:themeShade="80"/>
        </w:rPr>
        <w:t xml:space="preserve"> and shall be accompanied by the filing fee</w:t>
      </w:r>
      <w:r w:rsidR="00704136" w:rsidRPr="00355742">
        <w:rPr>
          <w:rStyle w:val="FootnoteReference"/>
          <w:rFonts w:ascii="Arial" w:hAnsi="Arial" w:cs="Arial"/>
          <w:color w:val="808080" w:themeColor="background1" w:themeShade="80"/>
        </w:rPr>
        <w:footnoteReference w:id="84"/>
      </w:r>
      <w:r w:rsidRPr="00355742">
        <w:rPr>
          <w:rFonts w:ascii="Arial" w:hAnsi="Arial" w:cs="Arial"/>
          <w:color w:val="808080" w:themeColor="background1" w:themeShade="80"/>
        </w:rPr>
        <w:t xml:space="preserve"> except as provided for in Rule 1006.</w:t>
      </w:r>
      <w:r w:rsidR="000628C1" w:rsidRPr="00355742">
        <w:rPr>
          <w:rFonts w:ascii="Arial" w:hAnsi="Arial" w:cs="Arial"/>
          <w:color w:val="808080" w:themeColor="background1" w:themeShade="80"/>
        </w:rPr>
        <w:t xml:space="preserve"> Given that the Bankruptcy Rules govern the bankruptcy procedure from the beginning, they should be reviewed by a practitioner when preparing a filing for a bankruptcy court.</w:t>
      </w:r>
    </w:p>
    <w:p w14:paraId="23CF94B5" w14:textId="77777777" w:rsidR="000628C1" w:rsidRPr="00355742" w:rsidRDefault="000628C1" w:rsidP="00D56162">
      <w:pPr>
        <w:pStyle w:val="AODocTxt"/>
        <w:spacing w:before="0" w:line="240" w:lineRule="auto"/>
        <w:rPr>
          <w:rFonts w:ascii="Arial" w:hAnsi="Arial" w:cs="Arial"/>
          <w:color w:val="808080" w:themeColor="background1" w:themeShade="80"/>
        </w:rPr>
      </w:pPr>
    </w:p>
    <w:p w14:paraId="0851C406" w14:textId="76D7E23E" w:rsidR="00834233" w:rsidRPr="00046DF2" w:rsidRDefault="00B760A3" w:rsidP="00046DF2">
      <w:pPr>
        <w:pStyle w:val="AODocTxt"/>
        <w:spacing w:before="0" w:line="240" w:lineRule="auto"/>
        <w:ind w:left="720"/>
        <w:rPr>
          <w:rFonts w:ascii="Arial" w:hAnsi="Arial" w:cs="Arial"/>
          <w:i/>
          <w:iCs/>
          <w:color w:val="808080" w:themeColor="background1" w:themeShade="80"/>
        </w:rPr>
      </w:pPr>
      <w:r w:rsidRPr="00355742">
        <w:rPr>
          <w:rFonts w:ascii="Arial" w:hAnsi="Arial" w:cs="Arial"/>
          <w:color w:val="808080" w:themeColor="background1" w:themeShade="80"/>
        </w:rPr>
        <w:t>Rule 1001 further states that "</w:t>
      </w:r>
      <w:r w:rsidRPr="00355742">
        <w:rPr>
          <w:rFonts w:ascii="Arial" w:hAnsi="Arial" w:cs="Arial"/>
          <w:i/>
          <w:iCs/>
          <w:color w:val="808080" w:themeColor="background1" w:themeShade="80"/>
        </w:rPr>
        <w:t xml:space="preserve">Rule 81(a)(1) </w:t>
      </w:r>
      <w:proofErr w:type="spellStart"/>
      <w:r w:rsidRPr="00355742">
        <w:rPr>
          <w:rFonts w:ascii="Arial" w:hAnsi="Arial" w:cs="Arial"/>
          <w:i/>
          <w:iCs/>
          <w:color w:val="808080" w:themeColor="background1" w:themeShade="80"/>
        </w:rPr>
        <w:t>F.R.Civ.P</w:t>
      </w:r>
      <w:proofErr w:type="spellEnd"/>
      <w:r w:rsidRPr="00355742">
        <w:rPr>
          <w:rFonts w:ascii="Arial" w:hAnsi="Arial" w:cs="Arial"/>
          <w:i/>
          <w:iCs/>
          <w:color w:val="808080" w:themeColor="background1" w:themeShade="80"/>
        </w:rPr>
        <w:t xml:space="preserve">. provides that the </w:t>
      </w:r>
      <w:r w:rsidRPr="00355742">
        <w:rPr>
          <w:rFonts w:ascii="Arial" w:hAnsi="Arial" w:cs="Arial"/>
          <w:i/>
          <w:iCs/>
          <w:color w:val="808080" w:themeColor="background1" w:themeShade="80"/>
          <w:u w:val="single"/>
        </w:rPr>
        <w:t>civil rules do not apply</w:t>
      </w:r>
      <w:r w:rsidRPr="00355742">
        <w:rPr>
          <w:rFonts w:ascii="Arial" w:hAnsi="Arial" w:cs="Arial"/>
          <w:i/>
          <w:iCs/>
          <w:color w:val="808080" w:themeColor="background1" w:themeShade="80"/>
        </w:rPr>
        <w:t xml:space="preserve"> to proceedings in bankruptcy, except as they may be made applicable by rules promulgated by the Supreme Court, e.g., </w:t>
      </w:r>
      <w:r w:rsidRPr="00355742">
        <w:rPr>
          <w:rFonts w:ascii="Arial" w:hAnsi="Arial" w:cs="Arial"/>
          <w:i/>
          <w:iCs/>
          <w:color w:val="808080" w:themeColor="background1" w:themeShade="80"/>
          <w:u w:val="single"/>
        </w:rPr>
        <w:t>Part VII of these rules</w:t>
      </w:r>
      <w:r w:rsidRPr="00355742">
        <w:rPr>
          <w:rFonts w:ascii="Arial" w:hAnsi="Arial" w:cs="Arial"/>
          <w:i/>
          <w:iCs/>
          <w:color w:val="808080" w:themeColor="background1" w:themeShade="80"/>
        </w:rPr>
        <w:t xml:space="preserve">. </w:t>
      </w:r>
      <w:r w:rsidR="00D56162" w:rsidRPr="00355742">
        <w:rPr>
          <w:rFonts w:ascii="Arial" w:hAnsi="Arial" w:cs="Arial"/>
          <w:color w:val="808080" w:themeColor="background1" w:themeShade="80"/>
        </w:rPr>
        <w:t>[emphasis added]</w:t>
      </w:r>
      <w:r w:rsidRPr="00355742">
        <w:rPr>
          <w:rFonts w:ascii="Arial" w:hAnsi="Arial" w:cs="Arial"/>
          <w:color w:val="808080" w:themeColor="background1" w:themeShade="80"/>
        </w:rPr>
        <w:t>"</w:t>
      </w:r>
      <w:r w:rsidRPr="00355742">
        <w:rPr>
          <w:rStyle w:val="FootnoteReference"/>
          <w:rFonts w:ascii="Arial" w:hAnsi="Arial" w:cs="Arial"/>
          <w:color w:val="808080" w:themeColor="background1" w:themeShade="80"/>
        </w:rPr>
        <w:footnoteReference w:id="85"/>
      </w:r>
      <w:r w:rsidRPr="00355742">
        <w:rPr>
          <w:rFonts w:ascii="Arial" w:hAnsi="Arial" w:cs="Arial"/>
          <w:color w:val="808080" w:themeColor="background1" w:themeShade="80"/>
        </w:rPr>
        <w:t xml:space="preserve"> Part VII</w:t>
      </w:r>
      <w:r w:rsidR="004B4A98">
        <w:rPr>
          <w:rFonts w:ascii="Arial" w:hAnsi="Arial" w:cs="Arial"/>
          <w:color w:val="808080" w:themeColor="background1" w:themeShade="80"/>
        </w:rPr>
        <w:t xml:space="preserve"> </w:t>
      </w:r>
      <w:r w:rsidRPr="00355742">
        <w:rPr>
          <w:rFonts w:ascii="Arial" w:hAnsi="Arial" w:cs="Arial"/>
          <w:color w:val="808080" w:themeColor="background1" w:themeShade="80"/>
        </w:rPr>
        <w:t>relate</w:t>
      </w:r>
      <w:r w:rsidR="00CD32EF">
        <w:rPr>
          <w:rFonts w:ascii="Arial" w:hAnsi="Arial" w:cs="Arial"/>
          <w:color w:val="808080" w:themeColor="background1" w:themeShade="80"/>
        </w:rPr>
        <w:t>s</w:t>
      </w:r>
      <w:r w:rsidRPr="00355742">
        <w:rPr>
          <w:rFonts w:ascii="Arial" w:hAnsi="Arial" w:cs="Arial"/>
          <w:color w:val="808080" w:themeColor="background1" w:themeShade="80"/>
        </w:rPr>
        <w:t> to Adversary Proceedings.</w:t>
      </w:r>
      <w:r w:rsidR="00FD2EFE" w:rsidRPr="00355742">
        <w:rPr>
          <w:rFonts w:ascii="Arial" w:hAnsi="Arial" w:cs="Arial"/>
          <w:color w:val="808080" w:themeColor="background1" w:themeShade="80"/>
        </w:rPr>
        <w:t xml:space="preserve"> </w:t>
      </w:r>
      <w:r w:rsidR="006A665F" w:rsidRPr="00355742">
        <w:rPr>
          <w:rFonts w:ascii="Arial" w:hAnsi="Arial" w:cs="Arial"/>
          <w:color w:val="808080" w:themeColor="background1" w:themeShade="80"/>
        </w:rPr>
        <w:t>Rule 7001 sets out Part VII</w:t>
      </w:r>
      <w:r w:rsidR="00CD32EF">
        <w:rPr>
          <w:rFonts w:ascii="Arial" w:hAnsi="Arial" w:cs="Arial"/>
          <w:color w:val="808080" w:themeColor="background1" w:themeShade="80"/>
        </w:rPr>
        <w:t>’s scope</w:t>
      </w:r>
      <w:r w:rsidR="00D64CF6" w:rsidRPr="00355742">
        <w:rPr>
          <w:rFonts w:ascii="Arial" w:hAnsi="Arial" w:cs="Arial"/>
          <w:color w:val="808080" w:themeColor="background1" w:themeShade="80"/>
        </w:rPr>
        <w:t xml:space="preserve"> -</w:t>
      </w:r>
      <w:r w:rsidR="006A665F" w:rsidRPr="00355742">
        <w:rPr>
          <w:rFonts w:ascii="Arial" w:hAnsi="Arial" w:cs="Arial"/>
          <w:color w:val="808080" w:themeColor="background1" w:themeShade="80"/>
        </w:rPr>
        <w:t xml:space="preserve"> </w:t>
      </w:r>
      <w:r w:rsidR="00D64CF6" w:rsidRPr="00355742">
        <w:rPr>
          <w:rFonts w:ascii="Arial" w:hAnsi="Arial" w:cs="Arial"/>
          <w:color w:val="808080" w:themeColor="background1" w:themeShade="80"/>
        </w:rPr>
        <w:t>a</w:t>
      </w:r>
      <w:r w:rsidR="006A665F" w:rsidRPr="00355742">
        <w:rPr>
          <w:rFonts w:ascii="Arial" w:hAnsi="Arial" w:cs="Arial"/>
          <w:color w:val="808080" w:themeColor="background1" w:themeShade="80"/>
        </w:rPr>
        <w:t>dversary proceedings include proceedings to recover money or property (other than in limited situations)</w:t>
      </w:r>
      <w:r w:rsidR="006A665F" w:rsidRPr="00355742">
        <w:rPr>
          <w:rStyle w:val="FootnoteReference"/>
          <w:rFonts w:ascii="Arial" w:hAnsi="Arial" w:cs="Arial"/>
          <w:color w:val="808080" w:themeColor="background1" w:themeShade="80"/>
        </w:rPr>
        <w:footnoteReference w:id="86"/>
      </w:r>
      <w:r w:rsidR="006A665F" w:rsidRPr="00355742">
        <w:rPr>
          <w:rFonts w:ascii="Arial" w:hAnsi="Arial" w:cs="Arial"/>
          <w:color w:val="808080" w:themeColor="background1" w:themeShade="80"/>
        </w:rPr>
        <w:t xml:space="preserve">. It is further stated in the "Notes of Advisory Committee on Rules - 1983" </w:t>
      </w:r>
      <w:r w:rsidR="00456C35">
        <w:rPr>
          <w:rFonts w:ascii="Arial" w:hAnsi="Arial" w:cs="Arial"/>
          <w:color w:val="808080" w:themeColor="background1" w:themeShade="80"/>
        </w:rPr>
        <w:t>to</w:t>
      </w:r>
      <w:r w:rsidR="006A665F" w:rsidRPr="00355742">
        <w:rPr>
          <w:rFonts w:ascii="Arial" w:hAnsi="Arial" w:cs="Arial"/>
          <w:color w:val="808080" w:themeColor="background1" w:themeShade="80"/>
        </w:rPr>
        <w:t xml:space="preserve"> Rule 7001 that the rules either incorporate or are </w:t>
      </w:r>
      <w:r w:rsidR="006A665F" w:rsidRPr="00046DF2">
        <w:rPr>
          <w:rFonts w:ascii="Arial" w:hAnsi="Arial" w:cs="Arial"/>
          <w:color w:val="808080" w:themeColor="background1" w:themeShade="80"/>
        </w:rPr>
        <w:t xml:space="preserve">adaptions of most of the </w:t>
      </w:r>
      <w:r w:rsidR="00FD2EFE" w:rsidRPr="00046DF2">
        <w:rPr>
          <w:rFonts w:ascii="Arial" w:hAnsi="Arial" w:cs="Arial"/>
          <w:color w:val="808080" w:themeColor="background1" w:themeShade="80"/>
        </w:rPr>
        <w:t>Federal Rules of Civil Procedure</w:t>
      </w:r>
      <w:r w:rsidR="006A665F" w:rsidRPr="00046DF2">
        <w:rPr>
          <w:rStyle w:val="FootnoteReference"/>
          <w:rFonts w:ascii="Arial" w:hAnsi="Arial" w:cs="Arial"/>
          <w:color w:val="808080" w:themeColor="background1" w:themeShade="80"/>
        </w:rPr>
        <w:footnoteReference w:id="87"/>
      </w:r>
      <w:r w:rsidR="00FD2EFE" w:rsidRPr="00046DF2">
        <w:rPr>
          <w:rFonts w:ascii="Arial" w:hAnsi="Arial" w:cs="Arial"/>
          <w:color w:val="808080" w:themeColor="background1" w:themeShade="80"/>
        </w:rPr>
        <w:t xml:space="preserve"> (“</w:t>
      </w:r>
      <w:r w:rsidR="00FD2EFE" w:rsidRPr="00046DF2">
        <w:rPr>
          <w:rFonts w:ascii="Arial" w:hAnsi="Arial" w:cs="Arial"/>
          <w:b/>
          <w:bCs/>
          <w:color w:val="808080" w:themeColor="background1" w:themeShade="80"/>
        </w:rPr>
        <w:t xml:space="preserve">Civil </w:t>
      </w:r>
      <w:r w:rsidR="004239B1" w:rsidRPr="00046DF2">
        <w:rPr>
          <w:rFonts w:ascii="Arial" w:hAnsi="Arial" w:cs="Arial"/>
          <w:b/>
          <w:bCs/>
          <w:color w:val="808080" w:themeColor="background1" w:themeShade="80"/>
        </w:rPr>
        <w:t>Rules</w:t>
      </w:r>
      <w:r w:rsidR="00FD2EFE" w:rsidRPr="00046DF2">
        <w:rPr>
          <w:rFonts w:ascii="Arial" w:hAnsi="Arial" w:cs="Arial"/>
          <w:color w:val="808080" w:themeColor="background1" w:themeShade="80"/>
        </w:rPr>
        <w:t>”)</w:t>
      </w:r>
      <w:r w:rsidR="006A665F" w:rsidRPr="00046DF2">
        <w:rPr>
          <w:rFonts w:ascii="Arial" w:hAnsi="Arial" w:cs="Arial"/>
          <w:color w:val="808080" w:themeColor="background1" w:themeShade="80"/>
        </w:rPr>
        <w:t>.</w:t>
      </w:r>
      <w:r w:rsidR="008A1F45" w:rsidRPr="00046DF2">
        <w:rPr>
          <w:rFonts w:ascii="Arial" w:hAnsi="Arial" w:cs="Arial"/>
          <w:color w:val="808080" w:themeColor="background1" w:themeShade="80"/>
        </w:rPr>
        <w:t xml:space="preserve"> </w:t>
      </w:r>
      <w:r w:rsidR="00046DF2" w:rsidRPr="00046DF2">
        <w:rPr>
          <w:rFonts w:ascii="Arial" w:hAnsi="Arial" w:cs="Arial"/>
          <w:color w:val="808080" w:themeColor="background1" w:themeShade="80"/>
        </w:rPr>
        <w:t xml:space="preserve">The connection between the Bankruptcy Rules and Civil Rules </w:t>
      </w:r>
      <w:proofErr w:type="gramStart"/>
      <w:r w:rsidR="00456C35">
        <w:rPr>
          <w:rFonts w:ascii="Arial" w:hAnsi="Arial" w:cs="Arial"/>
          <w:color w:val="808080" w:themeColor="background1" w:themeShade="80"/>
        </w:rPr>
        <w:t>highlighted</w:t>
      </w:r>
      <w:proofErr w:type="gramEnd"/>
      <w:r w:rsidR="00046DF2" w:rsidRPr="00046DF2">
        <w:rPr>
          <w:rFonts w:ascii="Arial" w:hAnsi="Arial" w:cs="Arial"/>
          <w:color w:val="808080" w:themeColor="background1" w:themeShade="80"/>
        </w:rPr>
        <w:t xml:space="preserve"> in Rule 7002</w:t>
      </w:r>
      <w:r w:rsidR="00046DF2">
        <w:rPr>
          <w:rFonts w:ascii="Arial" w:hAnsi="Arial" w:cs="Arial"/>
          <w:color w:val="808080" w:themeColor="background1" w:themeShade="80"/>
        </w:rPr>
        <w:t>. Rule 7002</w:t>
      </w:r>
      <w:r w:rsidR="00046DF2" w:rsidRPr="00046DF2">
        <w:rPr>
          <w:rFonts w:ascii="Arial" w:hAnsi="Arial" w:cs="Arial"/>
          <w:color w:val="808080" w:themeColor="background1" w:themeShade="80"/>
        </w:rPr>
        <w:t xml:space="preserve"> states that </w:t>
      </w:r>
      <w:r w:rsidR="00834233" w:rsidRPr="00046DF2">
        <w:rPr>
          <w:rFonts w:ascii="Arial" w:hAnsi="Arial" w:cs="Arial"/>
          <w:color w:val="808080" w:themeColor="background1" w:themeShade="80"/>
        </w:rPr>
        <w:t>whenever</w:t>
      </w:r>
      <w:r w:rsidR="00046DF2" w:rsidRPr="00046DF2">
        <w:rPr>
          <w:rFonts w:ascii="Arial" w:hAnsi="Arial" w:cs="Arial"/>
          <w:color w:val="808080" w:themeColor="background1" w:themeShade="80"/>
        </w:rPr>
        <w:t xml:space="preserve"> the Civil Rules </w:t>
      </w:r>
      <w:r w:rsidR="00834233" w:rsidRPr="00046DF2">
        <w:rPr>
          <w:rFonts w:ascii="Arial" w:hAnsi="Arial" w:cs="Arial"/>
          <w:color w:val="808080" w:themeColor="background1" w:themeShade="80"/>
        </w:rPr>
        <w:t xml:space="preserve">applicable to adversary proceedings </w:t>
      </w:r>
      <w:r w:rsidR="00046DF2" w:rsidRPr="00046DF2">
        <w:rPr>
          <w:rFonts w:ascii="Arial" w:hAnsi="Arial" w:cs="Arial"/>
          <w:color w:val="808080" w:themeColor="background1" w:themeShade="80"/>
        </w:rPr>
        <w:t xml:space="preserve">refers to another Civil Rules, such reference shall be </w:t>
      </w:r>
      <w:r w:rsidR="00834233" w:rsidRPr="00046DF2">
        <w:rPr>
          <w:rFonts w:ascii="Arial" w:hAnsi="Arial" w:cs="Arial"/>
          <w:color w:val="808080" w:themeColor="background1" w:themeShade="80"/>
        </w:rPr>
        <w:t xml:space="preserve">read as a reference to the </w:t>
      </w:r>
      <w:r w:rsidR="00046DF2" w:rsidRPr="00046DF2">
        <w:rPr>
          <w:rFonts w:ascii="Arial" w:hAnsi="Arial" w:cs="Arial"/>
          <w:color w:val="808080" w:themeColor="background1" w:themeShade="80"/>
        </w:rPr>
        <w:t>Civil Rules</w:t>
      </w:r>
      <w:r w:rsidR="00834233" w:rsidRPr="00046DF2">
        <w:rPr>
          <w:rFonts w:ascii="Arial" w:hAnsi="Arial" w:cs="Arial"/>
          <w:color w:val="808080" w:themeColor="background1" w:themeShade="80"/>
        </w:rPr>
        <w:t xml:space="preserve"> as modified</w:t>
      </w:r>
      <w:r w:rsidR="00834233" w:rsidRPr="00046DF2">
        <w:rPr>
          <w:rStyle w:val="FootnoteReference"/>
          <w:rFonts w:ascii="Arial" w:hAnsi="Arial" w:cs="Arial"/>
          <w:color w:val="808080" w:themeColor="background1" w:themeShade="80"/>
        </w:rPr>
        <w:footnoteReference w:id="88"/>
      </w:r>
      <w:r w:rsidR="00834233" w:rsidRPr="00046DF2">
        <w:rPr>
          <w:rFonts w:ascii="Arial" w:hAnsi="Arial" w:cs="Arial"/>
          <w:color w:val="808080" w:themeColor="background1" w:themeShade="80"/>
        </w:rPr>
        <w:t xml:space="preserve"> in Part VII of the Bankruptcy Rules.</w:t>
      </w:r>
    </w:p>
    <w:p w14:paraId="2E7BF796" w14:textId="77777777" w:rsidR="005F1E97" w:rsidRPr="00355742" w:rsidRDefault="005F1E97" w:rsidP="00D56162">
      <w:pPr>
        <w:pStyle w:val="AODocTxt"/>
        <w:spacing w:before="0" w:line="240" w:lineRule="auto"/>
        <w:rPr>
          <w:rFonts w:ascii="Arial" w:hAnsi="Arial" w:cs="Arial"/>
          <w:color w:val="808080" w:themeColor="background1" w:themeShade="80"/>
        </w:rPr>
      </w:pPr>
    </w:p>
    <w:p w14:paraId="013F7661" w14:textId="406B9B9A" w:rsidR="00BC3DDF" w:rsidRPr="000513CD" w:rsidRDefault="00B760A3" w:rsidP="000513CD">
      <w:pPr>
        <w:pStyle w:val="AODocTxt"/>
        <w:numPr>
          <w:ilvl w:val="0"/>
          <w:numId w:val="12"/>
        </w:numPr>
        <w:spacing w:before="0" w:line="240" w:lineRule="auto"/>
        <w:rPr>
          <w:rFonts w:ascii="Arial" w:hAnsi="Arial" w:cs="Arial"/>
          <w:color w:val="808080" w:themeColor="background1" w:themeShade="80"/>
        </w:rPr>
      </w:pPr>
      <w:r w:rsidRPr="00355742">
        <w:rPr>
          <w:rFonts w:ascii="Arial" w:hAnsi="Arial" w:cs="Arial"/>
          <w:color w:val="808080" w:themeColor="background1" w:themeShade="80"/>
        </w:rPr>
        <w:t xml:space="preserve">Civil </w:t>
      </w:r>
      <w:r w:rsidR="004239B1" w:rsidRPr="00355742">
        <w:rPr>
          <w:rFonts w:ascii="Arial" w:hAnsi="Arial" w:cs="Arial"/>
          <w:color w:val="808080" w:themeColor="background1" w:themeShade="80"/>
        </w:rPr>
        <w:t xml:space="preserve">Rules </w:t>
      </w:r>
      <w:r w:rsidR="00D56162" w:rsidRPr="00355742">
        <w:rPr>
          <w:rFonts w:ascii="Arial" w:hAnsi="Arial" w:cs="Arial"/>
          <w:color w:val="808080" w:themeColor="background1" w:themeShade="80"/>
        </w:rPr>
        <w:t>–</w:t>
      </w:r>
      <w:r w:rsidR="008E3274">
        <w:rPr>
          <w:rFonts w:ascii="Arial" w:hAnsi="Arial" w:cs="Arial"/>
          <w:color w:val="808080" w:themeColor="background1" w:themeShade="80"/>
        </w:rPr>
        <w:t xml:space="preserve"> </w:t>
      </w:r>
      <w:r w:rsidR="00D56162" w:rsidRPr="00355742">
        <w:rPr>
          <w:rFonts w:ascii="Arial" w:hAnsi="Arial" w:cs="Arial"/>
          <w:color w:val="808080" w:themeColor="background1" w:themeShade="80"/>
        </w:rPr>
        <w:t>a</w:t>
      </w:r>
      <w:r w:rsidR="00316881" w:rsidRPr="00355742">
        <w:rPr>
          <w:rFonts w:ascii="Arial" w:hAnsi="Arial" w:cs="Arial"/>
          <w:color w:val="808080" w:themeColor="background1" w:themeShade="80"/>
        </w:rPr>
        <w:t xml:space="preserve">nother set of rules that should be reviewed when preparing a filing for a bankruptcy court </w:t>
      </w:r>
      <w:proofErr w:type="gramStart"/>
      <w:r w:rsidR="00316881" w:rsidRPr="00355742">
        <w:rPr>
          <w:rFonts w:ascii="Arial" w:hAnsi="Arial" w:cs="Arial"/>
          <w:color w:val="808080" w:themeColor="background1" w:themeShade="80"/>
        </w:rPr>
        <w:t>are</w:t>
      </w:r>
      <w:proofErr w:type="gramEnd"/>
      <w:r w:rsidR="00316881" w:rsidRPr="00355742">
        <w:rPr>
          <w:rFonts w:ascii="Arial" w:hAnsi="Arial" w:cs="Arial"/>
          <w:color w:val="808080" w:themeColor="background1" w:themeShade="80"/>
        </w:rPr>
        <w:t xml:space="preserve"> the Civil </w:t>
      </w:r>
      <w:r w:rsidRPr="00355742">
        <w:rPr>
          <w:rFonts w:ascii="Arial" w:hAnsi="Arial" w:cs="Arial"/>
          <w:color w:val="808080" w:themeColor="background1" w:themeShade="80"/>
        </w:rPr>
        <w:t xml:space="preserve">Rules </w:t>
      </w:r>
      <w:r w:rsidR="006A665F" w:rsidRPr="00355742">
        <w:rPr>
          <w:rFonts w:ascii="Arial" w:hAnsi="Arial" w:cs="Arial"/>
          <w:color w:val="808080" w:themeColor="background1" w:themeShade="80"/>
        </w:rPr>
        <w:t>(</w:t>
      </w:r>
      <w:r w:rsidR="00316881" w:rsidRPr="00355742">
        <w:rPr>
          <w:rFonts w:ascii="Arial" w:hAnsi="Arial" w:cs="Arial"/>
          <w:color w:val="808080" w:themeColor="background1" w:themeShade="80"/>
        </w:rPr>
        <w:t>which are the civil law counterpart to the Bankruptcy Rules</w:t>
      </w:r>
      <w:r w:rsidR="006A665F" w:rsidRPr="00355742">
        <w:rPr>
          <w:rFonts w:ascii="Arial" w:hAnsi="Arial" w:cs="Arial"/>
          <w:color w:val="808080" w:themeColor="background1" w:themeShade="80"/>
        </w:rPr>
        <w:t>)</w:t>
      </w:r>
      <w:r w:rsidR="00316881" w:rsidRPr="00355742">
        <w:rPr>
          <w:rFonts w:ascii="Arial" w:hAnsi="Arial" w:cs="Arial"/>
          <w:color w:val="808080" w:themeColor="background1" w:themeShade="80"/>
        </w:rPr>
        <w:t xml:space="preserve">. </w:t>
      </w:r>
      <w:r w:rsidR="008E3274">
        <w:rPr>
          <w:rFonts w:ascii="Arial" w:hAnsi="Arial" w:cs="Arial"/>
          <w:color w:val="808080" w:themeColor="background1" w:themeShade="80"/>
        </w:rPr>
        <w:t>T</w:t>
      </w:r>
      <w:r w:rsidR="00316881" w:rsidRPr="00355742">
        <w:rPr>
          <w:rFonts w:ascii="Arial" w:hAnsi="Arial" w:cs="Arial"/>
          <w:color w:val="808080" w:themeColor="background1" w:themeShade="80"/>
        </w:rPr>
        <w:t>he Civil Rules "</w:t>
      </w:r>
      <w:r w:rsidR="00316881" w:rsidRPr="00355742">
        <w:rPr>
          <w:rFonts w:ascii="Arial" w:hAnsi="Arial" w:cs="Arial"/>
          <w:i/>
          <w:iCs/>
          <w:color w:val="808080" w:themeColor="background1" w:themeShade="80"/>
        </w:rPr>
        <w:t>govern the procedure in all civil actions and proceedings in the United States district courts, except as stated in Rule 81</w:t>
      </w:r>
      <w:r w:rsidR="00316881" w:rsidRPr="00355742">
        <w:rPr>
          <w:rFonts w:ascii="Arial" w:hAnsi="Arial" w:cs="Arial"/>
          <w:color w:val="808080" w:themeColor="background1" w:themeShade="80"/>
        </w:rPr>
        <w:t>."</w:t>
      </w:r>
      <w:r w:rsidR="00704136" w:rsidRPr="00355742">
        <w:rPr>
          <w:rStyle w:val="FootnoteReference"/>
          <w:rFonts w:ascii="Arial" w:hAnsi="Arial" w:cs="Arial"/>
          <w:color w:val="808080" w:themeColor="background1" w:themeShade="80"/>
        </w:rPr>
        <w:footnoteReference w:id="89"/>
      </w:r>
      <w:r w:rsidR="00316881" w:rsidRPr="00355742">
        <w:rPr>
          <w:rFonts w:ascii="Arial" w:hAnsi="Arial" w:cs="Arial"/>
          <w:color w:val="808080" w:themeColor="background1" w:themeShade="80"/>
        </w:rPr>
        <w:t xml:space="preserve"> </w:t>
      </w:r>
      <w:r w:rsidR="00916BCF" w:rsidRPr="00355742">
        <w:rPr>
          <w:rFonts w:ascii="Arial" w:hAnsi="Arial" w:cs="Arial"/>
          <w:color w:val="808080" w:themeColor="background1" w:themeShade="80"/>
        </w:rPr>
        <w:t>Similar to Rule 1001 of the Bankruptcy Rules, t</w:t>
      </w:r>
      <w:r w:rsidR="00316881" w:rsidRPr="00355742">
        <w:rPr>
          <w:rFonts w:ascii="Arial" w:hAnsi="Arial" w:cs="Arial"/>
          <w:color w:val="808080" w:themeColor="background1" w:themeShade="80"/>
        </w:rPr>
        <w:t>he Civil Rules are to be applied "</w:t>
      </w:r>
      <w:r w:rsidR="00316881" w:rsidRPr="00355742">
        <w:rPr>
          <w:rFonts w:ascii="Arial" w:hAnsi="Arial" w:cs="Arial"/>
          <w:i/>
          <w:iCs/>
          <w:color w:val="808080" w:themeColor="background1" w:themeShade="80"/>
        </w:rPr>
        <w:t>by the court and the parties to secure the just, speedy, and inexpensive determination of every action and proceeding</w:t>
      </w:r>
      <w:r w:rsidR="00316881" w:rsidRPr="00355742">
        <w:rPr>
          <w:rFonts w:ascii="Arial" w:hAnsi="Arial" w:cs="Arial"/>
          <w:color w:val="808080" w:themeColor="background1" w:themeShade="80"/>
        </w:rPr>
        <w:t>."</w:t>
      </w:r>
      <w:r w:rsidR="00704136" w:rsidRPr="00355742">
        <w:rPr>
          <w:rStyle w:val="FootnoteReference"/>
          <w:rFonts w:ascii="Arial" w:hAnsi="Arial" w:cs="Arial"/>
          <w:color w:val="808080" w:themeColor="background1" w:themeShade="80"/>
        </w:rPr>
        <w:footnoteReference w:id="90"/>
      </w:r>
      <w:r w:rsidR="00316881" w:rsidRPr="00355742">
        <w:rPr>
          <w:rFonts w:ascii="Arial" w:hAnsi="Arial" w:cs="Arial"/>
          <w:color w:val="808080" w:themeColor="background1" w:themeShade="80"/>
        </w:rPr>
        <w:t xml:space="preserve"> </w:t>
      </w:r>
      <w:r w:rsidR="000513CD">
        <w:rPr>
          <w:rFonts w:ascii="Arial" w:hAnsi="Arial" w:cs="Arial"/>
          <w:color w:val="808080" w:themeColor="background1" w:themeShade="80"/>
        </w:rPr>
        <w:t>T</w:t>
      </w:r>
      <w:r w:rsidR="00316881" w:rsidRPr="00355742">
        <w:rPr>
          <w:rFonts w:ascii="Arial" w:hAnsi="Arial" w:cs="Arial"/>
          <w:color w:val="808080" w:themeColor="background1" w:themeShade="80"/>
        </w:rPr>
        <w:t xml:space="preserve">he </w:t>
      </w:r>
      <w:r w:rsidR="000513CD">
        <w:rPr>
          <w:rFonts w:ascii="Arial" w:hAnsi="Arial" w:cs="Arial"/>
          <w:color w:val="808080" w:themeColor="background1" w:themeShade="80"/>
        </w:rPr>
        <w:t>Civil Rules apply to bankruptcy proceedings to the extent provided by the Bankruptcy Rules.</w:t>
      </w:r>
      <w:r w:rsidR="00704136" w:rsidRPr="00355742">
        <w:rPr>
          <w:rStyle w:val="FootnoteReference"/>
          <w:rFonts w:ascii="Arial" w:hAnsi="Arial" w:cs="Arial"/>
          <w:color w:val="808080" w:themeColor="background1" w:themeShade="80"/>
        </w:rPr>
        <w:footnoteReference w:id="91"/>
      </w:r>
    </w:p>
    <w:p w14:paraId="70E310F6" w14:textId="77777777" w:rsidR="000513CD" w:rsidRPr="00355742" w:rsidRDefault="000513CD" w:rsidP="00BC3DDF">
      <w:pPr>
        <w:pStyle w:val="AODocTxt"/>
        <w:spacing w:before="0" w:line="240" w:lineRule="auto"/>
        <w:rPr>
          <w:rFonts w:ascii="Arial" w:hAnsi="Arial" w:cs="Arial"/>
          <w:color w:val="808080" w:themeColor="background1" w:themeShade="80"/>
        </w:rPr>
      </w:pPr>
    </w:p>
    <w:p w14:paraId="4C9CB376" w14:textId="7856A92A" w:rsidR="005F1E97" w:rsidRDefault="00BC3DDF" w:rsidP="000513CD">
      <w:pPr>
        <w:pStyle w:val="AODocTxt"/>
        <w:spacing w:before="0" w:line="240" w:lineRule="auto"/>
        <w:ind w:left="720"/>
        <w:rPr>
          <w:rFonts w:ascii="Arial" w:hAnsi="Arial" w:cs="Arial"/>
          <w:color w:val="808080" w:themeColor="background1" w:themeShade="80"/>
        </w:rPr>
      </w:pPr>
      <w:r w:rsidRPr="00355742">
        <w:rPr>
          <w:rFonts w:ascii="Arial" w:hAnsi="Arial" w:cs="Arial"/>
          <w:color w:val="808080" w:themeColor="background1" w:themeShade="80"/>
        </w:rPr>
        <w:t xml:space="preserve">The </w:t>
      </w:r>
      <w:r w:rsidR="000827A5">
        <w:rPr>
          <w:rFonts w:ascii="Arial" w:hAnsi="Arial" w:cs="Arial"/>
          <w:color w:val="808080" w:themeColor="background1" w:themeShade="80"/>
        </w:rPr>
        <w:t xml:space="preserve">link </w:t>
      </w:r>
      <w:r w:rsidRPr="00355742">
        <w:rPr>
          <w:rFonts w:ascii="Arial" w:hAnsi="Arial" w:cs="Arial"/>
          <w:color w:val="808080" w:themeColor="background1" w:themeShade="80"/>
        </w:rPr>
        <w:t xml:space="preserve">between the Bankruptcy Rules and Civil Rules </w:t>
      </w:r>
      <w:r w:rsidR="00456C35">
        <w:rPr>
          <w:rFonts w:ascii="Arial" w:hAnsi="Arial" w:cs="Arial"/>
          <w:color w:val="808080" w:themeColor="background1" w:themeShade="80"/>
        </w:rPr>
        <w:t>is demonstrated</w:t>
      </w:r>
      <w:r w:rsidRPr="00355742">
        <w:rPr>
          <w:rFonts w:ascii="Arial" w:hAnsi="Arial" w:cs="Arial"/>
          <w:color w:val="808080" w:themeColor="background1" w:themeShade="80"/>
        </w:rPr>
        <w:t xml:space="preserve"> in Rule 9032 of the Bankruptcy Rules. Rule 9032 </w:t>
      </w:r>
      <w:r w:rsidR="000513CD">
        <w:rPr>
          <w:rFonts w:ascii="Arial" w:hAnsi="Arial" w:cs="Arial"/>
          <w:color w:val="808080" w:themeColor="background1" w:themeShade="80"/>
        </w:rPr>
        <w:t>sets out</w:t>
      </w:r>
      <w:r w:rsidR="005F1E97" w:rsidRPr="00355742">
        <w:rPr>
          <w:rFonts w:ascii="Arial" w:hAnsi="Arial" w:cs="Arial"/>
          <w:color w:val="808080" w:themeColor="background1" w:themeShade="80"/>
        </w:rPr>
        <w:t xml:space="preserve"> the effect of amendments </w:t>
      </w:r>
      <w:r w:rsidRPr="00355742">
        <w:rPr>
          <w:rFonts w:ascii="Arial" w:hAnsi="Arial" w:cs="Arial"/>
          <w:color w:val="808080" w:themeColor="background1" w:themeShade="80"/>
        </w:rPr>
        <w:t>to</w:t>
      </w:r>
      <w:r w:rsidR="005F1E97" w:rsidRPr="00355742">
        <w:rPr>
          <w:rFonts w:ascii="Arial" w:hAnsi="Arial" w:cs="Arial"/>
          <w:color w:val="808080" w:themeColor="background1" w:themeShade="80"/>
        </w:rPr>
        <w:t xml:space="preserve"> the Civil Rules. </w:t>
      </w:r>
      <w:r w:rsidR="000513CD">
        <w:rPr>
          <w:rFonts w:ascii="Arial" w:hAnsi="Arial" w:cs="Arial"/>
          <w:color w:val="808080" w:themeColor="background1" w:themeShade="80"/>
        </w:rPr>
        <w:t xml:space="preserve">The </w:t>
      </w:r>
      <w:r w:rsidR="005F1E97" w:rsidRPr="00355742">
        <w:rPr>
          <w:rFonts w:ascii="Arial" w:hAnsi="Arial" w:cs="Arial"/>
          <w:color w:val="808080" w:themeColor="background1" w:themeShade="80"/>
        </w:rPr>
        <w:t xml:space="preserve">Civil Rules </w:t>
      </w:r>
      <w:r w:rsidR="000513CD">
        <w:rPr>
          <w:rFonts w:ascii="Arial" w:hAnsi="Arial" w:cs="Arial"/>
          <w:color w:val="808080" w:themeColor="background1" w:themeShade="80"/>
        </w:rPr>
        <w:t xml:space="preserve">which are incorporated by reference and made applicable by </w:t>
      </w:r>
      <w:r w:rsidR="000513CD">
        <w:rPr>
          <w:rFonts w:ascii="Arial" w:hAnsi="Arial" w:cs="Arial"/>
          <w:color w:val="808080" w:themeColor="background1" w:themeShade="80"/>
        </w:rPr>
        <w:lastRenderedPageBreak/>
        <w:t>the Bankruptcy Rules shall be the Civil Rules which are in effect on the effective date of the Bankruptcy Rules and as thereafter amended.</w:t>
      </w:r>
      <w:r w:rsidR="005F1E97" w:rsidRPr="00355742">
        <w:rPr>
          <w:rStyle w:val="FootnoteReference"/>
          <w:rFonts w:ascii="Arial" w:hAnsi="Arial" w:cs="Arial"/>
          <w:color w:val="808080" w:themeColor="background1" w:themeShade="80"/>
        </w:rPr>
        <w:footnoteReference w:id="92"/>
      </w:r>
    </w:p>
    <w:p w14:paraId="5D2F03E2" w14:textId="77777777" w:rsidR="00456C35" w:rsidRDefault="00456C35" w:rsidP="000513CD">
      <w:pPr>
        <w:pStyle w:val="AODocTxt"/>
        <w:spacing w:before="0" w:line="240" w:lineRule="auto"/>
        <w:ind w:left="720"/>
        <w:rPr>
          <w:rFonts w:ascii="Arial" w:hAnsi="Arial" w:cs="Arial"/>
          <w:color w:val="808080" w:themeColor="background1" w:themeShade="80"/>
        </w:rPr>
      </w:pPr>
    </w:p>
    <w:p w14:paraId="0A92B5C3" w14:textId="5434B2DB" w:rsidR="00456C35" w:rsidRPr="00355742" w:rsidRDefault="00456C35" w:rsidP="000513CD">
      <w:pPr>
        <w:pStyle w:val="AODocTxt"/>
        <w:spacing w:before="0" w:line="240" w:lineRule="auto"/>
        <w:ind w:left="720"/>
        <w:rPr>
          <w:rFonts w:ascii="Arial" w:hAnsi="Arial" w:cs="Arial"/>
          <w:color w:val="808080" w:themeColor="background1" w:themeShade="80"/>
        </w:rPr>
      </w:pPr>
      <w:proofErr w:type="gramStart"/>
      <w:r>
        <w:rPr>
          <w:rFonts w:ascii="Arial" w:hAnsi="Arial" w:cs="Arial"/>
          <w:color w:val="808080" w:themeColor="background1" w:themeShade="80"/>
        </w:rPr>
        <w:t>In light of</w:t>
      </w:r>
      <w:proofErr w:type="gramEnd"/>
      <w:r>
        <w:rPr>
          <w:rFonts w:ascii="Arial" w:hAnsi="Arial" w:cs="Arial"/>
          <w:color w:val="808080" w:themeColor="background1" w:themeShade="80"/>
        </w:rPr>
        <w:t xml:space="preserve"> the above, it would be helpful to review the Civil Rules (together with the Bankruptcy Rules) when preparing a filing for a bankruptcy court.</w:t>
      </w:r>
    </w:p>
    <w:p w14:paraId="061B04D5" w14:textId="77777777" w:rsidR="000513CD" w:rsidRPr="00355742" w:rsidRDefault="000513CD" w:rsidP="00D56162">
      <w:pPr>
        <w:pStyle w:val="AODocTxt"/>
        <w:spacing w:before="0" w:line="240" w:lineRule="auto"/>
        <w:rPr>
          <w:rFonts w:ascii="Arial" w:hAnsi="Arial" w:cs="Arial"/>
          <w:color w:val="808080" w:themeColor="background1" w:themeShade="80"/>
        </w:rPr>
      </w:pPr>
    </w:p>
    <w:p w14:paraId="40D1B58D" w14:textId="2FEAB294" w:rsidR="00916BCF" w:rsidRPr="00355742" w:rsidRDefault="006A665F">
      <w:pPr>
        <w:pStyle w:val="AODocTxt"/>
        <w:numPr>
          <w:ilvl w:val="0"/>
          <w:numId w:val="12"/>
        </w:numPr>
        <w:spacing w:before="0" w:line="240" w:lineRule="auto"/>
        <w:rPr>
          <w:rFonts w:ascii="Arial" w:hAnsi="Arial" w:cs="Arial"/>
          <w:color w:val="808080" w:themeColor="background1" w:themeShade="80"/>
        </w:rPr>
      </w:pPr>
      <w:r w:rsidRPr="00355742">
        <w:rPr>
          <w:rFonts w:ascii="Arial" w:hAnsi="Arial" w:cs="Arial"/>
          <w:color w:val="808080" w:themeColor="background1" w:themeShade="80"/>
        </w:rPr>
        <w:t xml:space="preserve">Local rules and procedures and personal practices issues by each judge - </w:t>
      </w:r>
      <w:r w:rsidR="00E510DD" w:rsidRPr="00355742">
        <w:rPr>
          <w:rFonts w:ascii="Arial" w:hAnsi="Arial" w:cs="Arial"/>
          <w:color w:val="808080" w:themeColor="background1" w:themeShade="80"/>
        </w:rPr>
        <w:t>every bankruptcy court in the US will have local rules of procedure</w:t>
      </w:r>
      <w:r w:rsidR="00C20CBB" w:rsidRPr="00355742">
        <w:rPr>
          <w:rStyle w:val="FootnoteReference"/>
          <w:rFonts w:ascii="Arial" w:hAnsi="Arial" w:cs="Arial"/>
          <w:color w:val="808080" w:themeColor="background1" w:themeShade="80"/>
        </w:rPr>
        <w:footnoteReference w:id="93"/>
      </w:r>
      <w:r w:rsidR="00E510DD" w:rsidRPr="00355742">
        <w:rPr>
          <w:rFonts w:ascii="Arial" w:hAnsi="Arial" w:cs="Arial"/>
          <w:color w:val="808080" w:themeColor="background1" w:themeShade="80"/>
        </w:rPr>
        <w:t xml:space="preserve">, and each judge </w:t>
      </w:r>
      <w:r w:rsidR="000827A5">
        <w:rPr>
          <w:rFonts w:ascii="Arial" w:hAnsi="Arial" w:cs="Arial"/>
          <w:color w:val="808080" w:themeColor="background1" w:themeShade="80"/>
        </w:rPr>
        <w:t xml:space="preserve">will </w:t>
      </w:r>
      <w:r w:rsidR="00E510DD" w:rsidRPr="00355742">
        <w:rPr>
          <w:rFonts w:ascii="Arial" w:hAnsi="Arial" w:cs="Arial"/>
          <w:color w:val="808080" w:themeColor="background1" w:themeShade="80"/>
        </w:rPr>
        <w:t>issue personal practices (which are periodically updated)</w:t>
      </w:r>
      <w:r w:rsidR="00C20CBB" w:rsidRPr="00355742">
        <w:rPr>
          <w:rStyle w:val="FootnoteReference"/>
          <w:rFonts w:ascii="Arial" w:hAnsi="Arial" w:cs="Arial"/>
          <w:color w:val="808080" w:themeColor="background1" w:themeShade="80"/>
        </w:rPr>
        <w:footnoteReference w:id="94"/>
      </w:r>
      <w:r w:rsidR="00E510DD" w:rsidRPr="00355742">
        <w:rPr>
          <w:rFonts w:ascii="Arial" w:hAnsi="Arial" w:cs="Arial"/>
          <w:color w:val="808080" w:themeColor="background1" w:themeShade="80"/>
        </w:rPr>
        <w:t xml:space="preserve">. These are available on the bankruptcy court's website. It should be noted that local rules and practices </w:t>
      </w:r>
      <w:r w:rsidR="00456C35">
        <w:rPr>
          <w:rFonts w:ascii="Arial" w:hAnsi="Arial" w:cs="Arial"/>
          <w:color w:val="808080" w:themeColor="background1" w:themeShade="80"/>
        </w:rPr>
        <w:t xml:space="preserve">will </w:t>
      </w:r>
      <w:r w:rsidR="00E510DD" w:rsidRPr="00355742">
        <w:rPr>
          <w:rFonts w:ascii="Arial" w:hAnsi="Arial" w:cs="Arial"/>
          <w:color w:val="808080" w:themeColor="background1" w:themeShade="80"/>
        </w:rPr>
        <w:t>contain the</w:t>
      </w:r>
      <w:r w:rsidR="00456C35">
        <w:rPr>
          <w:rFonts w:ascii="Arial" w:hAnsi="Arial" w:cs="Arial"/>
          <w:color w:val="808080" w:themeColor="background1" w:themeShade="80"/>
        </w:rPr>
        <w:t xml:space="preserve"> judges’</w:t>
      </w:r>
      <w:r w:rsidR="00E510DD" w:rsidRPr="00355742">
        <w:rPr>
          <w:rFonts w:ascii="Arial" w:hAnsi="Arial" w:cs="Arial"/>
          <w:color w:val="808080" w:themeColor="background1" w:themeShade="80"/>
        </w:rPr>
        <w:t xml:space="preserve"> preferred working procedures. The local rules and practices can also modify deadlines for filing and responding to pleadings</w:t>
      </w:r>
      <w:r w:rsidR="00C20CBB" w:rsidRPr="00355742">
        <w:rPr>
          <w:rStyle w:val="FootnoteReference"/>
          <w:rFonts w:ascii="Arial" w:hAnsi="Arial" w:cs="Arial"/>
          <w:color w:val="808080" w:themeColor="background1" w:themeShade="80"/>
        </w:rPr>
        <w:footnoteReference w:id="95"/>
      </w:r>
      <w:r w:rsidR="00E510DD" w:rsidRPr="00355742">
        <w:rPr>
          <w:rFonts w:ascii="Arial" w:hAnsi="Arial" w:cs="Arial"/>
          <w:color w:val="808080" w:themeColor="background1" w:themeShade="80"/>
        </w:rPr>
        <w:t>.</w:t>
      </w:r>
    </w:p>
    <w:p w14:paraId="482EB7CA" w14:textId="77777777" w:rsidR="00916BCF" w:rsidRPr="00355742" w:rsidRDefault="00916BCF" w:rsidP="00916BCF">
      <w:pPr>
        <w:pStyle w:val="ListParagraph"/>
        <w:rPr>
          <w:rFonts w:ascii="Arial" w:hAnsi="Arial" w:cs="Arial"/>
          <w:color w:val="808080" w:themeColor="background1" w:themeShade="80"/>
        </w:rPr>
      </w:pPr>
    </w:p>
    <w:p w14:paraId="4FEB14A6" w14:textId="57F680FC" w:rsidR="00B83F8B" w:rsidRDefault="00B83F8B" w:rsidP="003109FD">
      <w:pPr>
        <w:pStyle w:val="AODocTxt"/>
        <w:spacing w:before="0" w:line="240" w:lineRule="auto"/>
        <w:ind w:left="720"/>
        <w:rPr>
          <w:rFonts w:ascii="Arial" w:hAnsi="Arial" w:cs="Arial"/>
          <w:color w:val="808080" w:themeColor="background1" w:themeShade="80"/>
        </w:rPr>
      </w:pPr>
      <w:r w:rsidRPr="00355742">
        <w:rPr>
          <w:rFonts w:ascii="Arial" w:hAnsi="Arial" w:cs="Arial"/>
          <w:color w:val="808080" w:themeColor="background1" w:themeShade="80"/>
        </w:rPr>
        <w:t>For example, the local rules of the Bankruptcy Court for the District of Delaware ("</w:t>
      </w:r>
      <w:r w:rsidRPr="00355742">
        <w:rPr>
          <w:rFonts w:ascii="Arial" w:hAnsi="Arial" w:cs="Arial"/>
          <w:b/>
          <w:bCs/>
          <w:color w:val="808080" w:themeColor="background1" w:themeShade="80"/>
        </w:rPr>
        <w:t>Local Rules</w:t>
      </w:r>
      <w:r w:rsidRPr="00355742">
        <w:rPr>
          <w:rFonts w:ascii="Arial" w:hAnsi="Arial" w:cs="Arial"/>
          <w:color w:val="808080" w:themeColor="background1" w:themeShade="80"/>
        </w:rPr>
        <w:t>") state at Rule 1001-1(b) that the Local Rules shall be followed to the extent that they are not inconsistent with the</w:t>
      </w:r>
      <w:r w:rsidR="00BC6D51" w:rsidRPr="00355742">
        <w:rPr>
          <w:rFonts w:ascii="Arial" w:hAnsi="Arial" w:cs="Arial"/>
          <w:color w:val="808080" w:themeColor="background1" w:themeShade="80"/>
        </w:rPr>
        <w:t xml:space="preserve"> Bankruptcy Code</w:t>
      </w:r>
      <w:r w:rsidRPr="00355742">
        <w:rPr>
          <w:rFonts w:ascii="Arial" w:hAnsi="Arial" w:cs="Arial"/>
          <w:color w:val="808080" w:themeColor="background1" w:themeShade="80"/>
        </w:rPr>
        <w:t xml:space="preserve"> and the Bankruptcy Rules</w:t>
      </w:r>
      <w:r w:rsidR="00A23620" w:rsidRPr="00355742">
        <w:rPr>
          <w:rStyle w:val="FootnoteReference"/>
          <w:rFonts w:ascii="Arial" w:hAnsi="Arial" w:cs="Arial"/>
          <w:color w:val="808080" w:themeColor="background1" w:themeShade="80"/>
        </w:rPr>
        <w:footnoteReference w:id="96"/>
      </w:r>
      <w:r w:rsidRPr="00355742">
        <w:rPr>
          <w:rFonts w:ascii="Arial" w:hAnsi="Arial" w:cs="Arial"/>
          <w:color w:val="808080" w:themeColor="background1" w:themeShade="80"/>
        </w:rPr>
        <w:t xml:space="preserve">. Rule 7008-1 </w:t>
      </w:r>
      <w:r w:rsidR="003109FD">
        <w:rPr>
          <w:rFonts w:ascii="Arial" w:hAnsi="Arial" w:cs="Arial"/>
          <w:color w:val="808080" w:themeColor="background1" w:themeShade="80"/>
        </w:rPr>
        <w:t xml:space="preserve">of the Local Rules </w:t>
      </w:r>
      <w:r w:rsidR="000827A5">
        <w:rPr>
          <w:rFonts w:ascii="Arial" w:hAnsi="Arial" w:cs="Arial"/>
          <w:color w:val="808080" w:themeColor="background1" w:themeShade="80"/>
        </w:rPr>
        <w:t>reinforces</w:t>
      </w:r>
      <w:r w:rsidR="00916BCF" w:rsidRPr="00355742">
        <w:rPr>
          <w:rFonts w:ascii="Arial" w:hAnsi="Arial" w:cs="Arial"/>
          <w:color w:val="808080" w:themeColor="background1" w:themeShade="80"/>
        </w:rPr>
        <w:t xml:space="preserve"> Rule 7008(a) of the Bankruptcy Rules</w:t>
      </w:r>
      <w:r w:rsidR="003109FD">
        <w:rPr>
          <w:rFonts w:ascii="Arial" w:hAnsi="Arial" w:cs="Arial"/>
          <w:color w:val="808080" w:themeColor="background1" w:themeShade="80"/>
        </w:rPr>
        <w:t xml:space="preserve">. Rule 7008-1 requires the pleader in pleadings to state whether they consent to the entry </w:t>
      </w:r>
      <w:r w:rsidR="000827A5" w:rsidRPr="000827A5">
        <w:rPr>
          <w:rFonts w:ascii="Arial" w:hAnsi="Arial" w:cs="Arial"/>
          <w:color w:val="808080" w:themeColor="background1" w:themeShade="80"/>
        </w:rPr>
        <w:t>of</w:t>
      </w:r>
      <w:r w:rsidR="003109FD">
        <w:rPr>
          <w:rFonts w:ascii="Arial" w:hAnsi="Arial" w:cs="Arial"/>
          <w:color w:val="808080" w:themeColor="background1" w:themeShade="80"/>
        </w:rPr>
        <w:t xml:space="preserve"> </w:t>
      </w:r>
      <w:r w:rsidR="000827A5" w:rsidRPr="000827A5">
        <w:rPr>
          <w:rFonts w:ascii="Arial" w:hAnsi="Arial" w:cs="Arial"/>
          <w:color w:val="808080" w:themeColor="background1" w:themeShade="80"/>
        </w:rPr>
        <w:t xml:space="preserve">final orders </w:t>
      </w:r>
      <w:r w:rsidR="003109FD">
        <w:rPr>
          <w:rFonts w:ascii="Arial" w:hAnsi="Arial" w:cs="Arial"/>
          <w:color w:val="808080" w:themeColor="background1" w:themeShade="80"/>
        </w:rPr>
        <w:t>(</w:t>
      </w:r>
      <w:r w:rsidR="000827A5" w:rsidRPr="000827A5">
        <w:rPr>
          <w:rFonts w:ascii="Arial" w:hAnsi="Arial" w:cs="Arial"/>
          <w:color w:val="808080" w:themeColor="background1" w:themeShade="80"/>
        </w:rPr>
        <w:t>or judgments</w:t>
      </w:r>
      <w:r w:rsidR="003109FD">
        <w:rPr>
          <w:rFonts w:ascii="Arial" w:hAnsi="Arial" w:cs="Arial"/>
          <w:color w:val="808080" w:themeColor="background1" w:themeShade="80"/>
        </w:rPr>
        <w:t>)</w:t>
      </w:r>
      <w:r w:rsidR="000827A5" w:rsidRPr="000827A5">
        <w:rPr>
          <w:rFonts w:ascii="Arial" w:hAnsi="Arial" w:cs="Arial"/>
          <w:color w:val="808080" w:themeColor="background1" w:themeShade="80"/>
        </w:rPr>
        <w:t xml:space="preserve"> by the </w:t>
      </w:r>
      <w:r w:rsidR="003109FD">
        <w:rPr>
          <w:rFonts w:ascii="Arial" w:hAnsi="Arial" w:cs="Arial"/>
          <w:color w:val="808080" w:themeColor="background1" w:themeShade="80"/>
        </w:rPr>
        <w:t>c</w:t>
      </w:r>
      <w:r w:rsidR="000827A5" w:rsidRPr="000827A5">
        <w:rPr>
          <w:rFonts w:ascii="Arial" w:hAnsi="Arial" w:cs="Arial"/>
          <w:color w:val="808080" w:themeColor="background1" w:themeShade="80"/>
        </w:rPr>
        <w:t>ourt</w:t>
      </w:r>
      <w:r w:rsidR="003109FD">
        <w:rPr>
          <w:rFonts w:ascii="Arial" w:hAnsi="Arial" w:cs="Arial"/>
          <w:color w:val="808080" w:themeColor="background1" w:themeShade="80"/>
        </w:rPr>
        <w:t xml:space="preserve"> and that in the event no such statement is included, the pleader is deemed to have waived their right to contest the court’s authority to enter final orders (or judgments).</w:t>
      </w:r>
      <w:r w:rsidR="00A23620" w:rsidRPr="00355742">
        <w:rPr>
          <w:rStyle w:val="FootnoteReference"/>
          <w:rFonts w:ascii="Arial" w:hAnsi="Arial" w:cs="Arial"/>
          <w:color w:val="808080" w:themeColor="background1" w:themeShade="80"/>
        </w:rPr>
        <w:footnoteReference w:id="97"/>
      </w:r>
      <w:r w:rsidRPr="00355742">
        <w:rPr>
          <w:rFonts w:ascii="Arial" w:hAnsi="Arial" w:cs="Arial"/>
          <w:color w:val="808080" w:themeColor="background1" w:themeShade="80"/>
        </w:rPr>
        <w:t>.</w:t>
      </w:r>
    </w:p>
    <w:p w14:paraId="597B1CCD" w14:textId="77777777" w:rsidR="00456C35" w:rsidRDefault="00456C35" w:rsidP="003109FD">
      <w:pPr>
        <w:pStyle w:val="AODocTxt"/>
        <w:spacing w:before="0" w:line="240" w:lineRule="auto"/>
        <w:ind w:left="720"/>
        <w:rPr>
          <w:rFonts w:ascii="Arial" w:hAnsi="Arial" w:cs="Arial"/>
          <w:color w:val="808080" w:themeColor="background1" w:themeShade="80"/>
        </w:rPr>
      </w:pPr>
    </w:p>
    <w:p w14:paraId="7F350375" w14:textId="348EE772" w:rsidR="00456C35" w:rsidRPr="00355742" w:rsidRDefault="00456C35" w:rsidP="003109FD">
      <w:pPr>
        <w:pStyle w:val="AODocTxt"/>
        <w:spacing w:before="0" w:line="240" w:lineRule="auto"/>
        <w:ind w:left="720"/>
        <w:rPr>
          <w:rFonts w:ascii="Arial" w:hAnsi="Arial" w:cs="Arial"/>
          <w:color w:val="808080" w:themeColor="background1" w:themeShade="80"/>
        </w:rPr>
      </w:pPr>
      <w:r>
        <w:rPr>
          <w:rFonts w:ascii="Arial" w:hAnsi="Arial" w:cs="Arial"/>
          <w:color w:val="808080" w:themeColor="background1" w:themeShade="80"/>
        </w:rPr>
        <w:t>Local rules and procedures and personal practices which are issued by judges should therefore be reviewed when preparing a filing for a bankruptcy court.</w:t>
      </w:r>
    </w:p>
    <w:p w14:paraId="38B97B67" w14:textId="77777777" w:rsidR="00916BCF" w:rsidRPr="00355742" w:rsidRDefault="00916BCF" w:rsidP="00D56162">
      <w:pPr>
        <w:pStyle w:val="AODocTxt"/>
        <w:spacing w:before="0" w:line="240" w:lineRule="auto"/>
        <w:rPr>
          <w:rFonts w:ascii="Arial" w:hAnsi="Arial" w:cs="Arial"/>
          <w:color w:val="808080" w:themeColor="background1" w:themeShade="80"/>
        </w:rPr>
      </w:pPr>
    </w:p>
    <w:p w14:paraId="08B51866" w14:textId="463BDBE7" w:rsidR="00B83F8B" w:rsidRPr="00355742" w:rsidRDefault="006A665F">
      <w:pPr>
        <w:pStyle w:val="AODocTxt"/>
        <w:numPr>
          <w:ilvl w:val="0"/>
          <w:numId w:val="12"/>
        </w:numPr>
        <w:spacing w:before="0" w:line="240" w:lineRule="auto"/>
        <w:rPr>
          <w:rFonts w:ascii="Arial" w:hAnsi="Arial" w:cs="Arial"/>
          <w:color w:val="808080" w:themeColor="background1" w:themeShade="80"/>
        </w:rPr>
      </w:pPr>
      <w:r w:rsidRPr="00355742">
        <w:rPr>
          <w:rFonts w:ascii="Arial" w:hAnsi="Arial" w:cs="Arial"/>
          <w:color w:val="808080" w:themeColor="background1" w:themeShade="80"/>
        </w:rPr>
        <w:t xml:space="preserve">Consult local practitioner </w:t>
      </w:r>
      <w:r w:rsidR="003105AB">
        <w:rPr>
          <w:rFonts w:ascii="Arial" w:hAnsi="Arial" w:cs="Arial"/>
          <w:color w:val="808080" w:themeColor="background1" w:themeShade="80"/>
        </w:rPr>
        <w:t>–</w:t>
      </w:r>
      <w:r w:rsidRPr="00355742">
        <w:rPr>
          <w:rFonts w:ascii="Arial" w:hAnsi="Arial" w:cs="Arial"/>
          <w:color w:val="808080" w:themeColor="background1" w:themeShade="80"/>
        </w:rPr>
        <w:t xml:space="preserve"> </w:t>
      </w:r>
      <w:r w:rsidR="003105AB">
        <w:rPr>
          <w:rFonts w:ascii="Arial" w:hAnsi="Arial" w:cs="Arial"/>
          <w:color w:val="808080" w:themeColor="background1" w:themeShade="80"/>
        </w:rPr>
        <w:t xml:space="preserve">given the complexity and diverse nature of US bankruptcy law, </w:t>
      </w:r>
      <w:r w:rsidR="003109FD">
        <w:rPr>
          <w:rFonts w:ascii="Arial" w:hAnsi="Arial" w:cs="Arial"/>
          <w:color w:val="808080" w:themeColor="background1" w:themeShade="80"/>
        </w:rPr>
        <w:t>i</w:t>
      </w:r>
      <w:r w:rsidR="00E510DD" w:rsidRPr="00355742">
        <w:rPr>
          <w:rFonts w:ascii="Arial" w:hAnsi="Arial" w:cs="Arial"/>
          <w:color w:val="808080" w:themeColor="background1" w:themeShade="80"/>
        </w:rPr>
        <w:t>t would</w:t>
      </w:r>
      <w:r w:rsidR="00A94DE7">
        <w:rPr>
          <w:rFonts w:ascii="Arial" w:hAnsi="Arial" w:cs="Arial"/>
          <w:color w:val="808080" w:themeColor="background1" w:themeShade="80"/>
        </w:rPr>
        <w:t xml:space="preserve"> also</w:t>
      </w:r>
      <w:r w:rsidR="00E510DD" w:rsidRPr="00355742">
        <w:rPr>
          <w:rFonts w:ascii="Arial" w:hAnsi="Arial" w:cs="Arial"/>
          <w:color w:val="808080" w:themeColor="background1" w:themeShade="80"/>
        </w:rPr>
        <w:t xml:space="preserve"> be prudent for a practitioner who does not practice regularly in the jurisdiction to consult a local practitioner for advice on unwritten local practices</w:t>
      </w:r>
      <w:r w:rsidR="003105AB">
        <w:rPr>
          <w:rFonts w:ascii="Arial" w:hAnsi="Arial" w:cs="Arial"/>
          <w:color w:val="808080" w:themeColor="background1" w:themeShade="80"/>
        </w:rPr>
        <w:t xml:space="preserve"> (if any)</w:t>
      </w:r>
      <w:r w:rsidR="00E510DD" w:rsidRPr="00355742">
        <w:rPr>
          <w:rFonts w:ascii="Arial" w:hAnsi="Arial" w:cs="Arial"/>
          <w:color w:val="808080" w:themeColor="background1" w:themeShade="80"/>
        </w:rPr>
        <w:t>.</w:t>
      </w:r>
      <w:r w:rsidR="003109FD">
        <w:rPr>
          <w:rStyle w:val="FootnoteReference"/>
          <w:rFonts w:ascii="Arial" w:hAnsi="Arial" w:cs="Arial"/>
          <w:color w:val="808080" w:themeColor="background1" w:themeShade="80"/>
        </w:rPr>
        <w:footnoteReference w:id="98"/>
      </w:r>
      <w:r w:rsidR="00A94DE7">
        <w:rPr>
          <w:rFonts w:ascii="Arial" w:hAnsi="Arial" w:cs="Arial"/>
          <w:color w:val="808080" w:themeColor="background1" w:themeShade="80"/>
        </w:rPr>
        <w:t xml:space="preserve"> This should ensure that the filing for a bankruptcy court is without any issues from the outset.</w:t>
      </w:r>
    </w:p>
    <w:p w14:paraId="71AB4451" w14:textId="77777777" w:rsidR="003105AB" w:rsidRPr="00AC180D" w:rsidRDefault="003105AB" w:rsidP="00AC180D">
      <w:pPr>
        <w:pStyle w:val="AODocTxt"/>
        <w:spacing w:before="0" w:line="240" w:lineRule="auto"/>
        <w:rPr>
          <w:rFonts w:ascii="Arial" w:hAnsi="Arial" w:cs="Arial"/>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281945C1" w14:textId="74E321B4" w:rsidR="00984286" w:rsidRPr="002E0C1A" w:rsidRDefault="00C2684C" w:rsidP="001D3BAA">
      <w:pPr>
        <w:pStyle w:val="AODocTxt"/>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In the US, director liability is reserved for the state law of the state where the corporation is incorporated.</w:t>
      </w:r>
      <w:r w:rsidRPr="002E0C1A">
        <w:rPr>
          <w:rStyle w:val="FootnoteReference"/>
          <w:rFonts w:ascii="Arial" w:hAnsi="Arial" w:cs="Arial"/>
          <w:color w:val="808080" w:themeColor="background1" w:themeShade="80"/>
        </w:rPr>
        <w:footnoteReference w:id="99"/>
      </w:r>
      <w:r w:rsidRPr="002E0C1A">
        <w:rPr>
          <w:rFonts w:ascii="Arial" w:hAnsi="Arial" w:cs="Arial"/>
          <w:color w:val="808080" w:themeColor="background1" w:themeShade="80"/>
        </w:rPr>
        <w:t xml:space="preserve"> </w:t>
      </w:r>
      <w:r w:rsidR="00984286" w:rsidRPr="002E0C1A">
        <w:rPr>
          <w:rFonts w:ascii="Arial" w:hAnsi="Arial" w:cs="Arial"/>
          <w:color w:val="808080" w:themeColor="background1" w:themeShade="80"/>
        </w:rPr>
        <w:t>Delaware has become the most prominent state in the US for corporate law. Indeed</w:t>
      </w:r>
      <w:r w:rsidR="00D42AA7" w:rsidRPr="002E0C1A">
        <w:rPr>
          <w:rFonts w:ascii="Arial" w:hAnsi="Arial" w:cs="Arial"/>
          <w:color w:val="808080" w:themeColor="background1" w:themeShade="80"/>
        </w:rPr>
        <w:t xml:space="preserve">, </w:t>
      </w:r>
      <w:r w:rsidR="00984286" w:rsidRPr="002E0C1A">
        <w:rPr>
          <w:rFonts w:ascii="Arial" w:hAnsi="Arial" w:cs="Arial"/>
          <w:color w:val="808080" w:themeColor="background1" w:themeShade="80"/>
        </w:rPr>
        <w:t>68% of Fortune 500 companies and 93% of all US based initial public offerings are registered in Delaware</w:t>
      </w:r>
      <w:r w:rsidR="00984286" w:rsidRPr="002E0C1A">
        <w:rPr>
          <w:rStyle w:val="FootnoteReference"/>
          <w:rFonts w:ascii="Arial" w:hAnsi="Arial" w:cs="Arial"/>
          <w:color w:val="808080" w:themeColor="background1" w:themeShade="80"/>
        </w:rPr>
        <w:footnoteReference w:id="100"/>
      </w:r>
      <w:r w:rsidR="00984286" w:rsidRPr="002E0C1A">
        <w:rPr>
          <w:rFonts w:ascii="Arial" w:hAnsi="Arial" w:cs="Arial"/>
          <w:color w:val="808080" w:themeColor="background1" w:themeShade="80"/>
        </w:rPr>
        <w:t xml:space="preserve"> which has made the state a “corporate paradise”</w:t>
      </w:r>
      <w:r w:rsidR="005A00F4" w:rsidRPr="002E0C1A">
        <w:rPr>
          <w:rFonts w:ascii="Arial" w:hAnsi="Arial" w:cs="Arial"/>
          <w:color w:val="808080" w:themeColor="background1" w:themeShade="80"/>
        </w:rPr>
        <w:t>.</w:t>
      </w:r>
      <w:r w:rsidR="00984286" w:rsidRPr="002E0C1A">
        <w:rPr>
          <w:rStyle w:val="FootnoteReference"/>
          <w:rFonts w:ascii="Arial" w:hAnsi="Arial" w:cs="Arial"/>
          <w:color w:val="808080" w:themeColor="background1" w:themeShade="80"/>
        </w:rPr>
        <w:footnoteReference w:id="101"/>
      </w:r>
    </w:p>
    <w:p w14:paraId="6FC13B4B" w14:textId="77777777" w:rsidR="002C610E" w:rsidRPr="00D115F8" w:rsidRDefault="002C610E" w:rsidP="001D3BAA">
      <w:pPr>
        <w:pStyle w:val="AODocTxt"/>
        <w:spacing w:before="0" w:line="240" w:lineRule="auto"/>
        <w:rPr>
          <w:rFonts w:ascii="Arial" w:hAnsi="Arial" w:cs="Arial"/>
          <w:color w:val="808080" w:themeColor="background1" w:themeShade="80"/>
          <w:highlight w:val="yellow"/>
        </w:rPr>
      </w:pPr>
    </w:p>
    <w:p w14:paraId="1CD390F9" w14:textId="77777777" w:rsidR="00BE01E9" w:rsidRPr="00D115F8" w:rsidRDefault="00BE01E9" w:rsidP="001D3BAA">
      <w:pPr>
        <w:pStyle w:val="AODocTxt"/>
        <w:spacing w:before="0" w:line="240" w:lineRule="auto"/>
        <w:rPr>
          <w:rFonts w:ascii="Arial" w:hAnsi="Arial" w:cs="Arial"/>
          <w:color w:val="808080" w:themeColor="background1" w:themeShade="80"/>
          <w:highlight w:val="yellow"/>
        </w:rPr>
      </w:pPr>
    </w:p>
    <w:p w14:paraId="2DFA3553" w14:textId="77777777" w:rsidR="00BE01E9" w:rsidRPr="00D115F8" w:rsidRDefault="00BE01E9" w:rsidP="001D3BAA">
      <w:pPr>
        <w:pStyle w:val="AODocTxt"/>
        <w:spacing w:before="0" w:line="240" w:lineRule="auto"/>
        <w:rPr>
          <w:rFonts w:ascii="Arial" w:hAnsi="Arial" w:cs="Arial"/>
          <w:color w:val="808080" w:themeColor="background1" w:themeShade="80"/>
          <w:highlight w:val="yellow"/>
        </w:rPr>
      </w:pPr>
    </w:p>
    <w:p w14:paraId="76CDBA47" w14:textId="64EAF739" w:rsidR="002C610E" w:rsidRPr="002E0C1A" w:rsidRDefault="002C610E" w:rsidP="001D3BAA">
      <w:pPr>
        <w:pStyle w:val="AODocTxt"/>
        <w:spacing w:before="0" w:line="240" w:lineRule="auto"/>
        <w:rPr>
          <w:rFonts w:ascii="Arial" w:hAnsi="Arial" w:cs="Arial"/>
          <w:b/>
          <w:bCs/>
          <w:color w:val="808080" w:themeColor="background1" w:themeShade="80"/>
          <w:u w:val="single"/>
        </w:rPr>
      </w:pPr>
      <w:r w:rsidRPr="002E0C1A">
        <w:rPr>
          <w:rFonts w:ascii="Arial" w:hAnsi="Arial" w:cs="Arial"/>
          <w:b/>
          <w:bCs/>
          <w:color w:val="808080" w:themeColor="background1" w:themeShade="80"/>
          <w:u w:val="single"/>
        </w:rPr>
        <w:lastRenderedPageBreak/>
        <w:t xml:space="preserve">Fiduciary duties </w:t>
      </w:r>
      <w:proofErr w:type="gramStart"/>
      <w:r w:rsidRPr="002E0C1A">
        <w:rPr>
          <w:rFonts w:ascii="Arial" w:hAnsi="Arial" w:cs="Arial"/>
          <w:b/>
          <w:bCs/>
          <w:color w:val="808080" w:themeColor="background1" w:themeShade="80"/>
          <w:u w:val="single"/>
        </w:rPr>
        <w:t>owed</w:t>
      </w:r>
      <w:proofErr w:type="gramEnd"/>
    </w:p>
    <w:p w14:paraId="701CD33F" w14:textId="77777777" w:rsidR="005919CA" w:rsidRPr="002E0C1A" w:rsidRDefault="005A00F4" w:rsidP="001D3BAA">
      <w:pPr>
        <w:pStyle w:val="AODocTxt"/>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 xml:space="preserve">Directors of Delaware corporations owe fiduciary duties of care and loyalty, which include the subsidiary duties of good faith, </w:t>
      </w:r>
      <w:proofErr w:type="gramStart"/>
      <w:r w:rsidRPr="002E0C1A">
        <w:rPr>
          <w:rFonts w:ascii="Arial" w:hAnsi="Arial" w:cs="Arial"/>
          <w:color w:val="808080" w:themeColor="background1" w:themeShade="80"/>
        </w:rPr>
        <w:t>oversight</w:t>
      </w:r>
      <w:proofErr w:type="gramEnd"/>
      <w:r w:rsidRPr="002E0C1A">
        <w:rPr>
          <w:rFonts w:ascii="Arial" w:hAnsi="Arial" w:cs="Arial"/>
          <w:color w:val="808080" w:themeColor="background1" w:themeShade="80"/>
        </w:rPr>
        <w:t xml:space="preserve"> and disclosure</w:t>
      </w:r>
      <w:r w:rsidR="00D42AA7" w:rsidRPr="002E0C1A">
        <w:rPr>
          <w:rStyle w:val="FootnoteReference"/>
          <w:rFonts w:ascii="Arial" w:hAnsi="Arial" w:cs="Arial"/>
          <w:color w:val="808080" w:themeColor="background1" w:themeShade="80"/>
        </w:rPr>
        <w:footnoteReference w:id="102"/>
      </w:r>
      <w:r w:rsidR="005919CA" w:rsidRPr="002E0C1A">
        <w:rPr>
          <w:rFonts w:ascii="Arial" w:hAnsi="Arial" w:cs="Arial"/>
          <w:color w:val="808080" w:themeColor="background1" w:themeShade="80"/>
        </w:rPr>
        <w:t>:</w:t>
      </w:r>
    </w:p>
    <w:p w14:paraId="03260D96" w14:textId="007C615D" w:rsidR="005919CA" w:rsidRPr="002E0C1A" w:rsidRDefault="005919CA" w:rsidP="001D3BAA">
      <w:pPr>
        <w:pStyle w:val="AODocTxt"/>
        <w:numPr>
          <w:ilvl w:val="0"/>
          <w:numId w:val="22"/>
        </w:numPr>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D</w:t>
      </w:r>
      <w:r w:rsidR="00D42AA7" w:rsidRPr="002E0C1A">
        <w:rPr>
          <w:rFonts w:ascii="Arial" w:hAnsi="Arial" w:cs="Arial"/>
          <w:color w:val="808080" w:themeColor="background1" w:themeShade="80"/>
        </w:rPr>
        <w:t>uty of care</w:t>
      </w:r>
      <w:r w:rsidRPr="002E0C1A">
        <w:rPr>
          <w:rFonts w:ascii="Arial" w:hAnsi="Arial" w:cs="Arial"/>
          <w:color w:val="808080" w:themeColor="background1" w:themeShade="80"/>
        </w:rPr>
        <w:t xml:space="preserve"> -</w:t>
      </w:r>
      <w:r w:rsidR="00D42AA7" w:rsidRPr="002E0C1A">
        <w:rPr>
          <w:rFonts w:ascii="Arial" w:hAnsi="Arial" w:cs="Arial"/>
          <w:color w:val="808080" w:themeColor="background1" w:themeShade="80"/>
        </w:rPr>
        <w:t xml:space="preserve"> directors are required to make informed, deliberative decisions based on all material information reasonably available to them</w:t>
      </w:r>
      <w:r w:rsidR="00D42AA7" w:rsidRPr="002E0C1A">
        <w:rPr>
          <w:rStyle w:val="FootnoteReference"/>
          <w:rFonts w:ascii="Arial" w:hAnsi="Arial" w:cs="Arial"/>
          <w:color w:val="808080" w:themeColor="background1" w:themeShade="80"/>
        </w:rPr>
        <w:footnoteReference w:id="103"/>
      </w:r>
      <w:r w:rsidR="00D42AA7" w:rsidRPr="002E0C1A">
        <w:rPr>
          <w:rFonts w:ascii="Arial" w:hAnsi="Arial" w:cs="Arial"/>
          <w:color w:val="808080" w:themeColor="background1" w:themeShade="80"/>
        </w:rPr>
        <w:t>.</w:t>
      </w:r>
      <w:r w:rsidRPr="002E0C1A">
        <w:rPr>
          <w:rFonts w:ascii="Arial" w:hAnsi="Arial" w:cs="Arial"/>
          <w:color w:val="808080" w:themeColor="background1" w:themeShade="80"/>
        </w:rPr>
        <w:t xml:space="preserve"> For example, the director should take time to evaluate corporate actions, take advice from experts and review management’s performance</w:t>
      </w:r>
      <w:r w:rsidRPr="002E0C1A">
        <w:rPr>
          <w:rStyle w:val="FootnoteReference"/>
          <w:rFonts w:ascii="Arial" w:hAnsi="Arial" w:cs="Arial"/>
          <w:color w:val="808080" w:themeColor="background1" w:themeShade="80"/>
        </w:rPr>
        <w:footnoteReference w:id="104"/>
      </w:r>
      <w:r w:rsidRPr="002E0C1A">
        <w:rPr>
          <w:rFonts w:ascii="Arial" w:hAnsi="Arial" w:cs="Arial"/>
          <w:color w:val="808080" w:themeColor="background1" w:themeShade="80"/>
        </w:rPr>
        <w:t>; and</w:t>
      </w:r>
    </w:p>
    <w:p w14:paraId="2E5A74CC" w14:textId="51CF982C" w:rsidR="005D11F3" w:rsidRPr="002E0C1A" w:rsidRDefault="005919CA" w:rsidP="001D3BAA">
      <w:pPr>
        <w:pStyle w:val="AODocTxt"/>
        <w:numPr>
          <w:ilvl w:val="0"/>
          <w:numId w:val="22"/>
        </w:numPr>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 xml:space="preserve">Duty of loyalty </w:t>
      </w:r>
      <w:r w:rsidR="0003635C" w:rsidRPr="002E0C1A">
        <w:rPr>
          <w:rFonts w:ascii="Arial" w:hAnsi="Arial" w:cs="Arial"/>
          <w:color w:val="808080" w:themeColor="background1" w:themeShade="80"/>
        </w:rPr>
        <w:t>-</w:t>
      </w:r>
      <w:r w:rsidRPr="002E0C1A">
        <w:rPr>
          <w:rFonts w:ascii="Arial" w:hAnsi="Arial" w:cs="Arial"/>
          <w:color w:val="808080" w:themeColor="background1" w:themeShade="80"/>
        </w:rPr>
        <w:t xml:space="preserve"> this </w:t>
      </w:r>
      <w:r w:rsidR="0013114F" w:rsidRPr="002E0C1A">
        <w:rPr>
          <w:rFonts w:ascii="Arial" w:hAnsi="Arial" w:cs="Arial"/>
          <w:color w:val="808080" w:themeColor="background1" w:themeShade="80"/>
        </w:rPr>
        <w:t>requires directors to</w:t>
      </w:r>
      <w:r w:rsidR="00D42AA7" w:rsidRPr="002E0C1A">
        <w:rPr>
          <w:rFonts w:ascii="Arial" w:hAnsi="Arial" w:cs="Arial"/>
          <w:color w:val="808080" w:themeColor="background1" w:themeShade="80"/>
        </w:rPr>
        <w:t xml:space="preserve"> act (</w:t>
      </w:r>
      <w:r w:rsidR="0013114F" w:rsidRPr="002E0C1A">
        <w:rPr>
          <w:rFonts w:ascii="Arial" w:hAnsi="Arial" w:cs="Arial"/>
          <w:color w:val="808080" w:themeColor="background1" w:themeShade="80"/>
        </w:rPr>
        <w:t>or not to act</w:t>
      </w:r>
      <w:r w:rsidR="00D42AA7" w:rsidRPr="002E0C1A">
        <w:rPr>
          <w:rFonts w:ascii="Arial" w:hAnsi="Arial" w:cs="Arial"/>
          <w:color w:val="808080" w:themeColor="background1" w:themeShade="80"/>
        </w:rPr>
        <w:t>)</w:t>
      </w:r>
      <w:r w:rsidR="0013114F" w:rsidRPr="002E0C1A">
        <w:rPr>
          <w:rFonts w:ascii="Arial" w:hAnsi="Arial" w:cs="Arial"/>
          <w:color w:val="808080" w:themeColor="background1" w:themeShade="80"/>
        </w:rPr>
        <w:t xml:space="preserve"> “</w:t>
      </w:r>
      <w:r w:rsidR="0013114F" w:rsidRPr="002E0C1A">
        <w:rPr>
          <w:rFonts w:ascii="Arial" w:hAnsi="Arial" w:cs="Arial"/>
          <w:i/>
          <w:iCs/>
          <w:color w:val="808080" w:themeColor="background1" w:themeShade="80"/>
        </w:rPr>
        <w:t xml:space="preserve">on a </w:t>
      </w:r>
      <w:r w:rsidR="0013114F" w:rsidRPr="002E0C1A">
        <w:rPr>
          <w:rFonts w:ascii="Arial" w:hAnsi="Arial" w:cs="Arial"/>
          <w:i/>
          <w:iCs/>
          <w:color w:val="808080" w:themeColor="background1" w:themeShade="80"/>
          <w:u w:val="single"/>
        </w:rPr>
        <w:t>disinterested and independent</w:t>
      </w:r>
      <w:r w:rsidR="0013114F" w:rsidRPr="002E0C1A">
        <w:rPr>
          <w:rFonts w:ascii="Arial" w:hAnsi="Arial" w:cs="Arial"/>
          <w:i/>
          <w:iCs/>
          <w:color w:val="808080" w:themeColor="background1" w:themeShade="80"/>
        </w:rPr>
        <w:t xml:space="preserve"> basis, in good faith, with an honest belief that the action is in the </w:t>
      </w:r>
      <w:r w:rsidR="0013114F" w:rsidRPr="002E0C1A">
        <w:rPr>
          <w:rFonts w:ascii="Arial" w:hAnsi="Arial" w:cs="Arial"/>
          <w:i/>
          <w:iCs/>
          <w:color w:val="808080" w:themeColor="background1" w:themeShade="80"/>
          <w:u w:val="single"/>
        </w:rPr>
        <w:t>best interests of the company</w:t>
      </w:r>
      <w:r w:rsidR="0013114F" w:rsidRPr="002E0C1A">
        <w:rPr>
          <w:rFonts w:ascii="Arial" w:hAnsi="Arial" w:cs="Arial"/>
          <w:i/>
          <w:iCs/>
          <w:color w:val="808080" w:themeColor="background1" w:themeShade="80"/>
        </w:rPr>
        <w:t xml:space="preserve"> and its stockholders</w:t>
      </w:r>
      <w:r w:rsidR="0013114F" w:rsidRPr="002E0C1A">
        <w:rPr>
          <w:rFonts w:ascii="Arial" w:hAnsi="Arial" w:cs="Arial"/>
          <w:color w:val="808080" w:themeColor="background1" w:themeShade="80"/>
        </w:rPr>
        <w:t>. [emphasis added]”</w:t>
      </w:r>
      <w:r w:rsidR="0013114F" w:rsidRPr="002E0C1A">
        <w:rPr>
          <w:rStyle w:val="FootnoteReference"/>
          <w:rFonts w:ascii="Arial" w:hAnsi="Arial" w:cs="Arial"/>
          <w:color w:val="808080" w:themeColor="background1" w:themeShade="80"/>
        </w:rPr>
        <w:footnoteReference w:id="105"/>
      </w:r>
      <w:r w:rsidR="00F25C82" w:rsidRPr="002E0C1A">
        <w:rPr>
          <w:rFonts w:ascii="Arial" w:hAnsi="Arial" w:cs="Arial"/>
          <w:color w:val="808080" w:themeColor="background1" w:themeShade="80"/>
        </w:rPr>
        <w:t xml:space="preserve"> </w:t>
      </w:r>
      <w:r w:rsidR="00C5691F" w:rsidRPr="002E0C1A">
        <w:rPr>
          <w:rFonts w:ascii="Arial" w:hAnsi="Arial" w:cs="Arial"/>
          <w:color w:val="808080" w:themeColor="background1" w:themeShade="80"/>
        </w:rPr>
        <w:t>A</w:t>
      </w:r>
      <w:r w:rsidR="00F25C82" w:rsidRPr="002E0C1A">
        <w:rPr>
          <w:rFonts w:ascii="Arial" w:hAnsi="Arial" w:cs="Arial"/>
          <w:color w:val="808080" w:themeColor="background1" w:themeShade="80"/>
        </w:rPr>
        <w:t xml:space="preserve"> director must refrain from self-dealing and put the corporation’s interests and shareholders ahead of their own</w:t>
      </w:r>
      <w:r w:rsidR="00F25C82" w:rsidRPr="002E0C1A">
        <w:rPr>
          <w:rStyle w:val="FootnoteReference"/>
          <w:rFonts w:ascii="Arial" w:hAnsi="Arial" w:cs="Arial"/>
          <w:color w:val="808080" w:themeColor="background1" w:themeShade="80"/>
        </w:rPr>
        <w:footnoteReference w:id="106"/>
      </w:r>
      <w:r w:rsidR="00F25C82" w:rsidRPr="002E0C1A">
        <w:rPr>
          <w:rFonts w:ascii="Arial" w:hAnsi="Arial" w:cs="Arial"/>
          <w:color w:val="808080" w:themeColor="background1" w:themeShade="80"/>
        </w:rPr>
        <w:t>.</w:t>
      </w:r>
    </w:p>
    <w:p w14:paraId="5D3B6A1E" w14:textId="77777777" w:rsidR="003D3D5A" w:rsidRPr="002E0C1A" w:rsidRDefault="003D3D5A" w:rsidP="001D3BAA">
      <w:pPr>
        <w:pStyle w:val="AODocTxt"/>
        <w:spacing w:before="0" w:line="240" w:lineRule="auto"/>
        <w:rPr>
          <w:rFonts w:ascii="Arial" w:hAnsi="Arial" w:cs="Arial"/>
          <w:color w:val="808080" w:themeColor="background1" w:themeShade="80"/>
        </w:rPr>
      </w:pPr>
    </w:p>
    <w:p w14:paraId="240E95C5" w14:textId="6F913C12" w:rsidR="00C10360" w:rsidRPr="002E0C1A" w:rsidRDefault="002C610E" w:rsidP="001D3BAA">
      <w:pPr>
        <w:pStyle w:val="AODocTxt"/>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T</w:t>
      </w:r>
      <w:r w:rsidR="00C10360" w:rsidRPr="002E0C1A">
        <w:rPr>
          <w:rFonts w:ascii="Arial" w:hAnsi="Arial" w:cs="Arial"/>
          <w:color w:val="808080" w:themeColor="background1" w:themeShade="80"/>
        </w:rPr>
        <w:t>he fiduciary duties of a director of a Delaware corporation cannot be waived, disclaimed or modified by an agreement. However, it is possible under Delaware law for the corporation to indemn</w:t>
      </w:r>
      <w:r w:rsidRPr="002E0C1A">
        <w:rPr>
          <w:rFonts w:ascii="Arial" w:hAnsi="Arial" w:cs="Arial"/>
          <w:color w:val="808080" w:themeColor="background1" w:themeShade="80"/>
        </w:rPr>
        <w:t>if</w:t>
      </w:r>
      <w:r w:rsidR="00C10360" w:rsidRPr="002E0C1A">
        <w:rPr>
          <w:rFonts w:ascii="Arial" w:hAnsi="Arial" w:cs="Arial"/>
          <w:color w:val="808080" w:themeColor="background1" w:themeShade="80"/>
        </w:rPr>
        <w:t>y its directors for certain breaches of fiduciary duties and to provide a waiver for a director to take a course of action that would otherwise be impermissible</w:t>
      </w:r>
      <w:r w:rsidR="00C10360" w:rsidRPr="002E0C1A">
        <w:rPr>
          <w:rStyle w:val="FootnoteReference"/>
          <w:rFonts w:ascii="Arial" w:hAnsi="Arial" w:cs="Arial"/>
          <w:color w:val="808080" w:themeColor="background1" w:themeShade="80"/>
        </w:rPr>
        <w:footnoteReference w:id="107"/>
      </w:r>
      <w:r w:rsidR="00C10360" w:rsidRPr="002E0C1A">
        <w:rPr>
          <w:rFonts w:ascii="Arial" w:hAnsi="Arial" w:cs="Arial"/>
          <w:color w:val="808080" w:themeColor="background1" w:themeShade="80"/>
        </w:rPr>
        <w:t>.</w:t>
      </w:r>
    </w:p>
    <w:p w14:paraId="17CBF79F" w14:textId="77777777" w:rsidR="00C10360" w:rsidRPr="002E0C1A" w:rsidRDefault="00C10360" w:rsidP="001D3BAA">
      <w:pPr>
        <w:pStyle w:val="AODocTxt"/>
        <w:spacing w:before="0" w:line="240" w:lineRule="auto"/>
        <w:rPr>
          <w:rFonts w:ascii="Arial" w:hAnsi="Arial" w:cs="Arial"/>
          <w:color w:val="808080" w:themeColor="background1" w:themeShade="80"/>
        </w:rPr>
      </w:pPr>
    </w:p>
    <w:p w14:paraId="54FCB3BA" w14:textId="0166C553" w:rsidR="00096298" w:rsidRPr="002E0C1A" w:rsidRDefault="00096298" w:rsidP="001D3BAA">
      <w:pPr>
        <w:pStyle w:val="AODocTxt"/>
        <w:spacing w:before="0" w:line="240" w:lineRule="auto"/>
        <w:rPr>
          <w:rFonts w:ascii="Arial" w:hAnsi="Arial" w:cs="Arial"/>
          <w:b/>
          <w:bCs/>
          <w:color w:val="808080" w:themeColor="background1" w:themeShade="80"/>
          <w:u w:val="single"/>
        </w:rPr>
      </w:pPr>
      <w:r w:rsidRPr="002E0C1A">
        <w:rPr>
          <w:rFonts w:ascii="Arial" w:hAnsi="Arial" w:cs="Arial"/>
          <w:b/>
          <w:bCs/>
          <w:color w:val="808080" w:themeColor="background1" w:themeShade="80"/>
          <w:u w:val="single"/>
        </w:rPr>
        <w:t>Business judgment rule (“BJR”)</w:t>
      </w:r>
    </w:p>
    <w:p w14:paraId="6796899A" w14:textId="3DA0FA1C" w:rsidR="005D11F3" w:rsidRPr="002E0C1A" w:rsidRDefault="0013114F" w:rsidP="001D3BAA">
      <w:pPr>
        <w:pStyle w:val="AODocTxt"/>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 xml:space="preserve">The </w:t>
      </w:r>
      <w:r w:rsidR="00096298" w:rsidRPr="002E0C1A">
        <w:rPr>
          <w:rFonts w:ascii="Arial" w:hAnsi="Arial" w:cs="Arial"/>
          <w:color w:val="808080" w:themeColor="background1" w:themeShade="80"/>
        </w:rPr>
        <w:t>BJR</w:t>
      </w:r>
      <w:r w:rsidRPr="002E0C1A">
        <w:rPr>
          <w:rFonts w:ascii="Arial" w:hAnsi="Arial" w:cs="Arial"/>
          <w:color w:val="808080" w:themeColor="background1" w:themeShade="80"/>
        </w:rPr>
        <w:t xml:space="preserve"> protects directors from liability for errors in judgment</w:t>
      </w:r>
      <w:r w:rsidR="00780C72" w:rsidRPr="002E0C1A">
        <w:rPr>
          <w:rFonts w:ascii="Arial" w:hAnsi="Arial" w:cs="Arial"/>
          <w:color w:val="808080" w:themeColor="background1" w:themeShade="80"/>
        </w:rPr>
        <w:t xml:space="preserve"> </w:t>
      </w:r>
      <w:r w:rsidRPr="002E0C1A">
        <w:rPr>
          <w:rFonts w:ascii="Arial" w:hAnsi="Arial" w:cs="Arial"/>
          <w:color w:val="808080" w:themeColor="background1" w:themeShade="80"/>
        </w:rPr>
        <w:t>if they are sue</w:t>
      </w:r>
      <w:r w:rsidR="00FF34DE" w:rsidRPr="002E0C1A">
        <w:rPr>
          <w:rFonts w:ascii="Arial" w:hAnsi="Arial" w:cs="Arial"/>
          <w:color w:val="808080" w:themeColor="background1" w:themeShade="80"/>
        </w:rPr>
        <w:t>d</w:t>
      </w:r>
      <w:r w:rsidRPr="002E0C1A">
        <w:rPr>
          <w:rFonts w:ascii="Arial" w:hAnsi="Arial" w:cs="Arial"/>
          <w:color w:val="808080" w:themeColor="background1" w:themeShade="80"/>
        </w:rPr>
        <w:t xml:space="preserve"> for breaching their fiduciary duty.</w:t>
      </w:r>
      <w:r w:rsidR="003441CF" w:rsidRPr="002E0C1A">
        <w:rPr>
          <w:rStyle w:val="FootnoteReference"/>
          <w:rFonts w:ascii="Arial" w:hAnsi="Arial" w:cs="Arial"/>
          <w:color w:val="808080" w:themeColor="background1" w:themeShade="80"/>
        </w:rPr>
        <w:footnoteReference w:id="108"/>
      </w:r>
      <w:r w:rsidR="00780C72" w:rsidRPr="002E0C1A">
        <w:rPr>
          <w:rFonts w:ascii="Arial" w:hAnsi="Arial" w:cs="Arial"/>
          <w:color w:val="808080" w:themeColor="background1" w:themeShade="80"/>
        </w:rPr>
        <w:t xml:space="preserve"> The board of directors are, under the BJR</w:t>
      </w:r>
      <w:r w:rsidR="00FF34DE" w:rsidRPr="002E0C1A">
        <w:rPr>
          <w:rFonts w:ascii="Arial" w:hAnsi="Arial" w:cs="Arial"/>
          <w:color w:val="808080" w:themeColor="background1" w:themeShade="80"/>
        </w:rPr>
        <w:t>,</w:t>
      </w:r>
      <w:r w:rsidR="00780C72" w:rsidRPr="002E0C1A">
        <w:rPr>
          <w:rFonts w:ascii="Arial" w:hAnsi="Arial" w:cs="Arial"/>
          <w:color w:val="808080" w:themeColor="background1" w:themeShade="80"/>
        </w:rPr>
        <w:t xml:space="preserve"> presumed to have acted in good faith. </w:t>
      </w:r>
      <w:r w:rsidR="00FF34DE" w:rsidRPr="002E0C1A">
        <w:rPr>
          <w:rFonts w:ascii="Arial" w:hAnsi="Arial" w:cs="Arial"/>
          <w:color w:val="808080" w:themeColor="background1" w:themeShade="80"/>
        </w:rPr>
        <w:t xml:space="preserve">This is a rebuttable presumption </w:t>
      </w:r>
      <w:r w:rsidR="008417C0" w:rsidRPr="002E0C1A">
        <w:rPr>
          <w:rFonts w:ascii="Arial" w:hAnsi="Arial" w:cs="Arial"/>
          <w:color w:val="808080" w:themeColor="background1" w:themeShade="80"/>
        </w:rPr>
        <w:t xml:space="preserve">- </w:t>
      </w:r>
      <w:r w:rsidR="00FF34DE" w:rsidRPr="002E0C1A">
        <w:rPr>
          <w:rFonts w:ascii="Arial" w:hAnsi="Arial" w:cs="Arial"/>
          <w:color w:val="808080" w:themeColor="background1" w:themeShade="80"/>
        </w:rPr>
        <w:t>the burden is on the plaintiff</w:t>
      </w:r>
      <w:r w:rsidR="007402DB" w:rsidRPr="002E0C1A">
        <w:rPr>
          <w:rFonts w:ascii="Arial" w:hAnsi="Arial" w:cs="Arial"/>
          <w:color w:val="808080" w:themeColor="background1" w:themeShade="80"/>
        </w:rPr>
        <w:t xml:space="preserve"> to present “</w:t>
      </w:r>
      <w:r w:rsidR="007402DB" w:rsidRPr="002E0C1A">
        <w:rPr>
          <w:rFonts w:ascii="Arial" w:hAnsi="Arial" w:cs="Arial"/>
          <w:i/>
          <w:iCs/>
          <w:color w:val="808080" w:themeColor="background1" w:themeShade="80"/>
        </w:rPr>
        <w:t>evidence that directors were at least grossly negligent in not becoming adequately informed or were motivated by interests other than those of the company’s stockholders</w:t>
      </w:r>
      <w:r w:rsidR="007402DB" w:rsidRPr="002E0C1A">
        <w:rPr>
          <w:rFonts w:ascii="Arial" w:hAnsi="Arial" w:cs="Arial"/>
          <w:color w:val="808080" w:themeColor="background1" w:themeShade="80"/>
        </w:rPr>
        <w:t>”.</w:t>
      </w:r>
      <w:r w:rsidR="007402DB" w:rsidRPr="002E0C1A">
        <w:rPr>
          <w:rStyle w:val="FootnoteReference"/>
          <w:rFonts w:ascii="Arial" w:hAnsi="Arial" w:cs="Arial"/>
          <w:color w:val="808080" w:themeColor="background1" w:themeShade="80"/>
        </w:rPr>
        <w:footnoteReference w:id="109"/>
      </w:r>
      <w:r w:rsidR="007402DB" w:rsidRPr="002E0C1A">
        <w:rPr>
          <w:rFonts w:ascii="Arial" w:hAnsi="Arial" w:cs="Arial"/>
          <w:color w:val="808080" w:themeColor="background1" w:themeShade="80"/>
        </w:rPr>
        <w:t xml:space="preserve"> If the presumption is not rebutted, the directors will not be liable unless there is a showing of gross negligence</w:t>
      </w:r>
      <w:r w:rsidR="007402DB" w:rsidRPr="002E0C1A">
        <w:rPr>
          <w:rStyle w:val="FootnoteReference"/>
          <w:rFonts w:ascii="Arial" w:hAnsi="Arial" w:cs="Arial"/>
          <w:color w:val="808080" w:themeColor="background1" w:themeShade="80"/>
        </w:rPr>
        <w:footnoteReference w:id="110"/>
      </w:r>
      <w:r w:rsidR="007402DB" w:rsidRPr="002E0C1A">
        <w:rPr>
          <w:rFonts w:ascii="Arial" w:hAnsi="Arial" w:cs="Arial"/>
          <w:color w:val="808080" w:themeColor="background1" w:themeShade="80"/>
        </w:rPr>
        <w:t>.</w:t>
      </w:r>
      <w:r w:rsidR="00BB4EB0" w:rsidRPr="002E0C1A">
        <w:rPr>
          <w:rFonts w:ascii="Arial" w:hAnsi="Arial" w:cs="Arial"/>
          <w:color w:val="808080" w:themeColor="background1" w:themeShade="80"/>
        </w:rPr>
        <w:t xml:space="preserve"> It is worth noting that in </w:t>
      </w:r>
      <w:r w:rsidR="00BB4EB0" w:rsidRPr="002E0C1A">
        <w:rPr>
          <w:rFonts w:ascii="Arial" w:hAnsi="Arial" w:cs="Arial"/>
          <w:i/>
          <w:iCs/>
          <w:color w:val="808080" w:themeColor="background1" w:themeShade="80"/>
        </w:rPr>
        <w:t>Cinerama, Inc. v. Technicolor, Inc</w:t>
      </w:r>
      <w:r w:rsidR="00BB4EB0" w:rsidRPr="002E0C1A">
        <w:rPr>
          <w:rStyle w:val="FootnoteReference"/>
          <w:rFonts w:ascii="Arial" w:hAnsi="Arial" w:cs="Arial"/>
          <w:color w:val="808080" w:themeColor="background1" w:themeShade="80"/>
        </w:rPr>
        <w:footnoteReference w:id="111"/>
      </w:r>
      <w:r w:rsidR="00BB4EB0" w:rsidRPr="002E0C1A">
        <w:rPr>
          <w:rFonts w:ascii="Arial" w:hAnsi="Arial" w:cs="Arial"/>
          <w:color w:val="808080" w:themeColor="background1" w:themeShade="80"/>
        </w:rPr>
        <w:t>, it was held that “</w:t>
      </w:r>
      <w:r w:rsidR="00BB4EB0" w:rsidRPr="002E0C1A">
        <w:rPr>
          <w:rFonts w:ascii="Arial" w:hAnsi="Arial" w:cs="Arial"/>
          <w:i/>
          <w:iCs/>
          <w:color w:val="808080" w:themeColor="background1" w:themeShade="80"/>
        </w:rPr>
        <w:t>the breach of any one of the board’s fiduciary duties is enough to shift the burden of proof to the board to demonstrate entire fairness</w:t>
      </w:r>
      <w:r w:rsidR="00BB4EB0" w:rsidRPr="002E0C1A">
        <w:rPr>
          <w:rFonts w:ascii="Arial" w:hAnsi="Arial" w:cs="Arial"/>
          <w:color w:val="808080" w:themeColor="background1" w:themeShade="80"/>
        </w:rPr>
        <w:t>.”</w:t>
      </w:r>
      <w:r w:rsidR="00BB4EB0" w:rsidRPr="002E0C1A">
        <w:rPr>
          <w:rStyle w:val="FootnoteReference"/>
          <w:rFonts w:ascii="Arial" w:hAnsi="Arial" w:cs="Arial"/>
          <w:color w:val="808080" w:themeColor="background1" w:themeShade="80"/>
        </w:rPr>
        <w:footnoteReference w:id="112"/>
      </w:r>
      <w:r w:rsidR="00BB4EB0" w:rsidRPr="002E0C1A">
        <w:rPr>
          <w:rFonts w:ascii="Arial" w:hAnsi="Arial" w:cs="Arial"/>
          <w:color w:val="808080" w:themeColor="background1" w:themeShade="80"/>
        </w:rPr>
        <w:t xml:space="preserve"> </w:t>
      </w:r>
      <w:r w:rsidR="005D11F3" w:rsidRPr="002E0C1A">
        <w:rPr>
          <w:rFonts w:ascii="Arial" w:hAnsi="Arial" w:cs="Arial"/>
          <w:color w:val="808080" w:themeColor="background1" w:themeShade="80"/>
        </w:rPr>
        <w:t>If the BJR is rebutted (by showing either a breach of the duty of care or loyalty), the board’s action will be reviewed using the entire fairness standard</w:t>
      </w:r>
      <w:r w:rsidR="005D11F3" w:rsidRPr="002E0C1A">
        <w:rPr>
          <w:rStyle w:val="FootnoteReference"/>
          <w:rFonts w:ascii="Arial" w:hAnsi="Arial" w:cs="Arial"/>
          <w:color w:val="808080" w:themeColor="background1" w:themeShade="80"/>
        </w:rPr>
        <w:footnoteReference w:id="113"/>
      </w:r>
      <w:r w:rsidR="005D11F3" w:rsidRPr="002E0C1A">
        <w:rPr>
          <w:rFonts w:ascii="Arial" w:hAnsi="Arial" w:cs="Arial"/>
          <w:color w:val="808080" w:themeColor="background1" w:themeShade="80"/>
        </w:rPr>
        <w:t>.</w:t>
      </w:r>
      <w:r w:rsidR="00B110CF" w:rsidRPr="002E0C1A">
        <w:rPr>
          <w:rFonts w:ascii="Arial" w:hAnsi="Arial" w:cs="Arial"/>
          <w:color w:val="808080" w:themeColor="background1" w:themeShade="80"/>
        </w:rPr>
        <w:t xml:space="preserve"> Under the entire fairness standard, the directors are put to proof that the challenged decision or transaction is “entirely fair” to the corporation and its stockholders. </w:t>
      </w:r>
      <w:r w:rsidR="00BB4EB0" w:rsidRPr="002E0C1A">
        <w:rPr>
          <w:rFonts w:ascii="Arial" w:hAnsi="Arial" w:cs="Arial"/>
          <w:color w:val="808080" w:themeColor="background1" w:themeShade="80"/>
        </w:rPr>
        <w:t xml:space="preserve">This is a more onerous burden – under such circumstances, the board </w:t>
      </w:r>
      <w:proofErr w:type="gramStart"/>
      <w:r w:rsidR="00BB4EB0" w:rsidRPr="002E0C1A">
        <w:rPr>
          <w:rFonts w:ascii="Arial" w:hAnsi="Arial" w:cs="Arial"/>
          <w:color w:val="808080" w:themeColor="background1" w:themeShade="80"/>
        </w:rPr>
        <w:t>has to</w:t>
      </w:r>
      <w:proofErr w:type="gramEnd"/>
      <w:r w:rsidR="00BB4EB0" w:rsidRPr="002E0C1A">
        <w:rPr>
          <w:rFonts w:ascii="Arial" w:hAnsi="Arial" w:cs="Arial"/>
          <w:color w:val="808080" w:themeColor="background1" w:themeShade="80"/>
        </w:rPr>
        <w:t xml:space="preserve"> </w:t>
      </w:r>
      <w:r w:rsidR="005D11F3" w:rsidRPr="002E0C1A">
        <w:rPr>
          <w:rFonts w:ascii="Arial" w:hAnsi="Arial" w:cs="Arial"/>
          <w:color w:val="808080" w:themeColor="background1" w:themeShade="80"/>
        </w:rPr>
        <w:t>“</w:t>
      </w:r>
      <w:r w:rsidR="005D11F3" w:rsidRPr="002E0C1A">
        <w:rPr>
          <w:rFonts w:ascii="Arial" w:hAnsi="Arial" w:cs="Arial"/>
          <w:i/>
          <w:iCs/>
          <w:color w:val="808080" w:themeColor="background1" w:themeShade="80"/>
        </w:rPr>
        <w:t xml:space="preserve">establish to the </w:t>
      </w:r>
      <w:r w:rsidR="005D11F3" w:rsidRPr="002E0C1A">
        <w:rPr>
          <w:rFonts w:ascii="Arial" w:hAnsi="Arial" w:cs="Arial"/>
          <w:i/>
          <w:iCs/>
          <w:color w:val="808080" w:themeColor="background1" w:themeShade="80"/>
          <w:u w:val="single"/>
        </w:rPr>
        <w:t>court’s</w:t>
      </w:r>
      <w:r w:rsidR="005D11F3" w:rsidRPr="002E0C1A">
        <w:rPr>
          <w:rFonts w:ascii="Arial" w:hAnsi="Arial" w:cs="Arial"/>
          <w:i/>
          <w:iCs/>
          <w:color w:val="808080" w:themeColor="background1" w:themeShade="80"/>
        </w:rPr>
        <w:t xml:space="preserve"> satisfaction that the transaction was the product of both fair dealing </w:t>
      </w:r>
      <w:r w:rsidR="005D11F3" w:rsidRPr="002E0C1A">
        <w:rPr>
          <w:rFonts w:ascii="Arial" w:hAnsi="Arial" w:cs="Arial"/>
          <w:i/>
          <w:iCs/>
          <w:color w:val="808080" w:themeColor="background1" w:themeShade="80"/>
          <w:u w:val="single"/>
        </w:rPr>
        <w:t>and</w:t>
      </w:r>
      <w:r w:rsidR="005D11F3" w:rsidRPr="002E0C1A">
        <w:rPr>
          <w:rFonts w:ascii="Arial" w:hAnsi="Arial" w:cs="Arial"/>
          <w:i/>
          <w:iCs/>
          <w:color w:val="808080" w:themeColor="background1" w:themeShade="80"/>
        </w:rPr>
        <w:t xml:space="preserve"> fair price.</w:t>
      </w:r>
      <w:r w:rsidR="005B5FDE" w:rsidRPr="002E0C1A">
        <w:rPr>
          <w:rFonts w:ascii="Arial" w:hAnsi="Arial" w:cs="Arial"/>
          <w:color w:val="808080" w:themeColor="background1" w:themeShade="80"/>
        </w:rPr>
        <w:t xml:space="preserve"> [emphasis added]</w:t>
      </w:r>
      <w:r w:rsidR="005D11F3" w:rsidRPr="002E0C1A">
        <w:rPr>
          <w:rFonts w:ascii="Arial" w:hAnsi="Arial" w:cs="Arial"/>
          <w:color w:val="808080" w:themeColor="background1" w:themeShade="80"/>
        </w:rPr>
        <w:t>”</w:t>
      </w:r>
      <w:r w:rsidR="005B5FDE" w:rsidRPr="002E0C1A">
        <w:rPr>
          <w:rStyle w:val="FootnoteReference"/>
          <w:rFonts w:ascii="Arial" w:hAnsi="Arial" w:cs="Arial"/>
          <w:color w:val="808080" w:themeColor="background1" w:themeShade="80"/>
        </w:rPr>
        <w:footnoteReference w:id="114"/>
      </w:r>
    </w:p>
    <w:p w14:paraId="2E8F2081" w14:textId="77777777" w:rsidR="00FC6022" w:rsidRPr="002E0C1A" w:rsidRDefault="00FC6022" w:rsidP="001D3BAA">
      <w:pPr>
        <w:pStyle w:val="AODocTxt"/>
        <w:spacing w:before="0" w:line="240" w:lineRule="auto"/>
        <w:rPr>
          <w:rFonts w:ascii="Arial" w:hAnsi="Arial" w:cs="Arial"/>
          <w:color w:val="808080" w:themeColor="background1" w:themeShade="80"/>
        </w:rPr>
      </w:pPr>
    </w:p>
    <w:p w14:paraId="70E32E6C" w14:textId="53D86022" w:rsidR="00313CBE" w:rsidRPr="002E0C1A" w:rsidRDefault="00313CBE" w:rsidP="001D3BAA">
      <w:pPr>
        <w:pStyle w:val="AODocTxt"/>
        <w:spacing w:before="0" w:line="240" w:lineRule="auto"/>
        <w:rPr>
          <w:rFonts w:ascii="Arial" w:hAnsi="Arial" w:cs="Arial"/>
          <w:b/>
          <w:bCs/>
          <w:color w:val="808080" w:themeColor="background1" w:themeShade="80"/>
          <w:u w:val="single"/>
        </w:rPr>
      </w:pPr>
      <w:r w:rsidRPr="002E0C1A">
        <w:rPr>
          <w:rFonts w:ascii="Arial" w:hAnsi="Arial" w:cs="Arial"/>
          <w:b/>
          <w:bCs/>
          <w:color w:val="808080" w:themeColor="background1" w:themeShade="80"/>
          <w:u w:val="single"/>
        </w:rPr>
        <w:t>To whom fiduciary duties</w:t>
      </w:r>
      <w:r w:rsidR="009058B2" w:rsidRPr="002E0C1A">
        <w:rPr>
          <w:rFonts w:ascii="Arial" w:hAnsi="Arial" w:cs="Arial"/>
          <w:b/>
          <w:bCs/>
          <w:color w:val="808080" w:themeColor="background1" w:themeShade="80"/>
          <w:u w:val="single"/>
        </w:rPr>
        <w:t xml:space="preserve"> </w:t>
      </w:r>
      <w:r w:rsidRPr="002E0C1A">
        <w:rPr>
          <w:rFonts w:ascii="Arial" w:hAnsi="Arial" w:cs="Arial"/>
          <w:b/>
          <w:bCs/>
          <w:color w:val="808080" w:themeColor="background1" w:themeShade="80"/>
          <w:u w:val="single"/>
        </w:rPr>
        <w:t>owed</w:t>
      </w:r>
      <w:r w:rsidR="008E0FB3" w:rsidRPr="002E0C1A">
        <w:rPr>
          <w:rFonts w:ascii="Arial" w:hAnsi="Arial" w:cs="Arial"/>
          <w:b/>
          <w:bCs/>
          <w:color w:val="808080" w:themeColor="background1" w:themeShade="80"/>
          <w:u w:val="single"/>
        </w:rPr>
        <w:t xml:space="preserve"> to</w:t>
      </w:r>
      <w:r w:rsidRPr="002E0C1A">
        <w:rPr>
          <w:rFonts w:ascii="Arial" w:hAnsi="Arial" w:cs="Arial"/>
          <w:b/>
          <w:bCs/>
          <w:color w:val="808080" w:themeColor="background1" w:themeShade="80"/>
          <w:u w:val="single"/>
        </w:rPr>
        <w:t xml:space="preserve"> in ordinary course of business</w:t>
      </w:r>
    </w:p>
    <w:p w14:paraId="4CE4023A" w14:textId="128A6B46" w:rsidR="00FC6022" w:rsidRPr="002E0C1A" w:rsidRDefault="007402DB" w:rsidP="001D3BAA">
      <w:pPr>
        <w:pStyle w:val="AODocTxt"/>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 xml:space="preserve">In the ordinary course of business, </w:t>
      </w:r>
      <w:r w:rsidR="00371FC3" w:rsidRPr="002E0C1A">
        <w:rPr>
          <w:rFonts w:ascii="Arial" w:hAnsi="Arial" w:cs="Arial"/>
          <w:color w:val="808080" w:themeColor="background1" w:themeShade="80"/>
        </w:rPr>
        <w:t>directors of Delaware corporations</w:t>
      </w:r>
      <w:r w:rsidRPr="002E0C1A">
        <w:rPr>
          <w:rFonts w:ascii="Arial" w:hAnsi="Arial" w:cs="Arial"/>
          <w:color w:val="808080" w:themeColor="background1" w:themeShade="80"/>
        </w:rPr>
        <w:t xml:space="preserve"> owe</w:t>
      </w:r>
      <w:r w:rsidR="00BC5AEB" w:rsidRPr="002E0C1A">
        <w:rPr>
          <w:rFonts w:ascii="Arial" w:hAnsi="Arial" w:cs="Arial"/>
          <w:color w:val="808080" w:themeColor="background1" w:themeShade="80"/>
        </w:rPr>
        <w:t xml:space="preserve"> </w:t>
      </w:r>
      <w:r w:rsidR="00371FC3" w:rsidRPr="002E0C1A">
        <w:rPr>
          <w:rFonts w:ascii="Arial" w:hAnsi="Arial" w:cs="Arial"/>
          <w:color w:val="808080" w:themeColor="background1" w:themeShade="80"/>
        </w:rPr>
        <w:t>fiduciary dut</w:t>
      </w:r>
      <w:r w:rsidR="00BC5AEB" w:rsidRPr="002E0C1A">
        <w:rPr>
          <w:rFonts w:ascii="Arial" w:hAnsi="Arial" w:cs="Arial"/>
          <w:color w:val="808080" w:themeColor="background1" w:themeShade="80"/>
        </w:rPr>
        <w:t>ies of loyalty and care</w:t>
      </w:r>
      <w:r w:rsidRPr="002E0C1A">
        <w:rPr>
          <w:rFonts w:ascii="Arial" w:hAnsi="Arial" w:cs="Arial"/>
          <w:color w:val="808080" w:themeColor="background1" w:themeShade="80"/>
        </w:rPr>
        <w:t xml:space="preserve"> to the corporation and </w:t>
      </w:r>
      <w:r w:rsidR="005B5FDE" w:rsidRPr="002E0C1A">
        <w:rPr>
          <w:rFonts w:ascii="Arial" w:hAnsi="Arial" w:cs="Arial"/>
          <w:color w:val="808080" w:themeColor="background1" w:themeShade="80"/>
        </w:rPr>
        <w:t>its shareholders</w:t>
      </w:r>
      <w:r w:rsidR="00BC5AEB" w:rsidRPr="002E0C1A">
        <w:rPr>
          <w:rStyle w:val="FootnoteReference"/>
          <w:rFonts w:ascii="Arial" w:hAnsi="Arial" w:cs="Arial"/>
          <w:color w:val="808080" w:themeColor="background1" w:themeShade="80"/>
        </w:rPr>
        <w:footnoteReference w:id="115"/>
      </w:r>
      <w:r w:rsidRPr="002E0C1A">
        <w:rPr>
          <w:rFonts w:ascii="Arial" w:hAnsi="Arial" w:cs="Arial"/>
          <w:color w:val="808080" w:themeColor="background1" w:themeShade="80"/>
        </w:rPr>
        <w:t xml:space="preserve"> (and not to creditors)</w:t>
      </w:r>
      <w:r w:rsidR="00371FC3" w:rsidRPr="002E0C1A">
        <w:rPr>
          <w:rFonts w:ascii="Arial" w:hAnsi="Arial" w:cs="Arial"/>
          <w:color w:val="808080" w:themeColor="background1" w:themeShade="80"/>
        </w:rPr>
        <w:t>.</w:t>
      </w:r>
      <w:r w:rsidR="00FC6022" w:rsidRPr="002E0C1A">
        <w:rPr>
          <w:rFonts w:ascii="Arial" w:hAnsi="Arial" w:cs="Arial"/>
          <w:color w:val="808080" w:themeColor="background1" w:themeShade="80"/>
        </w:rPr>
        <w:t xml:space="preserve"> Under </w:t>
      </w:r>
      <w:r w:rsidR="00FC6022" w:rsidRPr="002E0C1A">
        <w:rPr>
          <w:rFonts w:ascii="Arial" w:hAnsi="Arial" w:cs="Arial"/>
          <w:color w:val="808080" w:themeColor="background1" w:themeShade="80"/>
        </w:rPr>
        <w:lastRenderedPageBreak/>
        <w:t>Delaware law, when the corporation in question is solvent, directors’ duties will “</w:t>
      </w:r>
      <w:r w:rsidR="00FC6022" w:rsidRPr="002E0C1A">
        <w:rPr>
          <w:rFonts w:ascii="Arial" w:hAnsi="Arial" w:cs="Arial"/>
          <w:i/>
          <w:iCs/>
          <w:color w:val="808080" w:themeColor="background1" w:themeShade="80"/>
        </w:rPr>
        <w:t>run to the corporation and the corporation should be managed for the benefit of its shareholders</w:t>
      </w:r>
      <w:r w:rsidR="00FC6022" w:rsidRPr="002E0C1A">
        <w:rPr>
          <w:rFonts w:ascii="Arial" w:hAnsi="Arial" w:cs="Arial"/>
          <w:color w:val="808080" w:themeColor="background1" w:themeShade="80"/>
        </w:rPr>
        <w:t>.”</w:t>
      </w:r>
      <w:r w:rsidR="00FC6022" w:rsidRPr="002E0C1A">
        <w:rPr>
          <w:rStyle w:val="FootnoteReference"/>
          <w:rFonts w:ascii="Arial" w:hAnsi="Arial" w:cs="Arial"/>
          <w:color w:val="808080" w:themeColor="background1" w:themeShade="80"/>
        </w:rPr>
        <w:footnoteReference w:id="116"/>
      </w:r>
      <w:r w:rsidR="00FC6022" w:rsidRPr="002E0C1A">
        <w:rPr>
          <w:rFonts w:ascii="Arial" w:hAnsi="Arial" w:cs="Arial"/>
          <w:color w:val="808080" w:themeColor="background1" w:themeShade="80"/>
        </w:rPr>
        <w:t xml:space="preserve"> Even though there is some discussion that during solvent times directors should consider the interest of other stakeholders, fiduciary duties are </w:t>
      </w:r>
      <w:r w:rsidR="00FC6022" w:rsidRPr="002E0C1A">
        <w:rPr>
          <w:rFonts w:ascii="Arial" w:hAnsi="Arial" w:cs="Arial"/>
          <w:color w:val="808080" w:themeColor="background1" w:themeShade="80"/>
          <w:u w:val="single"/>
        </w:rPr>
        <w:t>not</w:t>
      </w:r>
      <w:r w:rsidR="00FC6022" w:rsidRPr="002E0C1A">
        <w:rPr>
          <w:rFonts w:ascii="Arial" w:hAnsi="Arial" w:cs="Arial"/>
          <w:color w:val="808080" w:themeColor="background1" w:themeShade="80"/>
        </w:rPr>
        <w:t xml:space="preserve"> owed to creditors of </w:t>
      </w:r>
      <w:r w:rsidR="002E0C1A">
        <w:rPr>
          <w:rFonts w:ascii="Arial" w:hAnsi="Arial" w:cs="Arial"/>
          <w:color w:val="808080" w:themeColor="background1" w:themeShade="80"/>
        </w:rPr>
        <w:t>a</w:t>
      </w:r>
      <w:r w:rsidR="00FC6022" w:rsidRPr="002E0C1A">
        <w:rPr>
          <w:rFonts w:ascii="Arial" w:hAnsi="Arial" w:cs="Arial"/>
          <w:color w:val="808080" w:themeColor="background1" w:themeShade="80"/>
        </w:rPr>
        <w:t xml:space="preserve"> solvent corporation. Creditors of a solvent corporation </w:t>
      </w:r>
      <w:r w:rsidR="00ED2C91" w:rsidRPr="002E0C1A">
        <w:rPr>
          <w:rFonts w:ascii="Arial" w:hAnsi="Arial" w:cs="Arial"/>
          <w:color w:val="808080" w:themeColor="background1" w:themeShade="80"/>
        </w:rPr>
        <w:t xml:space="preserve">would instead have other forms of legal protection, including contracts and </w:t>
      </w:r>
      <w:r w:rsidR="00FC6022" w:rsidRPr="002E0C1A">
        <w:rPr>
          <w:rFonts w:ascii="Arial" w:hAnsi="Arial" w:cs="Arial"/>
          <w:color w:val="808080" w:themeColor="background1" w:themeShade="80"/>
        </w:rPr>
        <w:t>fraudulent conveyance laws</w:t>
      </w:r>
      <w:r w:rsidR="00ED2C91" w:rsidRPr="002E0C1A">
        <w:rPr>
          <w:rStyle w:val="FootnoteReference"/>
          <w:rFonts w:ascii="Arial" w:hAnsi="Arial" w:cs="Arial"/>
          <w:color w:val="808080" w:themeColor="background1" w:themeShade="80"/>
        </w:rPr>
        <w:footnoteReference w:id="117"/>
      </w:r>
      <w:r w:rsidR="00ED2C91" w:rsidRPr="002E0C1A">
        <w:rPr>
          <w:rFonts w:ascii="Arial" w:hAnsi="Arial" w:cs="Arial"/>
          <w:color w:val="808080" w:themeColor="background1" w:themeShade="80"/>
        </w:rPr>
        <w:t>.</w:t>
      </w:r>
    </w:p>
    <w:p w14:paraId="30EFD2BC" w14:textId="77777777" w:rsidR="00AC70CB" w:rsidRPr="002E0C1A" w:rsidRDefault="00AC70CB" w:rsidP="001D3BAA">
      <w:pPr>
        <w:pStyle w:val="AODocTxt"/>
        <w:spacing w:before="0" w:line="240" w:lineRule="auto"/>
        <w:rPr>
          <w:rFonts w:ascii="Arial" w:hAnsi="Arial" w:cs="Arial"/>
          <w:color w:val="808080" w:themeColor="background1" w:themeShade="80"/>
        </w:rPr>
      </w:pPr>
    </w:p>
    <w:p w14:paraId="428C10B3" w14:textId="70E2E51B" w:rsidR="00AC70CB" w:rsidRPr="002E0C1A" w:rsidRDefault="00AC70CB" w:rsidP="00AC70CB">
      <w:pPr>
        <w:pStyle w:val="AODocTxt"/>
        <w:spacing w:before="0" w:line="240" w:lineRule="auto"/>
        <w:rPr>
          <w:rFonts w:ascii="Arial" w:hAnsi="Arial" w:cs="Arial"/>
          <w:b/>
          <w:bCs/>
          <w:color w:val="808080" w:themeColor="background1" w:themeShade="80"/>
          <w:u w:val="single"/>
        </w:rPr>
      </w:pPr>
      <w:r w:rsidRPr="002E0C1A">
        <w:rPr>
          <w:rFonts w:ascii="Arial" w:hAnsi="Arial" w:cs="Arial"/>
          <w:b/>
          <w:bCs/>
          <w:color w:val="808080" w:themeColor="background1" w:themeShade="80"/>
          <w:u w:val="single"/>
        </w:rPr>
        <w:t>To whom fiduciary duties owed to when corporation is potentially insolvent</w:t>
      </w:r>
    </w:p>
    <w:p w14:paraId="164EA5FA" w14:textId="7B38A041" w:rsidR="00FB5DDE" w:rsidRPr="00276803" w:rsidRDefault="0025125F" w:rsidP="001D3BAA">
      <w:pPr>
        <w:pStyle w:val="AODocTxt"/>
        <w:spacing w:before="0" w:line="240" w:lineRule="auto"/>
        <w:rPr>
          <w:rFonts w:ascii="Arial" w:hAnsi="Arial" w:cs="Arial"/>
          <w:color w:val="808080" w:themeColor="background1" w:themeShade="80"/>
        </w:rPr>
      </w:pPr>
      <w:r w:rsidRPr="002E0C1A">
        <w:rPr>
          <w:rFonts w:ascii="Arial" w:hAnsi="Arial" w:cs="Arial"/>
          <w:color w:val="808080" w:themeColor="background1" w:themeShade="80"/>
        </w:rPr>
        <w:t xml:space="preserve">The fiduciary duties of directors of Delaware corporations will remain </w:t>
      </w:r>
      <w:r w:rsidR="00EC6B58" w:rsidRPr="002E0C1A">
        <w:rPr>
          <w:rFonts w:ascii="Arial" w:hAnsi="Arial" w:cs="Arial"/>
          <w:color w:val="808080" w:themeColor="background1" w:themeShade="80"/>
        </w:rPr>
        <w:t>the same when</w:t>
      </w:r>
      <w:r w:rsidRPr="002E0C1A">
        <w:rPr>
          <w:rFonts w:ascii="Arial" w:hAnsi="Arial" w:cs="Arial"/>
          <w:color w:val="808080" w:themeColor="background1" w:themeShade="80"/>
        </w:rPr>
        <w:t xml:space="preserve"> the corporation in question approaches insolvency. The Delaware Supreme Court in</w:t>
      </w:r>
      <w:r w:rsidRPr="002E0C1A">
        <w:rPr>
          <w:rFonts w:ascii="Arial" w:hAnsi="Arial" w:cs="Arial"/>
          <w:i/>
          <w:iCs/>
          <w:color w:val="808080" w:themeColor="background1" w:themeShade="80"/>
        </w:rPr>
        <w:t xml:space="preserve"> North American Catholic Education Programming, Inc v </w:t>
      </w:r>
      <w:proofErr w:type="spellStart"/>
      <w:r w:rsidRPr="002E0C1A">
        <w:rPr>
          <w:rFonts w:ascii="Arial" w:hAnsi="Arial" w:cs="Arial"/>
          <w:i/>
          <w:iCs/>
          <w:color w:val="808080" w:themeColor="background1" w:themeShade="80"/>
        </w:rPr>
        <w:t>Gheewalla</w:t>
      </w:r>
      <w:proofErr w:type="spellEnd"/>
      <w:r w:rsidRPr="002E0C1A">
        <w:rPr>
          <w:rStyle w:val="FootnoteReference"/>
          <w:rFonts w:ascii="Arial" w:hAnsi="Arial" w:cs="Arial"/>
          <w:color w:val="808080" w:themeColor="background1" w:themeShade="80"/>
        </w:rPr>
        <w:footnoteReference w:id="118"/>
      </w:r>
      <w:r w:rsidRPr="002E0C1A">
        <w:rPr>
          <w:rFonts w:ascii="Arial" w:hAnsi="Arial" w:cs="Arial"/>
          <w:color w:val="808080" w:themeColor="background1" w:themeShade="80"/>
        </w:rPr>
        <w:t xml:space="preserve"> held that </w:t>
      </w:r>
      <w:r w:rsidR="006B7E07" w:rsidRPr="002E0C1A">
        <w:rPr>
          <w:rFonts w:ascii="Arial" w:hAnsi="Arial" w:cs="Arial"/>
          <w:color w:val="808080" w:themeColor="background1" w:themeShade="80"/>
        </w:rPr>
        <w:t xml:space="preserve">the fiduciary duties </w:t>
      </w:r>
      <w:r w:rsidR="006B7E07" w:rsidRPr="00276803">
        <w:rPr>
          <w:rFonts w:ascii="Arial" w:hAnsi="Arial" w:cs="Arial"/>
          <w:color w:val="808080" w:themeColor="background1" w:themeShade="80"/>
        </w:rPr>
        <w:t xml:space="preserve">of directors do </w:t>
      </w:r>
      <w:r w:rsidR="006B7E07" w:rsidRPr="00276803">
        <w:rPr>
          <w:rFonts w:ascii="Arial" w:hAnsi="Arial" w:cs="Arial"/>
          <w:color w:val="808080" w:themeColor="background1" w:themeShade="80"/>
          <w:u w:val="single"/>
        </w:rPr>
        <w:t>not</w:t>
      </w:r>
      <w:r w:rsidR="006B7E07" w:rsidRPr="00276803">
        <w:rPr>
          <w:rFonts w:ascii="Arial" w:hAnsi="Arial" w:cs="Arial"/>
          <w:color w:val="808080" w:themeColor="background1" w:themeShade="80"/>
        </w:rPr>
        <w:t xml:space="preserve"> </w:t>
      </w:r>
      <w:r w:rsidRPr="00276803">
        <w:rPr>
          <w:rFonts w:ascii="Arial" w:hAnsi="Arial" w:cs="Arial"/>
          <w:color w:val="808080" w:themeColor="background1" w:themeShade="80"/>
        </w:rPr>
        <w:t xml:space="preserve">shift from the shareholders to the creditors </w:t>
      </w:r>
      <w:r w:rsidR="006B7E07" w:rsidRPr="00276803">
        <w:rPr>
          <w:rFonts w:ascii="Arial" w:hAnsi="Arial" w:cs="Arial"/>
          <w:color w:val="808080" w:themeColor="background1" w:themeShade="80"/>
        </w:rPr>
        <w:t xml:space="preserve">when a corporation operates in the “zone of insolvency”. </w:t>
      </w:r>
      <w:r w:rsidR="005F30DA" w:rsidRPr="00276803">
        <w:rPr>
          <w:rFonts w:ascii="Arial" w:hAnsi="Arial" w:cs="Arial"/>
          <w:color w:val="808080" w:themeColor="background1" w:themeShade="80"/>
        </w:rPr>
        <w:t xml:space="preserve">Holland J </w:t>
      </w:r>
      <w:r w:rsidR="002E0C1A" w:rsidRPr="00276803">
        <w:rPr>
          <w:rFonts w:ascii="Arial" w:hAnsi="Arial" w:cs="Arial"/>
          <w:color w:val="808080" w:themeColor="background1" w:themeShade="80"/>
        </w:rPr>
        <w:t>stated</w:t>
      </w:r>
      <w:r w:rsidR="005F30DA" w:rsidRPr="00276803">
        <w:rPr>
          <w:rFonts w:ascii="Arial" w:hAnsi="Arial" w:cs="Arial"/>
          <w:color w:val="808080" w:themeColor="background1" w:themeShade="80"/>
        </w:rPr>
        <w:t xml:space="preserve"> that Delaware corporate law provided for the separation of control and ownership of a corporation</w:t>
      </w:r>
      <w:r w:rsidR="00FB5DDE" w:rsidRPr="00276803">
        <w:rPr>
          <w:rFonts w:ascii="Arial" w:hAnsi="Arial" w:cs="Arial"/>
          <w:color w:val="808080" w:themeColor="background1" w:themeShade="80"/>
        </w:rPr>
        <w:t>. E</w:t>
      </w:r>
      <w:r w:rsidR="005F30DA" w:rsidRPr="00276803">
        <w:rPr>
          <w:rFonts w:ascii="Arial" w:hAnsi="Arial" w:cs="Arial"/>
          <w:color w:val="808080" w:themeColor="background1" w:themeShade="80"/>
        </w:rPr>
        <w:t xml:space="preserve">ven if a corporation was </w:t>
      </w:r>
      <w:r w:rsidR="00FB5DDE" w:rsidRPr="00276803">
        <w:rPr>
          <w:rFonts w:ascii="Arial" w:hAnsi="Arial" w:cs="Arial"/>
          <w:color w:val="808080" w:themeColor="background1" w:themeShade="80"/>
        </w:rPr>
        <w:t>“</w:t>
      </w:r>
      <w:r w:rsidRPr="00276803">
        <w:rPr>
          <w:rFonts w:ascii="Arial" w:hAnsi="Arial" w:cs="Arial"/>
          <w:i/>
          <w:iCs/>
          <w:color w:val="808080" w:themeColor="background1" w:themeShade="80"/>
        </w:rPr>
        <w:t>navigating in the zone of insolvency, the focus</w:t>
      </w:r>
      <w:r w:rsidR="00FB5DDE" w:rsidRPr="00276803">
        <w:rPr>
          <w:rFonts w:ascii="Arial" w:hAnsi="Arial" w:cs="Arial"/>
          <w:i/>
          <w:iCs/>
          <w:color w:val="808080" w:themeColor="background1" w:themeShade="80"/>
        </w:rPr>
        <w:t>…</w:t>
      </w:r>
      <w:r w:rsidRPr="00276803">
        <w:rPr>
          <w:rFonts w:ascii="Arial" w:hAnsi="Arial" w:cs="Arial"/>
          <w:i/>
          <w:iCs/>
          <w:color w:val="808080" w:themeColor="background1" w:themeShade="80"/>
        </w:rPr>
        <w:t xml:space="preserve">does </w:t>
      </w:r>
      <w:r w:rsidRPr="00276803">
        <w:rPr>
          <w:rFonts w:ascii="Arial" w:hAnsi="Arial" w:cs="Arial"/>
          <w:i/>
          <w:iCs/>
          <w:color w:val="808080" w:themeColor="background1" w:themeShade="80"/>
          <w:u w:val="single"/>
        </w:rPr>
        <w:t>not</w:t>
      </w:r>
      <w:r w:rsidRPr="00276803">
        <w:rPr>
          <w:rFonts w:ascii="Arial" w:hAnsi="Arial" w:cs="Arial"/>
          <w:i/>
          <w:iCs/>
          <w:color w:val="808080" w:themeColor="background1" w:themeShade="80"/>
        </w:rPr>
        <w:t xml:space="preserve"> </w:t>
      </w:r>
      <w:proofErr w:type="gramStart"/>
      <w:r w:rsidRPr="00276803">
        <w:rPr>
          <w:rFonts w:ascii="Arial" w:hAnsi="Arial" w:cs="Arial"/>
          <w:i/>
          <w:iCs/>
          <w:color w:val="808080" w:themeColor="background1" w:themeShade="80"/>
        </w:rPr>
        <w:t>change:</w:t>
      </w:r>
      <w:proofErr w:type="gramEnd"/>
      <w:r w:rsidRPr="00276803">
        <w:rPr>
          <w:rFonts w:ascii="Arial" w:hAnsi="Arial" w:cs="Arial"/>
          <w:i/>
          <w:iCs/>
          <w:color w:val="808080" w:themeColor="background1" w:themeShade="80"/>
        </w:rPr>
        <w:t xml:space="preserve"> directors must continue to discharge their fiduciary duties to the corporation and its shareholders by exercising their business judgment in the best interests of the corporation for the benefit of its shareholder owners</w:t>
      </w:r>
      <w:r w:rsidRPr="00276803">
        <w:rPr>
          <w:rFonts w:ascii="Arial" w:hAnsi="Arial" w:cs="Arial"/>
          <w:color w:val="808080" w:themeColor="background1" w:themeShade="80"/>
        </w:rPr>
        <w:t>.</w:t>
      </w:r>
      <w:r w:rsidR="00F1538F" w:rsidRPr="00276803">
        <w:rPr>
          <w:rFonts w:ascii="Arial" w:hAnsi="Arial" w:cs="Arial"/>
          <w:color w:val="808080" w:themeColor="background1" w:themeShade="80"/>
        </w:rPr>
        <w:t xml:space="preserve"> [emphasis added]</w:t>
      </w:r>
      <w:r w:rsidRPr="00276803">
        <w:rPr>
          <w:rFonts w:ascii="Arial" w:hAnsi="Arial" w:cs="Arial"/>
          <w:color w:val="808080" w:themeColor="background1" w:themeShade="80"/>
        </w:rPr>
        <w:t>”</w:t>
      </w:r>
      <w:r w:rsidR="00FB5DDE" w:rsidRPr="00276803">
        <w:rPr>
          <w:rStyle w:val="FootnoteReference"/>
          <w:rFonts w:ascii="Arial" w:hAnsi="Arial" w:cs="Arial"/>
          <w:color w:val="808080" w:themeColor="background1" w:themeShade="80"/>
        </w:rPr>
        <w:footnoteReference w:id="119"/>
      </w:r>
      <w:r w:rsidR="00FB5DDE" w:rsidRPr="00276803">
        <w:rPr>
          <w:rFonts w:ascii="Arial" w:hAnsi="Arial" w:cs="Arial"/>
          <w:color w:val="808080" w:themeColor="background1" w:themeShade="80"/>
        </w:rPr>
        <w:t xml:space="preserve"> It was further held in </w:t>
      </w:r>
      <w:proofErr w:type="spellStart"/>
      <w:r w:rsidR="00FB5DDE" w:rsidRPr="00276803">
        <w:rPr>
          <w:rFonts w:ascii="Arial" w:hAnsi="Arial" w:cs="Arial"/>
          <w:i/>
          <w:iCs/>
          <w:color w:val="808080" w:themeColor="background1" w:themeShade="80"/>
        </w:rPr>
        <w:t>Gheewalla</w:t>
      </w:r>
      <w:proofErr w:type="spellEnd"/>
      <w:r w:rsidR="00FB5DDE" w:rsidRPr="00276803">
        <w:rPr>
          <w:rFonts w:ascii="Arial" w:hAnsi="Arial" w:cs="Arial"/>
          <w:color w:val="808080" w:themeColor="background1" w:themeShade="80"/>
        </w:rPr>
        <w:t xml:space="preserve"> that to </w:t>
      </w:r>
      <w:proofErr w:type="spellStart"/>
      <w:r w:rsidR="00FB5DDE" w:rsidRPr="00276803">
        <w:rPr>
          <w:rFonts w:ascii="Arial" w:hAnsi="Arial" w:cs="Arial"/>
          <w:color w:val="808080" w:themeColor="background1" w:themeShade="80"/>
        </w:rPr>
        <w:t>recognise</w:t>
      </w:r>
      <w:proofErr w:type="spellEnd"/>
      <w:r w:rsidR="00FB5DDE" w:rsidRPr="00276803">
        <w:rPr>
          <w:rFonts w:ascii="Arial" w:hAnsi="Arial" w:cs="Arial"/>
          <w:color w:val="808080" w:themeColor="background1" w:themeShade="80"/>
        </w:rPr>
        <w:t xml:space="preserve"> directors as owing direct fiduciary duties to creditors would create uncertainty for the directors </w:t>
      </w:r>
      <w:r w:rsidR="00276803" w:rsidRPr="00276803">
        <w:rPr>
          <w:rFonts w:ascii="Arial" w:hAnsi="Arial" w:cs="Arial"/>
          <w:color w:val="808080" w:themeColor="background1" w:themeShade="80"/>
        </w:rPr>
        <w:t>(</w:t>
      </w:r>
      <w:r w:rsidR="00FB5DDE" w:rsidRPr="00276803">
        <w:rPr>
          <w:rFonts w:ascii="Arial" w:hAnsi="Arial" w:cs="Arial"/>
          <w:color w:val="808080" w:themeColor="background1" w:themeShade="80"/>
        </w:rPr>
        <w:t>who have a fiduciary duty to exercise their business judgment which is in the best interest of the corporation</w:t>
      </w:r>
      <w:r w:rsidR="00276803" w:rsidRPr="00276803">
        <w:rPr>
          <w:rFonts w:ascii="Arial" w:hAnsi="Arial" w:cs="Arial"/>
          <w:color w:val="808080" w:themeColor="background1" w:themeShade="80"/>
        </w:rPr>
        <w:t>)</w:t>
      </w:r>
      <w:r w:rsidR="00FB5DDE" w:rsidRPr="00276803">
        <w:rPr>
          <w:rFonts w:ascii="Arial" w:hAnsi="Arial" w:cs="Arial"/>
          <w:color w:val="808080" w:themeColor="background1" w:themeShade="80"/>
        </w:rPr>
        <w:t>.</w:t>
      </w:r>
      <w:r w:rsidR="00EC6B58" w:rsidRPr="00276803">
        <w:rPr>
          <w:rFonts w:ascii="Arial" w:hAnsi="Arial" w:cs="Arial"/>
          <w:color w:val="808080" w:themeColor="background1" w:themeShade="80"/>
        </w:rPr>
        <w:t xml:space="preserve"> Any new right for creditors to bring direct fiduciary claims against directors would create a conflict. Such conflict would be between those directors’ duties to </w:t>
      </w:r>
      <w:proofErr w:type="spellStart"/>
      <w:r w:rsidR="00EC6B58" w:rsidRPr="00276803">
        <w:rPr>
          <w:rFonts w:ascii="Arial" w:hAnsi="Arial" w:cs="Arial"/>
          <w:color w:val="808080" w:themeColor="background1" w:themeShade="80"/>
        </w:rPr>
        <w:t>maximise</w:t>
      </w:r>
      <w:proofErr w:type="spellEnd"/>
      <w:r w:rsidR="00EC6B58" w:rsidRPr="00276803">
        <w:rPr>
          <w:rFonts w:ascii="Arial" w:hAnsi="Arial" w:cs="Arial"/>
          <w:color w:val="808080" w:themeColor="background1" w:themeShade="80"/>
        </w:rPr>
        <w:t xml:space="preserve"> the value of the corporation (for the benefit of</w:t>
      </w:r>
      <w:r w:rsidR="00276803" w:rsidRPr="00276803">
        <w:rPr>
          <w:rFonts w:ascii="Arial" w:hAnsi="Arial" w:cs="Arial"/>
          <w:color w:val="808080" w:themeColor="background1" w:themeShade="80"/>
        </w:rPr>
        <w:t xml:space="preserve"> the</w:t>
      </w:r>
      <w:r w:rsidR="00EC6B58" w:rsidRPr="00276803">
        <w:rPr>
          <w:rFonts w:ascii="Arial" w:hAnsi="Arial" w:cs="Arial"/>
          <w:color w:val="808080" w:themeColor="background1" w:themeShade="80"/>
        </w:rPr>
        <w:t xml:space="preserve"> shareholders) and any newly recognised direct fiduciary duty to the individual creditors. </w:t>
      </w:r>
    </w:p>
    <w:p w14:paraId="5EF575CB" w14:textId="77777777" w:rsidR="00AC70CB" w:rsidRPr="00276803" w:rsidRDefault="00AC70CB" w:rsidP="001D3BAA">
      <w:pPr>
        <w:pStyle w:val="AODocTxt"/>
        <w:spacing w:before="0" w:line="240" w:lineRule="auto"/>
        <w:rPr>
          <w:rFonts w:ascii="Arial" w:hAnsi="Arial" w:cs="Arial"/>
          <w:color w:val="808080" w:themeColor="background1" w:themeShade="80"/>
        </w:rPr>
      </w:pPr>
    </w:p>
    <w:p w14:paraId="3C4DA5E8" w14:textId="4B7C3897" w:rsidR="008C472E" w:rsidRPr="0051126E" w:rsidRDefault="00313CBE" w:rsidP="00057C8B">
      <w:pPr>
        <w:pStyle w:val="AODocTxt"/>
        <w:spacing w:before="0" w:line="240" w:lineRule="auto"/>
        <w:rPr>
          <w:rFonts w:ascii="Arial" w:hAnsi="Arial" w:cs="Arial"/>
          <w:b/>
          <w:bCs/>
          <w:color w:val="808080" w:themeColor="background1" w:themeShade="80"/>
          <w:u w:val="single"/>
        </w:rPr>
      </w:pPr>
      <w:r w:rsidRPr="0051126E">
        <w:rPr>
          <w:rFonts w:ascii="Arial" w:hAnsi="Arial" w:cs="Arial"/>
          <w:b/>
          <w:bCs/>
          <w:color w:val="808080" w:themeColor="background1" w:themeShade="80"/>
          <w:u w:val="single"/>
        </w:rPr>
        <w:t>To whom fiduciary duties owed</w:t>
      </w:r>
      <w:r w:rsidR="008E0FB3" w:rsidRPr="0051126E">
        <w:rPr>
          <w:rFonts w:ascii="Arial" w:hAnsi="Arial" w:cs="Arial"/>
          <w:b/>
          <w:bCs/>
          <w:color w:val="808080" w:themeColor="background1" w:themeShade="80"/>
          <w:u w:val="single"/>
        </w:rPr>
        <w:t xml:space="preserve"> to</w:t>
      </w:r>
      <w:r w:rsidRPr="0051126E">
        <w:rPr>
          <w:rFonts w:ascii="Arial" w:hAnsi="Arial" w:cs="Arial"/>
          <w:b/>
          <w:bCs/>
          <w:color w:val="808080" w:themeColor="background1" w:themeShade="80"/>
          <w:u w:val="single"/>
        </w:rPr>
        <w:t xml:space="preserve"> when corporation is </w:t>
      </w:r>
      <w:proofErr w:type="gramStart"/>
      <w:r w:rsidRPr="0051126E">
        <w:rPr>
          <w:rFonts w:ascii="Arial" w:hAnsi="Arial" w:cs="Arial"/>
          <w:b/>
          <w:bCs/>
          <w:color w:val="808080" w:themeColor="background1" w:themeShade="80"/>
          <w:u w:val="single"/>
        </w:rPr>
        <w:t>actually insolvent</w:t>
      </w:r>
      <w:proofErr w:type="gramEnd"/>
    </w:p>
    <w:p w14:paraId="78C4E635" w14:textId="252414AC" w:rsidR="002D4CD8" w:rsidRPr="0051126E" w:rsidRDefault="002D4CD8" w:rsidP="001D3BAA">
      <w:pPr>
        <w:pStyle w:val="AODocTxt"/>
        <w:spacing w:before="0" w:line="240" w:lineRule="auto"/>
        <w:rPr>
          <w:rFonts w:ascii="Arial" w:hAnsi="Arial" w:cs="Arial"/>
          <w:color w:val="808080" w:themeColor="background1" w:themeShade="80"/>
        </w:rPr>
      </w:pPr>
      <w:r w:rsidRPr="0051126E">
        <w:rPr>
          <w:rFonts w:ascii="Arial" w:hAnsi="Arial" w:cs="Arial"/>
          <w:color w:val="808080" w:themeColor="background1" w:themeShade="80"/>
        </w:rPr>
        <w:t xml:space="preserve">The situation is different when the corporation is </w:t>
      </w:r>
      <w:proofErr w:type="gramStart"/>
      <w:r w:rsidRPr="0051126E">
        <w:rPr>
          <w:rFonts w:ascii="Arial" w:hAnsi="Arial" w:cs="Arial"/>
          <w:color w:val="808080" w:themeColor="background1" w:themeShade="80"/>
        </w:rPr>
        <w:t>actually insolvent</w:t>
      </w:r>
      <w:proofErr w:type="gramEnd"/>
      <w:r w:rsidRPr="0051126E">
        <w:rPr>
          <w:rFonts w:ascii="Arial" w:hAnsi="Arial" w:cs="Arial"/>
          <w:color w:val="808080" w:themeColor="background1" w:themeShade="80"/>
        </w:rPr>
        <w:t xml:space="preserve">. Directors' duties change in this situation. When a corporation is insolvent, the directors' fiduciary duties are owed to </w:t>
      </w:r>
      <w:proofErr w:type="gramStart"/>
      <w:r w:rsidRPr="0051126E">
        <w:rPr>
          <w:rFonts w:ascii="Arial" w:hAnsi="Arial" w:cs="Arial"/>
          <w:color w:val="808080" w:themeColor="background1" w:themeShade="80"/>
        </w:rPr>
        <w:t>all of</w:t>
      </w:r>
      <w:proofErr w:type="gramEnd"/>
      <w:r w:rsidRPr="0051126E">
        <w:rPr>
          <w:rFonts w:ascii="Arial" w:hAnsi="Arial" w:cs="Arial"/>
          <w:color w:val="808080" w:themeColor="background1" w:themeShade="80"/>
        </w:rPr>
        <w:t xml:space="preserve"> the insolvent corporation's residual claimants</w:t>
      </w:r>
      <w:r w:rsidR="00F1538F" w:rsidRPr="0051126E">
        <w:rPr>
          <w:rFonts w:ascii="Arial" w:hAnsi="Arial" w:cs="Arial"/>
          <w:color w:val="808080" w:themeColor="background1" w:themeShade="80"/>
        </w:rPr>
        <w:t xml:space="preserve"> (which includes </w:t>
      </w:r>
      <w:r w:rsidRPr="0051126E">
        <w:rPr>
          <w:rFonts w:ascii="Arial" w:hAnsi="Arial" w:cs="Arial"/>
          <w:color w:val="808080" w:themeColor="background1" w:themeShade="80"/>
        </w:rPr>
        <w:t>both shareholders and creditors</w:t>
      </w:r>
      <w:r w:rsidR="00F1538F" w:rsidRPr="0051126E">
        <w:rPr>
          <w:rFonts w:ascii="Arial" w:hAnsi="Arial" w:cs="Arial"/>
          <w:color w:val="808080" w:themeColor="background1" w:themeShade="80"/>
        </w:rPr>
        <w:t>).</w:t>
      </w:r>
      <w:r w:rsidRPr="0051126E">
        <w:rPr>
          <w:rFonts w:ascii="Arial" w:hAnsi="Arial" w:cs="Arial"/>
          <w:color w:val="808080" w:themeColor="background1" w:themeShade="80"/>
        </w:rPr>
        <w:t xml:space="preserve"> </w:t>
      </w:r>
      <w:r w:rsidR="0051126E" w:rsidRPr="0051126E">
        <w:rPr>
          <w:rFonts w:ascii="Arial" w:hAnsi="Arial" w:cs="Arial"/>
          <w:color w:val="808080" w:themeColor="background1" w:themeShade="80"/>
        </w:rPr>
        <w:t>T</w:t>
      </w:r>
      <w:r w:rsidRPr="0051126E">
        <w:rPr>
          <w:rFonts w:ascii="Arial" w:hAnsi="Arial" w:cs="Arial"/>
          <w:color w:val="808080" w:themeColor="background1" w:themeShade="80"/>
        </w:rPr>
        <w:t>he directors must continue to manage the co</w:t>
      </w:r>
      <w:r w:rsidR="0051126E" w:rsidRPr="0051126E">
        <w:rPr>
          <w:rFonts w:ascii="Arial" w:hAnsi="Arial" w:cs="Arial"/>
          <w:color w:val="808080" w:themeColor="background1" w:themeShade="80"/>
        </w:rPr>
        <w:t>rporation</w:t>
      </w:r>
      <w:r w:rsidRPr="0051126E">
        <w:rPr>
          <w:rFonts w:ascii="Arial" w:hAnsi="Arial" w:cs="Arial"/>
          <w:color w:val="808080" w:themeColor="background1" w:themeShade="80"/>
        </w:rPr>
        <w:t xml:space="preserve"> according to what they believe is in the corporation's best interest but with the additional consideration of the interest of the creditors</w:t>
      </w:r>
      <w:r w:rsidR="0051126E" w:rsidRPr="0051126E">
        <w:rPr>
          <w:rFonts w:ascii="Arial" w:hAnsi="Arial" w:cs="Arial"/>
          <w:color w:val="808080" w:themeColor="background1" w:themeShade="80"/>
        </w:rPr>
        <w:t xml:space="preserve">, </w:t>
      </w:r>
      <w:r w:rsidRPr="0051126E">
        <w:rPr>
          <w:rFonts w:ascii="Arial" w:hAnsi="Arial" w:cs="Arial"/>
          <w:color w:val="808080" w:themeColor="background1" w:themeShade="80"/>
        </w:rPr>
        <w:t xml:space="preserve">as well as that of the shareholders </w:t>
      </w:r>
      <w:r w:rsidR="0051126E" w:rsidRPr="0051126E">
        <w:rPr>
          <w:rFonts w:ascii="Arial" w:hAnsi="Arial" w:cs="Arial"/>
          <w:color w:val="808080" w:themeColor="background1" w:themeShade="80"/>
        </w:rPr>
        <w:t>(</w:t>
      </w:r>
      <w:r w:rsidRPr="0051126E">
        <w:rPr>
          <w:rFonts w:ascii="Arial" w:hAnsi="Arial" w:cs="Arial"/>
          <w:color w:val="808080" w:themeColor="background1" w:themeShade="80"/>
        </w:rPr>
        <w:t>which is a pre-insolvency duty)</w:t>
      </w:r>
      <w:r w:rsidR="00F1538F" w:rsidRPr="0051126E">
        <w:rPr>
          <w:rFonts w:ascii="Arial" w:hAnsi="Arial" w:cs="Arial"/>
          <w:color w:val="808080" w:themeColor="background1" w:themeShade="80"/>
        </w:rPr>
        <w:t>.</w:t>
      </w:r>
      <w:r w:rsidR="00F1538F" w:rsidRPr="0051126E">
        <w:rPr>
          <w:rStyle w:val="FootnoteReference"/>
          <w:rFonts w:ascii="Arial" w:hAnsi="Arial" w:cs="Arial"/>
          <w:color w:val="808080" w:themeColor="background1" w:themeShade="80"/>
        </w:rPr>
        <w:footnoteReference w:id="120"/>
      </w:r>
    </w:p>
    <w:p w14:paraId="39388AC7" w14:textId="77777777" w:rsidR="002D4CD8" w:rsidRPr="0051126E" w:rsidRDefault="002D4CD8" w:rsidP="001D3BAA">
      <w:pPr>
        <w:pStyle w:val="AODocTxt"/>
        <w:spacing w:before="0" w:line="240" w:lineRule="auto"/>
        <w:rPr>
          <w:rFonts w:ascii="Arial" w:hAnsi="Arial" w:cs="Arial"/>
          <w:color w:val="808080" w:themeColor="background1" w:themeShade="80"/>
        </w:rPr>
      </w:pPr>
    </w:p>
    <w:p w14:paraId="6E52B7B0" w14:textId="5BD66B1D" w:rsidR="002D4CD8" w:rsidRPr="0051126E" w:rsidRDefault="002D4CD8" w:rsidP="001D3BAA">
      <w:pPr>
        <w:pStyle w:val="AODocTxt"/>
        <w:spacing w:before="0" w:line="240" w:lineRule="auto"/>
        <w:rPr>
          <w:rFonts w:ascii="Arial" w:hAnsi="Arial" w:cs="Arial"/>
          <w:color w:val="808080" w:themeColor="background1" w:themeShade="80"/>
        </w:rPr>
      </w:pPr>
      <w:proofErr w:type="spellStart"/>
      <w:r w:rsidRPr="0051126E">
        <w:rPr>
          <w:rFonts w:ascii="Arial" w:hAnsi="Arial" w:cs="Arial"/>
          <w:i/>
          <w:iCs/>
          <w:color w:val="808080" w:themeColor="background1" w:themeShade="80"/>
        </w:rPr>
        <w:t>Gheewalla</w:t>
      </w:r>
      <w:proofErr w:type="spellEnd"/>
      <w:r w:rsidRPr="0051126E">
        <w:rPr>
          <w:rFonts w:ascii="Arial" w:hAnsi="Arial" w:cs="Arial"/>
          <w:color w:val="808080" w:themeColor="background1" w:themeShade="80"/>
        </w:rPr>
        <w:t> </w:t>
      </w:r>
      <w:r w:rsidR="0051126E" w:rsidRPr="0051126E">
        <w:rPr>
          <w:rFonts w:ascii="Arial" w:hAnsi="Arial" w:cs="Arial"/>
          <w:color w:val="808080" w:themeColor="background1" w:themeShade="80"/>
        </w:rPr>
        <w:t xml:space="preserve">held </w:t>
      </w:r>
      <w:r w:rsidRPr="0051126E">
        <w:rPr>
          <w:rFonts w:ascii="Arial" w:hAnsi="Arial" w:cs="Arial"/>
          <w:color w:val="808080" w:themeColor="background1" w:themeShade="80"/>
        </w:rPr>
        <w:t xml:space="preserve">that there is </w:t>
      </w:r>
      <w:r w:rsidRPr="0051126E">
        <w:rPr>
          <w:rFonts w:ascii="Arial" w:hAnsi="Arial" w:cs="Arial"/>
          <w:color w:val="808080" w:themeColor="background1" w:themeShade="80"/>
          <w:u w:val="single"/>
        </w:rPr>
        <w:t>no</w:t>
      </w:r>
      <w:r w:rsidRPr="0051126E">
        <w:rPr>
          <w:rFonts w:ascii="Arial" w:hAnsi="Arial" w:cs="Arial"/>
          <w:color w:val="808080" w:themeColor="background1" w:themeShade="80"/>
        </w:rPr>
        <w:t xml:space="preserve"> right for a creditor to directly assert against directors a breach of fiduciary duty claim (whether the corporation is solvent or insolvent). This is because the directors do not owe a fiduciary duty to the creditors. Notwithstanding this, a creditor has standing to bring a derivative claim when the corporation becomes insolvent (on behalf of the corporation) against the directors for breach of fiduciary duties to the residual claimants. This is because during a corporation's insolvency, creditors are "</w:t>
      </w:r>
      <w:r w:rsidRPr="0051126E">
        <w:rPr>
          <w:rFonts w:ascii="Arial" w:hAnsi="Arial" w:cs="Arial"/>
          <w:i/>
          <w:iCs/>
          <w:color w:val="808080" w:themeColor="background1" w:themeShade="80"/>
        </w:rPr>
        <w:t>the principal constituency injured by any fiduciary breaches that diminish the firm's value</w:t>
      </w:r>
      <w:r w:rsidRPr="0051126E">
        <w:rPr>
          <w:rFonts w:ascii="Arial" w:hAnsi="Arial" w:cs="Arial"/>
          <w:color w:val="808080" w:themeColor="background1" w:themeShade="80"/>
        </w:rPr>
        <w:t>".</w:t>
      </w:r>
      <w:r w:rsidR="00F1538F" w:rsidRPr="0051126E">
        <w:rPr>
          <w:rStyle w:val="FootnoteReference"/>
          <w:rFonts w:ascii="Arial" w:hAnsi="Arial" w:cs="Arial"/>
          <w:color w:val="808080" w:themeColor="background1" w:themeShade="80"/>
        </w:rPr>
        <w:footnoteReference w:id="121"/>
      </w:r>
      <w:r w:rsidRPr="0051126E">
        <w:rPr>
          <w:rFonts w:ascii="Arial" w:hAnsi="Arial" w:cs="Arial"/>
          <w:color w:val="808080" w:themeColor="background1" w:themeShade="80"/>
        </w:rPr>
        <w:t xml:space="preserve"> A director's fiduciary duties are to the corporation and </w:t>
      </w:r>
      <w:proofErr w:type="gramStart"/>
      <w:r w:rsidRPr="0051126E">
        <w:rPr>
          <w:rFonts w:ascii="Arial" w:hAnsi="Arial" w:cs="Arial"/>
          <w:color w:val="808080" w:themeColor="background1" w:themeShade="80"/>
        </w:rPr>
        <w:t>all of</w:t>
      </w:r>
      <w:proofErr w:type="gramEnd"/>
      <w:r w:rsidRPr="0051126E">
        <w:rPr>
          <w:rFonts w:ascii="Arial" w:hAnsi="Arial" w:cs="Arial"/>
          <w:color w:val="808080" w:themeColor="background1" w:themeShade="80"/>
        </w:rPr>
        <w:t xml:space="preserve"> its residual claimants (which, during insolvency, includes the creditors). There is no </w:t>
      </w:r>
      <w:proofErr w:type="gramStart"/>
      <w:r w:rsidRPr="0051126E">
        <w:rPr>
          <w:rFonts w:ascii="Arial" w:hAnsi="Arial" w:cs="Arial"/>
          <w:color w:val="808080" w:themeColor="background1" w:themeShade="80"/>
        </w:rPr>
        <w:t>particular fiduciary</w:t>
      </w:r>
      <w:proofErr w:type="gramEnd"/>
      <w:r w:rsidRPr="0051126E">
        <w:rPr>
          <w:rFonts w:ascii="Arial" w:hAnsi="Arial" w:cs="Arial"/>
          <w:color w:val="808080" w:themeColor="background1" w:themeShade="80"/>
        </w:rPr>
        <w:t xml:space="preserve"> duty owed to the creditors</w:t>
      </w:r>
      <w:r w:rsidR="00F1538F" w:rsidRPr="0051126E">
        <w:rPr>
          <w:rStyle w:val="FootnoteReference"/>
          <w:rFonts w:ascii="Arial" w:hAnsi="Arial" w:cs="Arial"/>
          <w:color w:val="808080" w:themeColor="background1" w:themeShade="80"/>
        </w:rPr>
        <w:footnoteReference w:id="122"/>
      </w:r>
      <w:r w:rsidR="00F1538F" w:rsidRPr="0051126E">
        <w:rPr>
          <w:rFonts w:ascii="Arial" w:hAnsi="Arial" w:cs="Arial"/>
          <w:color w:val="808080" w:themeColor="background1" w:themeShade="80"/>
        </w:rPr>
        <w:t xml:space="preserve"> - </w:t>
      </w:r>
      <w:r w:rsidR="0051126E" w:rsidRPr="0051126E">
        <w:rPr>
          <w:rFonts w:ascii="Arial" w:hAnsi="Arial" w:cs="Arial"/>
          <w:color w:val="808080" w:themeColor="background1" w:themeShade="80"/>
        </w:rPr>
        <w:t xml:space="preserve">indeed </w:t>
      </w:r>
      <w:proofErr w:type="spellStart"/>
      <w:r w:rsidRPr="0051126E">
        <w:rPr>
          <w:rFonts w:ascii="Arial" w:hAnsi="Arial" w:cs="Arial"/>
          <w:i/>
          <w:iCs/>
          <w:color w:val="808080" w:themeColor="background1" w:themeShade="80"/>
        </w:rPr>
        <w:t>Gheewalla</w:t>
      </w:r>
      <w:proofErr w:type="spellEnd"/>
      <w:r w:rsidRPr="0051126E">
        <w:rPr>
          <w:rFonts w:ascii="Arial" w:hAnsi="Arial" w:cs="Arial"/>
          <w:color w:val="808080" w:themeColor="background1" w:themeShade="80"/>
        </w:rPr>
        <w:t xml:space="preserve"> held that the directors "</w:t>
      </w:r>
      <w:r w:rsidRPr="0051126E">
        <w:rPr>
          <w:rFonts w:ascii="Arial" w:hAnsi="Arial" w:cs="Arial"/>
          <w:i/>
          <w:iCs/>
          <w:color w:val="808080" w:themeColor="background1" w:themeShade="80"/>
        </w:rPr>
        <w:t>must retain the freedom to engage in vigorous, good faith negotiations with individual creditors for the benefit of the corporation</w:t>
      </w:r>
      <w:r w:rsidRPr="0051126E">
        <w:rPr>
          <w:rFonts w:ascii="Arial" w:hAnsi="Arial" w:cs="Arial"/>
          <w:color w:val="808080" w:themeColor="background1" w:themeShade="80"/>
        </w:rPr>
        <w:t>.”</w:t>
      </w:r>
      <w:r w:rsidR="00F1538F" w:rsidRPr="0051126E">
        <w:rPr>
          <w:rStyle w:val="FootnoteReference"/>
          <w:rFonts w:ascii="Arial" w:hAnsi="Arial" w:cs="Arial"/>
          <w:color w:val="808080" w:themeColor="background1" w:themeShade="80"/>
        </w:rPr>
        <w:footnoteReference w:id="123"/>
      </w:r>
      <w:r w:rsidRPr="0051126E">
        <w:rPr>
          <w:rFonts w:ascii="Arial" w:hAnsi="Arial" w:cs="Arial"/>
          <w:color w:val="808080" w:themeColor="background1" w:themeShade="80"/>
        </w:rPr>
        <w:t xml:space="preserve"> The directors must use their </w:t>
      </w:r>
      <w:r w:rsidRPr="0051126E">
        <w:rPr>
          <w:rFonts w:ascii="Arial" w:hAnsi="Arial" w:cs="Arial"/>
          <w:color w:val="808080" w:themeColor="background1" w:themeShade="80"/>
        </w:rPr>
        <w:lastRenderedPageBreak/>
        <w:t>business judgment (taking into account the interests of all the residual claimants) in deciding what action is in the best interest of the corporation.</w:t>
      </w:r>
    </w:p>
    <w:p w14:paraId="07A47D50" w14:textId="77777777" w:rsidR="002D4CD8" w:rsidRPr="0051126E" w:rsidRDefault="002D4CD8" w:rsidP="001D3BAA">
      <w:pPr>
        <w:pStyle w:val="AODocTxt"/>
        <w:spacing w:before="0" w:line="240" w:lineRule="auto"/>
        <w:rPr>
          <w:rFonts w:ascii="Arial" w:hAnsi="Arial" w:cs="Arial"/>
          <w:color w:val="808080" w:themeColor="background1" w:themeShade="80"/>
        </w:rPr>
      </w:pPr>
    </w:p>
    <w:p w14:paraId="4F7DA241" w14:textId="59D7EC55" w:rsidR="002D4CD8" w:rsidRPr="005031A2" w:rsidRDefault="002D4CD8" w:rsidP="001D3BAA">
      <w:pPr>
        <w:pStyle w:val="AODocTxt"/>
        <w:spacing w:before="0" w:line="240" w:lineRule="auto"/>
        <w:rPr>
          <w:rFonts w:ascii="Arial" w:hAnsi="Arial" w:cs="Arial"/>
          <w:color w:val="808080" w:themeColor="background1" w:themeShade="80"/>
        </w:rPr>
      </w:pPr>
      <w:r w:rsidRPr="005031A2">
        <w:rPr>
          <w:rFonts w:ascii="Arial" w:hAnsi="Arial" w:cs="Arial"/>
          <w:color w:val="808080" w:themeColor="background1" w:themeShade="80"/>
        </w:rPr>
        <w:t>Another case of importance to directors' duties in insolvency is </w:t>
      </w:r>
      <w:r w:rsidRPr="005031A2">
        <w:rPr>
          <w:rFonts w:ascii="Arial" w:hAnsi="Arial" w:cs="Arial"/>
          <w:i/>
          <w:iCs/>
          <w:color w:val="808080" w:themeColor="background1" w:themeShade="80"/>
        </w:rPr>
        <w:t>Quadrant Structure Products Co. Ltd v. Vertin</w:t>
      </w:r>
      <w:r w:rsidR="00673471" w:rsidRPr="005031A2">
        <w:rPr>
          <w:rStyle w:val="FootnoteReference"/>
          <w:rFonts w:ascii="Arial" w:hAnsi="Arial" w:cs="Arial"/>
          <w:color w:val="808080" w:themeColor="background1" w:themeShade="80"/>
        </w:rPr>
        <w:footnoteReference w:id="124"/>
      </w:r>
      <w:r w:rsidRPr="005031A2">
        <w:rPr>
          <w:rFonts w:ascii="Arial" w:hAnsi="Arial" w:cs="Arial"/>
          <w:color w:val="808080" w:themeColor="background1" w:themeShade="80"/>
        </w:rPr>
        <w:t xml:space="preserve">. Directors of a corporation that </w:t>
      </w:r>
      <w:r w:rsidR="0051126E" w:rsidRPr="005031A2">
        <w:rPr>
          <w:rFonts w:ascii="Arial" w:hAnsi="Arial" w:cs="Arial"/>
          <w:color w:val="808080" w:themeColor="background1" w:themeShade="80"/>
        </w:rPr>
        <w:t>wa</w:t>
      </w:r>
      <w:r w:rsidRPr="005031A2">
        <w:rPr>
          <w:rFonts w:ascii="Arial" w:hAnsi="Arial" w:cs="Arial"/>
          <w:color w:val="808080" w:themeColor="background1" w:themeShade="80"/>
        </w:rPr>
        <w:t>s insolvent w</w:t>
      </w:r>
      <w:r w:rsidR="00673471" w:rsidRPr="005031A2">
        <w:rPr>
          <w:rFonts w:ascii="Arial" w:hAnsi="Arial" w:cs="Arial"/>
          <w:color w:val="808080" w:themeColor="background1" w:themeShade="80"/>
        </w:rPr>
        <w:t>ere</w:t>
      </w:r>
      <w:r w:rsidRPr="005031A2">
        <w:rPr>
          <w:rFonts w:ascii="Arial" w:hAnsi="Arial" w:cs="Arial"/>
          <w:color w:val="808080" w:themeColor="background1" w:themeShade="80"/>
        </w:rPr>
        <w:t xml:space="preserve"> still permitted to pursue business strategies which were aimed at </w:t>
      </w:r>
      <w:proofErr w:type="spellStart"/>
      <w:r w:rsidRPr="005031A2">
        <w:rPr>
          <w:rFonts w:ascii="Arial" w:hAnsi="Arial" w:cs="Arial"/>
          <w:color w:val="808080" w:themeColor="background1" w:themeShade="80"/>
        </w:rPr>
        <w:t>maximising</w:t>
      </w:r>
      <w:proofErr w:type="spellEnd"/>
      <w:r w:rsidRPr="005031A2">
        <w:rPr>
          <w:rFonts w:ascii="Arial" w:hAnsi="Arial" w:cs="Arial"/>
          <w:color w:val="808080" w:themeColor="background1" w:themeShade="80"/>
        </w:rPr>
        <w:t xml:space="preserve"> the value of the enterprise.</w:t>
      </w:r>
      <w:r w:rsidR="00673471" w:rsidRPr="005031A2">
        <w:rPr>
          <w:rStyle w:val="FootnoteReference"/>
          <w:rFonts w:ascii="Arial" w:hAnsi="Arial" w:cs="Arial"/>
          <w:color w:val="808080" w:themeColor="background1" w:themeShade="80"/>
        </w:rPr>
        <w:footnoteReference w:id="125"/>
      </w:r>
      <w:r w:rsidR="00673471" w:rsidRPr="005031A2">
        <w:rPr>
          <w:rFonts w:ascii="Arial" w:hAnsi="Arial" w:cs="Arial"/>
          <w:color w:val="808080" w:themeColor="background1" w:themeShade="80"/>
        </w:rPr>
        <w:t xml:space="preserve"> </w:t>
      </w:r>
      <w:r w:rsidR="0051126E" w:rsidRPr="005031A2">
        <w:rPr>
          <w:rFonts w:ascii="Arial" w:hAnsi="Arial" w:cs="Arial"/>
          <w:color w:val="808080" w:themeColor="background1" w:themeShade="80"/>
        </w:rPr>
        <w:t>D</w:t>
      </w:r>
      <w:r w:rsidRPr="005031A2">
        <w:rPr>
          <w:rFonts w:ascii="Arial" w:hAnsi="Arial" w:cs="Arial"/>
          <w:color w:val="808080" w:themeColor="background1" w:themeShade="80"/>
        </w:rPr>
        <w:t xml:space="preserve">irectors did not breach their fiduciary duties where they pursued a risky investment strategy that would have </w:t>
      </w:r>
      <w:proofErr w:type="spellStart"/>
      <w:r w:rsidRPr="005031A2">
        <w:rPr>
          <w:rFonts w:ascii="Arial" w:hAnsi="Arial" w:cs="Arial"/>
          <w:color w:val="808080" w:themeColor="background1" w:themeShade="80"/>
        </w:rPr>
        <w:t>maximised</w:t>
      </w:r>
      <w:proofErr w:type="spellEnd"/>
      <w:r w:rsidRPr="005031A2">
        <w:rPr>
          <w:rFonts w:ascii="Arial" w:hAnsi="Arial" w:cs="Arial"/>
          <w:color w:val="808080" w:themeColor="background1" w:themeShade="80"/>
        </w:rPr>
        <w:t xml:space="preserve"> value for the whole corporation if it was successful (in the situation where the creditors would have </w:t>
      </w:r>
      <w:r w:rsidR="00673471" w:rsidRPr="005031A2">
        <w:rPr>
          <w:rFonts w:ascii="Arial" w:hAnsi="Arial" w:cs="Arial"/>
          <w:color w:val="808080" w:themeColor="background1" w:themeShade="80"/>
        </w:rPr>
        <w:t>borne</w:t>
      </w:r>
      <w:r w:rsidRPr="005031A2">
        <w:rPr>
          <w:rFonts w:ascii="Arial" w:hAnsi="Arial" w:cs="Arial"/>
          <w:color w:val="808080" w:themeColor="background1" w:themeShade="80"/>
        </w:rPr>
        <w:t xml:space="preserve"> the full risk of </w:t>
      </w:r>
      <w:r w:rsidR="0051126E" w:rsidRPr="005031A2">
        <w:rPr>
          <w:rFonts w:ascii="Arial" w:hAnsi="Arial" w:cs="Arial"/>
          <w:color w:val="808080" w:themeColor="background1" w:themeShade="80"/>
        </w:rPr>
        <w:t>the strategy failing</w:t>
      </w:r>
      <w:r w:rsidRPr="005031A2">
        <w:rPr>
          <w:rFonts w:ascii="Arial" w:hAnsi="Arial" w:cs="Arial"/>
          <w:color w:val="808080" w:themeColor="background1" w:themeShade="80"/>
        </w:rPr>
        <w:t xml:space="preserve">). </w:t>
      </w:r>
      <w:r w:rsidRPr="005031A2">
        <w:rPr>
          <w:rFonts w:ascii="Arial" w:hAnsi="Arial" w:cs="Arial"/>
          <w:i/>
          <w:iCs/>
          <w:color w:val="808080" w:themeColor="background1" w:themeShade="80"/>
        </w:rPr>
        <w:t xml:space="preserve">Quadrant </w:t>
      </w:r>
      <w:r w:rsidRPr="005031A2">
        <w:rPr>
          <w:rFonts w:ascii="Arial" w:hAnsi="Arial" w:cs="Arial"/>
          <w:color w:val="808080" w:themeColor="background1" w:themeShade="80"/>
        </w:rPr>
        <w:t xml:space="preserve">reinforced the point that Delaware corporate law did not </w:t>
      </w:r>
      <w:proofErr w:type="spellStart"/>
      <w:r w:rsidRPr="005031A2">
        <w:rPr>
          <w:rFonts w:ascii="Arial" w:hAnsi="Arial" w:cs="Arial"/>
          <w:color w:val="808080" w:themeColor="background1" w:themeShade="80"/>
        </w:rPr>
        <w:t>recognise</w:t>
      </w:r>
      <w:proofErr w:type="spellEnd"/>
      <w:r w:rsidRPr="005031A2">
        <w:rPr>
          <w:rFonts w:ascii="Arial" w:hAnsi="Arial" w:cs="Arial"/>
          <w:color w:val="808080" w:themeColor="background1" w:themeShade="80"/>
        </w:rPr>
        <w:t xml:space="preserve"> the concept of "deepening insolvency". Directors of Delaware corporations "</w:t>
      </w:r>
      <w:r w:rsidRPr="005031A2">
        <w:rPr>
          <w:rFonts w:ascii="Arial" w:hAnsi="Arial" w:cs="Arial"/>
          <w:i/>
          <w:iCs/>
          <w:color w:val="808080" w:themeColor="background1" w:themeShade="80"/>
        </w:rPr>
        <w:t>cannot be held liable for continuing to operate an insolvent entity in the good faith belief that they may achieve profitability, even if their decisions ultimately lead to greater losses for creditors</w:t>
      </w:r>
      <w:r w:rsidRPr="005031A2">
        <w:rPr>
          <w:rFonts w:ascii="Arial" w:hAnsi="Arial" w:cs="Arial"/>
          <w:color w:val="808080" w:themeColor="background1" w:themeShade="80"/>
        </w:rPr>
        <w:t>."</w:t>
      </w:r>
      <w:r w:rsidR="00D115F8" w:rsidRPr="005031A2">
        <w:rPr>
          <w:rStyle w:val="FootnoteReference"/>
          <w:rFonts w:ascii="Arial" w:hAnsi="Arial" w:cs="Arial"/>
          <w:color w:val="808080" w:themeColor="background1" w:themeShade="80"/>
        </w:rPr>
        <w:footnoteReference w:id="126"/>
      </w:r>
      <w:r w:rsidRPr="005031A2">
        <w:rPr>
          <w:rFonts w:ascii="Arial" w:hAnsi="Arial" w:cs="Arial"/>
          <w:color w:val="808080" w:themeColor="background1" w:themeShade="80"/>
        </w:rPr>
        <w:t xml:space="preserve"> Further, directors will not breach their fiduciary duties if, as a matter of business judgment, they </w:t>
      </w:r>
      <w:proofErr w:type="spellStart"/>
      <w:r w:rsidRPr="005031A2">
        <w:rPr>
          <w:rFonts w:ascii="Arial" w:hAnsi="Arial" w:cs="Arial"/>
          <w:color w:val="808080" w:themeColor="background1" w:themeShade="80"/>
        </w:rPr>
        <w:t>favour</w:t>
      </w:r>
      <w:proofErr w:type="spellEnd"/>
      <w:r w:rsidRPr="005031A2">
        <w:rPr>
          <w:rFonts w:ascii="Arial" w:hAnsi="Arial" w:cs="Arial"/>
          <w:color w:val="808080" w:themeColor="background1" w:themeShade="80"/>
        </w:rPr>
        <w:t xml:space="preserve"> certain creditors (if non-insiders) over other creditors with similar priority.</w:t>
      </w:r>
    </w:p>
    <w:p w14:paraId="55E6F635" w14:textId="77777777" w:rsidR="002D4CD8" w:rsidRPr="005031A2" w:rsidRDefault="002D4CD8" w:rsidP="001D3BAA">
      <w:pPr>
        <w:pStyle w:val="AODocTxt"/>
        <w:spacing w:before="0" w:line="240" w:lineRule="auto"/>
        <w:rPr>
          <w:rFonts w:ascii="Arial" w:hAnsi="Arial" w:cs="Arial"/>
          <w:color w:val="808080" w:themeColor="background1" w:themeShade="80"/>
        </w:rPr>
      </w:pPr>
    </w:p>
    <w:p w14:paraId="6582CC91" w14:textId="563D34BC" w:rsidR="004D2A77" w:rsidRPr="005031A2" w:rsidRDefault="002D4CD8" w:rsidP="000778B1">
      <w:pPr>
        <w:pStyle w:val="AODocTxt"/>
        <w:spacing w:before="0" w:line="240" w:lineRule="auto"/>
        <w:rPr>
          <w:rFonts w:ascii="Arial" w:hAnsi="Arial" w:cs="Arial"/>
          <w:color w:val="808080" w:themeColor="background1" w:themeShade="80"/>
        </w:rPr>
      </w:pPr>
      <w:proofErr w:type="gramStart"/>
      <w:r w:rsidRPr="005031A2">
        <w:rPr>
          <w:rFonts w:ascii="Arial" w:hAnsi="Arial" w:cs="Arial"/>
          <w:color w:val="808080" w:themeColor="background1" w:themeShade="80"/>
        </w:rPr>
        <w:t>In light of</w:t>
      </w:r>
      <w:proofErr w:type="gramEnd"/>
      <w:r w:rsidRPr="005031A2">
        <w:rPr>
          <w:rFonts w:ascii="Arial" w:hAnsi="Arial" w:cs="Arial"/>
          <w:color w:val="808080" w:themeColor="background1" w:themeShade="80"/>
        </w:rPr>
        <w:t xml:space="preserve"> the above, creditors may protect their interest </w:t>
      </w:r>
      <w:r w:rsidR="0051126E" w:rsidRPr="005031A2">
        <w:rPr>
          <w:rFonts w:ascii="Arial" w:hAnsi="Arial" w:cs="Arial"/>
          <w:color w:val="808080" w:themeColor="background1" w:themeShade="80"/>
        </w:rPr>
        <w:t xml:space="preserve">only </w:t>
      </w:r>
      <w:r w:rsidRPr="005031A2">
        <w:rPr>
          <w:rFonts w:ascii="Arial" w:hAnsi="Arial" w:cs="Arial"/>
          <w:color w:val="808080" w:themeColor="background1" w:themeShade="80"/>
        </w:rPr>
        <w:t xml:space="preserve">by bringing a derivative claim (on behalf of the insolvent corporation). Creditors of an insolvent Delaware corporation, as a matter of law, </w:t>
      </w:r>
      <w:r w:rsidR="0051126E" w:rsidRPr="005031A2">
        <w:rPr>
          <w:rFonts w:ascii="Arial" w:hAnsi="Arial" w:cs="Arial"/>
          <w:color w:val="808080" w:themeColor="background1" w:themeShade="80"/>
        </w:rPr>
        <w:t xml:space="preserve">do </w:t>
      </w:r>
      <w:r w:rsidR="0051126E" w:rsidRPr="005031A2">
        <w:rPr>
          <w:rFonts w:ascii="Arial" w:hAnsi="Arial" w:cs="Arial"/>
          <w:color w:val="808080" w:themeColor="background1" w:themeShade="80"/>
          <w:u w:val="single"/>
        </w:rPr>
        <w:t>not</w:t>
      </w:r>
      <w:r w:rsidR="0051126E" w:rsidRPr="005031A2">
        <w:rPr>
          <w:rFonts w:ascii="Arial" w:hAnsi="Arial" w:cs="Arial"/>
          <w:color w:val="808080" w:themeColor="background1" w:themeShade="80"/>
        </w:rPr>
        <w:t xml:space="preserve"> </w:t>
      </w:r>
      <w:r w:rsidRPr="005031A2">
        <w:rPr>
          <w:rFonts w:ascii="Arial" w:hAnsi="Arial" w:cs="Arial"/>
          <w:color w:val="808080" w:themeColor="background1" w:themeShade="80"/>
        </w:rPr>
        <w:t xml:space="preserve">have </w:t>
      </w:r>
      <w:proofErr w:type="gramStart"/>
      <w:r w:rsidR="0051126E" w:rsidRPr="005031A2">
        <w:rPr>
          <w:rFonts w:ascii="Arial" w:hAnsi="Arial" w:cs="Arial"/>
          <w:color w:val="808080" w:themeColor="background1" w:themeShade="80"/>
        </w:rPr>
        <w:t>standing</w:t>
      </w:r>
      <w:proofErr w:type="gramEnd"/>
      <w:r w:rsidRPr="005031A2">
        <w:rPr>
          <w:rFonts w:ascii="Arial" w:hAnsi="Arial" w:cs="Arial"/>
          <w:color w:val="808080" w:themeColor="background1" w:themeShade="80"/>
        </w:rPr>
        <w:t xml:space="preserve"> to assert direct claims for breaches of fiduciary duties against the corporation's directors. Further, there is no redress for creditors if the directors of an insolvent corporation pursue a business strategy that causes loss to the creditors if such decision was made in good faith.</w:t>
      </w:r>
    </w:p>
    <w:p w14:paraId="115B3091" w14:textId="77777777" w:rsidR="004D2A77" w:rsidRDefault="004D2A77" w:rsidP="000778B1">
      <w:pPr>
        <w:pStyle w:val="AODocTxt"/>
        <w:spacing w:before="0" w:line="240" w:lineRule="auto"/>
        <w:rPr>
          <w:rFonts w:ascii="Avenir Next" w:hAnsi="Avenir Next"/>
        </w:rPr>
      </w:pPr>
    </w:p>
    <w:p w14:paraId="4129DDDD" w14:textId="77777777" w:rsidR="00D115F8" w:rsidRDefault="00D115F8" w:rsidP="000778B1">
      <w:pPr>
        <w:pStyle w:val="AODocTxt"/>
        <w:spacing w:before="0" w:line="240" w:lineRule="auto"/>
        <w:rPr>
          <w:rFonts w:ascii="Avenir Next" w:hAnsi="Avenir Next"/>
        </w:rPr>
      </w:pPr>
    </w:p>
    <w:p w14:paraId="7A0CB9FE" w14:textId="77777777" w:rsidR="00276AAC" w:rsidRPr="00E01803" w:rsidRDefault="00276AAC"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19E7F156" w14:textId="77777777" w:rsidR="003F6C60" w:rsidRDefault="003F6C60" w:rsidP="005237A3">
      <w:pPr>
        <w:pStyle w:val="AODocTxt"/>
        <w:spacing w:before="0" w:line="240" w:lineRule="auto"/>
        <w:rPr>
          <w:rFonts w:ascii="Arial" w:hAnsi="Arial" w:cs="Arial"/>
          <w:color w:val="808080" w:themeColor="background1" w:themeShade="80"/>
        </w:rPr>
      </w:pPr>
    </w:p>
    <w:p w14:paraId="4476F8F7" w14:textId="13C52737" w:rsidR="007D7495" w:rsidRPr="0084163F" w:rsidRDefault="007D7495" w:rsidP="005237A3">
      <w:pPr>
        <w:pStyle w:val="AODocTxt"/>
        <w:spacing w:before="0" w:line="240" w:lineRule="auto"/>
        <w:rPr>
          <w:rFonts w:ascii="Arial" w:hAnsi="Arial" w:cs="Arial"/>
          <w:b/>
          <w:bCs/>
          <w:color w:val="808080" w:themeColor="background1" w:themeShade="80"/>
          <w:u w:val="single"/>
        </w:rPr>
      </w:pPr>
      <w:r w:rsidRPr="0084163F">
        <w:rPr>
          <w:rFonts w:ascii="Arial" w:hAnsi="Arial" w:cs="Arial"/>
          <w:b/>
          <w:bCs/>
          <w:color w:val="808080" w:themeColor="background1" w:themeShade="80"/>
          <w:u w:val="single"/>
        </w:rPr>
        <w:t>Section 365 of Title 11 of the United States Code (i.e. the Bankruptcy Code)</w:t>
      </w:r>
    </w:p>
    <w:p w14:paraId="0BEDABB4" w14:textId="1D3BA505" w:rsidR="003F6C60" w:rsidRPr="0084163F" w:rsidRDefault="00BE201D" w:rsidP="005237A3">
      <w:pPr>
        <w:pStyle w:val="AODocTxt"/>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 xml:space="preserve">Section 365(a) </w:t>
      </w:r>
      <w:r w:rsidR="003868C1" w:rsidRPr="0084163F">
        <w:rPr>
          <w:rFonts w:ascii="Arial" w:hAnsi="Arial" w:cs="Arial"/>
          <w:color w:val="808080" w:themeColor="background1" w:themeShade="80"/>
        </w:rPr>
        <w:t>states that “</w:t>
      </w:r>
      <w:r w:rsidR="003868C1" w:rsidRPr="0084163F">
        <w:rPr>
          <w:rFonts w:ascii="Arial" w:hAnsi="Arial" w:cs="Arial"/>
          <w:i/>
          <w:iCs/>
          <w:color w:val="808080" w:themeColor="background1" w:themeShade="80"/>
        </w:rPr>
        <w:t xml:space="preserve">the trustee, subject to the court’s approval, </w:t>
      </w:r>
      <w:r w:rsidR="003868C1" w:rsidRPr="0084163F">
        <w:rPr>
          <w:rFonts w:ascii="Arial" w:hAnsi="Arial" w:cs="Arial"/>
          <w:i/>
          <w:iCs/>
          <w:color w:val="808080" w:themeColor="background1" w:themeShade="80"/>
          <w:u w:val="single"/>
        </w:rPr>
        <w:t>may assume or reject any</w:t>
      </w:r>
      <w:r w:rsidR="003868C1" w:rsidRPr="0084163F">
        <w:rPr>
          <w:rFonts w:ascii="Arial" w:hAnsi="Arial" w:cs="Arial"/>
          <w:i/>
          <w:iCs/>
          <w:color w:val="808080" w:themeColor="background1" w:themeShade="80"/>
        </w:rPr>
        <w:t xml:space="preserve"> executory contract or </w:t>
      </w:r>
      <w:r w:rsidR="003868C1" w:rsidRPr="0084163F">
        <w:rPr>
          <w:rFonts w:ascii="Arial" w:hAnsi="Arial" w:cs="Arial"/>
          <w:i/>
          <w:iCs/>
          <w:color w:val="808080" w:themeColor="background1" w:themeShade="80"/>
          <w:u w:val="single"/>
        </w:rPr>
        <w:t>unexpired lease of the debtor</w:t>
      </w:r>
      <w:r w:rsidR="003868C1" w:rsidRPr="0084163F">
        <w:rPr>
          <w:rFonts w:ascii="Arial" w:hAnsi="Arial" w:cs="Arial"/>
          <w:color w:val="808080" w:themeColor="background1" w:themeShade="80"/>
        </w:rPr>
        <w:t>. [emphasis added]”</w:t>
      </w:r>
      <w:r w:rsidR="003868C1" w:rsidRPr="0084163F">
        <w:rPr>
          <w:rStyle w:val="FootnoteReference"/>
          <w:rFonts w:ascii="Arial" w:hAnsi="Arial" w:cs="Arial"/>
          <w:color w:val="808080" w:themeColor="background1" w:themeShade="80"/>
        </w:rPr>
        <w:footnoteReference w:id="127"/>
      </w:r>
      <w:r w:rsidR="00BA409E" w:rsidRPr="0084163F">
        <w:rPr>
          <w:rFonts w:ascii="Arial" w:hAnsi="Arial" w:cs="Arial"/>
          <w:color w:val="808080" w:themeColor="background1" w:themeShade="80"/>
        </w:rPr>
        <w:t xml:space="preserve"> </w:t>
      </w:r>
      <w:r w:rsidR="00F7107B" w:rsidRPr="0084163F">
        <w:rPr>
          <w:rFonts w:ascii="Arial" w:hAnsi="Arial" w:cs="Arial"/>
          <w:color w:val="808080" w:themeColor="background1" w:themeShade="80"/>
        </w:rPr>
        <w:t>Even though</w:t>
      </w:r>
      <w:r w:rsidR="00CF705E" w:rsidRPr="0084163F">
        <w:rPr>
          <w:rFonts w:ascii="Arial" w:hAnsi="Arial" w:cs="Arial"/>
          <w:color w:val="808080" w:themeColor="background1" w:themeShade="80"/>
        </w:rPr>
        <w:t xml:space="preserve"> section 365(a) is a debtor-friendly feature of the Bankruptcy Code,</w:t>
      </w:r>
      <w:r w:rsidR="00CF705E" w:rsidRPr="0084163F">
        <w:rPr>
          <w:rStyle w:val="FootnoteReference"/>
          <w:rFonts w:ascii="Arial" w:hAnsi="Arial" w:cs="Arial"/>
          <w:color w:val="808080" w:themeColor="background1" w:themeShade="80"/>
        </w:rPr>
        <w:footnoteReference w:id="128"/>
      </w:r>
      <w:r w:rsidR="00CF705E" w:rsidRPr="0084163F">
        <w:rPr>
          <w:rFonts w:ascii="Arial" w:hAnsi="Arial" w:cs="Arial"/>
          <w:color w:val="808080" w:themeColor="background1" w:themeShade="80"/>
        </w:rPr>
        <w:t xml:space="preserve"> </w:t>
      </w:r>
      <w:r w:rsidR="00123C65" w:rsidRPr="0084163F">
        <w:rPr>
          <w:rFonts w:ascii="Arial" w:hAnsi="Arial" w:cs="Arial"/>
          <w:color w:val="808080" w:themeColor="background1" w:themeShade="80"/>
        </w:rPr>
        <w:t xml:space="preserve">the Bankruptcy Code provides protections to the lessors of </w:t>
      </w:r>
      <w:r w:rsidR="009765C0" w:rsidRPr="0084163F">
        <w:rPr>
          <w:rFonts w:ascii="Arial" w:hAnsi="Arial" w:cs="Arial"/>
          <w:color w:val="808080" w:themeColor="background1" w:themeShade="80"/>
        </w:rPr>
        <w:t xml:space="preserve">the </w:t>
      </w:r>
      <w:r w:rsidR="00123C65" w:rsidRPr="0084163F">
        <w:rPr>
          <w:rFonts w:ascii="Arial" w:hAnsi="Arial" w:cs="Arial"/>
          <w:color w:val="808080" w:themeColor="background1" w:themeShade="80"/>
        </w:rPr>
        <w:t>office space to iWork Ltd (</w:t>
      </w:r>
      <w:r w:rsidR="00CF705E" w:rsidRPr="0084163F">
        <w:rPr>
          <w:rFonts w:ascii="Arial" w:hAnsi="Arial" w:cs="Arial"/>
          <w:color w:val="808080" w:themeColor="background1" w:themeShade="80"/>
        </w:rPr>
        <w:t>“</w:t>
      </w:r>
      <w:r w:rsidR="00CF705E" w:rsidRPr="0084163F">
        <w:rPr>
          <w:rFonts w:ascii="Arial" w:hAnsi="Arial" w:cs="Arial"/>
          <w:b/>
          <w:bCs/>
          <w:color w:val="808080" w:themeColor="background1" w:themeShade="80"/>
        </w:rPr>
        <w:t>iWork</w:t>
      </w:r>
      <w:r w:rsidR="00CF705E" w:rsidRPr="0084163F">
        <w:rPr>
          <w:rFonts w:ascii="Arial" w:hAnsi="Arial" w:cs="Arial"/>
          <w:color w:val="808080" w:themeColor="background1" w:themeShade="80"/>
        </w:rPr>
        <w:t>”</w:t>
      </w:r>
      <w:r w:rsidR="00123C65" w:rsidRPr="0084163F">
        <w:rPr>
          <w:rFonts w:ascii="Arial" w:hAnsi="Arial" w:cs="Arial"/>
          <w:color w:val="808080" w:themeColor="background1" w:themeShade="80"/>
        </w:rPr>
        <w:t xml:space="preserve">). </w:t>
      </w:r>
      <w:r w:rsidR="00161005" w:rsidRPr="0084163F">
        <w:rPr>
          <w:rFonts w:ascii="Arial" w:hAnsi="Arial" w:cs="Arial"/>
          <w:color w:val="808080" w:themeColor="background1" w:themeShade="80"/>
        </w:rPr>
        <w:t xml:space="preserve">Lessors have </w:t>
      </w:r>
      <w:r w:rsidR="00123C65" w:rsidRPr="0084163F">
        <w:rPr>
          <w:rFonts w:ascii="Arial" w:hAnsi="Arial" w:cs="Arial"/>
          <w:color w:val="808080" w:themeColor="background1" w:themeShade="80"/>
        </w:rPr>
        <w:t xml:space="preserve">rights which can </w:t>
      </w:r>
      <w:proofErr w:type="spellStart"/>
      <w:r w:rsidR="00123C65" w:rsidRPr="0084163F">
        <w:rPr>
          <w:rFonts w:ascii="Arial" w:hAnsi="Arial" w:cs="Arial"/>
          <w:color w:val="808080" w:themeColor="background1" w:themeShade="80"/>
        </w:rPr>
        <w:t>maximise</w:t>
      </w:r>
      <w:proofErr w:type="spellEnd"/>
      <w:r w:rsidR="00123C65" w:rsidRPr="0084163F">
        <w:rPr>
          <w:rFonts w:ascii="Arial" w:hAnsi="Arial" w:cs="Arial"/>
          <w:color w:val="808080" w:themeColor="background1" w:themeShade="80"/>
        </w:rPr>
        <w:t xml:space="preserve"> their recoveries and protect their </w:t>
      </w:r>
      <w:r w:rsidR="009765C0" w:rsidRPr="0084163F">
        <w:rPr>
          <w:rFonts w:ascii="Arial" w:hAnsi="Arial" w:cs="Arial"/>
          <w:color w:val="808080" w:themeColor="background1" w:themeShade="80"/>
        </w:rPr>
        <w:t>position</w:t>
      </w:r>
      <w:r w:rsidR="003F6C60" w:rsidRPr="0084163F">
        <w:rPr>
          <w:rFonts w:ascii="Arial" w:hAnsi="Arial" w:cs="Arial"/>
          <w:color w:val="808080" w:themeColor="background1" w:themeShade="80"/>
        </w:rPr>
        <w:t>.</w:t>
      </w:r>
      <w:r w:rsidR="00123C65" w:rsidRPr="0084163F">
        <w:rPr>
          <w:rStyle w:val="FootnoteReference"/>
          <w:rFonts w:ascii="Arial" w:hAnsi="Arial" w:cs="Arial"/>
          <w:color w:val="808080" w:themeColor="background1" w:themeShade="80"/>
        </w:rPr>
        <w:footnoteReference w:id="129"/>
      </w:r>
    </w:p>
    <w:p w14:paraId="19DF40DB" w14:textId="77777777" w:rsidR="003F6C60" w:rsidRPr="0084163F" w:rsidRDefault="003F6C60" w:rsidP="005237A3">
      <w:pPr>
        <w:pStyle w:val="AODocTxt"/>
        <w:spacing w:before="0" w:line="240" w:lineRule="auto"/>
        <w:rPr>
          <w:rFonts w:ascii="Arial" w:hAnsi="Arial" w:cs="Arial"/>
          <w:color w:val="808080" w:themeColor="background1" w:themeShade="80"/>
        </w:rPr>
      </w:pPr>
    </w:p>
    <w:p w14:paraId="6B43921C" w14:textId="55980EDE" w:rsidR="00E92F65" w:rsidRPr="0084163F" w:rsidRDefault="009F79B8" w:rsidP="00D90781">
      <w:pPr>
        <w:pStyle w:val="AODocTxt"/>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 xml:space="preserve">In iWork’s situation, there is </w:t>
      </w:r>
      <w:r w:rsidR="004748B1" w:rsidRPr="0084163F">
        <w:rPr>
          <w:rFonts w:ascii="Arial" w:hAnsi="Arial" w:cs="Arial"/>
          <w:color w:val="808080" w:themeColor="background1" w:themeShade="80"/>
        </w:rPr>
        <w:t xml:space="preserve">an unexpired lease of nonresidential real property under which the debtor </w:t>
      </w:r>
      <w:r w:rsidRPr="0084163F">
        <w:rPr>
          <w:rFonts w:ascii="Arial" w:hAnsi="Arial" w:cs="Arial"/>
          <w:color w:val="808080" w:themeColor="background1" w:themeShade="80"/>
        </w:rPr>
        <w:t xml:space="preserve">(i.e. iWork) </w:t>
      </w:r>
      <w:r w:rsidR="004748B1" w:rsidRPr="0084163F">
        <w:rPr>
          <w:rFonts w:ascii="Arial" w:hAnsi="Arial" w:cs="Arial"/>
          <w:color w:val="808080" w:themeColor="background1" w:themeShade="80"/>
        </w:rPr>
        <w:t>is the lessee</w:t>
      </w:r>
      <w:r w:rsidRPr="0084163F">
        <w:rPr>
          <w:rFonts w:ascii="Arial" w:hAnsi="Arial" w:cs="Arial"/>
          <w:color w:val="808080" w:themeColor="background1" w:themeShade="80"/>
        </w:rPr>
        <w:t>. Under section 365(d)(4)(A), the unexpired lease “</w:t>
      </w:r>
      <w:r w:rsidR="004748B1" w:rsidRPr="0084163F">
        <w:rPr>
          <w:rFonts w:ascii="Arial" w:hAnsi="Arial" w:cs="Arial"/>
          <w:i/>
          <w:iCs/>
          <w:color w:val="808080" w:themeColor="background1" w:themeShade="80"/>
        </w:rPr>
        <w:t xml:space="preserve">shall be </w:t>
      </w:r>
      <w:r w:rsidR="004748B1" w:rsidRPr="0084163F">
        <w:rPr>
          <w:rFonts w:ascii="Arial" w:hAnsi="Arial" w:cs="Arial"/>
          <w:i/>
          <w:iCs/>
          <w:color w:val="808080" w:themeColor="background1" w:themeShade="80"/>
          <w:u w:val="single"/>
        </w:rPr>
        <w:t>deemed rejected</w:t>
      </w:r>
      <w:r w:rsidR="004748B1" w:rsidRPr="0084163F">
        <w:rPr>
          <w:rFonts w:ascii="Arial" w:hAnsi="Arial" w:cs="Arial"/>
          <w:i/>
          <w:iCs/>
          <w:color w:val="808080" w:themeColor="background1" w:themeShade="80"/>
        </w:rPr>
        <w:t xml:space="preserve">, and the trustee shall </w:t>
      </w:r>
      <w:r w:rsidR="004748B1" w:rsidRPr="0084163F">
        <w:rPr>
          <w:rFonts w:ascii="Arial" w:hAnsi="Arial" w:cs="Arial"/>
          <w:i/>
          <w:iCs/>
          <w:color w:val="808080" w:themeColor="background1" w:themeShade="80"/>
          <w:u w:val="single"/>
        </w:rPr>
        <w:t>immediately surrender that nonresidential real property to the lessor</w:t>
      </w:r>
      <w:r w:rsidR="004748B1" w:rsidRPr="0084163F">
        <w:rPr>
          <w:rFonts w:ascii="Arial" w:hAnsi="Arial" w:cs="Arial"/>
          <w:i/>
          <w:iCs/>
          <w:color w:val="808080" w:themeColor="background1" w:themeShade="80"/>
        </w:rPr>
        <w:t xml:space="preserve">, if the </w:t>
      </w:r>
      <w:r w:rsidR="004748B1" w:rsidRPr="0084163F">
        <w:rPr>
          <w:rFonts w:ascii="Arial" w:hAnsi="Arial" w:cs="Arial"/>
          <w:i/>
          <w:iCs/>
          <w:color w:val="808080" w:themeColor="background1" w:themeShade="80"/>
          <w:u w:val="single"/>
        </w:rPr>
        <w:t>trustee</w:t>
      </w:r>
      <w:r w:rsidR="004748B1" w:rsidRPr="0084163F">
        <w:rPr>
          <w:rFonts w:ascii="Arial" w:hAnsi="Arial" w:cs="Arial"/>
          <w:i/>
          <w:iCs/>
          <w:color w:val="808080" w:themeColor="background1" w:themeShade="80"/>
        </w:rPr>
        <w:t xml:space="preserve"> does </w:t>
      </w:r>
      <w:r w:rsidR="004748B1" w:rsidRPr="0084163F">
        <w:rPr>
          <w:rFonts w:ascii="Arial" w:hAnsi="Arial" w:cs="Arial"/>
          <w:i/>
          <w:iCs/>
          <w:color w:val="808080" w:themeColor="background1" w:themeShade="80"/>
          <w:u w:val="single"/>
        </w:rPr>
        <w:t>not assume or reject the unexpired lease</w:t>
      </w:r>
      <w:r w:rsidR="004748B1" w:rsidRPr="0084163F">
        <w:rPr>
          <w:rFonts w:ascii="Arial" w:hAnsi="Arial" w:cs="Arial"/>
          <w:i/>
          <w:iCs/>
          <w:color w:val="808080" w:themeColor="background1" w:themeShade="80"/>
        </w:rPr>
        <w:t xml:space="preserve"> by the earlier of</w:t>
      </w:r>
      <w:r w:rsidR="002F2CFC" w:rsidRPr="0084163F">
        <w:rPr>
          <w:rFonts w:ascii="Arial" w:hAnsi="Arial" w:cs="Arial"/>
          <w:i/>
          <w:iCs/>
          <w:color w:val="808080" w:themeColor="background1" w:themeShade="80"/>
        </w:rPr>
        <w:t xml:space="preserve"> </w:t>
      </w:r>
      <w:r w:rsidR="004748B1" w:rsidRPr="0084163F">
        <w:rPr>
          <w:rFonts w:ascii="Arial" w:hAnsi="Arial" w:cs="Arial"/>
          <w:i/>
          <w:iCs/>
          <w:color w:val="808080" w:themeColor="background1" w:themeShade="80"/>
        </w:rPr>
        <w:t xml:space="preserve">the date that is 120 days after the date of the order for relief; </w:t>
      </w:r>
      <w:r w:rsidR="002F2CFC" w:rsidRPr="0084163F">
        <w:rPr>
          <w:rFonts w:ascii="Arial" w:hAnsi="Arial" w:cs="Arial"/>
          <w:i/>
          <w:iCs/>
          <w:color w:val="808080" w:themeColor="background1" w:themeShade="80"/>
        </w:rPr>
        <w:t xml:space="preserve">or </w:t>
      </w:r>
      <w:r w:rsidR="004748B1" w:rsidRPr="0084163F">
        <w:rPr>
          <w:rFonts w:ascii="Arial" w:hAnsi="Arial" w:cs="Arial"/>
          <w:i/>
          <w:iCs/>
          <w:color w:val="808080" w:themeColor="background1" w:themeShade="80"/>
        </w:rPr>
        <w:t xml:space="preserve">the date of the entry of an order </w:t>
      </w:r>
      <w:r w:rsidR="004748B1" w:rsidRPr="0084163F">
        <w:rPr>
          <w:rFonts w:ascii="Arial" w:hAnsi="Arial" w:cs="Arial"/>
          <w:i/>
          <w:iCs/>
          <w:color w:val="808080" w:themeColor="background1" w:themeShade="80"/>
        </w:rPr>
        <w:lastRenderedPageBreak/>
        <w:t>confirming a plan</w:t>
      </w:r>
      <w:r w:rsidR="004748B1" w:rsidRPr="0084163F">
        <w:rPr>
          <w:rFonts w:ascii="Arial" w:hAnsi="Arial" w:cs="Arial"/>
          <w:color w:val="808080" w:themeColor="background1" w:themeShade="80"/>
        </w:rPr>
        <w:t>.</w:t>
      </w:r>
      <w:r w:rsidR="002F2CFC" w:rsidRPr="0084163F">
        <w:rPr>
          <w:rFonts w:ascii="Arial" w:hAnsi="Arial" w:cs="Arial"/>
          <w:color w:val="808080" w:themeColor="background1" w:themeShade="80"/>
        </w:rPr>
        <w:t xml:space="preserve"> [emphasis added]”</w:t>
      </w:r>
      <w:r w:rsidR="002F2CFC" w:rsidRPr="0084163F">
        <w:rPr>
          <w:rStyle w:val="FootnoteReference"/>
          <w:rFonts w:ascii="Arial" w:hAnsi="Arial" w:cs="Arial"/>
          <w:color w:val="808080" w:themeColor="background1" w:themeShade="80"/>
        </w:rPr>
        <w:footnoteReference w:id="130"/>
      </w:r>
      <w:r w:rsidR="002F2CFC" w:rsidRPr="0084163F">
        <w:rPr>
          <w:rFonts w:ascii="Arial" w:hAnsi="Arial" w:cs="Arial"/>
          <w:color w:val="808080" w:themeColor="background1" w:themeShade="80"/>
        </w:rPr>
        <w:t xml:space="preserve"> Prior to the expiration of the 120-day period, the court may extend the period </w:t>
      </w:r>
      <w:r w:rsidR="004748B1" w:rsidRPr="0084163F">
        <w:rPr>
          <w:rFonts w:ascii="Arial" w:hAnsi="Arial" w:cs="Arial"/>
          <w:color w:val="808080" w:themeColor="background1" w:themeShade="80"/>
        </w:rPr>
        <w:t>for 90 days on the motion of the trustee or lessor</w:t>
      </w:r>
      <w:r w:rsidR="002F2CFC" w:rsidRPr="0084163F">
        <w:rPr>
          <w:rStyle w:val="FootnoteReference"/>
          <w:rFonts w:ascii="Arial" w:hAnsi="Arial" w:cs="Arial"/>
          <w:color w:val="808080" w:themeColor="background1" w:themeShade="80"/>
        </w:rPr>
        <w:footnoteReference w:id="131"/>
      </w:r>
      <w:r w:rsidR="002F2CFC" w:rsidRPr="0084163F">
        <w:rPr>
          <w:rFonts w:ascii="Arial" w:hAnsi="Arial" w:cs="Arial"/>
          <w:color w:val="808080" w:themeColor="background1" w:themeShade="80"/>
        </w:rPr>
        <w:t>.</w:t>
      </w:r>
      <w:r w:rsidR="00A43230" w:rsidRPr="0084163F">
        <w:rPr>
          <w:rFonts w:ascii="Arial" w:hAnsi="Arial" w:cs="Arial"/>
          <w:color w:val="808080" w:themeColor="background1" w:themeShade="80"/>
        </w:rPr>
        <w:t xml:space="preserve"> </w:t>
      </w:r>
      <w:r w:rsidR="00E92F65" w:rsidRPr="0084163F">
        <w:rPr>
          <w:rFonts w:ascii="Arial" w:hAnsi="Arial" w:cs="Arial"/>
          <w:color w:val="808080" w:themeColor="background1" w:themeShade="80"/>
        </w:rPr>
        <w:t>Section 365(d)(4)(A) provides iWork, as debtor-tenant of nonresidential real property, with the right to decide what to do with the lease (within the timeframe stipulated).</w:t>
      </w:r>
      <w:r w:rsidR="009A79C9" w:rsidRPr="0084163F">
        <w:rPr>
          <w:rFonts w:ascii="Arial" w:hAnsi="Arial" w:cs="Arial"/>
          <w:color w:val="808080" w:themeColor="background1" w:themeShade="80"/>
        </w:rPr>
        <w:t xml:space="preserve"> The lease could be:</w:t>
      </w:r>
    </w:p>
    <w:p w14:paraId="5B493483" w14:textId="351B5788" w:rsidR="00D90781" w:rsidRPr="0084163F" w:rsidRDefault="006A4C9C" w:rsidP="00C71312">
      <w:pPr>
        <w:pStyle w:val="AODocTxt"/>
        <w:numPr>
          <w:ilvl w:val="0"/>
          <w:numId w:val="15"/>
        </w:numPr>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r</w:t>
      </w:r>
      <w:r w:rsidR="00D90781" w:rsidRPr="0084163F">
        <w:rPr>
          <w:rFonts w:ascii="Arial" w:hAnsi="Arial" w:cs="Arial"/>
          <w:color w:val="808080" w:themeColor="background1" w:themeShade="80"/>
        </w:rPr>
        <w:t>ejected</w:t>
      </w:r>
      <w:r w:rsidR="009A79C9" w:rsidRPr="0084163F">
        <w:rPr>
          <w:rFonts w:ascii="Arial" w:hAnsi="Arial" w:cs="Arial"/>
          <w:color w:val="808080" w:themeColor="background1" w:themeShade="80"/>
        </w:rPr>
        <w:t xml:space="preserve"> by </w:t>
      </w:r>
      <w:proofErr w:type="gramStart"/>
      <w:r w:rsidR="009A79C9" w:rsidRPr="0084163F">
        <w:rPr>
          <w:rFonts w:ascii="Arial" w:hAnsi="Arial" w:cs="Arial"/>
          <w:color w:val="808080" w:themeColor="background1" w:themeShade="80"/>
        </w:rPr>
        <w:t>iWork</w:t>
      </w:r>
      <w:r w:rsidR="00E92F65" w:rsidRPr="0084163F">
        <w:rPr>
          <w:rFonts w:ascii="Arial" w:hAnsi="Arial" w:cs="Arial"/>
          <w:color w:val="808080" w:themeColor="background1" w:themeShade="80"/>
        </w:rPr>
        <w:t>;</w:t>
      </w:r>
      <w:proofErr w:type="gramEnd"/>
    </w:p>
    <w:p w14:paraId="22707DC7" w14:textId="0E6A756B" w:rsidR="00D90781" w:rsidRPr="0084163F" w:rsidRDefault="00D90781" w:rsidP="00D90781">
      <w:pPr>
        <w:pStyle w:val="AODocTxt"/>
        <w:numPr>
          <w:ilvl w:val="0"/>
          <w:numId w:val="15"/>
        </w:numPr>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assumed by iWork; or</w:t>
      </w:r>
    </w:p>
    <w:p w14:paraId="5095FC41" w14:textId="77777777" w:rsidR="00D90781" w:rsidRPr="0084163F" w:rsidRDefault="00D90781" w:rsidP="00D90781">
      <w:pPr>
        <w:pStyle w:val="AODocTxt"/>
        <w:numPr>
          <w:ilvl w:val="0"/>
          <w:numId w:val="15"/>
        </w:numPr>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assumed and assigned to a third party.</w:t>
      </w:r>
    </w:p>
    <w:p w14:paraId="3400F2AF" w14:textId="77777777" w:rsidR="00D90781" w:rsidRPr="0084163F" w:rsidRDefault="00D90781" w:rsidP="005237A3">
      <w:pPr>
        <w:pStyle w:val="AODocTxt"/>
        <w:spacing w:before="0" w:line="240" w:lineRule="auto"/>
        <w:rPr>
          <w:rFonts w:ascii="Arial" w:hAnsi="Arial" w:cs="Arial"/>
          <w:color w:val="808080" w:themeColor="background1" w:themeShade="80"/>
        </w:rPr>
      </w:pPr>
    </w:p>
    <w:p w14:paraId="2CBF9CC1" w14:textId="71001EC9" w:rsidR="00946F8B" w:rsidRPr="0084163F" w:rsidRDefault="00946F8B" w:rsidP="005237A3">
      <w:pPr>
        <w:pStyle w:val="AODocTxt"/>
        <w:spacing w:before="0" w:line="240" w:lineRule="auto"/>
        <w:rPr>
          <w:rFonts w:ascii="Arial" w:hAnsi="Arial" w:cs="Arial"/>
          <w:b/>
          <w:bCs/>
          <w:color w:val="808080" w:themeColor="background1" w:themeShade="80"/>
          <w:u w:val="single"/>
        </w:rPr>
      </w:pPr>
      <w:r w:rsidRPr="0084163F">
        <w:rPr>
          <w:rFonts w:ascii="Arial" w:hAnsi="Arial" w:cs="Arial"/>
          <w:b/>
          <w:bCs/>
          <w:color w:val="808080" w:themeColor="background1" w:themeShade="80"/>
          <w:u w:val="single"/>
        </w:rPr>
        <w:t>Business judgment of iWork</w:t>
      </w:r>
    </w:p>
    <w:p w14:paraId="2D7963C8" w14:textId="2D63954C" w:rsidR="006A4C9C" w:rsidRPr="0084163F" w:rsidRDefault="006A4C9C" w:rsidP="005237A3">
      <w:pPr>
        <w:pStyle w:val="AODocTxt"/>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The bankruptcy court will</w:t>
      </w:r>
      <w:r w:rsidR="007F71EC" w:rsidRPr="0084163F">
        <w:rPr>
          <w:rFonts w:ascii="Arial" w:hAnsi="Arial" w:cs="Arial"/>
          <w:color w:val="808080" w:themeColor="background1" w:themeShade="80"/>
        </w:rPr>
        <w:t xml:space="preserve"> defer to iWork’s business judgment and will </w:t>
      </w:r>
      <w:r w:rsidR="00B01EB5" w:rsidRPr="0084163F">
        <w:rPr>
          <w:rFonts w:ascii="Arial" w:hAnsi="Arial" w:cs="Arial"/>
          <w:color w:val="808080" w:themeColor="background1" w:themeShade="80"/>
        </w:rPr>
        <w:t>likely</w:t>
      </w:r>
      <w:r w:rsidR="007F71EC" w:rsidRPr="0084163F">
        <w:rPr>
          <w:rFonts w:ascii="Arial" w:hAnsi="Arial" w:cs="Arial"/>
          <w:color w:val="808080" w:themeColor="background1" w:themeShade="80"/>
        </w:rPr>
        <w:t xml:space="preserve"> grant iWork’s motion to reject, assume or assume and assign the unexpired lease </w:t>
      </w:r>
      <w:r w:rsidR="007F71EC" w:rsidRPr="0084163F">
        <w:rPr>
          <w:rFonts w:ascii="Arial" w:hAnsi="Arial" w:cs="Arial"/>
          <w:color w:val="808080" w:themeColor="background1" w:themeShade="80"/>
          <w:u w:val="single"/>
        </w:rPr>
        <w:t>unless</w:t>
      </w:r>
      <w:r w:rsidR="007F71EC" w:rsidRPr="0084163F">
        <w:rPr>
          <w:rFonts w:ascii="Arial" w:hAnsi="Arial" w:cs="Arial"/>
          <w:color w:val="808080" w:themeColor="background1" w:themeShade="80"/>
        </w:rPr>
        <w:t xml:space="preserve"> it is made in bad faith or there is an unreasonable exercise of iWork’s business discretion. A</w:t>
      </w:r>
      <w:r w:rsidRPr="0084163F">
        <w:rPr>
          <w:rFonts w:ascii="Arial" w:hAnsi="Arial" w:cs="Arial"/>
          <w:color w:val="808080" w:themeColor="background1" w:themeShade="80"/>
        </w:rPr>
        <w:t xml:space="preserve"> debtor’s ability (including iWork</w:t>
      </w:r>
      <w:r w:rsidR="00B01EB5" w:rsidRPr="0084163F">
        <w:rPr>
          <w:rFonts w:ascii="Arial" w:hAnsi="Arial" w:cs="Arial"/>
          <w:color w:val="808080" w:themeColor="background1" w:themeShade="80"/>
        </w:rPr>
        <w:t>’s</w:t>
      </w:r>
      <w:r w:rsidRPr="0084163F">
        <w:rPr>
          <w:rFonts w:ascii="Arial" w:hAnsi="Arial" w:cs="Arial"/>
          <w:color w:val="808080" w:themeColor="background1" w:themeShade="80"/>
        </w:rPr>
        <w:t xml:space="preserve">) to reject a burdensome </w:t>
      </w:r>
      <w:r w:rsidR="007F71EC" w:rsidRPr="0084163F">
        <w:rPr>
          <w:rFonts w:ascii="Arial" w:hAnsi="Arial" w:cs="Arial"/>
          <w:color w:val="808080" w:themeColor="background1" w:themeShade="80"/>
        </w:rPr>
        <w:t xml:space="preserve">lease (or </w:t>
      </w:r>
      <w:r w:rsidRPr="0084163F">
        <w:rPr>
          <w:rFonts w:ascii="Arial" w:hAnsi="Arial" w:cs="Arial"/>
          <w:color w:val="808080" w:themeColor="background1" w:themeShade="80"/>
        </w:rPr>
        <w:t>contract</w:t>
      </w:r>
      <w:r w:rsidR="007F71EC" w:rsidRPr="0084163F">
        <w:rPr>
          <w:rFonts w:ascii="Arial" w:hAnsi="Arial" w:cs="Arial"/>
          <w:color w:val="808080" w:themeColor="background1" w:themeShade="80"/>
        </w:rPr>
        <w:t xml:space="preserve">) </w:t>
      </w:r>
      <w:r w:rsidRPr="0084163F">
        <w:rPr>
          <w:rFonts w:ascii="Arial" w:hAnsi="Arial" w:cs="Arial"/>
          <w:color w:val="808080" w:themeColor="background1" w:themeShade="80"/>
        </w:rPr>
        <w:t xml:space="preserve">and retain </w:t>
      </w:r>
      <w:r w:rsidR="00503370" w:rsidRPr="0084163F">
        <w:rPr>
          <w:rFonts w:ascii="Arial" w:hAnsi="Arial" w:cs="Arial"/>
          <w:color w:val="808080" w:themeColor="background1" w:themeShade="80"/>
        </w:rPr>
        <w:t xml:space="preserve">those that are important to its </w:t>
      </w:r>
      <w:proofErr w:type="spellStart"/>
      <w:r w:rsidR="00503370" w:rsidRPr="0084163F">
        <w:rPr>
          <w:rFonts w:ascii="Arial" w:hAnsi="Arial" w:cs="Arial"/>
          <w:color w:val="808080" w:themeColor="background1" w:themeShade="80"/>
        </w:rPr>
        <w:t>reorganisation</w:t>
      </w:r>
      <w:proofErr w:type="spellEnd"/>
      <w:r w:rsidR="00503370" w:rsidRPr="0084163F">
        <w:rPr>
          <w:rFonts w:ascii="Arial" w:hAnsi="Arial" w:cs="Arial"/>
          <w:color w:val="808080" w:themeColor="background1" w:themeShade="80"/>
        </w:rPr>
        <w:t xml:space="preserve"> process are in line with the policy objective of rescuing struggling businesses but not at the expense of the creditors</w:t>
      </w:r>
      <w:r w:rsidR="00503370" w:rsidRPr="0084163F">
        <w:rPr>
          <w:rStyle w:val="FootnoteReference"/>
          <w:rFonts w:ascii="Arial" w:hAnsi="Arial" w:cs="Arial"/>
          <w:color w:val="808080" w:themeColor="background1" w:themeShade="80"/>
        </w:rPr>
        <w:footnoteReference w:id="132"/>
      </w:r>
      <w:r w:rsidR="00503370" w:rsidRPr="0084163F">
        <w:rPr>
          <w:rFonts w:ascii="Arial" w:hAnsi="Arial" w:cs="Arial"/>
          <w:color w:val="808080" w:themeColor="background1" w:themeShade="80"/>
        </w:rPr>
        <w:t xml:space="preserve">. </w:t>
      </w:r>
      <w:r w:rsidR="007F71EC" w:rsidRPr="0084163F">
        <w:rPr>
          <w:rFonts w:ascii="Arial" w:hAnsi="Arial" w:cs="Arial"/>
          <w:color w:val="808080" w:themeColor="background1" w:themeShade="80"/>
        </w:rPr>
        <w:t xml:space="preserve">iWork should therefore use the flexibility granted to it by the Bankruptcy Code and its business judgment to </w:t>
      </w:r>
      <w:r w:rsidR="00503370" w:rsidRPr="0084163F">
        <w:rPr>
          <w:rFonts w:ascii="Arial" w:hAnsi="Arial" w:cs="Arial"/>
          <w:color w:val="808080" w:themeColor="background1" w:themeShade="80"/>
        </w:rPr>
        <w:t xml:space="preserve">abandon burdensome assets or obligations </w:t>
      </w:r>
      <w:r w:rsidR="007F71EC" w:rsidRPr="0084163F">
        <w:rPr>
          <w:rFonts w:ascii="Arial" w:hAnsi="Arial" w:cs="Arial"/>
          <w:color w:val="808080" w:themeColor="background1" w:themeShade="80"/>
        </w:rPr>
        <w:t>(</w:t>
      </w:r>
      <w:r w:rsidR="00503370" w:rsidRPr="0084163F">
        <w:rPr>
          <w:rFonts w:ascii="Arial" w:hAnsi="Arial" w:cs="Arial"/>
          <w:color w:val="808080" w:themeColor="background1" w:themeShade="80"/>
        </w:rPr>
        <w:t xml:space="preserve">and retain </w:t>
      </w:r>
      <w:proofErr w:type="spellStart"/>
      <w:r w:rsidR="00503370" w:rsidRPr="0084163F">
        <w:rPr>
          <w:rFonts w:ascii="Arial" w:hAnsi="Arial" w:cs="Arial"/>
          <w:color w:val="808080" w:themeColor="background1" w:themeShade="80"/>
        </w:rPr>
        <w:t>favourable</w:t>
      </w:r>
      <w:proofErr w:type="spellEnd"/>
      <w:r w:rsidR="00503370" w:rsidRPr="0084163F">
        <w:rPr>
          <w:rFonts w:ascii="Arial" w:hAnsi="Arial" w:cs="Arial"/>
          <w:color w:val="808080" w:themeColor="background1" w:themeShade="80"/>
        </w:rPr>
        <w:t xml:space="preserve"> ones</w:t>
      </w:r>
      <w:r w:rsidR="007F71EC" w:rsidRPr="0084163F">
        <w:rPr>
          <w:rFonts w:ascii="Arial" w:hAnsi="Arial" w:cs="Arial"/>
          <w:color w:val="808080" w:themeColor="background1" w:themeShade="80"/>
        </w:rPr>
        <w:t xml:space="preserve">) </w:t>
      </w:r>
      <w:proofErr w:type="gramStart"/>
      <w:r w:rsidR="007F71EC" w:rsidRPr="0084163F">
        <w:rPr>
          <w:rFonts w:ascii="Arial" w:hAnsi="Arial" w:cs="Arial"/>
          <w:color w:val="808080" w:themeColor="background1" w:themeShade="80"/>
        </w:rPr>
        <w:t>in order to</w:t>
      </w:r>
      <w:proofErr w:type="gramEnd"/>
      <w:r w:rsidR="00503370" w:rsidRPr="0084163F">
        <w:rPr>
          <w:rFonts w:ascii="Arial" w:hAnsi="Arial" w:cs="Arial"/>
          <w:color w:val="808080" w:themeColor="background1" w:themeShade="80"/>
        </w:rPr>
        <w:t xml:space="preserve"> </w:t>
      </w:r>
      <w:proofErr w:type="spellStart"/>
      <w:r w:rsidR="00503370" w:rsidRPr="0084163F">
        <w:rPr>
          <w:rFonts w:ascii="Arial" w:hAnsi="Arial" w:cs="Arial"/>
          <w:color w:val="808080" w:themeColor="background1" w:themeShade="80"/>
        </w:rPr>
        <w:t>maximise</w:t>
      </w:r>
      <w:proofErr w:type="spellEnd"/>
      <w:r w:rsidR="00503370" w:rsidRPr="0084163F">
        <w:rPr>
          <w:rFonts w:ascii="Arial" w:hAnsi="Arial" w:cs="Arial"/>
          <w:color w:val="808080" w:themeColor="background1" w:themeShade="80"/>
        </w:rPr>
        <w:t xml:space="preserve"> the value of the estate and benefit creditors</w:t>
      </w:r>
      <w:r w:rsidR="007F71EC" w:rsidRPr="0084163F">
        <w:rPr>
          <w:rFonts w:ascii="Arial" w:hAnsi="Arial" w:cs="Arial"/>
          <w:color w:val="808080" w:themeColor="background1" w:themeShade="80"/>
        </w:rPr>
        <w:t>, such as its lessor.</w:t>
      </w:r>
    </w:p>
    <w:p w14:paraId="067BFD31" w14:textId="77777777" w:rsidR="005F3B4E" w:rsidRPr="0084163F" w:rsidRDefault="005F3B4E" w:rsidP="005237A3">
      <w:pPr>
        <w:pStyle w:val="AODocTxt"/>
        <w:spacing w:before="0" w:line="240" w:lineRule="auto"/>
        <w:rPr>
          <w:rFonts w:ascii="Arial" w:hAnsi="Arial" w:cs="Arial"/>
          <w:color w:val="808080" w:themeColor="background1" w:themeShade="80"/>
        </w:rPr>
      </w:pPr>
    </w:p>
    <w:p w14:paraId="7C786AC8" w14:textId="4DB332DD" w:rsidR="007D7495" w:rsidRPr="0084163F" w:rsidRDefault="00946F8B" w:rsidP="005237A3">
      <w:pPr>
        <w:pStyle w:val="AODocTxt"/>
        <w:spacing w:before="0" w:line="240" w:lineRule="auto"/>
        <w:rPr>
          <w:rFonts w:ascii="Arial" w:hAnsi="Arial" w:cs="Arial"/>
          <w:b/>
          <w:bCs/>
          <w:color w:val="808080" w:themeColor="background1" w:themeShade="80"/>
          <w:u w:val="single"/>
        </w:rPr>
      </w:pPr>
      <w:r w:rsidRPr="0084163F">
        <w:rPr>
          <w:rFonts w:ascii="Arial" w:hAnsi="Arial" w:cs="Arial"/>
          <w:b/>
          <w:bCs/>
          <w:color w:val="808080" w:themeColor="background1" w:themeShade="80"/>
          <w:u w:val="single"/>
        </w:rPr>
        <w:t>Options available</w:t>
      </w:r>
    </w:p>
    <w:p w14:paraId="4395302A" w14:textId="0514F5E7" w:rsidR="007F71EC" w:rsidRPr="0084163F" w:rsidRDefault="00644ED7" w:rsidP="005237A3">
      <w:pPr>
        <w:pStyle w:val="AODocTxt"/>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As stated above, iWork</w:t>
      </w:r>
      <w:r w:rsidR="00A513F6" w:rsidRPr="0084163F">
        <w:rPr>
          <w:rFonts w:ascii="Arial" w:hAnsi="Arial" w:cs="Arial"/>
          <w:color w:val="808080" w:themeColor="background1" w:themeShade="80"/>
        </w:rPr>
        <w:t xml:space="preserve"> </w:t>
      </w:r>
      <w:r w:rsidR="003F6C60" w:rsidRPr="0084163F">
        <w:rPr>
          <w:rFonts w:ascii="Arial" w:hAnsi="Arial" w:cs="Arial"/>
          <w:color w:val="808080" w:themeColor="background1" w:themeShade="80"/>
        </w:rPr>
        <w:t>can:</w:t>
      </w:r>
    </w:p>
    <w:p w14:paraId="7CE19864" w14:textId="34014262" w:rsidR="00CC469D" w:rsidRPr="0084163F" w:rsidRDefault="003F6C60" w:rsidP="00CC469D">
      <w:pPr>
        <w:pStyle w:val="AODocTxt"/>
        <w:numPr>
          <w:ilvl w:val="0"/>
          <w:numId w:val="17"/>
        </w:numPr>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 xml:space="preserve">Reject </w:t>
      </w:r>
      <w:r w:rsidR="00696BEC" w:rsidRPr="0084163F">
        <w:rPr>
          <w:rFonts w:ascii="Arial" w:hAnsi="Arial" w:cs="Arial"/>
          <w:color w:val="808080" w:themeColor="background1" w:themeShade="80"/>
        </w:rPr>
        <w:t>the lease</w:t>
      </w:r>
      <w:r w:rsidR="00C71312" w:rsidRPr="0084163F">
        <w:rPr>
          <w:rFonts w:ascii="Arial" w:hAnsi="Arial" w:cs="Arial"/>
          <w:color w:val="808080" w:themeColor="background1" w:themeShade="80"/>
        </w:rPr>
        <w:t xml:space="preserve"> - </w:t>
      </w:r>
      <w:r w:rsidR="00696BEC" w:rsidRPr="0084163F">
        <w:rPr>
          <w:rFonts w:ascii="Arial" w:hAnsi="Arial" w:cs="Arial"/>
          <w:color w:val="808080" w:themeColor="background1" w:themeShade="80"/>
        </w:rPr>
        <w:t>iWork can reject the lease outright.</w:t>
      </w:r>
      <w:r w:rsidR="005F5B04" w:rsidRPr="0084163F">
        <w:rPr>
          <w:rFonts w:ascii="Arial" w:hAnsi="Arial" w:cs="Arial"/>
          <w:color w:val="808080" w:themeColor="background1" w:themeShade="80"/>
        </w:rPr>
        <w:t xml:space="preserve"> </w:t>
      </w:r>
      <w:r w:rsidR="00696BEC" w:rsidRPr="0084163F">
        <w:rPr>
          <w:rFonts w:ascii="Arial" w:hAnsi="Arial" w:cs="Arial"/>
          <w:color w:val="808080" w:themeColor="background1" w:themeShade="80"/>
        </w:rPr>
        <w:t>iWork could also</w:t>
      </w:r>
      <w:r w:rsidR="002F2CFC" w:rsidRPr="0084163F">
        <w:rPr>
          <w:rFonts w:ascii="Arial" w:hAnsi="Arial" w:cs="Arial"/>
          <w:color w:val="808080" w:themeColor="background1" w:themeShade="80"/>
        </w:rPr>
        <w:t xml:space="preserve"> ask the lessor</w:t>
      </w:r>
      <w:r w:rsidRPr="0084163F">
        <w:rPr>
          <w:rFonts w:ascii="Arial" w:hAnsi="Arial" w:cs="Arial"/>
          <w:color w:val="808080" w:themeColor="background1" w:themeShade="80"/>
        </w:rPr>
        <w:t>s</w:t>
      </w:r>
      <w:r w:rsidR="002F2CFC" w:rsidRPr="0084163F">
        <w:rPr>
          <w:rFonts w:ascii="Arial" w:hAnsi="Arial" w:cs="Arial"/>
          <w:color w:val="808080" w:themeColor="background1" w:themeShade="80"/>
        </w:rPr>
        <w:t xml:space="preserve"> to renegotiate the lease or to market </w:t>
      </w:r>
      <w:proofErr w:type="spellStart"/>
      <w:r w:rsidR="002F2CFC" w:rsidRPr="0084163F">
        <w:rPr>
          <w:rFonts w:ascii="Arial" w:hAnsi="Arial" w:cs="Arial"/>
          <w:color w:val="808080" w:themeColor="background1" w:themeShade="80"/>
        </w:rPr>
        <w:t>favourable</w:t>
      </w:r>
      <w:proofErr w:type="spellEnd"/>
      <w:r w:rsidR="002F2CFC" w:rsidRPr="0084163F">
        <w:rPr>
          <w:rFonts w:ascii="Arial" w:hAnsi="Arial" w:cs="Arial"/>
          <w:color w:val="808080" w:themeColor="background1" w:themeShade="80"/>
        </w:rPr>
        <w:t xml:space="preserve"> leases to third parties</w:t>
      </w:r>
      <w:r w:rsidR="002F2CFC" w:rsidRPr="0084163F">
        <w:rPr>
          <w:rStyle w:val="FootnoteReference"/>
          <w:rFonts w:ascii="Arial" w:hAnsi="Arial" w:cs="Arial"/>
          <w:color w:val="808080" w:themeColor="background1" w:themeShade="80"/>
        </w:rPr>
        <w:footnoteReference w:id="133"/>
      </w:r>
      <w:r w:rsidR="002F2CFC" w:rsidRPr="0084163F">
        <w:rPr>
          <w:rFonts w:ascii="Arial" w:hAnsi="Arial" w:cs="Arial"/>
          <w:color w:val="808080" w:themeColor="background1" w:themeShade="80"/>
        </w:rPr>
        <w:t xml:space="preserve">. Notwithstanding this, </w:t>
      </w:r>
      <w:r w:rsidR="00CF705E" w:rsidRPr="0084163F">
        <w:rPr>
          <w:rFonts w:ascii="Arial" w:hAnsi="Arial" w:cs="Arial"/>
          <w:color w:val="808080" w:themeColor="background1" w:themeShade="80"/>
        </w:rPr>
        <w:t xml:space="preserve">the strict deadlines set out in </w:t>
      </w:r>
      <w:r w:rsidR="00696BEC" w:rsidRPr="0084163F">
        <w:rPr>
          <w:rFonts w:ascii="Arial" w:hAnsi="Arial" w:cs="Arial"/>
          <w:color w:val="808080" w:themeColor="background1" w:themeShade="80"/>
        </w:rPr>
        <w:t xml:space="preserve">section 365(d)(4) </w:t>
      </w:r>
      <w:r w:rsidR="003A056D" w:rsidRPr="0084163F">
        <w:rPr>
          <w:rFonts w:ascii="Arial" w:hAnsi="Arial" w:cs="Arial"/>
          <w:color w:val="808080" w:themeColor="background1" w:themeShade="80"/>
        </w:rPr>
        <w:t>provides important leverage to l</w:t>
      </w:r>
      <w:r w:rsidR="00CF705E" w:rsidRPr="0084163F">
        <w:rPr>
          <w:rFonts w:ascii="Arial" w:hAnsi="Arial" w:cs="Arial"/>
          <w:color w:val="808080" w:themeColor="background1" w:themeShade="80"/>
        </w:rPr>
        <w:t>essors</w:t>
      </w:r>
      <w:r w:rsidR="00CF705E" w:rsidRPr="0084163F">
        <w:rPr>
          <w:rStyle w:val="FootnoteReference"/>
          <w:rFonts w:ascii="Arial" w:hAnsi="Arial" w:cs="Arial"/>
          <w:color w:val="808080" w:themeColor="background1" w:themeShade="80"/>
        </w:rPr>
        <w:footnoteReference w:id="134"/>
      </w:r>
      <w:r w:rsidR="00644ED7" w:rsidRPr="0084163F">
        <w:rPr>
          <w:rFonts w:ascii="Arial" w:hAnsi="Arial" w:cs="Arial"/>
          <w:color w:val="808080" w:themeColor="background1" w:themeShade="80"/>
        </w:rPr>
        <w:t xml:space="preserve"> including </w:t>
      </w:r>
      <w:r w:rsidR="00CF705E" w:rsidRPr="0084163F">
        <w:rPr>
          <w:rFonts w:ascii="Arial" w:hAnsi="Arial" w:cs="Arial"/>
          <w:color w:val="808080" w:themeColor="background1" w:themeShade="80"/>
        </w:rPr>
        <w:t xml:space="preserve">iWork’s lessor. </w:t>
      </w:r>
      <w:r w:rsidR="00696BEC" w:rsidRPr="0084163F">
        <w:rPr>
          <w:rFonts w:ascii="Arial" w:hAnsi="Arial" w:cs="Arial"/>
          <w:color w:val="808080" w:themeColor="background1" w:themeShade="80"/>
        </w:rPr>
        <w:t>I</w:t>
      </w:r>
      <w:r w:rsidR="00CF705E" w:rsidRPr="0084163F">
        <w:rPr>
          <w:rFonts w:ascii="Arial" w:hAnsi="Arial" w:cs="Arial"/>
          <w:color w:val="808080" w:themeColor="background1" w:themeShade="80"/>
        </w:rPr>
        <w:t xml:space="preserve">f </w:t>
      </w:r>
      <w:r w:rsidRPr="0084163F">
        <w:rPr>
          <w:rFonts w:ascii="Arial" w:hAnsi="Arial" w:cs="Arial"/>
          <w:color w:val="808080" w:themeColor="background1" w:themeShade="80"/>
        </w:rPr>
        <w:t xml:space="preserve">iWork </w:t>
      </w:r>
      <w:r w:rsidR="00CF705E" w:rsidRPr="0084163F">
        <w:rPr>
          <w:rFonts w:ascii="Arial" w:hAnsi="Arial" w:cs="Arial"/>
          <w:color w:val="808080" w:themeColor="background1" w:themeShade="80"/>
        </w:rPr>
        <w:t xml:space="preserve">fails to decide what to do within the timeframe stipulated, then the lease is </w:t>
      </w:r>
      <w:r w:rsidR="00CF705E" w:rsidRPr="0084163F">
        <w:rPr>
          <w:rFonts w:ascii="Arial" w:hAnsi="Arial" w:cs="Arial"/>
          <w:color w:val="808080" w:themeColor="background1" w:themeShade="80"/>
          <w:u w:val="single"/>
        </w:rPr>
        <w:t>deemed</w:t>
      </w:r>
      <w:r w:rsidR="00CF705E" w:rsidRPr="0084163F">
        <w:rPr>
          <w:rFonts w:ascii="Arial" w:hAnsi="Arial" w:cs="Arial"/>
          <w:color w:val="808080" w:themeColor="background1" w:themeShade="80"/>
        </w:rPr>
        <w:t xml:space="preserve"> to be rejected</w:t>
      </w:r>
      <w:r w:rsidR="00CC469D" w:rsidRPr="0084163F">
        <w:rPr>
          <w:rFonts w:ascii="Arial" w:hAnsi="Arial" w:cs="Arial"/>
          <w:color w:val="808080" w:themeColor="background1" w:themeShade="80"/>
        </w:rPr>
        <w:t xml:space="preserve"> (section 365(d)(4)(A)).</w:t>
      </w:r>
    </w:p>
    <w:p w14:paraId="1C264D16" w14:textId="77777777" w:rsidR="00CC469D" w:rsidRPr="0084163F" w:rsidRDefault="00CC469D" w:rsidP="00C71312">
      <w:pPr>
        <w:pStyle w:val="AODocTxt"/>
        <w:spacing w:before="0" w:line="240" w:lineRule="auto"/>
        <w:ind w:left="720"/>
        <w:rPr>
          <w:rFonts w:ascii="Arial" w:hAnsi="Arial" w:cs="Arial"/>
          <w:color w:val="808080" w:themeColor="background1" w:themeShade="80"/>
        </w:rPr>
      </w:pPr>
    </w:p>
    <w:p w14:paraId="199CC1A9" w14:textId="5EA19C44" w:rsidR="00C71312" w:rsidRPr="0084163F" w:rsidRDefault="00A5119C" w:rsidP="00C71312">
      <w:pPr>
        <w:pStyle w:val="AODocTxt"/>
        <w:spacing w:before="0" w:line="240" w:lineRule="auto"/>
        <w:ind w:left="720"/>
        <w:rPr>
          <w:rFonts w:ascii="Arial" w:hAnsi="Arial" w:cs="Arial"/>
          <w:color w:val="808080" w:themeColor="background1" w:themeShade="80"/>
        </w:rPr>
      </w:pPr>
      <w:r w:rsidRPr="0084163F">
        <w:rPr>
          <w:rFonts w:ascii="Arial" w:hAnsi="Arial" w:cs="Arial"/>
          <w:color w:val="808080" w:themeColor="background1" w:themeShade="80"/>
        </w:rPr>
        <w:t>Any</w:t>
      </w:r>
      <w:r w:rsidR="00C71312" w:rsidRPr="0084163F">
        <w:rPr>
          <w:rFonts w:ascii="Arial" w:hAnsi="Arial" w:cs="Arial"/>
          <w:color w:val="808080" w:themeColor="background1" w:themeShade="80"/>
        </w:rPr>
        <w:t xml:space="preserve"> rejection of the unexpired lease will constitute a breach of such a lease immediately before the date of the filing of the petition</w:t>
      </w:r>
      <w:r w:rsidR="00C71312" w:rsidRPr="0084163F">
        <w:rPr>
          <w:rStyle w:val="FootnoteReference"/>
          <w:rFonts w:ascii="Arial" w:hAnsi="Arial" w:cs="Arial"/>
          <w:color w:val="808080" w:themeColor="background1" w:themeShade="80"/>
        </w:rPr>
        <w:footnoteReference w:id="135"/>
      </w:r>
      <w:r w:rsidR="00C71312" w:rsidRPr="0084163F">
        <w:rPr>
          <w:rFonts w:ascii="Arial" w:hAnsi="Arial" w:cs="Arial"/>
          <w:color w:val="808080" w:themeColor="background1" w:themeShade="80"/>
        </w:rPr>
        <w:t xml:space="preserve">. </w:t>
      </w:r>
      <w:r w:rsidR="00266439" w:rsidRPr="0084163F">
        <w:rPr>
          <w:rFonts w:ascii="Arial" w:hAnsi="Arial" w:cs="Arial"/>
          <w:color w:val="808080" w:themeColor="background1" w:themeShade="80"/>
        </w:rPr>
        <w:t>iWork’s</w:t>
      </w:r>
      <w:r w:rsidR="00C71312" w:rsidRPr="0084163F">
        <w:rPr>
          <w:rFonts w:ascii="Arial" w:hAnsi="Arial" w:cs="Arial"/>
          <w:color w:val="808080" w:themeColor="background1" w:themeShade="80"/>
        </w:rPr>
        <w:t xml:space="preserve"> lessor will then be entitled to damages for the breach (which will be treated as an unsecured pre-petition claim).</w:t>
      </w:r>
      <w:r w:rsidR="00C71312" w:rsidRPr="0084163F">
        <w:rPr>
          <w:rStyle w:val="FootnoteReference"/>
          <w:rFonts w:ascii="Arial" w:hAnsi="Arial" w:cs="Arial"/>
          <w:color w:val="808080" w:themeColor="background1" w:themeShade="80"/>
        </w:rPr>
        <w:footnoteReference w:id="136"/>
      </w:r>
      <w:r w:rsidR="00C71312" w:rsidRPr="0084163F">
        <w:rPr>
          <w:rFonts w:ascii="Arial" w:hAnsi="Arial" w:cs="Arial"/>
          <w:color w:val="808080" w:themeColor="background1" w:themeShade="80"/>
        </w:rPr>
        <w:t xml:space="preserve"> Further, </w:t>
      </w:r>
      <w:r w:rsidR="00266439" w:rsidRPr="0084163F">
        <w:rPr>
          <w:rFonts w:ascii="Arial" w:hAnsi="Arial" w:cs="Arial"/>
          <w:color w:val="808080" w:themeColor="background1" w:themeShade="80"/>
        </w:rPr>
        <w:t>iWork’s</w:t>
      </w:r>
      <w:r w:rsidR="00C71312" w:rsidRPr="0084163F">
        <w:rPr>
          <w:rFonts w:ascii="Arial" w:hAnsi="Arial" w:cs="Arial"/>
          <w:color w:val="808080" w:themeColor="background1" w:themeShade="80"/>
        </w:rPr>
        <w:t xml:space="preserve"> lessors are unlikely to be required to file an eviction action</w:t>
      </w:r>
      <w:r w:rsidR="00266439" w:rsidRPr="0084163F">
        <w:rPr>
          <w:rFonts w:ascii="Arial" w:hAnsi="Arial" w:cs="Arial"/>
          <w:color w:val="808080" w:themeColor="background1" w:themeShade="80"/>
        </w:rPr>
        <w:t xml:space="preserve"> against iWork</w:t>
      </w:r>
      <w:r w:rsidR="00C71312" w:rsidRPr="0084163F">
        <w:rPr>
          <w:rFonts w:ascii="Arial" w:hAnsi="Arial" w:cs="Arial"/>
          <w:color w:val="808080" w:themeColor="background1" w:themeShade="80"/>
        </w:rPr>
        <w:t>.</w:t>
      </w:r>
      <w:r w:rsidR="00C71312" w:rsidRPr="0084163F">
        <w:rPr>
          <w:rStyle w:val="FootnoteReference"/>
          <w:rFonts w:ascii="Arial" w:hAnsi="Arial" w:cs="Arial"/>
          <w:color w:val="808080" w:themeColor="background1" w:themeShade="80"/>
        </w:rPr>
        <w:footnoteReference w:id="137"/>
      </w:r>
      <w:r w:rsidR="00C71312" w:rsidRPr="0084163F">
        <w:rPr>
          <w:rFonts w:ascii="Arial" w:hAnsi="Arial" w:cs="Arial"/>
          <w:color w:val="808080" w:themeColor="background1" w:themeShade="80"/>
        </w:rPr>
        <w:t xml:space="preserve"> As stated in section 365(d)(4)(A), upon the rejection of the lease, the debtor-tenant is to “</w:t>
      </w:r>
      <w:r w:rsidR="00C71312" w:rsidRPr="0084163F">
        <w:rPr>
          <w:rFonts w:ascii="Arial" w:hAnsi="Arial" w:cs="Arial"/>
          <w:i/>
          <w:iCs/>
          <w:color w:val="808080" w:themeColor="background1" w:themeShade="80"/>
        </w:rPr>
        <w:t>immediately surrender that nonresidential real property to the lessor</w:t>
      </w:r>
      <w:r w:rsidR="00C71312" w:rsidRPr="0084163F">
        <w:rPr>
          <w:rFonts w:ascii="Arial" w:hAnsi="Arial" w:cs="Arial"/>
          <w:color w:val="808080" w:themeColor="background1" w:themeShade="80"/>
        </w:rPr>
        <w:t>”</w:t>
      </w:r>
      <w:r w:rsidR="00C71312" w:rsidRPr="0084163F">
        <w:rPr>
          <w:rStyle w:val="FootnoteReference"/>
          <w:rFonts w:ascii="Arial" w:hAnsi="Arial" w:cs="Arial"/>
          <w:color w:val="808080" w:themeColor="background1" w:themeShade="80"/>
        </w:rPr>
        <w:footnoteReference w:id="138"/>
      </w:r>
      <w:r w:rsidR="00C71312" w:rsidRPr="0084163F">
        <w:rPr>
          <w:rFonts w:ascii="Arial" w:hAnsi="Arial" w:cs="Arial"/>
          <w:color w:val="808080" w:themeColor="background1" w:themeShade="80"/>
        </w:rPr>
        <w:t>. Many bankruptcy courts will exercise the power under section 365(d)(4)(A) to require the debtor-tenant to leave the premises under a rejected lease without the need for the lessor to file a state court eviction action.</w:t>
      </w:r>
      <w:r w:rsidR="00C71312" w:rsidRPr="0084163F">
        <w:rPr>
          <w:rStyle w:val="FootnoteReference"/>
          <w:rFonts w:ascii="Arial" w:hAnsi="Arial" w:cs="Arial"/>
          <w:color w:val="808080" w:themeColor="background1" w:themeShade="80"/>
        </w:rPr>
        <w:footnoteReference w:id="139"/>
      </w:r>
    </w:p>
    <w:p w14:paraId="72BAD073" w14:textId="77777777" w:rsidR="00C71312" w:rsidRPr="0084163F" w:rsidRDefault="00C71312" w:rsidP="00C71312">
      <w:pPr>
        <w:pStyle w:val="AODocTxt"/>
        <w:spacing w:before="0" w:line="240" w:lineRule="auto"/>
        <w:ind w:left="720"/>
        <w:rPr>
          <w:rFonts w:ascii="Arial" w:hAnsi="Arial" w:cs="Arial"/>
          <w:color w:val="808080" w:themeColor="background1" w:themeShade="80"/>
        </w:rPr>
      </w:pPr>
    </w:p>
    <w:p w14:paraId="3E570B42" w14:textId="1CD53A3E" w:rsidR="00C71312" w:rsidRPr="0084163F" w:rsidRDefault="00C71312" w:rsidP="00C71312">
      <w:pPr>
        <w:pStyle w:val="AODocTxt"/>
        <w:spacing w:before="0" w:line="240" w:lineRule="auto"/>
        <w:ind w:left="720"/>
        <w:rPr>
          <w:rFonts w:ascii="Arial" w:hAnsi="Arial" w:cs="Arial"/>
          <w:color w:val="808080" w:themeColor="background1" w:themeShade="80"/>
        </w:rPr>
      </w:pPr>
      <w:proofErr w:type="gramStart"/>
      <w:r w:rsidRPr="0084163F">
        <w:rPr>
          <w:rFonts w:ascii="Arial" w:hAnsi="Arial" w:cs="Arial"/>
          <w:color w:val="808080" w:themeColor="background1" w:themeShade="80"/>
        </w:rPr>
        <w:t>In light of</w:t>
      </w:r>
      <w:proofErr w:type="gramEnd"/>
      <w:r w:rsidRPr="0084163F">
        <w:rPr>
          <w:rFonts w:ascii="Arial" w:hAnsi="Arial" w:cs="Arial"/>
          <w:color w:val="808080" w:themeColor="background1" w:themeShade="80"/>
        </w:rPr>
        <w:t xml:space="preserve"> the above, the lessors will be protected by the Bankruptcy Code even if iWork elect</w:t>
      </w:r>
      <w:r w:rsidR="006A164C" w:rsidRPr="0084163F">
        <w:rPr>
          <w:rFonts w:ascii="Arial" w:hAnsi="Arial" w:cs="Arial"/>
          <w:color w:val="808080" w:themeColor="background1" w:themeShade="80"/>
        </w:rPr>
        <w:t>s</w:t>
      </w:r>
      <w:r w:rsidRPr="0084163F">
        <w:rPr>
          <w:rFonts w:ascii="Arial" w:hAnsi="Arial" w:cs="Arial"/>
          <w:color w:val="808080" w:themeColor="background1" w:themeShade="80"/>
        </w:rPr>
        <w:t xml:space="preserve"> to reject the lease as the lessors will be entitled to damages for the breach and there will be the immediate surrender of the office space to the lessors.</w:t>
      </w:r>
    </w:p>
    <w:p w14:paraId="77B9302E" w14:textId="77777777" w:rsidR="00C71312" w:rsidRPr="0084163F" w:rsidRDefault="00C71312" w:rsidP="00C71312">
      <w:pPr>
        <w:pStyle w:val="AODocTxt"/>
        <w:spacing w:before="0" w:line="240" w:lineRule="auto"/>
        <w:rPr>
          <w:rFonts w:ascii="Arial" w:hAnsi="Arial" w:cs="Arial"/>
          <w:color w:val="808080" w:themeColor="background1" w:themeShade="80"/>
        </w:rPr>
      </w:pPr>
    </w:p>
    <w:p w14:paraId="67EABE53" w14:textId="3262DADC" w:rsidR="00C71312" w:rsidRPr="0084163F" w:rsidRDefault="00696BEC" w:rsidP="00C71312">
      <w:pPr>
        <w:pStyle w:val="AODocTxt"/>
        <w:numPr>
          <w:ilvl w:val="0"/>
          <w:numId w:val="17"/>
        </w:numPr>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lastRenderedPageBreak/>
        <w:t>Assume the lease</w:t>
      </w:r>
      <w:r w:rsidR="00C71312" w:rsidRPr="0084163F">
        <w:rPr>
          <w:rFonts w:ascii="Arial" w:hAnsi="Arial" w:cs="Arial"/>
          <w:color w:val="808080" w:themeColor="background1" w:themeShade="80"/>
        </w:rPr>
        <w:t xml:space="preserve"> - </w:t>
      </w:r>
      <w:r w:rsidR="00AA2A8B" w:rsidRPr="0084163F">
        <w:rPr>
          <w:rFonts w:ascii="Arial" w:hAnsi="Arial" w:cs="Arial"/>
          <w:color w:val="808080" w:themeColor="background1" w:themeShade="80"/>
        </w:rPr>
        <w:t>t</w:t>
      </w:r>
      <w:r w:rsidR="00551995" w:rsidRPr="0084163F">
        <w:rPr>
          <w:rFonts w:ascii="Arial" w:hAnsi="Arial" w:cs="Arial"/>
          <w:color w:val="808080" w:themeColor="background1" w:themeShade="80"/>
        </w:rPr>
        <w:t>he situation would be different if iWork</w:t>
      </w:r>
      <w:r w:rsidR="00196A74" w:rsidRPr="0084163F">
        <w:rPr>
          <w:rFonts w:ascii="Arial" w:hAnsi="Arial" w:cs="Arial"/>
          <w:color w:val="808080" w:themeColor="background1" w:themeShade="80"/>
        </w:rPr>
        <w:t xml:space="preserve"> </w:t>
      </w:r>
      <w:r w:rsidR="00551995" w:rsidRPr="0084163F">
        <w:rPr>
          <w:rFonts w:ascii="Arial" w:hAnsi="Arial" w:cs="Arial"/>
          <w:color w:val="808080" w:themeColor="background1" w:themeShade="80"/>
        </w:rPr>
        <w:t xml:space="preserve">assumed the lease. </w:t>
      </w:r>
      <w:r w:rsidR="00196A74" w:rsidRPr="0084163F">
        <w:rPr>
          <w:rFonts w:ascii="Arial" w:hAnsi="Arial" w:cs="Arial"/>
          <w:color w:val="808080" w:themeColor="background1" w:themeShade="80"/>
        </w:rPr>
        <w:t xml:space="preserve">iWork is in default </w:t>
      </w:r>
      <w:proofErr w:type="gramStart"/>
      <w:r w:rsidR="00196A74" w:rsidRPr="0084163F">
        <w:rPr>
          <w:rFonts w:ascii="Arial" w:hAnsi="Arial" w:cs="Arial"/>
          <w:color w:val="808080" w:themeColor="background1" w:themeShade="80"/>
        </w:rPr>
        <w:t>of</w:t>
      </w:r>
      <w:proofErr w:type="gramEnd"/>
      <w:r w:rsidR="00196A74" w:rsidRPr="0084163F">
        <w:rPr>
          <w:rFonts w:ascii="Arial" w:hAnsi="Arial" w:cs="Arial"/>
          <w:color w:val="808080" w:themeColor="background1" w:themeShade="80"/>
        </w:rPr>
        <w:t xml:space="preserve"> the unexpired lease as it has failed to pay rent on some of its office space leases. </w:t>
      </w:r>
      <w:r w:rsidR="00551995" w:rsidRPr="0084163F">
        <w:rPr>
          <w:rFonts w:ascii="Arial" w:hAnsi="Arial" w:cs="Arial"/>
          <w:color w:val="808080" w:themeColor="background1" w:themeShade="80"/>
        </w:rPr>
        <w:t>Section 365(b)(1) states that where there has been a default in an unexpired lease of the debtor, the trustee may not assume the lease in question unless, at the time of doing so, the trustee</w:t>
      </w:r>
      <w:r w:rsidR="00CF3308" w:rsidRPr="0084163F">
        <w:rPr>
          <w:rFonts w:ascii="Arial" w:hAnsi="Arial" w:cs="Arial"/>
          <w:color w:val="808080" w:themeColor="background1" w:themeShade="80"/>
        </w:rPr>
        <w:t>:</w:t>
      </w:r>
    </w:p>
    <w:p w14:paraId="3394571C" w14:textId="1572F228" w:rsidR="00C71312" w:rsidRPr="0084163F" w:rsidRDefault="00C71312" w:rsidP="00E87B30">
      <w:pPr>
        <w:pStyle w:val="AODocTxt"/>
        <w:numPr>
          <w:ilvl w:val="0"/>
          <w:numId w:val="18"/>
        </w:numPr>
        <w:spacing w:before="0" w:line="240" w:lineRule="auto"/>
        <w:ind w:left="1208" w:hanging="357"/>
        <w:rPr>
          <w:rFonts w:ascii="Arial" w:hAnsi="Arial" w:cs="Arial"/>
          <w:color w:val="808080" w:themeColor="background1" w:themeShade="80"/>
        </w:rPr>
      </w:pPr>
      <w:r w:rsidRPr="0084163F">
        <w:rPr>
          <w:rFonts w:ascii="Arial" w:hAnsi="Arial" w:cs="Arial"/>
          <w:color w:val="808080" w:themeColor="background1" w:themeShade="80"/>
        </w:rPr>
        <w:t>“</w:t>
      </w:r>
      <w:proofErr w:type="gramStart"/>
      <w:r w:rsidRPr="0084163F">
        <w:rPr>
          <w:rFonts w:ascii="Arial" w:hAnsi="Arial" w:cs="Arial"/>
          <w:i/>
          <w:iCs/>
          <w:color w:val="808080" w:themeColor="background1" w:themeShade="80"/>
        </w:rPr>
        <w:t>cures</w:t>
      </w:r>
      <w:proofErr w:type="gramEnd"/>
      <w:r w:rsidRPr="0084163F">
        <w:rPr>
          <w:rFonts w:ascii="Arial" w:hAnsi="Arial" w:cs="Arial"/>
          <w:i/>
          <w:iCs/>
          <w:color w:val="808080" w:themeColor="background1" w:themeShade="80"/>
        </w:rPr>
        <w:t>, or provides adequate assurance that the trustee will promptly cure, such default</w:t>
      </w:r>
      <w:r w:rsidRPr="0084163F">
        <w:rPr>
          <w:rFonts w:ascii="Arial" w:hAnsi="Arial" w:cs="Arial"/>
          <w:color w:val="808080" w:themeColor="background1" w:themeShade="80"/>
        </w:rPr>
        <w:t>”</w:t>
      </w:r>
      <w:r w:rsidRPr="0084163F">
        <w:rPr>
          <w:rStyle w:val="FootnoteReference"/>
          <w:rFonts w:ascii="Arial" w:hAnsi="Arial" w:cs="Arial"/>
          <w:color w:val="808080" w:themeColor="background1" w:themeShade="80"/>
        </w:rPr>
        <w:footnoteReference w:id="140"/>
      </w:r>
      <w:r w:rsidRPr="0084163F">
        <w:rPr>
          <w:rFonts w:ascii="Arial" w:hAnsi="Arial" w:cs="Arial"/>
          <w:color w:val="808080" w:themeColor="background1" w:themeShade="80"/>
        </w:rPr>
        <w:t>;</w:t>
      </w:r>
    </w:p>
    <w:p w14:paraId="5CDEA8A8" w14:textId="77777777" w:rsidR="00C71312" w:rsidRPr="0084163F" w:rsidRDefault="00C71312" w:rsidP="00E87B30">
      <w:pPr>
        <w:pStyle w:val="AODocTxt"/>
        <w:numPr>
          <w:ilvl w:val="0"/>
          <w:numId w:val="18"/>
        </w:numPr>
        <w:spacing w:before="0" w:line="240" w:lineRule="auto"/>
        <w:ind w:left="1208" w:hanging="357"/>
        <w:rPr>
          <w:rFonts w:ascii="Arial" w:hAnsi="Arial" w:cs="Arial"/>
          <w:color w:val="808080" w:themeColor="background1" w:themeShade="80"/>
        </w:rPr>
      </w:pPr>
      <w:r w:rsidRPr="0084163F">
        <w:rPr>
          <w:rFonts w:ascii="Arial" w:hAnsi="Arial" w:cs="Arial"/>
          <w:color w:val="808080" w:themeColor="background1" w:themeShade="80"/>
        </w:rPr>
        <w:t>compensates, or provides adequate assurance that the trustee will promptly compensate, a non-debtor party, for any actual pecuniary loss caused by the default</w:t>
      </w:r>
      <w:r w:rsidRPr="0084163F">
        <w:rPr>
          <w:rStyle w:val="FootnoteReference"/>
          <w:rFonts w:ascii="Arial" w:hAnsi="Arial" w:cs="Arial"/>
          <w:color w:val="808080" w:themeColor="background1" w:themeShade="80"/>
        </w:rPr>
        <w:footnoteReference w:id="141"/>
      </w:r>
      <w:r w:rsidRPr="0084163F">
        <w:rPr>
          <w:rFonts w:ascii="Arial" w:hAnsi="Arial" w:cs="Arial"/>
          <w:color w:val="808080" w:themeColor="background1" w:themeShade="80"/>
        </w:rPr>
        <w:t>; and</w:t>
      </w:r>
    </w:p>
    <w:p w14:paraId="3F7EEFFB" w14:textId="77777777" w:rsidR="00C71312" w:rsidRPr="0084163F" w:rsidRDefault="00C71312" w:rsidP="00E87B30">
      <w:pPr>
        <w:pStyle w:val="AODocTxt"/>
        <w:numPr>
          <w:ilvl w:val="0"/>
          <w:numId w:val="18"/>
        </w:numPr>
        <w:spacing w:before="0" w:line="240" w:lineRule="auto"/>
        <w:ind w:left="1208" w:hanging="357"/>
        <w:rPr>
          <w:rFonts w:ascii="Arial" w:hAnsi="Arial" w:cs="Arial"/>
          <w:color w:val="808080" w:themeColor="background1" w:themeShade="80"/>
        </w:rPr>
      </w:pPr>
      <w:r w:rsidRPr="0084163F">
        <w:rPr>
          <w:rFonts w:ascii="Arial" w:hAnsi="Arial" w:cs="Arial"/>
          <w:color w:val="808080" w:themeColor="background1" w:themeShade="80"/>
        </w:rPr>
        <w:t>“</w:t>
      </w:r>
      <w:proofErr w:type="gramStart"/>
      <w:r w:rsidRPr="0084163F">
        <w:rPr>
          <w:rFonts w:ascii="Arial" w:hAnsi="Arial" w:cs="Arial"/>
          <w:i/>
          <w:iCs/>
          <w:color w:val="808080" w:themeColor="background1" w:themeShade="80"/>
        </w:rPr>
        <w:t>provides</w:t>
      </w:r>
      <w:proofErr w:type="gramEnd"/>
      <w:r w:rsidRPr="0084163F">
        <w:rPr>
          <w:rFonts w:ascii="Arial" w:hAnsi="Arial" w:cs="Arial"/>
          <w:i/>
          <w:iCs/>
          <w:color w:val="808080" w:themeColor="background1" w:themeShade="80"/>
        </w:rPr>
        <w:t xml:space="preserve"> adequate assurance of future performance under such contract or lease.</w:t>
      </w:r>
      <w:r w:rsidRPr="0084163F">
        <w:rPr>
          <w:rFonts w:ascii="Arial" w:hAnsi="Arial" w:cs="Arial"/>
          <w:color w:val="808080" w:themeColor="background1" w:themeShade="80"/>
        </w:rPr>
        <w:t>”</w:t>
      </w:r>
      <w:r w:rsidRPr="0084163F">
        <w:rPr>
          <w:rStyle w:val="FootnoteReference"/>
          <w:rFonts w:ascii="Arial" w:hAnsi="Arial" w:cs="Arial"/>
          <w:color w:val="808080" w:themeColor="background1" w:themeShade="80"/>
        </w:rPr>
        <w:footnoteReference w:id="142"/>
      </w:r>
    </w:p>
    <w:p w14:paraId="5DCA6719" w14:textId="77777777" w:rsidR="00C71312" w:rsidRPr="0084163F" w:rsidRDefault="00C71312" w:rsidP="00C71312">
      <w:pPr>
        <w:pStyle w:val="AODocTxt"/>
        <w:spacing w:before="0" w:line="240" w:lineRule="auto"/>
        <w:rPr>
          <w:rFonts w:ascii="Arial" w:hAnsi="Arial" w:cs="Arial"/>
          <w:color w:val="808080" w:themeColor="background1" w:themeShade="80"/>
        </w:rPr>
      </w:pPr>
    </w:p>
    <w:p w14:paraId="494C241A" w14:textId="2AE5D7F5" w:rsidR="00C71312" w:rsidRPr="0084163F" w:rsidRDefault="00C71312" w:rsidP="00C71312">
      <w:pPr>
        <w:pStyle w:val="AODocTxt"/>
        <w:spacing w:before="0" w:line="240" w:lineRule="auto"/>
        <w:ind w:left="720"/>
        <w:rPr>
          <w:rFonts w:ascii="Arial" w:hAnsi="Arial" w:cs="Arial"/>
          <w:color w:val="808080" w:themeColor="background1" w:themeShade="80"/>
        </w:rPr>
      </w:pPr>
      <w:r w:rsidRPr="0084163F">
        <w:rPr>
          <w:rFonts w:ascii="Arial" w:hAnsi="Arial" w:cs="Arial"/>
          <w:color w:val="808080" w:themeColor="background1" w:themeShade="80"/>
        </w:rPr>
        <w:t>In terms of curing existing defaults, this means any amounts due to the lessors (including for pre-petition rent) must be paid promptly upon assumption</w:t>
      </w:r>
      <w:r w:rsidRPr="0084163F">
        <w:rPr>
          <w:rStyle w:val="FootnoteReference"/>
          <w:rFonts w:ascii="Arial" w:hAnsi="Arial" w:cs="Arial"/>
          <w:color w:val="808080" w:themeColor="background1" w:themeShade="80"/>
        </w:rPr>
        <w:footnoteReference w:id="143"/>
      </w:r>
      <w:r w:rsidRPr="0084163F">
        <w:rPr>
          <w:rFonts w:ascii="Arial" w:hAnsi="Arial" w:cs="Arial"/>
          <w:color w:val="808080" w:themeColor="background1" w:themeShade="80"/>
        </w:rPr>
        <w:t xml:space="preserve">. It is therefore prudent for iWork’s lessors to thoroughly assess any defaults and calculate accurately any amounts due so that they can demand the correct amount of cure. Further, </w:t>
      </w:r>
      <w:r w:rsidR="007849F0" w:rsidRPr="0084163F">
        <w:rPr>
          <w:rFonts w:ascii="Arial" w:hAnsi="Arial" w:cs="Arial"/>
          <w:color w:val="808080" w:themeColor="background1" w:themeShade="80"/>
        </w:rPr>
        <w:t>iWork’s lessor</w:t>
      </w:r>
      <w:r w:rsidRPr="0084163F">
        <w:rPr>
          <w:rFonts w:ascii="Arial" w:hAnsi="Arial" w:cs="Arial"/>
          <w:color w:val="808080" w:themeColor="background1" w:themeShade="80"/>
        </w:rPr>
        <w:t xml:space="preserve"> ought to check the terms of the lease for provisions enabling the</w:t>
      </w:r>
      <w:r w:rsidR="007849F0" w:rsidRPr="0084163F">
        <w:rPr>
          <w:rFonts w:ascii="Arial" w:hAnsi="Arial" w:cs="Arial"/>
          <w:color w:val="808080" w:themeColor="background1" w:themeShade="80"/>
        </w:rPr>
        <w:t>m</w:t>
      </w:r>
      <w:r w:rsidRPr="0084163F">
        <w:rPr>
          <w:rFonts w:ascii="Arial" w:hAnsi="Arial" w:cs="Arial"/>
          <w:color w:val="808080" w:themeColor="background1" w:themeShade="80"/>
        </w:rPr>
        <w:t xml:space="preserve"> to seek reimbursement of costs and expenses (including attorneys’ fees) which should be included in the amount of cure. A failure by the lessor to assert any existing defaults is likely to bar </w:t>
      </w:r>
      <w:r w:rsidR="007849F0" w:rsidRPr="0084163F">
        <w:rPr>
          <w:rFonts w:ascii="Arial" w:hAnsi="Arial" w:cs="Arial"/>
          <w:color w:val="808080" w:themeColor="background1" w:themeShade="80"/>
        </w:rPr>
        <w:t>them</w:t>
      </w:r>
      <w:r w:rsidRPr="0084163F">
        <w:rPr>
          <w:rFonts w:ascii="Arial" w:hAnsi="Arial" w:cs="Arial"/>
          <w:color w:val="808080" w:themeColor="background1" w:themeShade="80"/>
        </w:rPr>
        <w:t xml:space="preserve"> from seeking payments for such defaults in the future. This is a harsh but avoidable situation</w:t>
      </w:r>
      <w:r w:rsidRPr="0084163F">
        <w:rPr>
          <w:rStyle w:val="FootnoteReference"/>
          <w:rFonts w:ascii="Arial" w:hAnsi="Arial" w:cs="Arial"/>
          <w:color w:val="808080" w:themeColor="background1" w:themeShade="80"/>
        </w:rPr>
        <w:footnoteReference w:id="144"/>
      </w:r>
      <w:r w:rsidRPr="0084163F">
        <w:rPr>
          <w:rFonts w:ascii="Arial" w:hAnsi="Arial" w:cs="Arial"/>
          <w:color w:val="808080" w:themeColor="background1" w:themeShade="80"/>
        </w:rPr>
        <w:t>.</w:t>
      </w:r>
    </w:p>
    <w:p w14:paraId="0A7EF93B" w14:textId="77777777" w:rsidR="00C71312" w:rsidRPr="0084163F" w:rsidRDefault="00C71312" w:rsidP="00C71312">
      <w:pPr>
        <w:pStyle w:val="AODocTxt"/>
        <w:spacing w:before="0" w:line="240" w:lineRule="auto"/>
        <w:ind w:left="720"/>
        <w:rPr>
          <w:rFonts w:ascii="Arial" w:hAnsi="Arial" w:cs="Arial"/>
          <w:color w:val="808080" w:themeColor="background1" w:themeShade="80"/>
        </w:rPr>
      </w:pPr>
    </w:p>
    <w:p w14:paraId="59F686B9" w14:textId="6EAF73D5" w:rsidR="00C71312" w:rsidRPr="0084163F" w:rsidRDefault="00C71312" w:rsidP="00C71312">
      <w:pPr>
        <w:pStyle w:val="AODocTxt"/>
        <w:spacing w:before="0" w:line="240" w:lineRule="auto"/>
        <w:ind w:left="720"/>
        <w:rPr>
          <w:rFonts w:ascii="Arial" w:hAnsi="Arial" w:cs="Arial"/>
          <w:color w:val="808080" w:themeColor="background1" w:themeShade="80"/>
        </w:rPr>
      </w:pPr>
      <w:r w:rsidRPr="0084163F">
        <w:rPr>
          <w:rFonts w:ascii="Arial" w:hAnsi="Arial" w:cs="Arial"/>
          <w:color w:val="808080" w:themeColor="background1" w:themeShade="80"/>
        </w:rPr>
        <w:t xml:space="preserve">The lessor can also demand adequate assurance of future performance. The fact pattern states that iWork has failed to pay rent on some of its office space leases </w:t>
      </w:r>
      <w:proofErr w:type="gramStart"/>
      <w:r w:rsidRPr="0084163F">
        <w:rPr>
          <w:rFonts w:ascii="Arial" w:hAnsi="Arial" w:cs="Arial"/>
          <w:color w:val="808080" w:themeColor="background1" w:themeShade="80"/>
        </w:rPr>
        <w:t>as a result of</w:t>
      </w:r>
      <w:proofErr w:type="gramEnd"/>
      <w:r w:rsidRPr="0084163F">
        <w:rPr>
          <w:rFonts w:ascii="Arial" w:hAnsi="Arial" w:cs="Arial"/>
          <w:color w:val="808080" w:themeColor="background1" w:themeShade="80"/>
        </w:rPr>
        <w:t xml:space="preserve"> a decline in revenue. As iWork has already defaulted, the lessor has the right to receive (and </w:t>
      </w:r>
      <w:r w:rsidR="0097789D" w:rsidRPr="0084163F">
        <w:rPr>
          <w:rFonts w:ascii="Arial" w:hAnsi="Arial" w:cs="Arial"/>
          <w:color w:val="808080" w:themeColor="background1" w:themeShade="80"/>
        </w:rPr>
        <w:t xml:space="preserve">indeed </w:t>
      </w:r>
      <w:r w:rsidRPr="0084163F">
        <w:rPr>
          <w:rFonts w:ascii="Arial" w:hAnsi="Arial" w:cs="Arial"/>
          <w:color w:val="808080" w:themeColor="background1" w:themeShade="80"/>
        </w:rPr>
        <w:t>should demand) evidence that iWork can comply with the obligations in the lease in the future.</w:t>
      </w:r>
    </w:p>
    <w:p w14:paraId="37FE4B24" w14:textId="77777777" w:rsidR="00C71312" w:rsidRPr="0084163F" w:rsidRDefault="00C71312" w:rsidP="00C71312">
      <w:pPr>
        <w:pStyle w:val="AODocTxt"/>
        <w:spacing w:before="0" w:line="240" w:lineRule="auto"/>
        <w:rPr>
          <w:rFonts w:ascii="Arial" w:hAnsi="Arial" w:cs="Arial"/>
          <w:color w:val="808080" w:themeColor="background1" w:themeShade="80"/>
        </w:rPr>
      </w:pPr>
    </w:p>
    <w:p w14:paraId="268DFAB8" w14:textId="756B45AE" w:rsidR="00C71312" w:rsidRPr="0084163F" w:rsidRDefault="00017BC2" w:rsidP="008753FB">
      <w:pPr>
        <w:pStyle w:val="AODocTxt"/>
        <w:numPr>
          <w:ilvl w:val="0"/>
          <w:numId w:val="17"/>
        </w:numPr>
        <w:spacing w:before="0" w:line="240" w:lineRule="auto"/>
        <w:rPr>
          <w:rFonts w:ascii="Arial" w:hAnsi="Arial" w:cs="Arial"/>
          <w:color w:val="808080" w:themeColor="background1" w:themeShade="80"/>
        </w:rPr>
      </w:pPr>
      <w:proofErr w:type="gramStart"/>
      <w:r w:rsidRPr="0084163F">
        <w:rPr>
          <w:rFonts w:ascii="Arial" w:hAnsi="Arial" w:cs="Arial"/>
          <w:color w:val="808080" w:themeColor="background1" w:themeShade="80"/>
        </w:rPr>
        <w:t>Assume</w:t>
      </w:r>
      <w:proofErr w:type="gramEnd"/>
      <w:r w:rsidRPr="0084163F">
        <w:rPr>
          <w:rFonts w:ascii="Arial" w:hAnsi="Arial" w:cs="Arial"/>
          <w:color w:val="808080" w:themeColor="background1" w:themeShade="80"/>
        </w:rPr>
        <w:t xml:space="preserve"> and assign the lease</w:t>
      </w:r>
      <w:r w:rsidR="00C71312" w:rsidRPr="0084163F">
        <w:rPr>
          <w:rFonts w:ascii="Arial" w:hAnsi="Arial" w:cs="Arial"/>
          <w:color w:val="808080" w:themeColor="background1" w:themeShade="80"/>
        </w:rPr>
        <w:t xml:space="preserve"> - </w:t>
      </w:r>
      <w:r w:rsidR="005F5B04" w:rsidRPr="0084163F">
        <w:rPr>
          <w:rFonts w:ascii="Arial" w:hAnsi="Arial" w:cs="Arial"/>
          <w:color w:val="808080" w:themeColor="background1" w:themeShade="80"/>
        </w:rPr>
        <w:t xml:space="preserve">iWork could also assume and assign the lease to a third party. </w:t>
      </w:r>
      <w:r w:rsidR="00085C9D" w:rsidRPr="0084163F">
        <w:rPr>
          <w:rFonts w:ascii="Arial" w:hAnsi="Arial" w:cs="Arial"/>
          <w:color w:val="808080" w:themeColor="background1" w:themeShade="80"/>
        </w:rPr>
        <w:t xml:space="preserve">Notwithstanding a provision in the unexpired lease, or in applicable law that prohibits, </w:t>
      </w:r>
      <w:proofErr w:type="gramStart"/>
      <w:r w:rsidR="00085C9D" w:rsidRPr="0084163F">
        <w:rPr>
          <w:rFonts w:ascii="Arial" w:hAnsi="Arial" w:cs="Arial"/>
          <w:color w:val="808080" w:themeColor="background1" w:themeShade="80"/>
        </w:rPr>
        <w:t>restricts</w:t>
      </w:r>
      <w:proofErr w:type="gramEnd"/>
      <w:r w:rsidR="00085C9D" w:rsidRPr="0084163F">
        <w:rPr>
          <w:rFonts w:ascii="Arial" w:hAnsi="Arial" w:cs="Arial"/>
          <w:color w:val="808080" w:themeColor="background1" w:themeShade="80"/>
        </w:rPr>
        <w:t xml:space="preserve"> or imposes conditions on the assignment, the lease may be assigned</w:t>
      </w:r>
      <w:r w:rsidR="00085C9D" w:rsidRPr="0084163F">
        <w:rPr>
          <w:rStyle w:val="FootnoteReference"/>
          <w:rFonts w:ascii="Arial" w:hAnsi="Arial" w:cs="Arial"/>
          <w:color w:val="808080" w:themeColor="background1" w:themeShade="80"/>
        </w:rPr>
        <w:footnoteReference w:id="145"/>
      </w:r>
      <w:r w:rsidR="00085C9D" w:rsidRPr="0084163F">
        <w:rPr>
          <w:rFonts w:ascii="Arial" w:hAnsi="Arial" w:cs="Arial"/>
          <w:color w:val="808080" w:themeColor="background1" w:themeShade="80"/>
        </w:rPr>
        <w:t>. The unexpired lease may only be assigned if iWork assumes the lease</w:t>
      </w:r>
      <w:r w:rsidR="00085C9D" w:rsidRPr="0084163F">
        <w:rPr>
          <w:rStyle w:val="FootnoteReference"/>
          <w:rFonts w:ascii="Arial" w:hAnsi="Arial" w:cs="Arial"/>
          <w:color w:val="808080" w:themeColor="background1" w:themeShade="80"/>
        </w:rPr>
        <w:footnoteReference w:id="146"/>
      </w:r>
      <w:r w:rsidR="00085C9D" w:rsidRPr="0084163F">
        <w:rPr>
          <w:rFonts w:ascii="Arial" w:hAnsi="Arial" w:cs="Arial"/>
          <w:color w:val="808080" w:themeColor="background1" w:themeShade="80"/>
        </w:rPr>
        <w:t xml:space="preserve"> </w:t>
      </w:r>
      <w:r w:rsidR="00085C9D" w:rsidRPr="0084163F">
        <w:rPr>
          <w:rFonts w:ascii="Arial" w:hAnsi="Arial" w:cs="Arial"/>
          <w:color w:val="808080" w:themeColor="background1" w:themeShade="80"/>
          <w:u w:val="single"/>
        </w:rPr>
        <w:t>and</w:t>
      </w:r>
      <w:r w:rsidR="00085C9D" w:rsidRPr="0084163F">
        <w:rPr>
          <w:rFonts w:ascii="Arial" w:hAnsi="Arial" w:cs="Arial"/>
          <w:color w:val="808080" w:themeColor="background1" w:themeShade="80"/>
        </w:rPr>
        <w:t xml:space="preserve"> adequate assurances of future performance by the assignee</w:t>
      </w:r>
      <w:r w:rsidR="00A23FEE" w:rsidRPr="0084163F">
        <w:rPr>
          <w:rFonts w:ascii="Arial" w:hAnsi="Arial" w:cs="Arial"/>
          <w:color w:val="808080" w:themeColor="background1" w:themeShade="80"/>
        </w:rPr>
        <w:t xml:space="preserve"> of the lease</w:t>
      </w:r>
      <w:r w:rsidR="00085C9D" w:rsidRPr="0084163F">
        <w:rPr>
          <w:rFonts w:ascii="Arial" w:hAnsi="Arial" w:cs="Arial"/>
          <w:color w:val="808080" w:themeColor="background1" w:themeShade="80"/>
        </w:rPr>
        <w:t xml:space="preserve"> is provided</w:t>
      </w:r>
      <w:r w:rsidR="00085C9D" w:rsidRPr="0084163F">
        <w:rPr>
          <w:rStyle w:val="FootnoteReference"/>
          <w:rFonts w:ascii="Arial" w:hAnsi="Arial" w:cs="Arial"/>
          <w:color w:val="808080" w:themeColor="background1" w:themeShade="80"/>
        </w:rPr>
        <w:footnoteReference w:id="147"/>
      </w:r>
      <w:r w:rsidR="00085C9D" w:rsidRPr="0084163F">
        <w:rPr>
          <w:rFonts w:ascii="Arial" w:hAnsi="Arial" w:cs="Arial"/>
          <w:color w:val="808080" w:themeColor="background1" w:themeShade="80"/>
        </w:rPr>
        <w:t xml:space="preserve">. </w:t>
      </w:r>
      <w:r w:rsidR="008753FB" w:rsidRPr="0084163F">
        <w:rPr>
          <w:rFonts w:ascii="Arial" w:hAnsi="Arial" w:cs="Arial"/>
          <w:color w:val="808080" w:themeColor="background1" w:themeShade="80"/>
        </w:rPr>
        <w:t xml:space="preserve">The existing defaults </w:t>
      </w:r>
      <w:r w:rsidR="008917A5" w:rsidRPr="0084163F">
        <w:rPr>
          <w:rFonts w:ascii="Arial" w:hAnsi="Arial" w:cs="Arial"/>
          <w:color w:val="808080" w:themeColor="background1" w:themeShade="80"/>
        </w:rPr>
        <w:t>also need to be</w:t>
      </w:r>
      <w:r w:rsidR="008753FB" w:rsidRPr="0084163F">
        <w:rPr>
          <w:rFonts w:ascii="Arial" w:hAnsi="Arial" w:cs="Arial"/>
          <w:color w:val="808080" w:themeColor="background1" w:themeShade="80"/>
        </w:rPr>
        <w:t xml:space="preserve"> cured</w:t>
      </w:r>
      <w:r w:rsidR="008753FB" w:rsidRPr="0084163F">
        <w:rPr>
          <w:rStyle w:val="FootnoteReference"/>
          <w:rFonts w:ascii="Arial" w:hAnsi="Arial" w:cs="Arial"/>
          <w:color w:val="808080" w:themeColor="background1" w:themeShade="80"/>
        </w:rPr>
        <w:footnoteReference w:id="148"/>
      </w:r>
      <w:r w:rsidR="008753FB" w:rsidRPr="0084163F">
        <w:rPr>
          <w:rFonts w:ascii="Arial" w:hAnsi="Arial" w:cs="Arial"/>
          <w:color w:val="808080" w:themeColor="background1" w:themeShade="80"/>
        </w:rPr>
        <w:t>.</w:t>
      </w:r>
    </w:p>
    <w:p w14:paraId="11FB7E83" w14:textId="77777777" w:rsidR="00C71312" w:rsidRPr="0084163F" w:rsidRDefault="00C71312" w:rsidP="00C71312">
      <w:pPr>
        <w:pStyle w:val="AODocTxt"/>
        <w:spacing w:before="0" w:line="240" w:lineRule="auto"/>
        <w:ind w:left="720"/>
        <w:rPr>
          <w:rFonts w:ascii="Arial" w:hAnsi="Arial" w:cs="Arial"/>
          <w:color w:val="808080" w:themeColor="background1" w:themeShade="80"/>
        </w:rPr>
      </w:pPr>
    </w:p>
    <w:p w14:paraId="36917192" w14:textId="0742D66D" w:rsidR="00C71312" w:rsidRPr="0084163F" w:rsidRDefault="002F15CF" w:rsidP="00C71312">
      <w:pPr>
        <w:pStyle w:val="AODocTxt"/>
        <w:spacing w:before="0" w:line="240" w:lineRule="auto"/>
        <w:ind w:left="720"/>
        <w:rPr>
          <w:rFonts w:ascii="Arial" w:hAnsi="Arial" w:cs="Arial"/>
          <w:color w:val="808080" w:themeColor="background1" w:themeShade="80"/>
        </w:rPr>
      </w:pPr>
      <w:r w:rsidRPr="0084163F">
        <w:rPr>
          <w:rFonts w:ascii="Arial" w:hAnsi="Arial" w:cs="Arial"/>
          <w:color w:val="808080" w:themeColor="background1" w:themeShade="80"/>
        </w:rPr>
        <w:t>T</w:t>
      </w:r>
      <w:r w:rsidR="00472A28" w:rsidRPr="0084163F">
        <w:rPr>
          <w:rFonts w:ascii="Arial" w:hAnsi="Arial" w:cs="Arial"/>
          <w:color w:val="808080" w:themeColor="background1" w:themeShade="80"/>
        </w:rPr>
        <w:t xml:space="preserve">o cure the existing defaults, </w:t>
      </w:r>
      <w:r w:rsidR="008753FB" w:rsidRPr="0084163F">
        <w:rPr>
          <w:rFonts w:ascii="Arial" w:hAnsi="Arial" w:cs="Arial"/>
          <w:color w:val="808080" w:themeColor="background1" w:themeShade="80"/>
        </w:rPr>
        <w:t xml:space="preserve">iWork’s lessors </w:t>
      </w:r>
      <w:r w:rsidRPr="0084163F">
        <w:rPr>
          <w:rFonts w:ascii="Arial" w:hAnsi="Arial" w:cs="Arial"/>
          <w:color w:val="808080" w:themeColor="background1" w:themeShade="80"/>
        </w:rPr>
        <w:t>should</w:t>
      </w:r>
      <w:r w:rsidR="008753FB" w:rsidRPr="0084163F">
        <w:rPr>
          <w:rFonts w:ascii="Arial" w:hAnsi="Arial" w:cs="Arial"/>
          <w:color w:val="808080" w:themeColor="background1" w:themeShade="80"/>
        </w:rPr>
        <w:t xml:space="preserve"> thoroughly assess any defaults and calculate accurately any amounts due </w:t>
      </w:r>
      <w:r w:rsidR="00472A28" w:rsidRPr="0084163F">
        <w:rPr>
          <w:rFonts w:ascii="Arial" w:hAnsi="Arial" w:cs="Arial"/>
          <w:color w:val="808080" w:themeColor="background1" w:themeShade="80"/>
        </w:rPr>
        <w:t>as well as</w:t>
      </w:r>
      <w:r w:rsidR="008753FB" w:rsidRPr="0084163F">
        <w:rPr>
          <w:rFonts w:ascii="Arial" w:hAnsi="Arial" w:cs="Arial"/>
          <w:color w:val="808080" w:themeColor="background1" w:themeShade="80"/>
        </w:rPr>
        <w:t xml:space="preserve"> check the terms of the lease with iWork for provisions enabling </w:t>
      </w:r>
      <w:r w:rsidR="00472A28" w:rsidRPr="0084163F">
        <w:rPr>
          <w:rFonts w:ascii="Arial" w:hAnsi="Arial" w:cs="Arial"/>
          <w:color w:val="808080" w:themeColor="background1" w:themeShade="80"/>
        </w:rPr>
        <w:t>them</w:t>
      </w:r>
      <w:r w:rsidR="008753FB" w:rsidRPr="0084163F">
        <w:rPr>
          <w:rFonts w:ascii="Arial" w:hAnsi="Arial" w:cs="Arial"/>
          <w:color w:val="808080" w:themeColor="background1" w:themeShade="80"/>
        </w:rPr>
        <w:t xml:space="preserve"> to seek reimbursement of costs and expenses (including attorneys’ fees).</w:t>
      </w:r>
      <w:r w:rsidRPr="0084163F">
        <w:rPr>
          <w:rFonts w:ascii="Arial" w:hAnsi="Arial" w:cs="Arial"/>
          <w:color w:val="808080" w:themeColor="background1" w:themeShade="80"/>
        </w:rPr>
        <w:t xml:space="preserve"> This is </w:t>
      </w:r>
      <w:proofErr w:type="gramStart"/>
      <w:r w:rsidRPr="0084163F">
        <w:rPr>
          <w:rFonts w:ascii="Arial" w:hAnsi="Arial" w:cs="Arial"/>
          <w:color w:val="808080" w:themeColor="background1" w:themeShade="80"/>
        </w:rPr>
        <w:t>similar to</w:t>
      </w:r>
      <w:proofErr w:type="gramEnd"/>
      <w:r w:rsidRPr="0084163F">
        <w:rPr>
          <w:rFonts w:ascii="Arial" w:hAnsi="Arial" w:cs="Arial"/>
          <w:color w:val="808080" w:themeColor="background1" w:themeShade="80"/>
        </w:rPr>
        <w:t xml:space="preserve"> when the lease is assumed (as above).</w:t>
      </w:r>
    </w:p>
    <w:p w14:paraId="25F8750F" w14:textId="77777777" w:rsidR="00C71312" w:rsidRPr="0084163F" w:rsidRDefault="00C71312" w:rsidP="00C71312">
      <w:pPr>
        <w:pStyle w:val="AODocTxt"/>
        <w:spacing w:before="0" w:line="240" w:lineRule="auto"/>
        <w:ind w:left="720"/>
        <w:rPr>
          <w:rFonts w:ascii="Arial" w:hAnsi="Arial" w:cs="Arial"/>
          <w:color w:val="808080" w:themeColor="background1" w:themeShade="80"/>
        </w:rPr>
      </w:pPr>
    </w:p>
    <w:p w14:paraId="5C55011D" w14:textId="3CB51996" w:rsidR="005F5B04" w:rsidRPr="0084163F" w:rsidRDefault="00E11FBB" w:rsidP="00C71312">
      <w:pPr>
        <w:pStyle w:val="AODocTxt"/>
        <w:spacing w:before="0" w:line="240" w:lineRule="auto"/>
        <w:ind w:left="720"/>
        <w:rPr>
          <w:rFonts w:ascii="Arial" w:hAnsi="Arial" w:cs="Arial"/>
          <w:color w:val="808080" w:themeColor="background1" w:themeShade="80"/>
        </w:rPr>
      </w:pPr>
      <w:r w:rsidRPr="0084163F">
        <w:rPr>
          <w:rFonts w:ascii="Arial" w:hAnsi="Arial" w:cs="Arial"/>
          <w:color w:val="808080" w:themeColor="background1" w:themeShade="80"/>
        </w:rPr>
        <w:t>The</w:t>
      </w:r>
      <w:r w:rsidR="005F5B04" w:rsidRPr="0084163F">
        <w:rPr>
          <w:rFonts w:ascii="Arial" w:hAnsi="Arial" w:cs="Arial"/>
          <w:color w:val="808080" w:themeColor="background1" w:themeShade="80"/>
        </w:rPr>
        <w:t xml:space="preserve"> Bankruptcy Code overrides all anti-assignment provisions that would, ordinarily prevent a debtor-tenant from assigning a lease unilaterally – therefore the right to receive “</w:t>
      </w:r>
      <w:r w:rsidR="005F5B04" w:rsidRPr="0084163F">
        <w:rPr>
          <w:rFonts w:ascii="Arial" w:hAnsi="Arial" w:cs="Arial"/>
          <w:i/>
          <w:iCs/>
          <w:color w:val="808080" w:themeColor="background1" w:themeShade="80"/>
        </w:rPr>
        <w:t>adequate assurance is a critical bargaining chip for landlords who can, among other things, demand additional guaranties from the debtor or assignee</w:t>
      </w:r>
      <w:r w:rsidR="005F5B04" w:rsidRPr="0084163F">
        <w:rPr>
          <w:rFonts w:ascii="Arial" w:hAnsi="Arial" w:cs="Arial"/>
          <w:color w:val="808080" w:themeColor="background1" w:themeShade="80"/>
        </w:rPr>
        <w:t>.”</w:t>
      </w:r>
      <w:r w:rsidR="005F5B04" w:rsidRPr="0084163F">
        <w:rPr>
          <w:rStyle w:val="FootnoteReference"/>
          <w:rFonts w:ascii="Arial" w:hAnsi="Arial" w:cs="Arial"/>
          <w:color w:val="808080" w:themeColor="background1" w:themeShade="80"/>
        </w:rPr>
        <w:footnoteReference w:id="149"/>
      </w:r>
      <w:r w:rsidRPr="0084163F">
        <w:rPr>
          <w:rFonts w:ascii="Arial" w:hAnsi="Arial" w:cs="Arial"/>
          <w:color w:val="808080" w:themeColor="background1" w:themeShade="80"/>
        </w:rPr>
        <w:t xml:space="preserve"> iWork’s </w:t>
      </w:r>
      <w:r w:rsidRPr="0084163F">
        <w:rPr>
          <w:rFonts w:ascii="Arial" w:hAnsi="Arial" w:cs="Arial"/>
          <w:color w:val="808080" w:themeColor="background1" w:themeShade="80"/>
        </w:rPr>
        <w:lastRenderedPageBreak/>
        <w:t>lessor should therefore seek assurances from any prospective assignee that they will comply with the terms of the lease including financial records of the assignee.</w:t>
      </w:r>
    </w:p>
    <w:p w14:paraId="4B4AD43D" w14:textId="77777777" w:rsidR="005F5B04" w:rsidRPr="0084163F" w:rsidRDefault="005F5B04" w:rsidP="005237A3">
      <w:pPr>
        <w:pStyle w:val="AODocTxt"/>
        <w:spacing w:before="0" w:line="240" w:lineRule="auto"/>
        <w:rPr>
          <w:rFonts w:ascii="Arial" w:hAnsi="Arial" w:cs="Arial"/>
          <w:color w:val="808080" w:themeColor="background1" w:themeShade="80"/>
        </w:rPr>
      </w:pPr>
    </w:p>
    <w:p w14:paraId="6C7AFC96" w14:textId="2E9569E9" w:rsidR="00BE44F2" w:rsidRPr="0084163F" w:rsidRDefault="00A2193D" w:rsidP="005237A3">
      <w:pPr>
        <w:pStyle w:val="AODocTxt"/>
        <w:spacing w:before="0" w:line="240" w:lineRule="auto"/>
        <w:rPr>
          <w:rFonts w:ascii="Arial" w:hAnsi="Arial" w:cs="Arial"/>
          <w:b/>
          <w:bCs/>
          <w:color w:val="808080" w:themeColor="background1" w:themeShade="80"/>
          <w:u w:val="single"/>
        </w:rPr>
      </w:pPr>
      <w:r w:rsidRPr="0084163F">
        <w:rPr>
          <w:rFonts w:ascii="Arial" w:hAnsi="Arial" w:cs="Arial"/>
          <w:b/>
          <w:bCs/>
          <w:color w:val="808080" w:themeColor="background1" w:themeShade="80"/>
          <w:u w:val="single"/>
        </w:rPr>
        <w:t>Section 365(b)(2)</w:t>
      </w:r>
    </w:p>
    <w:p w14:paraId="28890F65" w14:textId="69B42BDD" w:rsidR="00196A74" w:rsidRPr="00A2193D" w:rsidRDefault="00514BD7" w:rsidP="005237A3">
      <w:pPr>
        <w:pStyle w:val="AODocTxt"/>
        <w:spacing w:before="0" w:line="240" w:lineRule="auto"/>
        <w:rPr>
          <w:rFonts w:ascii="Arial" w:hAnsi="Arial" w:cs="Arial"/>
          <w:color w:val="808080" w:themeColor="background1" w:themeShade="80"/>
        </w:rPr>
      </w:pPr>
      <w:r w:rsidRPr="0084163F">
        <w:rPr>
          <w:rFonts w:ascii="Arial" w:hAnsi="Arial" w:cs="Arial"/>
          <w:color w:val="808080" w:themeColor="background1" w:themeShade="80"/>
        </w:rPr>
        <w:t xml:space="preserve">A further protection afforded to </w:t>
      </w:r>
      <w:r w:rsidR="00A2193D" w:rsidRPr="0084163F">
        <w:rPr>
          <w:rFonts w:ascii="Arial" w:hAnsi="Arial" w:cs="Arial"/>
          <w:color w:val="808080" w:themeColor="background1" w:themeShade="80"/>
        </w:rPr>
        <w:t>iWork</w:t>
      </w:r>
      <w:r w:rsidR="00E11FBB" w:rsidRPr="0084163F">
        <w:rPr>
          <w:rFonts w:ascii="Arial" w:hAnsi="Arial" w:cs="Arial"/>
          <w:color w:val="808080" w:themeColor="background1" w:themeShade="80"/>
        </w:rPr>
        <w:t>’s lessor</w:t>
      </w:r>
      <w:r w:rsidR="00A2193D" w:rsidRPr="0084163F">
        <w:rPr>
          <w:rFonts w:ascii="Arial" w:hAnsi="Arial" w:cs="Arial"/>
          <w:color w:val="808080" w:themeColor="background1" w:themeShade="80"/>
        </w:rPr>
        <w:t xml:space="preserve"> </w:t>
      </w:r>
      <w:r w:rsidRPr="0084163F">
        <w:rPr>
          <w:rFonts w:ascii="Arial" w:hAnsi="Arial" w:cs="Arial"/>
          <w:color w:val="808080" w:themeColor="background1" w:themeShade="80"/>
        </w:rPr>
        <w:t>by the Bankruptcy Code is section 365(b)(2). The value of iWork’s ability to assign</w:t>
      </w:r>
      <w:r w:rsidR="0084163F" w:rsidRPr="0084163F">
        <w:rPr>
          <w:rFonts w:ascii="Arial" w:hAnsi="Arial" w:cs="Arial"/>
          <w:color w:val="808080" w:themeColor="background1" w:themeShade="80"/>
        </w:rPr>
        <w:t xml:space="preserve"> </w:t>
      </w:r>
      <w:r w:rsidR="009A267E">
        <w:rPr>
          <w:rFonts w:ascii="Arial" w:hAnsi="Arial" w:cs="Arial"/>
          <w:color w:val="808080" w:themeColor="background1" w:themeShade="80"/>
        </w:rPr>
        <w:t xml:space="preserve">the </w:t>
      </w:r>
      <w:r w:rsidR="0084163F" w:rsidRPr="0084163F">
        <w:rPr>
          <w:rFonts w:ascii="Arial" w:hAnsi="Arial" w:cs="Arial"/>
          <w:color w:val="808080" w:themeColor="background1" w:themeShade="80"/>
        </w:rPr>
        <w:t>unexpired</w:t>
      </w:r>
      <w:r w:rsidRPr="0084163F">
        <w:rPr>
          <w:rFonts w:ascii="Arial" w:hAnsi="Arial" w:cs="Arial"/>
          <w:color w:val="808080" w:themeColor="background1" w:themeShade="80"/>
        </w:rPr>
        <w:t xml:space="preserve"> </w:t>
      </w:r>
      <w:r w:rsidR="0084163F" w:rsidRPr="0084163F">
        <w:rPr>
          <w:rFonts w:ascii="Arial" w:hAnsi="Arial" w:cs="Arial"/>
          <w:color w:val="808080" w:themeColor="background1" w:themeShade="80"/>
        </w:rPr>
        <w:t>leases</w:t>
      </w:r>
      <w:r w:rsidRPr="0084163F">
        <w:rPr>
          <w:rFonts w:ascii="Arial" w:hAnsi="Arial" w:cs="Arial"/>
          <w:color w:val="808080" w:themeColor="background1" w:themeShade="80"/>
        </w:rPr>
        <w:t xml:space="preserve"> is increased by the nullification of </w:t>
      </w:r>
      <w:r w:rsidRPr="0084163F">
        <w:rPr>
          <w:rFonts w:ascii="Arial" w:hAnsi="Arial" w:cs="Arial"/>
          <w:i/>
          <w:iCs/>
          <w:color w:val="808080" w:themeColor="background1" w:themeShade="80"/>
        </w:rPr>
        <w:t>ipso facto</w:t>
      </w:r>
      <w:r w:rsidRPr="0084163F">
        <w:rPr>
          <w:rFonts w:ascii="Arial" w:hAnsi="Arial" w:cs="Arial"/>
          <w:color w:val="808080" w:themeColor="background1" w:themeShade="80"/>
        </w:rPr>
        <w:t xml:space="preserve"> clauses</w:t>
      </w:r>
      <w:r w:rsidRPr="0084163F">
        <w:rPr>
          <w:rStyle w:val="FootnoteReference"/>
          <w:rFonts w:ascii="Arial" w:hAnsi="Arial" w:cs="Arial"/>
          <w:color w:val="808080" w:themeColor="background1" w:themeShade="80"/>
        </w:rPr>
        <w:footnoteReference w:id="150"/>
      </w:r>
      <w:r w:rsidRPr="0084163F">
        <w:rPr>
          <w:rFonts w:ascii="Arial" w:hAnsi="Arial" w:cs="Arial"/>
          <w:color w:val="808080" w:themeColor="background1" w:themeShade="80"/>
        </w:rPr>
        <w:t xml:space="preserve"> that would permit rights to be terminated or altered solely </w:t>
      </w:r>
      <w:r w:rsidR="0084163F" w:rsidRPr="0084163F">
        <w:rPr>
          <w:rFonts w:ascii="Arial" w:hAnsi="Arial" w:cs="Arial"/>
          <w:color w:val="808080" w:themeColor="background1" w:themeShade="80"/>
        </w:rPr>
        <w:t>because</w:t>
      </w:r>
      <w:r w:rsidRPr="0084163F">
        <w:rPr>
          <w:rFonts w:ascii="Arial" w:hAnsi="Arial" w:cs="Arial"/>
          <w:color w:val="808080" w:themeColor="background1" w:themeShade="80"/>
        </w:rPr>
        <w:t xml:space="preserve"> </w:t>
      </w:r>
      <w:r w:rsidR="001D1B38">
        <w:rPr>
          <w:rFonts w:ascii="Arial" w:hAnsi="Arial" w:cs="Arial"/>
          <w:color w:val="808080" w:themeColor="background1" w:themeShade="80"/>
        </w:rPr>
        <w:t xml:space="preserve">iWork (as </w:t>
      </w:r>
      <w:r w:rsidRPr="0084163F">
        <w:rPr>
          <w:rFonts w:ascii="Arial" w:hAnsi="Arial" w:cs="Arial"/>
          <w:color w:val="808080" w:themeColor="background1" w:themeShade="80"/>
        </w:rPr>
        <w:t>the debtor</w:t>
      </w:r>
      <w:r w:rsidR="001D1B38">
        <w:rPr>
          <w:rFonts w:ascii="Arial" w:hAnsi="Arial" w:cs="Arial"/>
          <w:color w:val="808080" w:themeColor="background1" w:themeShade="80"/>
        </w:rPr>
        <w:t>)</w:t>
      </w:r>
      <w:r w:rsidRPr="0084163F">
        <w:rPr>
          <w:rFonts w:ascii="Arial" w:hAnsi="Arial" w:cs="Arial"/>
          <w:color w:val="808080" w:themeColor="background1" w:themeShade="80"/>
        </w:rPr>
        <w:t xml:space="preserve"> was insolvent</w:t>
      </w:r>
      <w:r w:rsidRPr="0084163F">
        <w:rPr>
          <w:rStyle w:val="FootnoteReference"/>
          <w:rFonts w:ascii="Arial" w:hAnsi="Arial" w:cs="Arial"/>
          <w:color w:val="808080" w:themeColor="background1" w:themeShade="80"/>
        </w:rPr>
        <w:footnoteReference w:id="151"/>
      </w:r>
      <w:r w:rsidRPr="0084163F">
        <w:rPr>
          <w:rFonts w:ascii="Arial" w:hAnsi="Arial" w:cs="Arial"/>
          <w:color w:val="808080" w:themeColor="background1" w:themeShade="80"/>
        </w:rPr>
        <w:t xml:space="preserve"> or had commenced bankruptcy proceedings under the Bankruptcy Code</w:t>
      </w:r>
      <w:r w:rsidRPr="0084163F">
        <w:rPr>
          <w:rStyle w:val="FootnoteReference"/>
          <w:rFonts w:ascii="Arial" w:hAnsi="Arial" w:cs="Arial"/>
          <w:color w:val="808080" w:themeColor="background1" w:themeShade="80"/>
        </w:rPr>
        <w:footnoteReference w:id="152"/>
      </w:r>
      <w:r w:rsidRPr="0084163F">
        <w:rPr>
          <w:rFonts w:ascii="Arial" w:hAnsi="Arial" w:cs="Arial"/>
          <w:color w:val="808080" w:themeColor="background1" w:themeShade="80"/>
        </w:rPr>
        <w:t>.</w:t>
      </w:r>
      <w:r w:rsidR="00A2193D" w:rsidRPr="0084163F">
        <w:rPr>
          <w:rFonts w:ascii="Arial" w:hAnsi="Arial" w:cs="Arial"/>
          <w:color w:val="808080" w:themeColor="background1" w:themeShade="80"/>
        </w:rPr>
        <w:t xml:space="preserve"> iWork, as debtor-tenant,</w:t>
      </w:r>
      <w:r w:rsidR="0084163F" w:rsidRPr="0084163F">
        <w:rPr>
          <w:rFonts w:ascii="Arial" w:hAnsi="Arial" w:cs="Arial"/>
          <w:color w:val="808080" w:themeColor="background1" w:themeShade="80"/>
        </w:rPr>
        <w:t xml:space="preserve"> </w:t>
      </w:r>
      <w:proofErr w:type="gramStart"/>
      <w:r w:rsidR="00C87E6A">
        <w:rPr>
          <w:rFonts w:ascii="Arial" w:hAnsi="Arial" w:cs="Arial"/>
          <w:color w:val="808080" w:themeColor="background1" w:themeShade="80"/>
        </w:rPr>
        <w:t>therefore</w:t>
      </w:r>
      <w:proofErr w:type="gramEnd"/>
      <w:r w:rsidR="00C87E6A">
        <w:rPr>
          <w:rFonts w:ascii="Arial" w:hAnsi="Arial" w:cs="Arial"/>
          <w:color w:val="808080" w:themeColor="background1" w:themeShade="80"/>
        </w:rPr>
        <w:t xml:space="preserve"> </w:t>
      </w:r>
      <w:r w:rsidR="0084163F" w:rsidRPr="0084163F">
        <w:rPr>
          <w:rFonts w:ascii="Arial" w:hAnsi="Arial" w:cs="Arial"/>
          <w:color w:val="808080" w:themeColor="background1" w:themeShade="80"/>
        </w:rPr>
        <w:t>has</w:t>
      </w:r>
      <w:r w:rsidR="00A2193D" w:rsidRPr="0084163F">
        <w:rPr>
          <w:rFonts w:ascii="Arial" w:hAnsi="Arial" w:cs="Arial"/>
          <w:color w:val="808080" w:themeColor="background1" w:themeShade="80"/>
        </w:rPr>
        <w:t xml:space="preserve"> </w:t>
      </w:r>
      <w:proofErr w:type="gramStart"/>
      <w:r w:rsidR="00A2193D" w:rsidRPr="0084163F">
        <w:rPr>
          <w:rFonts w:ascii="Arial" w:hAnsi="Arial" w:cs="Arial"/>
          <w:color w:val="808080" w:themeColor="background1" w:themeShade="80"/>
        </w:rPr>
        <w:t>less</w:t>
      </w:r>
      <w:proofErr w:type="gramEnd"/>
      <w:r w:rsidR="00A2193D" w:rsidRPr="0084163F">
        <w:rPr>
          <w:rFonts w:ascii="Arial" w:hAnsi="Arial" w:cs="Arial"/>
          <w:color w:val="808080" w:themeColor="background1" w:themeShade="80"/>
        </w:rPr>
        <w:t xml:space="preserve"> contractual or legal restrictions to assign any </w:t>
      </w:r>
      <w:r w:rsidR="0084163F" w:rsidRPr="0084163F">
        <w:rPr>
          <w:rFonts w:ascii="Arial" w:hAnsi="Arial" w:cs="Arial"/>
          <w:color w:val="808080" w:themeColor="background1" w:themeShade="80"/>
        </w:rPr>
        <w:t>lease</w:t>
      </w:r>
      <w:r w:rsidR="00A2193D" w:rsidRPr="0084163F">
        <w:rPr>
          <w:rFonts w:ascii="Arial" w:hAnsi="Arial" w:cs="Arial"/>
          <w:color w:val="808080" w:themeColor="background1" w:themeShade="80"/>
        </w:rPr>
        <w:t xml:space="preserve"> in order to </w:t>
      </w:r>
      <w:proofErr w:type="spellStart"/>
      <w:r w:rsidR="00A2193D" w:rsidRPr="0084163F">
        <w:rPr>
          <w:rFonts w:ascii="Arial" w:hAnsi="Arial" w:cs="Arial"/>
          <w:color w:val="808080" w:themeColor="background1" w:themeShade="80"/>
        </w:rPr>
        <w:t>maximise</w:t>
      </w:r>
      <w:proofErr w:type="spellEnd"/>
      <w:r w:rsidR="00A2193D" w:rsidRPr="0084163F">
        <w:rPr>
          <w:rFonts w:ascii="Arial" w:hAnsi="Arial" w:cs="Arial"/>
          <w:color w:val="808080" w:themeColor="background1" w:themeShade="80"/>
        </w:rPr>
        <w:t xml:space="preserve"> the value of the estate for creditors.</w:t>
      </w:r>
    </w:p>
    <w:p w14:paraId="581D164A" w14:textId="77777777" w:rsidR="00AC340D" w:rsidRDefault="00AC340D"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31089A2F" w14:textId="18519060" w:rsidR="00917C65" w:rsidRPr="00AC340D" w:rsidRDefault="00891E43" w:rsidP="00967F1F">
      <w:pPr>
        <w:pStyle w:val="AODocTxt"/>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 xml:space="preserve">The English scheme of arrangement </w:t>
      </w:r>
      <w:r w:rsidR="00FC702E" w:rsidRPr="00AC340D">
        <w:rPr>
          <w:rFonts w:ascii="Arial" w:hAnsi="Arial" w:cs="Arial"/>
          <w:color w:val="808080" w:themeColor="background1" w:themeShade="80"/>
        </w:rPr>
        <w:t>(“</w:t>
      </w:r>
      <w:r w:rsidR="00FC702E" w:rsidRPr="00AC340D">
        <w:rPr>
          <w:rFonts w:ascii="Arial" w:hAnsi="Arial" w:cs="Arial"/>
          <w:b/>
          <w:bCs/>
          <w:color w:val="808080" w:themeColor="background1" w:themeShade="80"/>
        </w:rPr>
        <w:t>Scheme of Arrangement</w:t>
      </w:r>
      <w:r w:rsidR="00FC702E" w:rsidRPr="00AC340D">
        <w:rPr>
          <w:rFonts w:ascii="Arial" w:hAnsi="Arial" w:cs="Arial"/>
          <w:color w:val="808080" w:themeColor="background1" w:themeShade="80"/>
        </w:rPr>
        <w:t xml:space="preserve">”) </w:t>
      </w:r>
      <w:r w:rsidR="004D4183" w:rsidRPr="00AC340D">
        <w:rPr>
          <w:rFonts w:ascii="Arial" w:hAnsi="Arial" w:cs="Arial"/>
          <w:color w:val="808080" w:themeColor="background1" w:themeShade="80"/>
        </w:rPr>
        <w:t>which Skin</w:t>
      </w:r>
      <w:r w:rsidRPr="00AC340D">
        <w:rPr>
          <w:rFonts w:ascii="Arial" w:hAnsi="Arial" w:cs="Arial"/>
          <w:color w:val="808080" w:themeColor="background1" w:themeShade="80"/>
        </w:rPr>
        <w:t xml:space="preserve"> Luxe is considering could be granted recognition under Chapter 15 of the Bankruptcy Code</w:t>
      </w:r>
      <w:r w:rsidR="004D4183" w:rsidRPr="00AC340D">
        <w:rPr>
          <w:rFonts w:ascii="Arial" w:hAnsi="Arial" w:cs="Arial"/>
          <w:color w:val="808080" w:themeColor="background1" w:themeShade="80"/>
        </w:rPr>
        <w:t xml:space="preserve"> (i.e. Title 11 of the United States Code)</w:t>
      </w:r>
      <w:r w:rsidRPr="00AC340D">
        <w:rPr>
          <w:rFonts w:ascii="Arial" w:hAnsi="Arial" w:cs="Arial"/>
          <w:color w:val="808080" w:themeColor="background1" w:themeShade="80"/>
        </w:rPr>
        <w:t xml:space="preserve"> as </w:t>
      </w:r>
      <w:r w:rsidR="004D4183" w:rsidRPr="00AC340D">
        <w:rPr>
          <w:rFonts w:ascii="Arial" w:hAnsi="Arial" w:cs="Arial"/>
          <w:color w:val="808080" w:themeColor="background1" w:themeShade="80"/>
        </w:rPr>
        <w:t xml:space="preserve">a </w:t>
      </w:r>
      <w:r w:rsidRPr="00AC340D">
        <w:rPr>
          <w:rFonts w:ascii="Arial" w:hAnsi="Arial" w:cs="Arial"/>
          <w:color w:val="808080" w:themeColor="background1" w:themeShade="80"/>
        </w:rPr>
        <w:t>foreign non-main proceeding.</w:t>
      </w:r>
      <w:r w:rsidR="00917C65" w:rsidRPr="00AC340D">
        <w:rPr>
          <w:rFonts w:ascii="Arial" w:hAnsi="Arial" w:cs="Arial"/>
          <w:color w:val="808080" w:themeColor="background1" w:themeShade="80"/>
        </w:rPr>
        <w:t xml:space="preserve"> </w:t>
      </w:r>
    </w:p>
    <w:p w14:paraId="21B80315" w14:textId="77777777" w:rsidR="00917C65" w:rsidRPr="00AC340D" w:rsidRDefault="00917C65" w:rsidP="00967F1F">
      <w:pPr>
        <w:pStyle w:val="AODocTxt"/>
        <w:spacing w:before="0" w:line="240" w:lineRule="auto"/>
        <w:rPr>
          <w:rFonts w:ascii="Arial" w:hAnsi="Arial" w:cs="Arial"/>
          <w:color w:val="808080" w:themeColor="background1" w:themeShade="80"/>
        </w:rPr>
      </w:pPr>
    </w:p>
    <w:p w14:paraId="5DF5E83C" w14:textId="6A34E54C" w:rsidR="00917C65" w:rsidRPr="00AC340D" w:rsidRDefault="00917C65" w:rsidP="00967F1F">
      <w:pPr>
        <w:pStyle w:val="AODocTxt"/>
        <w:spacing w:before="0" w:line="240" w:lineRule="auto"/>
        <w:rPr>
          <w:rFonts w:ascii="Arial" w:hAnsi="Arial" w:cs="Arial"/>
          <w:b/>
          <w:bCs/>
          <w:color w:val="808080" w:themeColor="background1" w:themeShade="80"/>
          <w:u w:val="single"/>
        </w:rPr>
      </w:pPr>
      <w:r w:rsidRPr="00AC340D">
        <w:rPr>
          <w:rFonts w:ascii="Arial" w:hAnsi="Arial" w:cs="Arial"/>
          <w:b/>
          <w:bCs/>
          <w:color w:val="808080" w:themeColor="background1" w:themeShade="80"/>
          <w:u w:val="single"/>
        </w:rPr>
        <w:t>Recognition</w:t>
      </w:r>
    </w:p>
    <w:p w14:paraId="7749E012" w14:textId="746D9039" w:rsidR="008C6534" w:rsidRPr="00AC340D" w:rsidRDefault="004D4183" w:rsidP="00967F1F">
      <w:pPr>
        <w:pStyle w:val="AODocTxt"/>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The starting point is</w:t>
      </w:r>
      <w:r w:rsidR="00917C65" w:rsidRPr="00AC340D">
        <w:rPr>
          <w:rFonts w:ascii="Arial" w:hAnsi="Arial" w:cs="Arial"/>
          <w:color w:val="808080" w:themeColor="background1" w:themeShade="80"/>
        </w:rPr>
        <w:t xml:space="preserve"> applying for recognition.</w:t>
      </w:r>
      <w:r w:rsidRPr="00AC340D">
        <w:rPr>
          <w:rFonts w:ascii="Arial" w:hAnsi="Arial" w:cs="Arial"/>
          <w:color w:val="808080" w:themeColor="background1" w:themeShade="80"/>
        </w:rPr>
        <w:t xml:space="preserve"> </w:t>
      </w:r>
      <w:r w:rsidR="00917C65" w:rsidRPr="00AC340D">
        <w:rPr>
          <w:rFonts w:ascii="Arial" w:hAnsi="Arial" w:cs="Arial"/>
          <w:color w:val="808080" w:themeColor="background1" w:themeShade="80"/>
        </w:rPr>
        <w:t>S</w:t>
      </w:r>
      <w:r w:rsidRPr="00AC340D">
        <w:rPr>
          <w:rFonts w:ascii="Arial" w:hAnsi="Arial" w:cs="Arial"/>
          <w:color w:val="808080" w:themeColor="background1" w:themeShade="80"/>
        </w:rPr>
        <w:t xml:space="preserve">ection 1515(a) </w:t>
      </w:r>
      <w:r w:rsidR="00917C65" w:rsidRPr="00AC340D">
        <w:rPr>
          <w:rFonts w:ascii="Arial" w:hAnsi="Arial" w:cs="Arial"/>
          <w:color w:val="808080" w:themeColor="background1" w:themeShade="80"/>
        </w:rPr>
        <w:t xml:space="preserve">sets out the requirement for </w:t>
      </w:r>
      <w:r w:rsidRPr="00AC340D">
        <w:rPr>
          <w:rFonts w:ascii="Arial" w:hAnsi="Arial" w:cs="Arial"/>
          <w:color w:val="808080" w:themeColor="background1" w:themeShade="80"/>
        </w:rPr>
        <w:t>the debtor’s (</w:t>
      </w:r>
      <w:r w:rsidR="00917C65" w:rsidRPr="00AC340D">
        <w:rPr>
          <w:rFonts w:ascii="Arial" w:hAnsi="Arial" w:cs="Arial"/>
          <w:color w:val="808080" w:themeColor="background1" w:themeShade="80"/>
        </w:rPr>
        <w:t>i.e.</w:t>
      </w:r>
      <w:r w:rsidRPr="00AC340D">
        <w:rPr>
          <w:rFonts w:ascii="Arial" w:hAnsi="Arial" w:cs="Arial"/>
          <w:color w:val="808080" w:themeColor="background1" w:themeShade="80"/>
        </w:rPr>
        <w:t xml:space="preserve"> Skin Luxe)</w:t>
      </w:r>
      <w:r w:rsidR="009B3831" w:rsidRPr="00AC340D">
        <w:rPr>
          <w:rFonts w:ascii="Arial" w:hAnsi="Arial" w:cs="Arial"/>
          <w:color w:val="808080" w:themeColor="background1" w:themeShade="80"/>
        </w:rPr>
        <w:t xml:space="preserve"> foreign representative to apply </w:t>
      </w:r>
      <w:r w:rsidRPr="00AC340D">
        <w:rPr>
          <w:rFonts w:ascii="Arial" w:hAnsi="Arial" w:cs="Arial"/>
          <w:color w:val="808080" w:themeColor="background1" w:themeShade="80"/>
        </w:rPr>
        <w:t xml:space="preserve">to the US court for recognition of the foreign proceeding in which they have been appointed </w:t>
      </w:r>
      <w:r w:rsidR="006964FB">
        <w:rPr>
          <w:rFonts w:ascii="Arial" w:hAnsi="Arial" w:cs="Arial"/>
          <w:color w:val="808080" w:themeColor="background1" w:themeShade="80"/>
        </w:rPr>
        <w:t xml:space="preserve">(i.e. the Scheme of Arrangement) </w:t>
      </w:r>
      <w:r w:rsidRPr="00AC340D">
        <w:rPr>
          <w:rFonts w:ascii="Arial" w:hAnsi="Arial" w:cs="Arial"/>
          <w:color w:val="808080" w:themeColor="background1" w:themeShade="80"/>
        </w:rPr>
        <w:t>by filing a petition for recognition</w:t>
      </w:r>
      <w:r w:rsidRPr="00AC340D">
        <w:rPr>
          <w:rStyle w:val="FootnoteReference"/>
          <w:rFonts w:ascii="Arial" w:hAnsi="Arial" w:cs="Arial"/>
          <w:color w:val="808080" w:themeColor="background1" w:themeShade="80"/>
        </w:rPr>
        <w:footnoteReference w:id="153"/>
      </w:r>
      <w:r w:rsidRPr="00AC340D">
        <w:rPr>
          <w:rFonts w:ascii="Arial" w:hAnsi="Arial" w:cs="Arial"/>
          <w:color w:val="808080" w:themeColor="background1" w:themeShade="80"/>
        </w:rPr>
        <w:t>.</w:t>
      </w:r>
      <w:r w:rsidR="009B3831" w:rsidRPr="00AC340D">
        <w:rPr>
          <w:rFonts w:ascii="Arial" w:hAnsi="Arial" w:cs="Arial"/>
          <w:color w:val="808080" w:themeColor="background1" w:themeShade="80"/>
        </w:rPr>
        <w:t xml:space="preserve"> </w:t>
      </w:r>
      <w:r w:rsidR="008C6534" w:rsidRPr="00AC340D">
        <w:rPr>
          <w:rFonts w:ascii="Arial" w:hAnsi="Arial" w:cs="Arial"/>
          <w:color w:val="808080" w:themeColor="background1" w:themeShade="80"/>
        </w:rPr>
        <w:t>A foreign representative is a person or body who is “</w:t>
      </w:r>
      <w:r w:rsidR="008C6534" w:rsidRPr="00AC340D">
        <w:rPr>
          <w:rFonts w:ascii="Arial" w:hAnsi="Arial" w:cs="Arial"/>
          <w:i/>
          <w:iCs/>
          <w:color w:val="808080" w:themeColor="background1" w:themeShade="80"/>
        </w:rPr>
        <w:t xml:space="preserve">authorized in a foreign proceeding to administer the </w:t>
      </w:r>
      <w:r w:rsidR="008C6534" w:rsidRPr="00AC340D">
        <w:rPr>
          <w:rFonts w:ascii="Arial" w:hAnsi="Arial" w:cs="Arial"/>
          <w:i/>
          <w:iCs/>
          <w:color w:val="808080" w:themeColor="background1" w:themeShade="80"/>
          <w:u w:val="single"/>
        </w:rPr>
        <w:t>reorganization</w:t>
      </w:r>
      <w:r w:rsidR="008C6534" w:rsidRPr="00AC340D">
        <w:rPr>
          <w:rFonts w:ascii="Arial" w:hAnsi="Arial" w:cs="Arial"/>
          <w:i/>
          <w:iCs/>
          <w:color w:val="808080" w:themeColor="background1" w:themeShade="80"/>
        </w:rPr>
        <w:t xml:space="preserve"> or the liquidation of the debtor’s assets or affairs or to act as a representative of such foreign proceeding</w:t>
      </w:r>
      <w:r w:rsidR="008C6534" w:rsidRPr="00AC340D">
        <w:rPr>
          <w:rFonts w:ascii="Arial" w:hAnsi="Arial" w:cs="Arial"/>
          <w:color w:val="808080" w:themeColor="background1" w:themeShade="80"/>
        </w:rPr>
        <w:t>.</w:t>
      </w:r>
      <w:r w:rsidR="00917C65" w:rsidRPr="00AC340D">
        <w:rPr>
          <w:rFonts w:ascii="Arial" w:hAnsi="Arial" w:cs="Arial"/>
          <w:color w:val="808080" w:themeColor="background1" w:themeShade="80"/>
        </w:rPr>
        <w:t xml:space="preserve"> [emphasis added]</w:t>
      </w:r>
      <w:r w:rsidR="008C6534" w:rsidRPr="00AC340D">
        <w:rPr>
          <w:rFonts w:ascii="Arial" w:hAnsi="Arial" w:cs="Arial"/>
          <w:color w:val="808080" w:themeColor="background1" w:themeShade="80"/>
        </w:rPr>
        <w:t>”</w:t>
      </w:r>
      <w:r w:rsidR="008C6534" w:rsidRPr="00AC340D">
        <w:rPr>
          <w:rStyle w:val="FootnoteReference"/>
          <w:rFonts w:ascii="Arial" w:hAnsi="Arial" w:cs="Arial"/>
          <w:color w:val="808080" w:themeColor="background1" w:themeShade="80"/>
        </w:rPr>
        <w:footnoteReference w:id="154"/>
      </w:r>
      <w:r w:rsidR="008C6534" w:rsidRPr="00AC340D">
        <w:rPr>
          <w:rFonts w:ascii="Arial" w:hAnsi="Arial" w:cs="Arial"/>
          <w:color w:val="808080" w:themeColor="background1" w:themeShade="80"/>
        </w:rPr>
        <w:t xml:space="preserve"> </w:t>
      </w:r>
      <w:r w:rsidR="001D0206" w:rsidRPr="00AC340D">
        <w:rPr>
          <w:rFonts w:ascii="Arial" w:hAnsi="Arial" w:cs="Arial"/>
          <w:color w:val="808080" w:themeColor="background1" w:themeShade="80"/>
        </w:rPr>
        <w:t>“</w:t>
      </w:r>
      <w:r w:rsidR="003F5CB0">
        <w:rPr>
          <w:rFonts w:ascii="Arial" w:hAnsi="Arial" w:cs="Arial"/>
          <w:color w:val="808080" w:themeColor="background1" w:themeShade="80"/>
        </w:rPr>
        <w:t>F</w:t>
      </w:r>
      <w:r w:rsidR="001D0206" w:rsidRPr="00AC340D">
        <w:rPr>
          <w:rFonts w:ascii="Arial" w:hAnsi="Arial" w:cs="Arial"/>
          <w:color w:val="808080" w:themeColor="background1" w:themeShade="80"/>
        </w:rPr>
        <w:t xml:space="preserve">oreign proceeding” </w:t>
      </w:r>
      <w:r w:rsidR="003F5CB0">
        <w:rPr>
          <w:rFonts w:ascii="Arial" w:hAnsi="Arial" w:cs="Arial"/>
          <w:color w:val="808080" w:themeColor="background1" w:themeShade="80"/>
        </w:rPr>
        <w:t xml:space="preserve">is defined in section 101(23) </w:t>
      </w:r>
      <w:r w:rsidR="001D0206" w:rsidRPr="00AC340D">
        <w:rPr>
          <w:rFonts w:ascii="Arial" w:hAnsi="Arial" w:cs="Arial"/>
          <w:color w:val="808080" w:themeColor="background1" w:themeShade="80"/>
        </w:rPr>
        <w:t>as “</w:t>
      </w:r>
      <w:r w:rsidR="008C6534" w:rsidRPr="00AC340D">
        <w:rPr>
          <w:rFonts w:ascii="Arial" w:hAnsi="Arial" w:cs="Arial"/>
          <w:i/>
          <w:iCs/>
          <w:color w:val="808080" w:themeColor="background1" w:themeShade="80"/>
        </w:rPr>
        <w:t>collective judicial or administrative proceeding in a foreign country</w:t>
      </w:r>
      <w:r w:rsidR="001D0206" w:rsidRPr="00AC340D">
        <w:rPr>
          <w:rFonts w:ascii="Arial" w:hAnsi="Arial" w:cs="Arial"/>
          <w:i/>
          <w:iCs/>
          <w:color w:val="808080" w:themeColor="background1" w:themeShade="80"/>
        </w:rPr>
        <w:t>…</w:t>
      </w:r>
      <w:r w:rsidR="008C6534" w:rsidRPr="00AC340D">
        <w:rPr>
          <w:rFonts w:ascii="Arial" w:hAnsi="Arial" w:cs="Arial"/>
          <w:i/>
          <w:iCs/>
          <w:color w:val="808080" w:themeColor="background1" w:themeShade="80"/>
        </w:rPr>
        <w:t xml:space="preserve">relating to insolvency or adjustment of debt in which proceeding the assets and affairs of the debtor are subject to control or supervision by a foreign court, for the purpose of </w:t>
      </w:r>
      <w:r w:rsidR="008C6534" w:rsidRPr="00AC340D">
        <w:rPr>
          <w:rFonts w:ascii="Arial" w:hAnsi="Arial" w:cs="Arial"/>
          <w:i/>
          <w:iCs/>
          <w:color w:val="808080" w:themeColor="background1" w:themeShade="80"/>
          <w:u w:val="single"/>
        </w:rPr>
        <w:t>reorganization</w:t>
      </w:r>
      <w:r w:rsidR="008C6534" w:rsidRPr="00AC340D">
        <w:rPr>
          <w:rFonts w:ascii="Arial" w:hAnsi="Arial" w:cs="Arial"/>
          <w:i/>
          <w:iCs/>
          <w:color w:val="808080" w:themeColor="background1" w:themeShade="80"/>
        </w:rPr>
        <w:t xml:space="preserve"> or liquidation</w:t>
      </w:r>
      <w:r w:rsidR="008C6534" w:rsidRPr="00AC340D">
        <w:rPr>
          <w:rFonts w:ascii="Arial" w:hAnsi="Arial" w:cs="Arial"/>
          <w:color w:val="808080" w:themeColor="background1" w:themeShade="80"/>
        </w:rPr>
        <w:t>.</w:t>
      </w:r>
      <w:r w:rsidR="001D0206" w:rsidRPr="00AC340D">
        <w:rPr>
          <w:rFonts w:ascii="Arial" w:hAnsi="Arial" w:cs="Arial"/>
          <w:color w:val="808080" w:themeColor="background1" w:themeShade="80"/>
        </w:rPr>
        <w:t xml:space="preserve"> [emphasis added</w:t>
      </w:r>
      <w:r w:rsidR="00EF76D7">
        <w:rPr>
          <w:rFonts w:ascii="Arial" w:hAnsi="Arial" w:cs="Arial"/>
          <w:color w:val="808080" w:themeColor="background1" w:themeShade="80"/>
        </w:rPr>
        <w:t>]</w:t>
      </w:r>
      <w:r w:rsidR="001D0206" w:rsidRPr="00AC340D">
        <w:rPr>
          <w:rFonts w:ascii="Arial" w:hAnsi="Arial" w:cs="Arial"/>
          <w:color w:val="808080" w:themeColor="background1" w:themeShade="80"/>
        </w:rPr>
        <w:t>”</w:t>
      </w:r>
      <w:r w:rsidR="001D0206" w:rsidRPr="00AC340D">
        <w:rPr>
          <w:rStyle w:val="FootnoteReference"/>
          <w:rFonts w:ascii="Arial" w:hAnsi="Arial" w:cs="Arial"/>
          <w:color w:val="808080" w:themeColor="background1" w:themeShade="80"/>
        </w:rPr>
        <w:footnoteReference w:id="155"/>
      </w:r>
    </w:p>
    <w:p w14:paraId="2F5FD21D" w14:textId="77777777" w:rsidR="009B3831" w:rsidRPr="00AC340D" w:rsidRDefault="009B3831" w:rsidP="00967F1F">
      <w:pPr>
        <w:pStyle w:val="AODocTxt"/>
        <w:spacing w:before="0" w:line="240" w:lineRule="auto"/>
        <w:rPr>
          <w:rFonts w:ascii="Arial" w:hAnsi="Arial" w:cs="Arial"/>
          <w:color w:val="808080" w:themeColor="background1" w:themeShade="80"/>
        </w:rPr>
      </w:pPr>
    </w:p>
    <w:p w14:paraId="267DAC9C" w14:textId="2F8408D3" w:rsidR="001D0206" w:rsidRPr="00AC340D" w:rsidRDefault="001D0206" w:rsidP="00967F1F">
      <w:pPr>
        <w:pStyle w:val="AODocTxt"/>
        <w:spacing w:before="0" w:line="240" w:lineRule="auto"/>
        <w:rPr>
          <w:rFonts w:ascii="Arial" w:hAnsi="Arial" w:cs="Arial"/>
          <w:color w:val="808080" w:themeColor="background1" w:themeShade="80"/>
        </w:rPr>
      </w:pPr>
      <w:r w:rsidRPr="0050768C">
        <w:rPr>
          <w:rFonts w:ascii="Arial" w:hAnsi="Arial" w:cs="Arial"/>
          <w:color w:val="808080" w:themeColor="background1" w:themeShade="80"/>
        </w:rPr>
        <w:t xml:space="preserve">The </w:t>
      </w:r>
      <w:r w:rsidR="00FC702E" w:rsidRPr="0050768C">
        <w:rPr>
          <w:rFonts w:ascii="Arial" w:hAnsi="Arial" w:cs="Arial"/>
          <w:color w:val="808080" w:themeColor="background1" w:themeShade="80"/>
        </w:rPr>
        <w:t>Scheme of Arrangement</w:t>
      </w:r>
      <w:r w:rsidRPr="0050768C">
        <w:rPr>
          <w:rFonts w:ascii="Arial" w:hAnsi="Arial" w:cs="Arial"/>
          <w:color w:val="808080" w:themeColor="background1" w:themeShade="80"/>
        </w:rPr>
        <w:t xml:space="preserve"> consider</w:t>
      </w:r>
      <w:r w:rsidR="00FC702E" w:rsidRPr="0050768C">
        <w:rPr>
          <w:rFonts w:ascii="Arial" w:hAnsi="Arial" w:cs="Arial"/>
          <w:color w:val="808080" w:themeColor="background1" w:themeShade="80"/>
        </w:rPr>
        <w:t xml:space="preserve">ed </w:t>
      </w:r>
      <w:r w:rsidRPr="0050768C">
        <w:rPr>
          <w:rFonts w:ascii="Arial" w:hAnsi="Arial" w:cs="Arial"/>
          <w:color w:val="808080" w:themeColor="background1" w:themeShade="80"/>
        </w:rPr>
        <w:t xml:space="preserve">by Skin Luxe </w:t>
      </w:r>
      <w:r w:rsidR="0050768C">
        <w:rPr>
          <w:rFonts w:ascii="Arial" w:hAnsi="Arial" w:cs="Arial"/>
          <w:color w:val="808080" w:themeColor="background1" w:themeShade="80"/>
        </w:rPr>
        <w:t>is</w:t>
      </w:r>
      <w:r w:rsidR="00FC702E" w:rsidRPr="0050768C">
        <w:rPr>
          <w:rFonts w:ascii="Arial" w:hAnsi="Arial" w:cs="Arial"/>
          <w:color w:val="808080" w:themeColor="background1" w:themeShade="80"/>
        </w:rPr>
        <w:t xml:space="preserve"> essentially a compromise or arrangement between Skin Lu</w:t>
      </w:r>
      <w:r w:rsidR="0050768C">
        <w:rPr>
          <w:rFonts w:ascii="Arial" w:hAnsi="Arial" w:cs="Arial"/>
          <w:color w:val="808080" w:themeColor="background1" w:themeShade="80"/>
        </w:rPr>
        <w:t>x</w:t>
      </w:r>
      <w:r w:rsidR="00FC702E" w:rsidRPr="0050768C">
        <w:rPr>
          <w:rFonts w:ascii="Arial" w:hAnsi="Arial" w:cs="Arial"/>
          <w:color w:val="808080" w:themeColor="background1" w:themeShade="80"/>
        </w:rPr>
        <w:t xml:space="preserve">e and its members or creditors (or any class of them) under Part 26 of the </w:t>
      </w:r>
      <w:r w:rsidR="0050768C">
        <w:rPr>
          <w:rFonts w:ascii="Arial" w:hAnsi="Arial" w:cs="Arial"/>
          <w:color w:val="808080" w:themeColor="background1" w:themeShade="80"/>
        </w:rPr>
        <w:t xml:space="preserve">United Kingdom’s </w:t>
      </w:r>
      <w:r w:rsidR="00FC702E" w:rsidRPr="0050768C">
        <w:rPr>
          <w:rFonts w:ascii="Arial" w:hAnsi="Arial" w:cs="Arial"/>
          <w:color w:val="808080" w:themeColor="background1" w:themeShade="80"/>
        </w:rPr>
        <w:t>Companies Act 2006. Scheme of arrangements such as the one considered</w:t>
      </w:r>
      <w:r w:rsidR="00D300D8" w:rsidRPr="0050768C">
        <w:rPr>
          <w:rFonts w:ascii="Arial" w:hAnsi="Arial" w:cs="Arial"/>
          <w:color w:val="808080" w:themeColor="background1" w:themeShade="80"/>
        </w:rPr>
        <w:t xml:space="preserve"> by Skin Luxe</w:t>
      </w:r>
      <w:r w:rsidR="00FC702E" w:rsidRPr="0050768C">
        <w:rPr>
          <w:rFonts w:ascii="Arial" w:hAnsi="Arial" w:cs="Arial"/>
          <w:color w:val="808080" w:themeColor="background1" w:themeShade="80"/>
        </w:rPr>
        <w:t xml:space="preserve"> “</w:t>
      </w:r>
      <w:r w:rsidRPr="0050768C">
        <w:rPr>
          <w:rFonts w:ascii="Arial" w:hAnsi="Arial" w:cs="Arial"/>
          <w:i/>
          <w:iCs/>
          <w:color w:val="808080" w:themeColor="background1" w:themeShade="80"/>
        </w:rPr>
        <w:t xml:space="preserve">can be used to effect a solvent </w:t>
      </w:r>
      <w:proofErr w:type="spellStart"/>
      <w:r w:rsidRPr="0050768C">
        <w:rPr>
          <w:rFonts w:ascii="Arial" w:hAnsi="Arial" w:cs="Arial"/>
          <w:i/>
          <w:iCs/>
          <w:color w:val="808080" w:themeColor="background1" w:themeShade="80"/>
        </w:rPr>
        <w:t>reorganisation</w:t>
      </w:r>
      <w:proofErr w:type="spellEnd"/>
      <w:r w:rsidRPr="0050768C">
        <w:rPr>
          <w:rFonts w:ascii="Arial" w:hAnsi="Arial" w:cs="Arial"/>
          <w:i/>
          <w:iCs/>
          <w:color w:val="808080" w:themeColor="background1" w:themeShade="80"/>
        </w:rPr>
        <w:t xml:space="preserve"> of a company</w:t>
      </w:r>
      <w:r w:rsidR="00FC702E" w:rsidRPr="0050768C">
        <w:rPr>
          <w:rFonts w:ascii="Arial" w:hAnsi="Arial" w:cs="Arial"/>
          <w:i/>
          <w:iCs/>
          <w:color w:val="808080" w:themeColor="background1" w:themeShade="80"/>
        </w:rPr>
        <w:t>…</w:t>
      </w:r>
      <w:r w:rsidRPr="0050768C">
        <w:rPr>
          <w:rFonts w:ascii="Arial" w:hAnsi="Arial" w:cs="Arial"/>
          <w:i/>
          <w:iCs/>
          <w:color w:val="808080" w:themeColor="background1" w:themeShade="80"/>
        </w:rPr>
        <w:t>as well as to effect insolvent restructurings such as by a debt for equity swap</w:t>
      </w:r>
      <w:r w:rsidR="00D300D8" w:rsidRPr="0050768C">
        <w:rPr>
          <w:rFonts w:ascii="Arial" w:hAnsi="Arial" w:cs="Arial"/>
          <w:color w:val="808080" w:themeColor="background1" w:themeShade="80"/>
        </w:rPr>
        <w:t>”</w:t>
      </w:r>
      <w:r w:rsidR="00D300D8" w:rsidRPr="0050768C">
        <w:rPr>
          <w:rStyle w:val="FootnoteReference"/>
          <w:rFonts w:ascii="Arial" w:hAnsi="Arial" w:cs="Arial"/>
          <w:color w:val="808080" w:themeColor="background1" w:themeShade="80"/>
        </w:rPr>
        <w:footnoteReference w:id="156"/>
      </w:r>
      <w:r w:rsidR="00D300D8" w:rsidRPr="0050768C">
        <w:rPr>
          <w:rFonts w:ascii="Arial" w:hAnsi="Arial" w:cs="Arial"/>
          <w:color w:val="808080" w:themeColor="background1" w:themeShade="80"/>
        </w:rPr>
        <w:t>. The English court’s permission will be needed to convene the meetings of the members and creditors to vote o</w:t>
      </w:r>
      <w:r w:rsidR="009D7B93">
        <w:rPr>
          <w:rFonts w:ascii="Arial" w:hAnsi="Arial" w:cs="Arial"/>
          <w:color w:val="808080" w:themeColor="background1" w:themeShade="80"/>
        </w:rPr>
        <w:t>n</w:t>
      </w:r>
      <w:r w:rsidR="00D300D8" w:rsidRPr="0050768C">
        <w:rPr>
          <w:rFonts w:ascii="Arial" w:hAnsi="Arial" w:cs="Arial"/>
          <w:color w:val="808080" w:themeColor="background1" w:themeShade="80"/>
        </w:rPr>
        <w:t xml:space="preserve"> the scheme propos</w:t>
      </w:r>
      <w:r w:rsidR="0050768C">
        <w:rPr>
          <w:rFonts w:ascii="Arial" w:hAnsi="Arial" w:cs="Arial"/>
          <w:color w:val="808080" w:themeColor="background1" w:themeShade="80"/>
        </w:rPr>
        <w:t>ed</w:t>
      </w:r>
      <w:r w:rsidR="00D300D8" w:rsidRPr="0050768C">
        <w:rPr>
          <w:rFonts w:ascii="Arial" w:hAnsi="Arial" w:cs="Arial"/>
          <w:color w:val="808080" w:themeColor="background1" w:themeShade="80"/>
        </w:rPr>
        <w:t>. The English court will decide whether to sanction the scheme approved by</w:t>
      </w:r>
      <w:r w:rsidR="009D7B93">
        <w:rPr>
          <w:rFonts w:ascii="Arial" w:hAnsi="Arial" w:cs="Arial"/>
          <w:color w:val="808080" w:themeColor="background1" w:themeShade="80"/>
        </w:rPr>
        <w:t xml:space="preserve"> the</w:t>
      </w:r>
      <w:r w:rsidR="00D300D8" w:rsidRPr="0050768C">
        <w:rPr>
          <w:rFonts w:ascii="Arial" w:hAnsi="Arial" w:cs="Arial"/>
          <w:color w:val="808080" w:themeColor="background1" w:themeShade="80"/>
        </w:rPr>
        <w:t xml:space="preserve"> members and creditors.</w:t>
      </w:r>
      <w:r w:rsidR="00264497" w:rsidRPr="0050768C">
        <w:rPr>
          <w:rStyle w:val="FootnoteReference"/>
          <w:rFonts w:ascii="Arial" w:hAnsi="Arial" w:cs="Arial"/>
          <w:color w:val="808080" w:themeColor="background1" w:themeShade="80"/>
        </w:rPr>
        <w:footnoteReference w:id="157"/>
      </w:r>
    </w:p>
    <w:p w14:paraId="5957EA4A" w14:textId="77777777" w:rsidR="00D300D8" w:rsidRPr="00AC340D" w:rsidRDefault="00D300D8" w:rsidP="00967F1F">
      <w:pPr>
        <w:pStyle w:val="AODocTxt"/>
        <w:spacing w:before="0" w:line="240" w:lineRule="auto"/>
        <w:rPr>
          <w:rFonts w:ascii="Arial" w:hAnsi="Arial" w:cs="Arial"/>
          <w:color w:val="808080" w:themeColor="background1" w:themeShade="80"/>
        </w:rPr>
      </w:pPr>
    </w:p>
    <w:p w14:paraId="39DA84B7" w14:textId="076092A1" w:rsidR="00917C65" w:rsidRPr="00AC340D" w:rsidRDefault="006964FB" w:rsidP="00967F1F">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w:t>
      </w:r>
      <w:r w:rsidR="00FA16CF" w:rsidRPr="001C0AAA">
        <w:rPr>
          <w:rFonts w:ascii="Arial" w:hAnsi="Arial" w:cs="Arial"/>
          <w:color w:val="808080" w:themeColor="background1" w:themeShade="80"/>
        </w:rPr>
        <w:t>Scheme of Arrangement would</w:t>
      </w:r>
      <w:r>
        <w:rPr>
          <w:rFonts w:ascii="Arial" w:hAnsi="Arial" w:cs="Arial"/>
          <w:color w:val="808080" w:themeColor="background1" w:themeShade="80"/>
        </w:rPr>
        <w:t>, pursuant to section 101(23),</w:t>
      </w:r>
      <w:r w:rsidR="00FA16CF" w:rsidRPr="001C0AAA">
        <w:rPr>
          <w:rFonts w:ascii="Arial" w:hAnsi="Arial" w:cs="Arial"/>
          <w:color w:val="808080" w:themeColor="background1" w:themeShade="80"/>
        </w:rPr>
        <w:t xml:space="preserve"> </w:t>
      </w:r>
      <w:r>
        <w:rPr>
          <w:rFonts w:ascii="Arial" w:hAnsi="Arial" w:cs="Arial"/>
          <w:color w:val="808080" w:themeColor="background1" w:themeShade="80"/>
        </w:rPr>
        <w:t>be classified as a</w:t>
      </w:r>
      <w:r w:rsidR="00FA16CF" w:rsidRPr="001C0AAA">
        <w:rPr>
          <w:rFonts w:ascii="Arial" w:hAnsi="Arial" w:cs="Arial"/>
          <w:color w:val="808080" w:themeColor="background1" w:themeShade="80"/>
        </w:rPr>
        <w:t xml:space="preserve"> “foreign proceeding</w:t>
      </w:r>
      <w:r>
        <w:rPr>
          <w:rFonts w:ascii="Arial" w:hAnsi="Arial" w:cs="Arial"/>
          <w:color w:val="808080" w:themeColor="background1" w:themeShade="80"/>
        </w:rPr>
        <w:t>”</w:t>
      </w:r>
      <w:r w:rsidR="00FA16CF" w:rsidRPr="001C0AAA">
        <w:rPr>
          <w:rFonts w:ascii="Arial" w:hAnsi="Arial" w:cs="Arial"/>
          <w:color w:val="808080" w:themeColor="background1" w:themeShade="80"/>
        </w:rPr>
        <w:t xml:space="preserve">. Skin Luxe’s foreign representative must establish that </w:t>
      </w:r>
      <w:r w:rsidR="00917C65" w:rsidRPr="001C0AAA">
        <w:rPr>
          <w:rFonts w:ascii="Arial" w:hAnsi="Arial" w:cs="Arial"/>
          <w:color w:val="808080" w:themeColor="background1" w:themeShade="80"/>
        </w:rPr>
        <w:t>the English (foreign) proceeding is pending and that the</w:t>
      </w:r>
      <w:r>
        <w:rPr>
          <w:rFonts w:ascii="Arial" w:hAnsi="Arial" w:cs="Arial"/>
          <w:color w:val="808080" w:themeColor="background1" w:themeShade="80"/>
        </w:rPr>
        <w:t>y are</w:t>
      </w:r>
      <w:r w:rsidR="00917C65" w:rsidRPr="001C0AAA">
        <w:rPr>
          <w:rFonts w:ascii="Arial" w:hAnsi="Arial" w:cs="Arial"/>
          <w:color w:val="808080" w:themeColor="background1" w:themeShade="80"/>
        </w:rPr>
        <w:t xml:space="preserve"> empowered to act in the proceedings</w:t>
      </w:r>
      <w:r w:rsidR="00D36606">
        <w:rPr>
          <w:rFonts w:ascii="Arial" w:hAnsi="Arial" w:cs="Arial"/>
          <w:color w:val="808080" w:themeColor="background1" w:themeShade="80"/>
        </w:rPr>
        <w:t xml:space="preserve"> (further to </w:t>
      </w:r>
      <w:r w:rsidR="00D36606" w:rsidRPr="00D36606">
        <w:rPr>
          <w:rFonts w:ascii="Arial" w:hAnsi="Arial" w:cs="Arial"/>
          <w:color w:val="808080" w:themeColor="background1" w:themeShade="80"/>
        </w:rPr>
        <w:t>section 101(24)</w:t>
      </w:r>
      <w:r w:rsidR="00D36606">
        <w:rPr>
          <w:rFonts w:ascii="Arial" w:hAnsi="Arial" w:cs="Arial"/>
          <w:color w:val="808080" w:themeColor="background1" w:themeShade="80"/>
        </w:rPr>
        <w:t>)</w:t>
      </w:r>
      <w:r w:rsidR="00917C65" w:rsidRPr="001C0AAA">
        <w:rPr>
          <w:rFonts w:ascii="Arial" w:hAnsi="Arial" w:cs="Arial"/>
          <w:color w:val="808080" w:themeColor="background1" w:themeShade="80"/>
        </w:rPr>
        <w:t>.</w:t>
      </w:r>
      <w:r w:rsidR="00FA16CF" w:rsidRPr="001C0AAA">
        <w:rPr>
          <w:rFonts w:ascii="Arial" w:hAnsi="Arial" w:cs="Arial"/>
          <w:color w:val="808080" w:themeColor="background1" w:themeShade="80"/>
        </w:rPr>
        <w:t xml:space="preserve"> From the fact pattern, i</w:t>
      </w:r>
      <w:r w:rsidR="00917C65" w:rsidRPr="001C0AAA">
        <w:rPr>
          <w:rFonts w:ascii="Arial" w:hAnsi="Arial" w:cs="Arial"/>
          <w:color w:val="808080" w:themeColor="background1" w:themeShade="80"/>
        </w:rPr>
        <w:t xml:space="preserve">t is unlikely </w:t>
      </w:r>
      <w:r w:rsidR="00FC702E" w:rsidRPr="001C0AAA">
        <w:rPr>
          <w:rFonts w:ascii="Arial" w:hAnsi="Arial" w:cs="Arial"/>
          <w:color w:val="808080" w:themeColor="background1" w:themeShade="80"/>
        </w:rPr>
        <w:t xml:space="preserve">that the </w:t>
      </w:r>
      <w:r w:rsidR="00FA16CF" w:rsidRPr="001C0AAA">
        <w:rPr>
          <w:rFonts w:ascii="Arial" w:hAnsi="Arial" w:cs="Arial"/>
          <w:color w:val="808080" w:themeColor="background1" w:themeShade="80"/>
        </w:rPr>
        <w:t>S</w:t>
      </w:r>
      <w:r w:rsidR="00FC702E" w:rsidRPr="001C0AAA">
        <w:rPr>
          <w:rFonts w:ascii="Arial" w:hAnsi="Arial" w:cs="Arial"/>
          <w:color w:val="808080" w:themeColor="background1" w:themeShade="80"/>
        </w:rPr>
        <w:t xml:space="preserve">cheme of </w:t>
      </w:r>
      <w:r w:rsidR="00FA16CF" w:rsidRPr="001C0AAA">
        <w:rPr>
          <w:rFonts w:ascii="Arial" w:hAnsi="Arial" w:cs="Arial"/>
          <w:color w:val="808080" w:themeColor="background1" w:themeShade="80"/>
        </w:rPr>
        <w:t>A</w:t>
      </w:r>
      <w:r w:rsidR="00FC702E" w:rsidRPr="001C0AAA">
        <w:rPr>
          <w:rFonts w:ascii="Arial" w:hAnsi="Arial" w:cs="Arial"/>
          <w:color w:val="808080" w:themeColor="background1" w:themeShade="80"/>
        </w:rPr>
        <w:t xml:space="preserve">rrangement and application </w:t>
      </w:r>
      <w:r w:rsidR="00FA16CF" w:rsidRPr="001C0AAA">
        <w:rPr>
          <w:rFonts w:ascii="Arial" w:hAnsi="Arial" w:cs="Arial"/>
          <w:color w:val="808080" w:themeColor="background1" w:themeShade="80"/>
        </w:rPr>
        <w:t xml:space="preserve">for recognition </w:t>
      </w:r>
      <w:r w:rsidR="00FC702E" w:rsidRPr="001C0AAA">
        <w:rPr>
          <w:rFonts w:ascii="Arial" w:hAnsi="Arial" w:cs="Arial"/>
          <w:color w:val="808080" w:themeColor="background1" w:themeShade="80"/>
        </w:rPr>
        <w:t>by Skin Luxe’s foreign representative will be refused</w:t>
      </w:r>
      <w:r w:rsidR="00FC702E" w:rsidRPr="001C0AAA">
        <w:rPr>
          <w:rStyle w:val="FootnoteReference"/>
          <w:rFonts w:ascii="Arial" w:hAnsi="Arial" w:cs="Arial"/>
          <w:color w:val="808080" w:themeColor="background1" w:themeShade="80"/>
        </w:rPr>
        <w:footnoteReference w:id="158"/>
      </w:r>
      <w:r>
        <w:rPr>
          <w:rFonts w:ascii="Arial" w:hAnsi="Arial" w:cs="Arial"/>
          <w:color w:val="808080" w:themeColor="background1" w:themeShade="80"/>
        </w:rPr>
        <w:t xml:space="preserve"> as they</w:t>
      </w:r>
      <w:r w:rsidR="00FC702E" w:rsidRPr="001C0AAA">
        <w:rPr>
          <w:rFonts w:ascii="Arial" w:hAnsi="Arial" w:cs="Arial"/>
          <w:color w:val="808080" w:themeColor="background1" w:themeShade="80"/>
        </w:rPr>
        <w:t xml:space="preserve"> are</w:t>
      </w:r>
      <w:r w:rsidR="009D7B93">
        <w:rPr>
          <w:rFonts w:ascii="Arial" w:hAnsi="Arial" w:cs="Arial"/>
          <w:color w:val="808080" w:themeColor="background1" w:themeShade="80"/>
        </w:rPr>
        <w:t xml:space="preserve"> not</w:t>
      </w:r>
      <w:r w:rsidR="00FC702E" w:rsidRPr="001C0AAA">
        <w:rPr>
          <w:rFonts w:ascii="Arial" w:hAnsi="Arial" w:cs="Arial"/>
          <w:color w:val="808080" w:themeColor="background1" w:themeShade="80"/>
        </w:rPr>
        <w:t xml:space="preserve"> contrary to US public policy</w:t>
      </w:r>
      <w:r w:rsidR="00FC702E" w:rsidRPr="001C0AAA">
        <w:rPr>
          <w:rStyle w:val="FootnoteReference"/>
          <w:rFonts w:ascii="Arial" w:hAnsi="Arial" w:cs="Arial"/>
          <w:color w:val="808080" w:themeColor="background1" w:themeShade="80"/>
        </w:rPr>
        <w:footnoteReference w:id="159"/>
      </w:r>
      <w:r w:rsidR="00FC702E" w:rsidRPr="001C0AAA">
        <w:rPr>
          <w:rFonts w:ascii="Arial" w:hAnsi="Arial" w:cs="Arial"/>
          <w:color w:val="808080" w:themeColor="background1" w:themeShade="80"/>
        </w:rPr>
        <w:t>.</w:t>
      </w:r>
    </w:p>
    <w:p w14:paraId="5A814085" w14:textId="77777777" w:rsidR="00FC702E" w:rsidRPr="00AC340D" w:rsidRDefault="00FC702E" w:rsidP="00967F1F">
      <w:pPr>
        <w:pStyle w:val="AODocTxt"/>
        <w:spacing w:before="0" w:line="240" w:lineRule="auto"/>
        <w:rPr>
          <w:rFonts w:ascii="Arial" w:hAnsi="Arial" w:cs="Arial"/>
          <w:color w:val="808080" w:themeColor="background1" w:themeShade="80"/>
        </w:rPr>
      </w:pPr>
    </w:p>
    <w:p w14:paraId="6834143A" w14:textId="6108E2E4" w:rsidR="00FA16CF" w:rsidRPr="00AC340D" w:rsidRDefault="00FA16CF" w:rsidP="00967F1F">
      <w:pPr>
        <w:pStyle w:val="AODocTxt"/>
        <w:spacing w:before="0" w:line="240" w:lineRule="auto"/>
        <w:rPr>
          <w:rFonts w:ascii="Arial" w:hAnsi="Arial" w:cs="Arial"/>
          <w:b/>
          <w:bCs/>
          <w:color w:val="808080" w:themeColor="background1" w:themeShade="80"/>
          <w:u w:val="single"/>
        </w:rPr>
      </w:pPr>
      <w:r w:rsidRPr="00AC340D">
        <w:rPr>
          <w:rFonts w:ascii="Arial" w:hAnsi="Arial" w:cs="Arial"/>
          <w:b/>
          <w:bCs/>
          <w:color w:val="808080" w:themeColor="background1" w:themeShade="80"/>
          <w:u w:val="single"/>
        </w:rPr>
        <w:t>Foreign</w:t>
      </w:r>
      <w:r w:rsidR="00C214C5">
        <w:rPr>
          <w:rFonts w:ascii="Arial" w:hAnsi="Arial" w:cs="Arial"/>
          <w:b/>
          <w:bCs/>
          <w:color w:val="808080" w:themeColor="background1" w:themeShade="80"/>
          <w:u w:val="single"/>
        </w:rPr>
        <w:t xml:space="preserve"> main and foreign</w:t>
      </w:r>
      <w:r w:rsidRPr="00AC340D">
        <w:rPr>
          <w:rFonts w:ascii="Arial" w:hAnsi="Arial" w:cs="Arial"/>
          <w:b/>
          <w:bCs/>
          <w:color w:val="808080" w:themeColor="background1" w:themeShade="80"/>
          <w:u w:val="single"/>
        </w:rPr>
        <w:t xml:space="preserve"> non-main proceeding</w:t>
      </w:r>
      <w:r w:rsidR="00C214C5">
        <w:rPr>
          <w:rFonts w:ascii="Arial" w:hAnsi="Arial" w:cs="Arial"/>
          <w:b/>
          <w:bCs/>
          <w:color w:val="808080" w:themeColor="background1" w:themeShade="80"/>
          <w:u w:val="single"/>
        </w:rPr>
        <w:t>s</w:t>
      </w:r>
    </w:p>
    <w:p w14:paraId="19915C7F" w14:textId="62ACDD38" w:rsidR="004B09E6" w:rsidRPr="00AC340D" w:rsidRDefault="004B09E6" w:rsidP="00967F1F">
      <w:pPr>
        <w:pStyle w:val="AODocTxt"/>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After notice and a hearing</w:t>
      </w:r>
      <w:r w:rsidR="006964FB">
        <w:rPr>
          <w:rStyle w:val="FootnoteReference"/>
          <w:rFonts w:ascii="Arial" w:hAnsi="Arial" w:cs="Arial"/>
          <w:color w:val="808080" w:themeColor="background1" w:themeShade="80"/>
        </w:rPr>
        <w:footnoteReference w:id="160"/>
      </w:r>
      <w:r w:rsidRPr="00AC340D">
        <w:rPr>
          <w:rFonts w:ascii="Arial" w:hAnsi="Arial" w:cs="Arial"/>
          <w:color w:val="808080" w:themeColor="background1" w:themeShade="80"/>
        </w:rPr>
        <w:t xml:space="preserve">, the court is </w:t>
      </w:r>
      <w:proofErr w:type="spellStart"/>
      <w:r w:rsidRPr="00AC340D">
        <w:rPr>
          <w:rFonts w:ascii="Arial" w:hAnsi="Arial" w:cs="Arial"/>
          <w:color w:val="808080" w:themeColor="background1" w:themeShade="80"/>
        </w:rPr>
        <w:t>authorised</w:t>
      </w:r>
      <w:proofErr w:type="spellEnd"/>
      <w:r w:rsidR="00A63101" w:rsidRPr="00AC340D">
        <w:rPr>
          <w:rFonts w:ascii="Arial" w:hAnsi="Arial" w:cs="Arial"/>
          <w:color w:val="808080" w:themeColor="background1" w:themeShade="80"/>
        </w:rPr>
        <w:t xml:space="preserve"> under section 1517</w:t>
      </w:r>
      <w:r w:rsidRPr="00AC340D">
        <w:rPr>
          <w:rFonts w:ascii="Arial" w:hAnsi="Arial" w:cs="Arial"/>
          <w:color w:val="808080" w:themeColor="background1" w:themeShade="80"/>
        </w:rPr>
        <w:t xml:space="preserve"> to issue an order </w:t>
      </w:r>
      <w:proofErr w:type="spellStart"/>
      <w:r w:rsidRPr="00AC340D">
        <w:rPr>
          <w:rFonts w:ascii="Arial" w:hAnsi="Arial" w:cs="Arial"/>
          <w:color w:val="808080" w:themeColor="background1" w:themeShade="80"/>
        </w:rPr>
        <w:t>recognising</w:t>
      </w:r>
      <w:proofErr w:type="spellEnd"/>
      <w:r w:rsidRPr="00AC340D">
        <w:rPr>
          <w:rFonts w:ascii="Arial" w:hAnsi="Arial" w:cs="Arial"/>
          <w:color w:val="808080" w:themeColor="background1" w:themeShade="80"/>
        </w:rPr>
        <w:t xml:space="preserve"> the foreign proceeding as either:</w:t>
      </w:r>
    </w:p>
    <w:p w14:paraId="3572718B" w14:textId="720E7E68" w:rsidR="004B09E6" w:rsidRPr="00AC340D" w:rsidRDefault="004B09E6" w:rsidP="00967F1F">
      <w:pPr>
        <w:pStyle w:val="AODocTxt"/>
        <w:numPr>
          <w:ilvl w:val="0"/>
          <w:numId w:val="21"/>
        </w:numPr>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w:t>
      </w:r>
      <w:proofErr w:type="gramStart"/>
      <w:r w:rsidRPr="00AC340D">
        <w:rPr>
          <w:rFonts w:ascii="Arial" w:hAnsi="Arial" w:cs="Arial"/>
          <w:color w:val="808080" w:themeColor="background1" w:themeShade="80"/>
        </w:rPr>
        <w:t>foreign</w:t>
      </w:r>
      <w:proofErr w:type="gramEnd"/>
      <w:r w:rsidRPr="00AC340D">
        <w:rPr>
          <w:rFonts w:ascii="Arial" w:hAnsi="Arial" w:cs="Arial"/>
          <w:color w:val="808080" w:themeColor="background1" w:themeShade="80"/>
        </w:rPr>
        <w:t xml:space="preserve"> main proceeding”</w:t>
      </w:r>
      <w:r w:rsidR="00D274A0">
        <w:rPr>
          <w:rStyle w:val="FootnoteReference"/>
          <w:rFonts w:ascii="Arial" w:hAnsi="Arial" w:cs="Arial"/>
          <w:color w:val="808080" w:themeColor="background1" w:themeShade="80"/>
        </w:rPr>
        <w:footnoteReference w:id="161"/>
      </w:r>
      <w:r w:rsidRPr="00AC340D">
        <w:rPr>
          <w:rFonts w:ascii="Arial" w:hAnsi="Arial" w:cs="Arial"/>
          <w:color w:val="808080" w:themeColor="background1" w:themeShade="80"/>
        </w:rPr>
        <w:t xml:space="preserve"> if the foreign proceeding is pending in a country where the debtor has its </w:t>
      </w:r>
      <w:proofErr w:type="spellStart"/>
      <w:r w:rsidRPr="00AC340D">
        <w:rPr>
          <w:rFonts w:ascii="Arial" w:hAnsi="Arial" w:cs="Arial"/>
          <w:color w:val="808080" w:themeColor="background1" w:themeShade="80"/>
        </w:rPr>
        <w:t>cent</w:t>
      </w:r>
      <w:r w:rsidR="00FF07CE" w:rsidRPr="00AC340D">
        <w:rPr>
          <w:rFonts w:ascii="Arial" w:hAnsi="Arial" w:cs="Arial"/>
          <w:color w:val="808080" w:themeColor="background1" w:themeShade="80"/>
        </w:rPr>
        <w:t>re</w:t>
      </w:r>
      <w:proofErr w:type="spellEnd"/>
      <w:r w:rsidRPr="00AC340D">
        <w:rPr>
          <w:rFonts w:ascii="Arial" w:hAnsi="Arial" w:cs="Arial"/>
          <w:color w:val="808080" w:themeColor="background1" w:themeShade="80"/>
        </w:rPr>
        <w:t xml:space="preserve"> of main interest</w:t>
      </w:r>
      <w:r w:rsidRPr="00AC340D">
        <w:rPr>
          <w:rStyle w:val="FootnoteReference"/>
          <w:rFonts w:ascii="Arial" w:hAnsi="Arial" w:cs="Arial"/>
          <w:color w:val="808080" w:themeColor="background1" w:themeShade="80"/>
        </w:rPr>
        <w:footnoteReference w:id="162"/>
      </w:r>
      <w:r w:rsidRPr="00AC340D">
        <w:rPr>
          <w:rFonts w:ascii="Arial" w:hAnsi="Arial" w:cs="Arial"/>
          <w:color w:val="808080" w:themeColor="background1" w:themeShade="80"/>
        </w:rPr>
        <w:t xml:space="preserve"> (“</w:t>
      </w:r>
      <w:r w:rsidRPr="00AC340D">
        <w:rPr>
          <w:rFonts w:ascii="Arial" w:hAnsi="Arial" w:cs="Arial"/>
          <w:b/>
          <w:bCs/>
          <w:color w:val="808080" w:themeColor="background1" w:themeShade="80"/>
        </w:rPr>
        <w:t>COMI</w:t>
      </w:r>
      <w:r w:rsidRPr="00AC340D">
        <w:rPr>
          <w:rFonts w:ascii="Arial" w:hAnsi="Arial" w:cs="Arial"/>
          <w:color w:val="808080" w:themeColor="background1" w:themeShade="80"/>
        </w:rPr>
        <w:t>”); or</w:t>
      </w:r>
    </w:p>
    <w:p w14:paraId="28A1F743" w14:textId="2A2D0149" w:rsidR="004B09E6" w:rsidRPr="00AC340D" w:rsidRDefault="004B09E6" w:rsidP="00967F1F">
      <w:pPr>
        <w:pStyle w:val="AODocTxt"/>
        <w:numPr>
          <w:ilvl w:val="0"/>
          <w:numId w:val="21"/>
        </w:numPr>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w:t>
      </w:r>
      <w:proofErr w:type="gramStart"/>
      <w:r w:rsidRPr="00AC340D">
        <w:rPr>
          <w:rFonts w:ascii="Arial" w:hAnsi="Arial" w:cs="Arial"/>
          <w:color w:val="808080" w:themeColor="background1" w:themeShade="80"/>
        </w:rPr>
        <w:t>foreign</w:t>
      </w:r>
      <w:proofErr w:type="gramEnd"/>
      <w:r w:rsidRPr="00AC340D">
        <w:rPr>
          <w:rFonts w:ascii="Arial" w:hAnsi="Arial" w:cs="Arial"/>
          <w:color w:val="808080" w:themeColor="background1" w:themeShade="80"/>
        </w:rPr>
        <w:t xml:space="preserve"> non-main proceeding”</w:t>
      </w:r>
      <w:r w:rsidR="00D274A0">
        <w:rPr>
          <w:rStyle w:val="FootnoteReference"/>
          <w:rFonts w:ascii="Arial" w:hAnsi="Arial" w:cs="Arial"/>
          <w:color w:val="808080" w:themeColor="background1" w:themeShade="80"/>
        </w:rPr>
        <w:footnoteReference w:id="163"/>
      </w:r>
      <w:r w:rsidRPr="00AC340D">
        <w:rPr>
          <w:rFonts w:ascii="Arial" w:hAnsi="Arial" w:cs="Arial"/>
          <w:color w:val="808080" w:themeColor="background1" w:themeShade="80"/>
        </w:rPr>
        <w:t xml:space="preserve"> </w:t>
      </w:r>
      <w:r w:rsidR="00C47CBF">
        <w:rPr>
          <w:rFonts w:ascii="Arial" w:hAnsi="Arial" w:cs="Arial"/>
          <w:color w:val="808080" w:themeColor="background1" w:themeShade="80"/>
        </w:rPr>
        <w:t>if the foreign proceeding (which is not a foreign main proceeding) is pending in a country</w:t>
      </w:r>
      <w:r w:rsidRPr="00AC340D">
        <w:rPr>
          <w:rFonts w:ascii="Arial" w:hAnsi="Arial" w:cs="Arial"/>
          <w:color w:val="808080" w:themeColor="background1" w:themeShade="80"/>
        </w:rPr>
        <w:t xml:space="preserve"> </w:t>
      </w:r>
      <w:r w:rsidR="00A37967">
        <w:rPr>
          <w:rFonts w:ascii="Arial" w:hAnsi="Arial" w:cs="Arial"/>
          <w:color w:val="808080" w:themeColor="background1" w:themeShade="80"/>
        </w:rPr>
        <w:t>where</w:t>
      </w:r>
      <w:r w:rsidR="000160C4">
        <w:rPr>
          <w:rFonts w:ascii="Arial" w:hAnsi="Arial" w:cs="Arial"/>
          <w:color w:val="808080" w:themeColor="background1" w:themeShade="80"/>
        </w:rPr>
        <w:t xml:space="preserve"> </w:t>
      </w:r>
      <w:r w:rsidRPr="00AC340D">
        <w:rPr>
          <w:rFonts w:ascii="Arial" w:hAnsi="Arial" w:cs="Arial"/>
          <w:color w:val="808080" w:themeColor="background1" w:themeShade="80"/>
        </w:rPr>
        <w:t>the debtor has an establishment</w:t>
      </w:r>
      <w:r w:rsidRPr="00AC340D">
        <w:rPr>
          <w:rStyle w:val="FootnoteReference"/>
          <w:rFonts w:ascii="Arial" w:hAnsi="Arial" w:cs="Arial"/>
          <w:color w:val="808080" w:themeColor="background1" w:themeShade="80"/>
        </w:rPr>
        <w:footnoteReference w:id="164"/>
      </w:r>
      <w:r w:rsidR="00A63101" w:rsidRPr="00AC340D">
        <w:rPr>
          <w:rFonts w:ascii="Arial" w:hAnsi="Arial" w:cs="Arial"/>
          <w:color w:val="808080" w:themeColor="background1" w:themeShade="80"/>
        </w:rPr>
        <w:t xml:space="preserve"> but not its COMI</w:t>
      </w:r>
      <w:r w:rsidR="00A63101" w:rsidRPr="00AC340D">
        <w:rPr>
          <w:rStyle w:val="FootnoteReference"/>
          <w:rFonts w:ascii="Arial" w:hAnsi="Arial" w:cs="Arial"/>
          <w:color w:val="808080" w:themeColor="background1" w:themeShade="80"/>
        </w:rPr>
        <w:footnoteReference w:id="165"/>
      </w:r>
      <w:r w:rsidRPr="00AC340D">
        <w:rPr>
          <w:rFonts w:ascii="Arial" w:hAnsi="Arial" w:cs="Arial"/>
          <w:color w:val="808080" w:themeColor="background1" w:themeShade="80"/>
        </w:rPr>
        <w:t>.</w:t>
      </w:r>
    </w:p>
    <w:p w14:paraId="001E4490" w14:textId="77777777" w:rsidR="00A63101" w:rsidRPr="00AC340D" w:rsidRDefault="00A63101" w:rsidP="00967F1F">
      <w:pPr>
        <w:pStyle w:val="AODocTxt"/>
        <w:spacing w:before="0" w:line="240" w:lineRule="auto"/>
        <w:rPr>
          <w:rFonts w:ascii="Arial" w:hAnsi="Arial" w:cs="Arial"/>
          <w:color w:val="808080" w:themeColor="background1" w:themeShade="80"/>
        </w:rPr>
      </w:pPr>
    </w:p>
    <w:p w14:paraId="3ABBBCBC" w14:textId="4740B6E4" w:rsidR="00A63101" w:rsidRPr="00AC340D" w:rsidRDefault="00A63101" w:rsidP="00967F1F">
      <w:pPr>
        <w:pStyle w:val="AODocTxt"/>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The classification of whether the foreign proceedings will be “foreign main” or “foreign non-main” is important as it determines the scope of relief available to the debtor following the recognition of the foreign proceedings</w:t>
      </w:r>
      <w:r w:rsidRPr="00AC340D">
        <w:rPr>
          <w:rStyle w:val="FootnoteReference"/>
          <w:rFonts w:ascii="Arial" w:hAnsi="Arial" w:cs="Arial"/>
          <w:color w:val="808080" w:themeColor="background1" w:themeShade="80"/>
        </w:rPr>
        <w:footnoteReference w:id="166"/>
      </w:r>
      <w:r w:rsidR="00A37967">
        <w:rPr>
          <w:rFonts w:ascii="Arial" w:hAnsi="Arial" w:cs="Arial"/>
          <w:color w:val="808080" w:themeColor="background1" w:themeShade="80"/>
        </w:rPr>
        <w:t xml:space="preserve"> (see below)</w:t>
      </w:r>
      <w:r w:rsidRPr="00AC340D">
        <w:rPr>
          <w:rFonts w:ascii="Arial" w:hAnsi="Arial" w:cs="Arial"/>
          <w:color w:val="808080" w:themeColor="background1" w:themeShade="80"/>
        </w:rPr>
        <w:t>.</w:t>
      </w:r>
    </w:p>
    <w:p w14:paraId="58B0E41C" w14:textId="77777777" w:rsidR="00FF07CE" w:rsidRDefault="00FF07CE" w:rsidP="00967F1F">
      <w:pPr>
        <w:pStyle w:val="AODocTxt"/>
        <w:spacing w:before="0" w:line="240" w:lineRule="auto"/>
        <w:rPr>
          <w:rFonts w:ascii="Arial" w:hAnsi="Arial" w:cs="Arial"/>
          <w:color w:val="808080" w:themeColor="background1" w:themeShade="80"/>
        </w:rPr>
      </w:pPr>
    </w:p>
    <w:p w14:paraId="52B1D746" w14:textId="73B51B2A" w:rsidR="00C214C5" w:rsidRPr="00C214C5" w:rsidRDefault="00C214C5" w:rsidP="00967F1F">
      <w:pPr>
        <w:pStyle w:val="AODocTxt"/>
        <w:spacing w:before="0" w:line="240" w:lineRule="auto"/>
        <w:rPr>
          <w:rFonts w:ascii="Arial" w:hAnsi="Arial" w:cs="Arial"/>
          <w:b/>
          <w:bCs/>
          <w:color w:val="808080" w:themeColor="background1" w:themeShade="80"/>
          <w:u w:val="single"/>
        </w:rPr>
      </w:pPr>
      <w:r>
        <w:rPr>
          <w:rFonts w:ascii="Arial" w:hAnsi="Arial" w:cs="Arial"/>
          <w:b/>
          <w:bCs/>
          <w:color w:val="808080" w:themeColor="background1" w:themeShade="80"/>
          <w:u w:val="single"/>
        </w:rPr>
        <w:t>Gra</w:t>
      </w:r>
      <w:r w:rsidR="00A37967">
        <w:rPr>
          <w:rFonts w:ascii="Arial" w:hAnsi="Arial" w:cs="Arial"/>
          <w:b/>
          <w:bCs/>
          <w:color w:val="808080" w:themeColor="background1" w:themeShade="80"/>
          <w:u w:val="single"/>
        </w:rPr>
        <w:t>n</w:t>
      </w:r>
      <w:r>
        <w:rPr>
          <w:rFonts w:ascii="Arial" w:hAnsi="Arial" w:cs="Arial"/>
          <w:b/>
          <w:bCs/>
          <w:color w:val="808080" w:themeColor="background1" w:themeShade="80"/>
          <w:u w:val="single"/>
        </w:rPr>
        <w:t>ting recognition of Scheme of Arrangement as a foreign non-main proceeding</w:t>
      </w:r>
    </w:p>
    <w:p w14:paraId="74BE8662" w14:textId="5C8526B0" w:rsidR="00FF07CE" w:rsidRPr="00297F07" w:rsidRDefault="00A63101" w:rsidP="00967F1F">
      <w:pPr>
        <w:pStyle w:val="AODocTxt"/>
        <w:spacing w:before="0" w:line="240" w:lineRule="auto"/>
        <w:rPr>
          <w:rFonts w:ascii="Arial" w:hAnsi="Arial" w:cs="Arial"/>
          <w:color w:val="808080" w:themeColor="background1" w:themeShade="80"/>
        </w:rPr>
      </w:pPr>
      <w:r w:rsidRPr="00297F07">
        <w:rPr>
          <w:rFonts w:ascii="Arial" w:hAnsi="Arial" w:cs="Arial"/>
          <w:color w:val="808080" w:themeColor="background1" w:themeShade="80"/>
        </w:rPr>
        <w:t xml:space="preserve">Applying section 1517 to Skin Luxe’s scenario, </w:t>
      </w:r>
      <w:r w:rsidR="00FF07CE" w:rsidRPr="00297F07">
        <w:rPr>
          <w:rFonts w:ascii="Arial" w:hAnsi="Arial" w:cs="Arial"/>
          <w:color w:val="808080" w:themeColor="background1" w:themeShade="80"/>
        </w:rPr>
        <w:t>t</w:t>
      </w:r>
      <w:r w:rsidRPr="00297F07">
        <w:rPr>
          <w:rFonts w:ascii="Arial" w:hAnsi="Arial" w:cs="Arial"/>
          <w:color w:val="808080" w:themeColor="background1" w:themeShade="80"/>
        </w:rPr>
        <w:t xml:space="preserve">he Scheme of Arrangement </w:t>
      </w:r>
      <w:r w:rsidRPr="00297F07">
        <w:rPr>
          <w:rFonts w:ascii="Arial" w:hAnsi="Arial" w:cs="Arial"/>
          <w:color w:val="808080" w:themeColor="background1" w:themeShade="80"/>
          <w:u w:val="single"/>
        </w:rPr>
        <w:t>cannot</w:t>
      </w:r>
      <w:r w:rsidRPr="00297F07">
        <w:rPr>
          <w:rFonts w:ascii="Arial" w:hAnsi="Arial" w:cs="Arial"/>
          <w:color w:val="808080" w:themeColor="background1" w:themeShade="80"/>
        </w:rPr>
        <w:t xml:space="preserve"> be granted recognition as “foreign main proceeding”</w:t>
      </w:r>
      <w:r w:rsidR="00FF07CE" w:rsidRPr="00297F07">
        <w:rPr>
          <w:rFonts w:ascii="Arial" w:hAnsi="Arial" w:cs="Arial"/>
          <w:color w:val="808080" w:themeColor="background1" w:themeShade="80"/>
        </w:rPr>
        <w:t>.</w:t>
      </w:r>
      <w:r w:rsidRPr="00297F07">
        <w:rPr>
          <w:rFonts w:ascii="Arial" w:hAnsi="Arial" w:cs="Arial"/>
          <w:color w:val="808080" w:themeColor="background1" w:themeShade="80"/>
        </w:rPr>
        <w:t xml:space="preserve"> </w:t>
      </w:r>
      <w:r w:rsidR="00FF07CE" w:rsidRPr="00297F07">
        <w:rPr>
          <w:rFonts w:ascii="Arial" w:hAnsi="Arial" w:cs="Arial"/>
          <w:color w:val="808080" w:themeColor="background1" w:themeShade="80"/>
        </w:rPr>
        <w:t>Section 1516(c) contains a rebuttal presumption</w:t>
      </w:r>
      <w:r w:rsidR="00241F31" w:rsidRPr="00297F07">
        <w:rPr>
          <w:rFonts w:ascii="Arial" w:hAnsi="Arial" w:cs="Arial"/>
          <w:color w:val="808080" w:themeColor="background1" w:themeShade="80"/>
        </w:rPr>
        <w:t xml:space="preserve"> concerning recognition</w:t>
      </w:r>
      <w:r w:rsidR="00FF07CE" w:rsidRPr="00297F07">
        <w:rPr>
          <w:rFonts w:ascii="Arial" w:hAnsi="Arial" w:cs="Arial"/>
          <w:color w:val="808080" w:themeColor="background1" w:themeShade="80"/>
        </w:rPr>
        <w:t xml:space="preserve"> – in the absence of contrary evidence, a debtor’s registered office is presumed to be its COMI</w:t>
      </w:r>
      <w:r w:rsidR="00FF07CE" w:rsidRPr="00297F07">
        <w:rPr>
          <w:rStyle w:val="FootnoteReference"/>
          <w:rFonts w:ascii="Arial" w:hAnsi="Arial" w:cs="Arial"/>
          <w:color w:val="808080" w:themeColor="background1" w:themeShade="80"/>
        </w:rPr>
        <w:footnoteReference w:id="167"/>
      </w:r>
      <w:r w:rsidR="00FF07CE" w:rsidRPr="00297F07">
        <w:rPr>
          <w:rFonts w:ascii="Arial" w:hAnsi="Arial" w:cs="Arial"/>
          <w:color w:val="808080" w:themeColor="background1" w:themeShade="80"/>
        </w:rPr>
        <w:t xml:space="preserve">. From the fact pattern, we are informed that Skin Luxe “is incorporated and has a principal place of business in France”. </w:t>
      </w:r>
      <w:r w:rsidR="00AF7715" w:rsidRPr="00297F07">
        <w:rPr>
          <w:rFonts w:ascii="Arial" w:hAnsi="Arial" w:cs="Arial"/>
          <w:color w:val="808080" w:themeColor="background1" w:themeShade="80"/>
        </w:rPr>
        <w:t>The location of incorporation and location of primary assets are relevant factors in determining a debtor’s COMI</w:t>
      </w:r>
      <w:r w:rsidR="00AF7715" w:rsidRPr="00297F07">
        <w:rPr>
          <w:rStyle w:val="FootnoteReference"/>
          <w:rFonts w:ascii="Arial" w:hAnsi="Arial" w:cs="Arial"/>
          <w:color w:val="808080" w:themeColor="background1" w:themeShade="80"/>
        </w:rPr>
        <w:footnoteReference w:id="168"/>
      </w:r>
      <w:r w:rsidR="00AF7715" w:rsidRPr="00297F07">
        <w:rPr>
          <w:rFonts w:ascii="Arial" w:hAnsi="Arial" w:cs="Arial"/>
          <w:color w:val="808080" w:themeColor="background1" w:themeShade="80"/>
        </w:rPr>
        <w:t xml:space="preserve">. </w:t>
      </w:r>
      <w:r w:rsidR="00FF07CE" w:rsidRPr="00297F07">
        <w:rPr>
          <w:rFonts w:ascii="Arial" w:hAnsi="Arial" w:cs="Arial"/>
          <w:color w:val="808080" w:themeColor="background1" w:themeShade="80"/>
        </w:rPr>
        <w:t xml:space="preserve">There is no evidence from the fact pattern that Skin Luxe’s COMI is anywhere other than France. </w:t>
      </w:r>
      <w:r w:rsidR="00AF7715" w:rsidRPr="00297F07">
        <w:rPr>
          <w:rFonts w:ascii="Arial" w:hAnsi="Arial" w:cs="Arial"/>
          <w:color w:val="808080" w:themeColor="background1" w:themeShade="80"/>
        </w:rPr>
        <w:t>We are further informed that the bonds in question are governed by English law</w:t>
      </w:r>
      <w:r w:rsidR="00043AF6">
        <w:rPr>
          <w:rFonts w:ascii="Arial" w:hAnsi="Arial" w:cs="Arial"/>
          <w:color w:val="808080" w:themeColor="background1" w:themeShade="80"/>
        </w:rPr>
        <w:t xml:space="preserve"> and an English scheme of arrangement is being considered. The Scheme of Arrangement, if proceeded with in England, would </w:t>
      </w:r>
      <w:r w:rsidR="00FF07CE" w:rsidRPr="00297F07">
        <w:rPr>
          <w:rFonts w:ascii="Arial" w:hAnsi="Arial" w:cs="Arial"/>
          <w:color w:val="808080" w:themeColor="background1" w:themeShade="80"/>
        </w:rPr>
        <w:t xml:space="preserve">not </w:t>
      </w:r>
      <w:r w:rsidR="00043AF6">
        <w:rPr>
          <w:rFonts w:ascii="Arial" w:hAnsi="Arial" w:cs="Arial"/>
          <w:color w:val="808080" w:themeColor="background1" w:themeShade="80"/>
        </w:rPr>
        <w:t xml:space="preserve">be </w:t>
      </w:r>
      <w:r w:rsidR="00FF07CE" w:rsidRPr="00297F07">
        <w:rPr>
          <w:rFonts w:ascii="Arial" w:hAnsi="Arial" w:cs="Arial"/>
          <w:color w:val="808080" w:themeColor="background1" w:themeShade="80"/>
        </w:rPr>
        <w:t xml:space="preserve">pending in France which is the country where the debtor Skin Luxe has its COMI. Therefore, Skin Luxe’s situation does not </w:t>
      </w:r>
      <w:r w:rsidR="001E0324" w:rsidRPr="00297F07">
        <w:rPr>
          <w:rFonts w:ascii="Arial" w:hAnsi="Arial" w:cs="Arial"/>
          <w:color w:val="808080" w:themeColor="background1" w:themeShade="80"/>
        </w:rPr>
        <w:t>fulfill the</w:t>
      </w:r>
      <w:r w:rsidR="00FF07CE" w:rsidRPr="00297F07">
        <w:rPr>
          <w:rFonts w:ascii="Arial" w:hAnsi="Arial" w:cs="Arial"/>
          <w:color w:val="808080" w:themeColor="background1" w:themeShade="80"/>
        </w:rPr>
        <w:t xml:space="preserve"> requirement set </w:t>
      </w:r>
      <w:r w:rsidR="001E0324" w:rsidRPr="00297F07">
        <w:rPr>
          <w:rFonts w:ascii="Arial" w:hAnsi="Arial" w:cs="Arial"/>
          <w:color w:val="808080" w:themeColor="background1" w:themeShade="80"/>
        </w:rPr>
        <w:t>out</w:t>
      </w:r>
      <w:r w:rsidR="00FF07CE" w:rsidRPr="00297F07">
        <w:rPr>
          <w:rFonts w:ascii="Arial" w:hAnsi="Arial" w:cs="Arial"/>
          <w:color w:val="808080" w:themeColor="background1" w:themeShade="80"/>
        </w:rPr>
        <w:t xml:space="preserve"> in section 15</w:t>
      </w:r>
      <w:r w:rsidR="00297F07" w:rsidRPr="00297F07">
        <w:rPr>
          <w:rFonts w:ascii="Arial" w:hAnsi="Arial" w:cs="Arial"/>
          <w:color w:val="808080" w:themeColor="background1" w:themeShade="80"/>
        </w:rPr>
        <w:t>02(4)</w:t>
      </w:r>
      <w:r w:rsidR="001E0324" w:rsidRPr="00297F07">
        <w:rPr>
          <w:rFonts w:ascii="Arial" w:hAnsi="Arial" w:cs="Arial"/>
          <w:color w:val="808080" w:themeColor="background1" w:themeShade="80"/>
        </w:rPr>
        <w:t xml:space="preserve"> to be a “foreign main proceeding”.</w:t>
      </w:r>
    </w:p>
    <w:p w14:paraId="37AAB77B" w14:textId="77777777" w:rsidR="00FF07CE" w:rsidRPr="00AC340D" w:rsidRDefault="00FF07CE" w:rsidP="00967F1F">
      <w:pPr>
        <w:pStyle w:val="AODocTxt"/>
        <w:spacing w:before="0" w:line="240" w:lineRule="auto"/>
        <w:rPr>
          <w:rFonts w:ascii="Arial" w:hAnsi="Arial" w:cs="Arial"/>
          <w:color w:val="808080" w:themeColor="background1" w:themeShade="80"/>
        </w:rPr>
      </w:pPr>
    </w:p>
    <w:p w14:paraId="1BE08C7D" w14:textId="205F30E9" w:rsidR="006F7BEB" w:rsidRPr="00D5104A" w:rsidRDefault="001E0324" w:rsidP="00967F1F">
      <w:pPr>
        <w:pStyle w:val="AODocTxt"/>
        <w:spacing w:before="0" w:line="240" w:lineRule="auto"/>
        <w:rPr>
          <w:rFonts w:ascii="Arial" w:hAnsi="Arial" w:cs="Arial"/>
          <w:color w:val="808080" w:themeColor="background1" w:themeShade="80"/>
        </w:rPr>
      </w:pPr>
      <w:r w:rsidRPr="000F4EF8">
        <w:rPr>
          <w:rFonts w:ascii="Arial" w:hAnsi="Arial" w:cs="Arial"/>
          <w:color w:val="808080" w:themeColor="background1" w:themeShade="80"/>
        </w:rPr>
        <w:t>Notwithstanding the above, t</w:t>
      </w:r>
      <w:r w:rsidR="00FF07CE" w:rsidRPr="000F4EF8">
        <w:rPr>
          <w:rFonts w:ascii="Arial" w:hAnsi="Arial" w:cs="Arial"/>
          <w:color w:val="808080" w:themeColor="background1" w:themeShade="80"/>
        </w:rPr>
        <w:t xml:space="preserve">he Scheme of Arrangement </w:t>
      </w:r>
      <w:r w:rsidR="00043AF6" w:rsidRPr="000F4EF8">
        <w:rPr>
          <w:rFonts w:ascii="Arial" w:hAnsi="Arial" w:cs="Arial"/>
          <w:color w:val="808080" w:themeColor="background1" w:themeShade="80"/>
        </w:rPr>
        <w:t>could be</w:t>
      </w:r>
      <w:r w:rsidR="00FF07CE" w:rsidRPr="000F4EF8">
        <w:rPr>
          <w:rFonts w:ascii="Arial" w:hAnsi="Arial" w:cs="Arial"/>
          <w:color w:val="808080" w:themeColor="background1" w:themeShade="80"/>
        </w:rPr>
        <w:t xml:space="preserve"> granted recognition under Chapter 15 as a “foreign non-main proceeding”.</w:t>
      </w:r>
      <w:r w:rsidRPr="000F4EF8">
        <w:rPr>
          <w:rFonts w:ascii="Arial" w:hAnsi="Arial" w:cs="Arial"/>
          <w:color w:val="808080" w:themeColor="background1" w:themeShade="80"/>
        </w:rPr>
        <w:t xml:space="preserve"> </w:t>
      </w:r>
      <w:r w:rsidR="00F73A9F" w:rsidRPr="000F4EF8">
        <w:rPr>
          <w:rFonts w:ascii="Arial" w:hAnsi="Arial" w:cs="Arial"/>
          <w:color w:val="808080" w:themeColor="background1" w:themeShade="80"/>
        </w:rPr>
        <w:t>The is because of section 1502(2) and section 15</w:t>
      </w:r>
      <w:r w:rsidR="005A1349" w:rsidRPr="000F4EF8">
        <w:rPr>
          <w:rFonts w:ascii="Arial" w:hAnsi="Arial" w:cs="Arial"/>
          <w:color w:val="808080" w:themeColor="background1" w:themeShade="80"/>
        </w:rPr>
        <w:t>02(5</w:t>
      </w:r>
      <w:r w:rsidR="00F73A9F" w:rsidRPr="000F4EF8">
        <w:rPr>
          <w:rFonts w:ascii="Arial" w:hAnsi="Arial" w:cs="Arial"/>
          <w:color w:val="808080" w:themeColor="background1" w:themeShade="80"/>
        </w:rPr>
        <w:t xml:space="preserve">). </w:t>
      </w:r>
      <w:r w:rsidRPr="000F4EF8">
        <w:rPr>
          <w:rFonts w:ascii="Arial" w:hAnsi="Arial" w:cs="Arial"/>
          <w:color w:val="808080" w:themeColor="background1" w:themeShade="80"/>
        </w:rPr>
        <w:t>Section 1502(2) defines “establishment” as “</w:t>
      </w:r>
      <w:r w:rsidRPr="000F4EF8">
        <w:rPr>
          <w:rFonts w:ascii="Arial" w:hAnsi="Arial" w:cs="Arial"/>
          <w:i/>
          <w:iCs/>
          <w:color w:val="808080" w:themeColor="background1" w:themeShade="80"/>
        </w:rPr>
        <w:t xml:space="preserve">any place of operations where the debtor carries out a </w:t>
      </w:r>
      <w:proofErr w:type="spellStart"/>
      <w:r w:rsidRPr="000F4EF8">
        <w:rPr>
          <w:rFonts w:ascii="Arial" w:hAnsi="Arial" w:cs="Arial"/>
          <w:i/>
          <w:iCs/>
          <w:color w:val="808080" w:themeColor="background1" w:themeShade="80"/>
        </w:rPr>
        <w:t>nontransitory</w:t>
      </w:r>
      <w:proofErr w:type="spellEnd"/>
      <w:r w:rsidRPr="000F4EF8">
        <w:rPr>
          <w:rFonts w:ascii="Arial" w:hAnsi="Arial" w:cs="Arial"/>
          <w:i/>
          <w:iCs/>
          <w:color w:val="808080" w:themeColor="background1" w:themeShade="80"/>
        </w:rPr>
        <w:t xml:space="preserve"> economic activity</w:t>
      </w:r>
      <w:r w:rsidRPr="000F4EF8">
        <w:rPr>
          <w:rFonts w:ascii="Arial" w:hAnsi="Arial" w:cs="Arial"/>
          <w:color w:val="808080" w:themeColor="background1" w:themeShade="80"/>
        </w:rPr>
        <w:t>”</w:t>
      </w:r>
      <w:r w:rsidRPr="000F4EF8">
        <w:rPr>
          <w:rStyle w:val="FootnoteReference"/>
          <w:rFonts w:ascii="Arial" w:hAnsi="Arial" w:cs="Arial"/>
          <w:color w:val="808080" w:themeColor="background1" w:themeShade="80"/>
        </w:rPr>
        <w:footnoteReference w:id="169"/>
      </w:r>
      <w:r w:rsidRPr="000F4EF8">
        <w:rPr>
          <w:rFonts w:ascii="Arial" w:hAnsi="Arial" w:cs="Arial"/>
          <w:color w:val="808080" w:themeColor="background1" w:themeShade="80"/>
        </w:rPr>
        <w:t>. Section 1502(2) and section 15</w:t>
      </w:r>
      <w:r w:rsidR="005A1349" w:rsidRPr="000F4EF8">
        <w:rPr>
          <w:rFonts w:ascii="Arial" w:hAnsi="Arial" w:cs="Arial"/>
          <w:color w:val="808080" w:themeColor="background1" w:themeShade="80"/>
        </w:rPr>
        <w:t>02(5)</w:t>
      </w:r>
      <w:r w:rsidRPr="000F4EF8">
        <w:rPr>
          <w:rFonts w:ascii="Arial" w:hAnsi="Arial" w:cs="Arial"/>
          <w:color w:val="808080" w:themeColor="background1" w:themeShade="80"/>
        </w:rPr>
        <w:t xml:space="preserve"> means that </w:t>
      </w:r>
      <w:r w:rsidR="00F73A9F" w:rsidRPr="000F4EF8">
        <w:rPr>
          <w:rFonts w:ascii="Arial" w:hAnsi="Arial" w:cs="Arial"/>
          <w:color w:val="808080" w:themeColor="background1" w:themeShade="80"/>
        </w:rPr>
        <w:t xml:space="preserve">(foreign) </w:t>
      </w:r>
      <w:r w:rsidRPr="000F4EF8">
        <w:rPr>
          <w:rFonts w:ascii="Arial" w:hAnsi="Arial" w:cs="Arial"/>
          <w:color w:val="808080" w:themeColor="background1" w:themeShade="80"/>
        </w:rPr>
        <w:t xml:space="preserve">proceedings in a jurisdiction </w:t>
      </w:r>
      <w:r w:rsidR="00FF60C4" w:rsidRPr="000F4EF8">
        <w:rPr>
          <w:rFonts w:ascii="Arial" w:hAnsi="Arial" w:cs="Arial"/>
          <w:color w:val="808080" w:themeColor="background1" w:themeShade="80"/>
        </w:rPr>
        <w:t>different</w:t>
      </w:r>
      <w:r w:rsidR="00F73A9F" w:rsidRPr="000F4EF8">
        <w:rPr>
          <w:rFonts w:ascii="Arial" w:hAnsi="Arial" w:cs="Arial"/>
          <w:color w:val="808080" w:themeColor="background1" w:themeShade="80"/>
        </w:rPr>
        <w:t xml:space="preserve"> from </w:t>
      </w:r>
      <w:r w:rsidR="00FF60C4" w:rsidRPr="000F4EF8">
        <w:rPr>
          <w:rFonts w:ascii="Arial" w:hAnsi="Arial" w:cs="Arial"/>
          <w:color w:val="808080" w:themeColor="background1" w:themeShade="80"/>
        </w:rPr>
        <w:t>that</w:t>
      </w:r>
      <w:r w:rsidR="00F73A9F" w:rsidRPr="000F4EF8">
        <w:rPr>
          <w:rFonts w:ascii="Arial" w:hAnsi="Arial" w:cs="Arial"/>
          <w:color w:val="808080" w:themeColor="background1" w:themeShade="80"/>
        </w:rPr>
        <w:t xml:space="preserve"> of </w:t>
      </w:r>
      <w:r w:rsidR="00FF60C4" w:rsidRPr="000F4EF8">
        <w:rPr>
          <w:rFonts w:ascii="Arial" w:hAnsi="Arial" w:cs="Arial"/>
          <w:color w:val="808080" w:themeColor="background1" w:themeShade="80"/>
        </w:rPr>
        <w:t xml:space="preserve">the </w:t>
      </w:r>
      <w:r w:rsidR="00F73A9F" w:rsidRPr="000F4EF8">
        <w:rPr>
          <w:rFonts w:ascii="Arial" w:hAnsi="Arial" w:cs="Arial"/>
          <w:color w:val="808080" w:themeColor="background1" w:themeShade="80"/>
        </w:rPr>
        <w:t xml:space="preserve">debtor’s COMI can be recognised as a “foreign non-main proceeding” if the debtor has an establishment in the </w:t>
      </w:r>
      <w:r w:rsidR="00F73A9F" w:rsidRPr="000F4EF8">
        <w:rPr>
          <w:rFonts w:ascii="Arial" w:hAnsi="Arial" w:cs="Arial"/>
          <w:color w:val="808080" w:themeColor="background1" w:themeShade="80"/>
        </w:rPr>
        <w:lastRenderedPageBreak/>
        <w:t>jurisdiction where the (foreign) proceeding is pending.</w:t>
      </w:r>
      <w:r w:rsidR="006F7BEB" w:rsidRPr="000F4EF8">
        <w:rPr>
          <w:rFonts w:ascii="Arial" w:hAnsi="Arial" w:cs="Arial"/>
          <w:color w:val="808080" w:themeColor="background1" w:themeShade="80"/>
        </w:rPr>
        <w:t xml:space="preserve"> </w:t>
      </w:r>
      <w:r w:rsidR="008723FF" w:rsidRPr="000F4EF8">
        <w:rPr>
          <w:rFonts w:ascii="Arial" w:hAnsi="Arial" w:cs="Arial"/>
          <w:color w:val="808080" w:themeColor="background1" w:themeShade="80"/>
        </w:rPr>
        <w:t>An “establishment” denotes a degree of permanency in the economic activity in question.</w:t>
      </w:r>
      <w:r w:rsidR="006F7BEB" w:rsidRPr="000F4EF8">
        <w:rPr>
          <w:rFonts w:ascii="Arial" w:hAnsi="Arial" w:cs="Arial"/>
          <w:color w:val="808080" w:themeColor="background1" w:themeShade="80"/>
        </w:rPr>
        <w:t xml:space="preserve"> </w:t>
      </w:r>
      <w:r w:rsidR="00FF60C4" w:rsidRPr="000F4EF8">
        <w:rPr>
          <w:rFonts w:ascii="Arial" w:hAnsi="Arial" w:cs="Arial"/>
          <w:color w:val="808080" w:themeColor="background1" w:themeShade="80"/>
        </w:rPr>
        <w:t>For example, i</w:t>
      </w:r>
      <w:r w:rsidR="006F7BEB" w:rsidRPr="000F4EF8">
        <w:rPr>
          <w:rFonts w:ascii="Arial" w:hAnsi="Arial" w:cs="Arial"/>
          <w:color w:val="808080" w:themeColor="background1" w:themeShade="80"/>
        </w:rPr>
        <w:t xml:space="preserve">n </w:t>
      </w:r>
      <w:r w:rsidR="006F7BEB" w:rsidRPr="000F4EF8">
        <w:rPr>
          <w:rFonts w:ascii="Arial" w:hAnsi="Arial" w:cs="Arial"/>
          <w:i/>
          <w:iCs/>
          <w:color w:val="808080" w:themeColor="background1" w:themeShade="80"/>
        </w:rPr>
        <w:t>re Bear Stearns High-Grade Structured Credit Strategies Master Fund</w:t>
      </w:r>
      <w:r w:rsidR="006F7BEB" w:rsidRPr="000F4EF8">
        <w:rPr>
          <w:rStyle w:val="FootnoteReference"/>
          <w:rFonts w:ascii="Arial" w:hAnsi="Arial" w:cs="Arial"/>
          <w:color w:val="808080" w:themeColor="background1" w:themeShade="80"/>
        </w:rPr>
        <w:footnoteReference w:id="170"/>
      </w:r>
      <w:r w:rsidR="006F7BEB" w:rsidRPr="000F4EF8">
        <w:rPr>
          <w:rFonts w:ascii="Arial" w:hAnsi="Arial" w:cs="Arial"/>
          <w:color w:val="808080" w:themeColor="background1" w:themeShade="80"/>
        </w:rPr>
        <w:t xml:space="preserve"> it was held that proceedings in the Cayman Islands for a Cayman-incorporated hedge fund could not be recognised as foreign non-main proceedings (or foreign main proceedings) as there was a lack of establishment (or COMI) in the Cayman Islands.</w:t>
      </w:r>
    </w:p>
    <w:p w14:paraId="40C27F2D" w14:textId="77777777" w:rsidR="006F7BEB" w:rsidRPr="00D5104A" w:rsidRDefault="006F7BEB" w:rsidP="00967F1F">
      <w:pPr>
        <w:pStyle w:val="AODocTxt"/>
        <w:spacing w:before="0" w:line="240" w:lineRule="auto"/>
        <w:rPr>
          <w:rFonts w:ascii="Arial" w:hAnsi="Arial" w:cs="Arial"/>
          <w:color w:val="808080" w:themeColor="background1" w:themeShade="80"/>
        </w:rPr>
      </w:pPr>
    </w:p>
    <w:p w14:paraId="5AC6179C" w14:textId="77543CB1" w:rsidR="004B09E6" w:rsidRPr="00AC340D" w:rsidRDefault="00F73A9F" w:rsidP="00967F1F">
      <w:pPr>
        <w:pStyle w:val="AODocTxt"/>
        <w:spacing w:before="0" w:line="240" w:lineRule="auto"/>
        <w:rPr>
          <w:rFonts w:ascii="Arial" w:hAnsi="Arial" w:cs="Arial"/>
          <w:color w:val="808080" w:themeColor="background1" w:themeShade="80"/>
        </w:rPr>
      </w:pPr>
      <w:r w:rsidRPr="00D5104A">
        <w:rPr>
          <w:rFonts w:ascii="Arial" w:hAnsi="Arial" w:cs="Arial"/>
          <w:color w:val="808080" w:themeColor="background1" w:themeShade="80"/>
        </w:rPr>
        <w:t>Applying section 1502(2)</w:t>
      </w:r>
      <w:r w:rsidR="00FF60C4" w:rsidRPr="00D5104A">
        <w:rPr>
          <w:rFonts w:ascii="Arial" w:hAnsi="Arial" w:cs="Arial"/>
          <w:color w:val="808080" w:themeColor="background1" w:themeShade="80"/>
        </w:rPr>
        <w:t xml:space="preserve">, section </w:t>
      </w:r>
      <w:proofErr w:type="gramStart"/>
      <w:r w:rsidR="00FF60C4" w:rsidRPr="00D5104A">
        <w:rPr>
          <w:rFonts w:ascii="Arial" w:hAnsi="Arial" w:cs="Arial"/>
          <w:color w:val="808080" w:themeColor="background1" w:themeShade="80"/>
        </w:rPr>
        <w:t>1502(5)</w:t>
      </w:r>
      <w:proofErr w:type="gramEnd"/>
      <w:r w:rsidRPr="00D5104A">
        <w:rPr>
          <w:rFonts w:ascii="Arial" w:hAnsi="Arial" w:cs="Arial"/>
          <w:color w:val="808080" w:themeColor="background1" w:themeShade="80"/>
        </w:rPr>
        <w:t xml:space="preserve"> and section 1517(b)(2) to Skin Luxe’s situation, </w:t>
      </w:r>
      <w:r w:rsidR="008723FF" w:rsidRPr="00D5104A">
        <w:rPr>
          <w:rFonts w:ascii="Arial" w:hAnsi="Arial" w:cs="Arial"/>
          <w:color w:val="808080" w:themeColor="background1" w:themeShade="80"/>
        </w:rPr>
        <w:t xml:space="preserve">Skin Luxe has an “establishment” in England – we are informed that Skin Luxe </w:t>
      </w:r>
      <w:r w:rsidR="00071293" w:rsidRPr="00D5104A">
        <w:rPr>
          <w:rFonts w:ascii="Arial" w:hAnsi="Arial" w:cs="Arial"/>
          <w:color w:val="808080" w:themeColor="background1" w:themeShade="80"/>
        </w:rPr>
        <w:t xml:space="preserve">sells its skin care products through its own boutiques in many international cities, including London. We are further informed that the proceeding in question, the Scheme of Arrangement, is governed by English law. </w:t>
      </w:r>
      <w:proofErr w:type="gramStart"/>
      <w:r w:rsidR="00071293" w:rsidRPr="00D5104A">
        <w:rPr>
          <w:rFonts w:ascii="Arial" w:hAnsi="Arial" w:cs="Arial"/>
          <w:color w:val="808080" w:themeColor="background1" w:themeShade="80"/>
        </w:rPr>
        <w:t>In light of</w:t>
      </w:r>
      <w:proofErr w:type="gramEnd"/>
      <w:r w:rsidR="00071293" w:rsidRPr="00D5104A">
        <w:rPr>
          <w:rFonts w:ascii="Arial" w:hAnsi="Arial" w:cs="Arial"/>
          <w:color w:val="808080" w:themeColor="background1" w:themeShade="80"/>
        </w:rPr>
        <w:t xml:space="preserve"> the above, the Scheme of Arrangement </w:t>
      </w:r>
      <w:r w:rsidR="000F4EF8">
        <w:rPr>
          <w:rFonts w:ascii="Arial" w:hAnsi="Arial" w:cs="Arial"/>
          <w:color w:val="808080" w:themeColor="background1" w:themeShade="80"/>
        </w:rPr>
        <w:t>could be</w:t>
      </w:r>
      <w:r w:rsidR="00071293" w:rsidRPr="00D5104A">
        <w:rPr>
          <w:rFonts w:ascii="Arial" w:hAnsi="Arial" w:cs="Arial"/>
          <w:color w:val="808080" w:themeColor="background1" w:themeShade="80"/>
        </w:rPr>
        <w:t xml:space="preserve"> granted recognition under Chapter 15 as a “foreign non-main proceeding”.</w:t>
      </w:r>
    </w:p>
    <w:p w14:paraId="010CF403" w14:textId="77777777" w:rsidR="001E0324" w:rsidRPr="00AC340D" w:rsidRDefault="001E0324" w:rsidP="00967F1F">
      <w:pPr>
        <w:pStyle w:val="AODocTxt"/>
        <w:spacing w:before="0" w:line="240" w:lineRule="auto"/>
        <w:rPr>
          <w:rFonts w:ascii="Arial" w:hAnsi="Arial" w:cs="Arial"/>
          <w:color w:val="808080" w:themeColor="background1" w:themeShade="80"/>
        </w:rPr>
      </w:pPr>
    </w:p>
    <w:p w14:paraId="07401F08" w14:textId="265CF753" w:rsidR="00F73A9F" w:rsidRPr="00AC340D" w:rsidRDefault="006F7BEB" w:rsidP="00967F1F">
      <w:pPr>
        <w:pStyle w:val="AODocTxt"/>
        <w:spacing w:before="0" w:line="240" w:lineRule="auto"/>
        <w:rPr>
          <w:rFonts w:ascii="Arial" w:hAnsi="Arial" w:cs="Arial"/>
          <w:b/>
          <w:bCs/>
          <w:color w:val="808080" w:themeColor="background1" w:themeShade="80"/>
          <w:u w:val="single"/>
        </w:rPr>
      </w:pPr>
      <w:r w:rsidRPr="00AC340D">
        <w:rPr>
          <w:rFonts w:ascii="Arial" w:hAnsi="Arial" w:cs="Arial"/>
          <w:b/>
          <w:bCs/>
          <w:color w:val="808080" w:themeColor="background1" w:themeShade="80"/>
          <w:u w:val="single"/>
        </w:rPr>
        <w:t>Scope of relief</w:t>
      </w:r>
    </w:p>
    <w:p w14:paraId="0E1E5D9F" w14:textId="33420020" w:rsidR="009E01E7" w:rsidRPr="00967F1F" w:rsidRDefault="006F7BEB" w:rsidP="00967F1F">
      <w:pPr>
        <w:pStyle w:val="AODocTxt"/>
        <w:spacing w:before="0" w:line="240" w:lineRule="auto"/>
        <w:rPr>
          <w:rFonts w:ascii="Arial" w:hAnsi="Arial" w:cs="Arial"/>
          <w:color w:val="808080" w:themeColor="background1" w:themeShade="80"/>
        </w:rPr>
      </w:pPr>
      <w:r w:rsidRPr="00AC340D">
        <w:rPr>
          <w:rFonts w:ascii="Arial" w:hAnsi="Arial" w:cs="Arial"/>
          <w:color w:val="808080" w:themeColor="background1" w:themeShade="80"/>
        </w:rPr>
        <w:t xml:space="preserve">As stated above, the </w:t>
      </w:r>
      <w:r w:rsidR="00802CB6" w:rsidRPr="00AC340D">
        <w:rPr>
          <w:rFonts w:ascii="Arial" w:hAnsi="Arial" w:cs="Arial"/>
          <w:color w:val="808080" w:themeColor="background1" w:themeShade="80"/>
        </w:rPr>
        <w:t>classification of the foreign proceeding as</w:t>
      </w:r>
      <w:r w:rsidR="000F4EF8">
        <w:rPr>
          <w:rFonts w:ascii="Arial" w:hAnsi="Arial" w:cs="Arial"/>
          <w:color w:val="808080" w:themeColor="background1" w:themeShade="80"/>
        </w:rPr>
        <w:t xml:space="preserve"> either</w:t>
      </w:r>
      <w:r w:rsidR="00802CB6" w:rsidRPr="00AC340D">
        <w:rPr>
          <w:rFonts w:ascii="Arial" w:hAnsi="Arial" w:cs="Arial"/>
          <w:color w:val="808080" w:themeColor="background1" w:themeShade="80"/>
        </w:rPr>
        <w:t xml:space="preserve"> “foreign main” or “foreign non-main” is important as it determines the scope of relief which is available to Skin Luxe following the recognition of the foreign proceeding. </w:t>
      </w:r>
      <w:r w:rsidR="009E01E7" w:rsidRPr="00AC340D">
        <w:rPr>
          <w:rFonts w:ascii="Arial" w:hAnsi="Arial" w:cs="Arial"/>
          <w:color w:val="808080" w:themeColor="background1" w:themeShade="80"/>
        </w:rPr>
        <w:t>Upon recognition of the Scheme of Arrangement as a foreign non-main proceeding, certain reliefs set out in the Bankruptcy Code can be granted on a discretionary basis</w:t>
      </w:r>
      <w:r w:rsidR="009E01E7" w:rsidRPr="00AC340D">
        <w:rPr>
          <w:rStyle w:val="FootnoteReference"/>
          <w:rFonts w:ascii="Arial" w:hAnsi="Arial" w:cs="Arial"/>
          <w:color w:val="808080" w:themeColor="background1" w:themeShade="80"/>
        </w:rPr>
        <w:footnoteReference w:id="171"/>
      </w:r>
      <w:r w:rsidR="009E01E7" w:rsidRPr="00AC340D">
        <w:rPr>
          <w:rFonts w:ascii="Arial" w:hAnsi="Arial" w:cs="Arial"/>
          <w:color w:val="808080" w:themeColor="background1" w:themeShade="80"/>
        </w:rPr>
        <w:t xml:space="preserve"> to Skin Luxe’s property within the US including an automatic stay</w:t>
      </w:r>
      <w:r w:rsidR="009E01E7" w:rsidRPr="00AC340D">
        <w:rPr>
          <w:rStyle w:val="FootnoteReference"/>
          <w:rFonts w:ascii="Arial" w:hAnsi="Arial" w:cs="Arial"/>
          <w:color w:val="808080" w:themeColor="background1" w:themeShade="80"/>
        </w:rPr>
        <w:footnoteReference w:id="172"/>
      </w:r>
      <w:r w:rsidR="009E01E7" w:rsidRPr="00AC340D">
        <w:rPr>
          <w:rFonts w:ascii="Arial" w:hAnsi="Arial" w:cs="Arial"/>
          <w:color w:val="808080" w:themeColor="background1" w:themeShade="80"/>
        </w:rPr>
        <w:t xml:space="preserve">. The test for granting relief </w:t>
      </w:r>
      <w:r w:rsidR="000F4EF8">
        <w:rPr>
          <w:rFonts w:ascii="Arial" w:hAnsi="Arial" w:cs="Arial"/>
          <w:color w:val="808080" w:themeColor="background1" w:themeShade="80"/>
        </w:rPr>
        <w:t xml:space="preserve">on a discretionary basis in a foreign non-main proceeding </w:t>
      </w:r>
      <w:r w:rsidR="00967F1F" w:rsidRPr="00AC340D">
        <w:rPr>
          <w:rFonts w:ascii="Arial" w:hAnsi="Arial" w:cs="Arial"/>
          <w:color w:val="808080" w:themeColor="background1" w:themeShade="80"/>
        </w:rPr>
        <w:t>is set out in section 1521(c) –</w:t>
      </w:r>
      <w:r w:rsidR="000F4EF8">
        <w:rPr>
          <w:rFonts w:ascii="Arial" w:hAnsi="Arial" w:cs="Arial"/>
          <w:color w:val="808080" w:themeColor="background1" w:themeShade="80"/>
        </w:rPr>
        <w:t xml:space="preserve"> </w:t>
      </w:r>
      <w:r w:rsidR="00967F1F" w:rsidRPr="00AC340D">
        <w:rPr>
          <w:rFonts w:ascii="Arial" w:hAnsi="Arial" w:cs="Arial"/>
          <w:color w:val="808080" w:themeColor="background1" w:themeShade="80"/>
        </w:rPr>
        <w:t>the court has to be satisfied that the relief relates to assets that (under US law) should be administered in the foreign non-main proceeding.</w:t>
      </w:r>
      <w:r w:rsidR="00967F1F" w:rsidRPr="00AC340D">
        <w:rPr>
          <w:rStyle w:val="FootnoteReference"/>
          <w:rFonts w:ascii="Arial" w:hAnsi="Arial" w:cs="Arial"/>
          <w:color w:val="808080" w:themeColor="background1" w:themeShade="80"/>
        </w:rPr>
        <w:footnoteReference w:id="173"/>
      </w:r>
      <w:r w:rsidR="00967F1F" w:rsidRPr="00AC340D">
        <w:rPr>
          <w:rFonts w:ascii="Arial" w:hAnsi="Arial" w:cs="Arial"/>
          <w:color w:val="808080" w:themeColor="background1" w:themeShade="80"/>
        </w:rPr>
        <w:t xml:space="preserve">  Any (discretionary) relief granted would only apply to the assets that Skin Luxe has located within the US - this would include Skin Luxe’s own boutiques in Las Vegas.</w:t>
      </w:r>
    </w:p>
    <w:p w14:paraId="0BB14248" w14:textId="77777777" w:rsidR="00EC4FC7" w:rsidRDefault="00EC4FC7" w:rsidP="000778B1">
      <w:pPr>
        <w:pStyle w:val="AODocTxt"/>
        <w:spacing w:before="0" w:line="240" w:lineRule="auto"/>
        <w:rPr>
          <w:rFonts w:ascii="Avenir Next" w:hAnsi="Avenir Next"/>
          <w:color w:val="808080" w:themeColor="background1" w:themeShade="80"/>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Pr="004F4B0E" w:rsidRDefault="001D3BAA" w:rsidP="004F4B0E">
      <w:pPr>
        <w:pStyle w:val="AODocTxt"/>
        <w:spacing w:before="0" w:line="240" w:lineRule="auto"/>
        <w:rPr>
          <w:rFonts w:ascii="Arial" w:hAnsi="Arial" w:cs="Arial"/>
          <w:color w:val="808080" w:themeColor="background1" w:themeShade="80"/>
        </w:rPr>
      </w:pPr>
    </w:p>
    <w:p w14:paraId="3513CEA5" w14:textId="1F281236" w:rsidR="00C23F44" w:rsidRPr="004D79C1" w:rsidRDefault="001B44E8" w:rsidP="004F4B0E">
      <w:pPr>
        <w:pStyle w:val="AODocTxt"/>
        <w:spacing w:before="0" w:line="240" w:lineRule="auto"/>
        <w:rPr>
          <w:rFonts w:ascii="Arial" w:hAnsi="Arial" w:cs="Arial"/>
          <w:color w:val="808080" w:themeColor="background1" w:themeShade="80"/>
        </w:rPr>
      </w:pPr>
      <w:r w:rsidRPr="004D79C1">
        <w:rPr>
          <w:rFonts w:ascii="Arial" w:hAnsi="Arial" w:cs="Arial"/>
          <w:color w:val="808080" w:themeColor="background1" w:themeShade="80"/>
        </w:rPr>
        <w:t>A Chapter 11 case is commenced by the filing of a petition with the bankruptcy court. If Speculation Inc ("</w:t>
      </w:r>
      <w:r w:rsidRPr="004D79C1">
        <w:rPr>
          <w:rFonts w:ascii="Arial" w:hAnsi="Arial" w:cs="Arial"/>
          <w:b/>
          <w:bCs/>
          <w:color w:val="808080" w:themeColor="background1" w:themeShade="80"/>
        </w:rPr>
        <w:t>Speculation</w:t>
      </w:r>
      <w:r w:rsidRPr="004D79C1">
        <w:rPr>
          <w:rFonts w:ascii="Arial" w:hAnsi="Arial" w:cs="Arial"/>
          <w:color w:val="808080" w:themeColor="background1" w:themeShade="80"/>
        </w:rPr>
        <w:t>"), as the debtor, files the petition, this would be a voluntary petition</w:t>
      </w:r>
      <w:r w:rsidR="00F44561" w:rsidRPr="004D79C1">
        <w:rPr>
          <w:rStyle w:val="FootnoteReference"/>
          <w:rFonts w:ascii="Arial" w:hAnsi="Arial" w:cs="Arial"/>
          <w:color w:val="808080" w:themeColor="background1" w:themeShade="80"/>
        </w:rPr>
        <w:footnoteReference w:id="174"/>
      </w:r>
      <w:r w:rsidR="00F44561" w:rsidRPr="004D79C1">
        <w:rPr>
          <w:rFonts w:ascii="Arial" w:hAnsi="Arial" w:cs="Arial"/>
          <w:color w:val="808080" w:themeColor="background1" w:themeShade="80"/>
        </w:rPr>
        <w:t>.</w:t>
      </w:r>
      <w:r w:rsidRPr="004D79C1">
        <w:rPr>
          <w:rFonts w:ascii="Arial" w:hAnsi="Arial" w:cs="Arial"/>
          <w:color w:val="808080" w:themeColor="background1" w:themeShade="80"/>
        </w:rPr>
        <w:t xml:space="preserve"> The automatic stay</w:t>
      </w:r>
      <w:r w:rsidR="0050169B" w:rsidRPr="004D79C1">
        <w:rPr>
          <w:rStyle w:val="FootnoteReference"/>
          <w:rFonts w:ascii="Arial" w:hAnsi="Arial" w:cs="Arial"/>
          <w:color w:val="808080" w:themeColor="background1" w:themeShade="80"/>
        </w:rPr>
        <w:footnoteReference w:id="175"/>
      </w:r>
      <w:r w:rsidRPr="004D79C1">
        <w:rPr>
          <w:rFonts w:ascii="Arial" w:hAnsi="Arial" w:cs="Arial"/>
          <w:color w:val="808080" w:themeColor="background1" w:themeShade="80"/>
        </w:rPr>
        <w:t xml:space="preserve"> that comes into effect immediately on the filing of a Chapter 11 petition provides breathing space for Speculation and a window to negotiate and resolve the difficulties it has in its financial situation</w:t>
      </w:r>
      <w:r w:rsidR="00C92A50" w:rsidRPr="004D79C1">
        <w:rPr>
          <w:rStyle w:val="FootnoteReference"/>
          <w:rFonts w:ascii="Arial" w:hAnsi="Arial" w:cs="Arial"/>
          <w:color w:val="808080" w:themeColor="background1" w:themeShade="80"/>
        </w:rPr>
        <w:footnoteReference w:id="176"/>
      </w:r>
      <w:r w:rsidRPr="004D79C1">
        <w:rPr>
          <w:rFonts w:ascii="Arial" w:hAnsi="Arial" w:cs="Arial"/>
          <w:color w:val="808080" w:themeColor="background1" w:themeShade="80"/>
        </w:rPr>
        <w:t>.</w:t>
      </w:r>
      <w:r w:rsidR="00554B96" w:rsidRPr="004D79C1">
        <w:rPr>
          <w:rFonts w:ascii="Arial" w:hAnsi="Arial" w:cs="Arial"/>
          <w:color w:val="808080" w:themeColor="background1" w:themeShade="80"/>
        </w:rPr>
        <w:t xml:space="preserve"> </w:t>
      </w:r>
      <w:r w:rsidRPr="004D79C1">
        <w:rPr>
          <w:rFonts w:ascii="Arial" w:hAnsi="Arial" w:cs="Arial"/>
          <w:color w:val="808080" w:themeColor="background1" w:themeShade="80"/>
        </w:rPr>
        <w:t>The automatic stay in a Chapter 11 filing is one of the most central debtor protections</w:t>
      </w:r>
      <w:r w:rsidR="00554B96" w:rsidRPr="004D79C1">
        <w:rPr>
          <w:rStyle w:val="FootnoteReference"/>
          <w:rFonts w:ascii="Arial" w:hAnsi="Arial" w:cs="Arial"/>
          <w:color w:val="808080" w:themeColor="background1" w:themeShade="80"/>
        </w:rPr>
        <w:footnoteReference w:id="177"/>
      </w:r>
      <w:r w:rsidR="00554B96" w:rsidRPr="004D79C1">
        <w:rPr>
          <w:rFonts w:ascii="Arial" w:hAnsi="Arial" w:cs="Arial"/>
          <w:color w:val="808080" w:themeColor="background1" w:themeShade="80"/>
        </w:rPr>
        <w:t>.</w:t>
      </w:r>
    </w:p>
    <w:p w14:paraId="5A9E6EE0" w14:textId="77777777" w:rsidR="00F44561" w:rsidRPr="004D79C1" w:rsidRDefault="00F44561" w:rsidP="004F4B0E">
      <w:pPr>
        <w:pStyle w:val="AODocTxt"/>
        <w:spacing w:before="0" w:line="240" w:lineRule="auto"/>
        <w:rPr>
          <w:rFonts w:ascii="Arial" w:hAnsi="Arial" w:cs="Arial"/>
          <w:color w:val="808080" w:themeColor="background1" w:themeShade="80"/>
        </w:rPr>
      </w:pPr>
    </w:p>
    <w:p w14:paraId="73342B45" w14:textId="1E9B3ED1" w:rsidR="006F1811" w:rsidRPr="004D79C1" w:rsidRDefault="0050070A" w:rsidP="004F4B0E">
      <w:pPr>
        <w:pStyle w:val="AODocTxt"/>
        <w:spacing w:before="0" w:line="240" w:lineRule="auto"/>
        <w:rPr>
          <w:rFonts w:ascii="Arial" w:hAnsi="Arial" w:cs="Arial"/>
          <w:color w:val="808080" w:themeColor="background1" w:themeShade="80"/>
        </w:rPr>
      </w:pPr>
      <w:r w:rsidRPr="004D79C1">
        <w:rPr>
          <w:rFonts w:ascii="Arial" w:hAnsi="Arial" w:cs="Arial"/>
          <w:color w:val="808080" w:themeColor="background1" w:themeShade="80"/>
        </w:rPr>
        <w:t>A</w:t>
      </w:r>
      <w:r w:rsidR="001B44E8" w:rsidRPr="004D79C1">
        <w:rPr>
          <w:rFonts w:ascii="Arial" w:hAnsi="Arial" w:cs="Arial"/>
          <w:color w:val="808080" w:themeColor="background1" w:themeShade="80"/>
        </w:rPr>
        <w:t xml:space="preserve"> Chapter 11 petition being filed by Speculation has different effects on the Department of Justice ("</w:t>
      </w:r>
      <w:r w:rsidR="001B44E8" w:rsidRPr="004D79C1">
        <w:rPr>
          <w:rFonts w:ascii="Arial" w:hAnsi="Arial" w:cs="Arial"/>
          <w:b/>
          <w:bCs/>
          <w:color w:val="808080" w:themeColor="background1" w:themeShade="80"/>
        </w:rPr>
        <w:t>DOJ</w:t>
      </w:r>
      <w:r w:rsidR="001B44E8" w:rsidRPr="004D79C1">
        <w:rPr>
          <w:rFonts w:ascii="Arial" w:hAnsi="Arial" w:cs="Arial"/>
          <w:color w:val="808080" w:themeColor="background1" w:themeShade="80"/>
        </w:rPr>
        <w:t xml:space="preserve">") investigation, the margin loan default, the delinquent </w:t>
      </w:r>
      <w:proofErr w:type="gramStart"/>
      <w:r w:rsidR="001B44E8" w:rsidRPr="004D79C1">
        <w:rPr>
          <w:rFonts w:ascii="Arial" w:hAnsi="Arial" w:cs="Arial"/>
          <w:color w:val="808080" w:themeColor="background1" w:themeShade="80"/>
        </w:rPr>
        <w:t>lease</w:t>
      </w:r>
      <w:proofErr w:type="gramEnd"/>
      <w:r w:rsidR="001B44E8" w:rsidRPr="004D79C1">
        <w:rPr>
          <w:rFonts w:ascii="Arial" w:hAnsi="Arial" w:cs="Arial"/>
          <w:color w:val="808080" w:themeColor="background1" w:themeShade="80"/>
        </w:rPr>
        <w:t xml:space="preserve"> and the employment discrimination lawsuit. Taking each of these in turn:</w:t>
      </w:r>
    </w:p>
    <w:p w14:paraId="0FF87C97" w14:textId="2CB1819D" w:rsidR="00E76AD8" w:rsidRPr="004D79C1" w:rsidRDefault="001B44E8" w:rsidP="00E76AD8">
      <w:pPr>
        <w:pStyle w:val="AODocTxt"/>
        <w:numPr>
          <w:ilvl w:val="0"/>
          <w:numId w:val="23"/>
        </w:numPr>
        <w:spacing w:before="0" w:line="240" w:lineRule="auto"/>
        <w:ind w:left="624" w:hanging="454"/>
        <w:rPr>
          <w:rFonts w:ascii="Arial" w:hAnsi="Arial" w:cs="Arial"/>
          <w:color w:val="808080" w:themeColor="background1" w:themeShade="80"/>
        </w:rPr>
      </w:pPr>
      <w:r w:rsidRPr="004D79C1">
        <w:rPr>
          <w:rFonts w:ascii="Arial" w:hAnsi="Arial" w:cs="Arial"/>
          <w:color w:val="808080" w:themeColor="background1" w:themeShade="80"/>
        </w:rPr>
        <w:t xml:space="preserve">There will be </w:t>
      </w:r>
      <w:r w:rsidRPr="00EC6BB3">
        <w:rPr>
          <w:rFonts w:ascii="Arial" w:hAnsi="Arial" w:cs="Arial"/>
          <w:color w:val="808080" w:themeColor="background1" w:themeShade="80"/>
          <w:u w:val="single"/>
        </w:rPr>
        <w:t>no</w:t>
      </w:r>
      <w:r w:rsidRPr="004D79C1">
        <w:rPr>
          <w:rFonts w:ascii="Arial" w:hAnsi="Arial" w:cs="Arial"/>
          <w:color w:val="808080" w:themeColor="background1" w:themeShade="80"/>
        </w:rPr>
        <w:t xml:space="preserve"> effect on the DOJ investigation. The automatic stay that applies </w:t>
      </w:r>
      <w:r w:rsidR="007C4FD9" w:rsidRPr="004D79C1">
        <w:rPr>
          <w:rFonts w:ascii="Arial" w:hAnsi="Arial" w:cs="Arial"/>
          <w:color w:val="808080" w:themeColor="background1" w:themeShade="80"/>
        </w:rPr>
        <w:t>to Chapter 11 proceedings are</w:t>
      </w:r>
      <w:r w:rsidRPr="004D79C1">
        <w:rPr>
          <w:rFonts w:ascii="Arial" w:hAnsi="Arial" w:cs="Arial"/>
          <w:color w:val="808080" w:themeColor="background1" w:themeShade="80"/>
        </w:rPr>
        <w:t xml:space="preserve"> applicable "</w:t>
      </w:r>
      <w:r w:rsidRPr="004D79C1">
        <w:rPr>
          <w:rFonts w:ascii="Arial" w:hAnsi="Arial" w:cs="Arial"/>
          <w:i/>
          <w:iCs/>
          <w:color w:val="808080" w:themeColor="background1" w:themeShade="80"/>
        </w:rPr>
        <w:t>to any interference with the property of the estate anywhere in the world</w:t>
      </w:r>
      <w:r w:rsidRPr="004D79C1">
        <w:rPr>
          <w:rFonts w:ascii="Arial" w:hAnsi="Arial" w:cs="Arial"/>
          <w:color w:val="808080" w:themeColor="background1" w:themeShade="80"/>
        </w:rPr>
        <w:t>" and therefore its scope is extremely broad</w:t>
      </w:r>
      <w:r w:rsidR="0042541A" w:rsidRPr="004D79C1">
        <w:rPr>
          <w:rStyle w:val="FootnoteReference"/>
          <w:rFonts w:ascii="Arial" w:hAnsi="Arial" w:cs="Arial"/>
          <w:color w:val="808080" w:themeColor="background1" w:themeShade="80"/>
        </w:rPr>
        <w:footnoteReference w:id="178"/>
      </w:r>
      <w:r w:rsidRPr="004D79C1">
        <w:rPr>
          <w:rFonts w:ascii="Arial" w:hAnsi="Arial" w:cs="Arial"/>
          <w:color w:val="808080" w:themeColor="background1" w:themeShade="80"/>
        </w:rPr>
        <w:t xml:space="preserve">. </w:t>
      </w:r>
      <w:r w:rsidR="007C4FD9" w:rsidRPr="004D79C1">
        <w:rPr>
          <w:rFonts w:ascii="Arial" w:hAnsi="Arial" w:cs="Arial"/>
          <w:color w:val="808080" w:themeColor="background1" w:themeShade="80"/>
        </w:rPr>
        <w:t>However</w:t>
      </w:r>
      <w:r w:rsidRPr="004D79C1">
        <w:rPr>
          <w:rFonts w:ascii="Arial" w:hAnsi="Arial" w:cs="Arial"/>
          <w:color w:val="808080" w:themeColor="background1" w:themeShade="80"/>
        </w:rPr>
        <w:t xml:space="preserve">, there will be no effect on the DOJ investigation. The reason for this is because the filing of a petition will </w:t>
      </w:r>
      <w:r w:rsidRPr="004D79C1">
        <w:rPr>
          <w:rFonts w:ascii="Arial" w:hAnsi="Arial" w:cs="Arial"/>
          <w:color w:val="808080" w:themeColor="background1" w:themeShade="80"/>
          <w:u w:val="single"/>
        </w:rPr>
        <w:t>not</w:t>
      </w:r>
      <w:r w:rsidRPr="004D79C1">
        <w:rPr>
          <w:rFonts w:ascii="Arial" w:hAnsi="Arial" w:cs="Arial"/>
          <w:color w:val="808080" w:themeColor="background1" w:themeShade="80"/>
        </w:rPr>
        <w:t xml:space="preserve"> operate as a stay of the actions which are listed under </w:t>
      </w:r>
      <w:r w:rsidR="00EC6BB3">
        <w:rPr>
          <w:rFonts w:ascii="Arial" w:hAnsi="Arial" w:cs="Arial"/>
          <w:color w:val="808080" w:themeColor="background1" w:themeShade="80"/>
        </w:rPr>
        <w:t>s</w:t>
      </w:r>
      <w:r w:rsidRPr="004D79C1">
        <w:rPr>
          <w:rFonts w:ascii="Arial" w:hAnsi="Arial" w:cs="Arial"/>
          <w:color w:val="808080" w:themeColor="background1" w:themeShade="80"/>
        </w:rPr>
        <w:t>ection 362(b) of Title 11 of the United States Code ("</w:t>
      </w:r>
      <w:r w:rsidRPr="004D79C1">
        <w:rPr>
          <w:rFonts w:ascii="Arial" w:hAnsi="Arial" w:cs="Arial"/>
          <w:b/>
          <w:bCs/>
          <w:color w:val="808080" w:themeColor="background1" w:themeShade="80"/>
        </w:rPr>
        <w:t>Bankruptcy Code</w:t>
      </w:r>
      <w:r w:rsidRPr="004D79C1">
        <w:rPr>
          <w:rFonts w:ascii="Arial" w:hAnsi="Arial" w:cs="Arial"/>
          <w:color w:val="808080" w:themeColor="background1" w:themeShade="80"/>
        </w:rPr>
        <w:t>"). The list of exceptions to the automatic stay include</w:t>
      </w:r>
      <w:r w:rsidR="00B87343" w:rsidRPr="004D79C1">
        <w:rPr>
          <w:rFonts w:ascii="Arial" w:hAnsi="Arial" w:cs="Arial"/>
          <w:color w:val="808080" w:themeColor="background1" w:themeShade="80"/>
        </w:rPr>
        <w:t xml:space="preserve"> </w:t>
      </w:r>
      <w:r w:rsidRPr="004D79C1">
        <w:rPr>
          <w:rFonts w:ascii="Arial" w:hAnsi="Arial" w:cs="Arial"/>
          <w:color w:val="808080" w:themeColor="background1" w:themeShade="80"/>
        </w:rPr>
        <w:t>section 362(b)(1) which provides that the filing of a voluntary petition under section 301(a) "</w:t>
      </w:r>
      <w:r w:rsidRPr="004D79C1">
        <w:rPr>
          <w:rFonts w:ascii="Arial" w:hAnsi="Arial" w:cs="Arial"/>
          <w:i/>
          <w:iCs/>
          <w:color w:val="808080" w:themeColor="background1" w:themeShade="80"/>
        </w:rPr>
        <w:t>does not operate as a stay...of the commencement or continuation of a criminal action or proceeding against the debtor</w:t>
      </w:r>
      <w:r w:rsidRPr="004D79C1">
        <w:rPr>
          <w:rFonts w:ascii="Arial" w:hAnsi="Arial" w:cs="Arial"/>
          <w:color w:val="808080" w:themeColor="background1" w:themeShade="80"/>
        </w:rPr>
        <w:t>"</w:t>
      </w:r>
      <w:r w:rsidR="004C4417" w:rsidRPr="004D79C1">
        <w:rPr>
          <w:rStyle w:val="FootnoteReference"/>
          <w:rFonts w:ascii="Arial" w:hAnsi="Arial" w:cs="Arial"/>
          <w:color w:val="808080" w:themeColor="background1" w:themeShade="80"/>
        </w:rPr>
        <w:footnoteReference w:id="179"/>
      </w:r>
      <w:r w:rsidRPr="004D79C1">
        <w:rPr>
          <w:rFonts w:ascii="Arial" w:hAnsi="Arial" w:cs="Arial"/>
          <w:color w:val="808080" w:themeColor="background1" w:themeShade="80"/>
        </w:rPr>
        <w:t>.</w:t>
      </w:r>
    </w:p>
    <w:p w14:paraId="357720C9" w14:textId="77777777" w:rsidR="00E76AD8" w:rsidRPr="004D79C1" w:rsidRDefault="00E76AD8" w:rsidP="00E76AD8">
      <w:pPr>
        <w:pStyle w:val="AODocTxt"/>
        <w:spacing w:before="0" w:line="240" w:lineRule="auto"/>
        <w:ind w:left="624"/>
        <w:rPr>
          <w:rFonts w:ascii="Arial" w:hAnsi="Arial" w:cs="Arial"/>
          <w:color w:val="808080" w:themeColor="background1" w:themeShade="80"/>
        </w:rPr>
      </w:pPr>
    </w:p>
    <w:p w14:paraId="1DCD6BBD" w14:textId="0FFD4926" w:rsidR="00E76AD8" w:rsidRPr="004D79C1" w:rsidRDefault="00E76AD8" w:rsidP="006F1811">
      <w:pPr>
        <w:pStyle w:val="AODocTxt"/>
        <w:spacing w:before="0" w:line="240" w:lineRule="auto"/>
        <w:ind w:left="624"/>
        <w:rPr>
          <w:rFonts w:ascii="Arial" w:hAnsi="Arial" w:cs="Arial"/>
          <w:color w:val="808080" w:themeColor="background1" w:themeShade="80"/>
        </w:rPr>
      </w:pPr>
      <w:r w:rsidRPr="004D79C1">
        <w:rPr>
          <w:rFonts w:ascii="Arial" w:hAnsi="Arial" w:cs="Arial"/>
          <w:color w:val="808080" w:themeColor="background1" w:themeShade="80"/>
        </w:rPr>
        <w:t>From the fact pattern, the DOJ has announced an investigation into whether the (previous) success of Speculation was the result of illegally trading on insider information. The DOJ's mission includes upholding the rule of law</w:t>
      </w:r>
      <w:r w:rsidR="006F1811" w:rsidRPr="004D79C1">
        <w:rPr>
          <w:rStyle w:val="FootnoteReference"/>
          <w:rFonts w:ascii="Arial" w:hAnsi="Arial" w:cs="Arial"/>
          <w:color w:val="808080" w:themeColor="background1" w:themeShade="80"/>
        </w:rPr>
        <w:footnoteReference w:id="180"/>
      </w:r>
      <w:r w:rsidR="006F1811" w:rsidRPr="004D79C1">
        <w:rPr>
          <w:rFonts w:ascii="Arial" w:hAnsi="Arial" w:cs="Arial"/>
          <w:color w:val="808080" w:themeColor="background1" w:themeShade="80"/>
        </w:rPr>
        <w:t xml:space="preserve"> </w:t>
      </w:r>
      <w:r w:rsidRPr="004D79C1">
        <w:rPr>
          <w:rFonts w:ascii="Arial" w:hAnsi="Arial" w:cs="Arial"/>
          <w:color w:val="808080" w:themeColor="background1" w:themeShade="80"/>
        </w:rPr>
        <w:t>and its work includes prosecuting corporate crime</w:t>
      </w:r>
      <w:r w:rsidR="006F1811" w:rsidRPr="004D79C1">
        <w:rPr>
          <w:rStyle w:val="FootnoteReference"/>
          <w:rFonts w:ascii="Arial" w:hAnsi="Arial" w:cs="Arial"/>
          <w:color w:val="808080" w:themeColor="background1" w:themeShade="80"/>
        </w:rPr>
        <w:footnoteReference w:id="181"/>
      </w:r>
      <w:r w:rsidR="006F1811" w:rsidRPr="004D79C1">
        <w:rPr>
          <w:rFonts w:ascii="Arial" w:hAnsi="Arial" w:cs="Arial"/>
          <w:color w:val="808080" w:themeColor="background1" w:themeShade="80"/>
        </w:rPr>
        <w:t xml:space="preserve">. </w:t>
      </w:r>
      <w:r w:rsidRPr="004D79C1">
        <w:rPr>
          <w:rFonts w:ascii="Arial" w:hAnsi="Arial" w:cs="Arial"/>
          <w:color w:val="808080" w:themeColor="background1" w:themeShade="80"/>
        </w:rPr>
        <w:t>The Criminal Division's Fraud Section leads the DOJ's work against sophisticated economic crime and "</w:t>
      </w:r>
      <w:r w:rsidRPr="004D79C1">
        <w:rPr>
          <w:rFonts w:ascii="Arial" w:hAnsi="Arial" w:cs="Arial"/>
          <w:i/>
          <w:iCs/>
          <w:color w:val="808080" w:themeColor="background1" w:themeShade="80"/>
        </w:rPr>
        <w:t>focuses on the prosecution of complex corporate, securities, commodities, procurement, and other financial fraud cases</w:t>
      </w:r>
      <w:r w:rsidRPr="004D79C1">
        <w:rPr>
          <w:rFonts w:ascii="Arial" w:hAnsi="Arial" w:cs="Arial"/>
          <w:color w:val="808080" w:themeColor="background1" w:themeShade="80"/>
        </w:rPr>
        <w:t>"</w:t>
      </w:r>
      <w:r w:rsidR="006F1811" w:rsidRPr="004D79C1">
        <w:rPr>
          <w:rStyle w:val="FootnoteReference"/>
          <w:rFonts w:ascii="Arial" w:hAnsi="Arial" w:cs="Arial"/>
          <w:color w:val="808080" w:themeColor="background1" w:themeShade="80"/>
        </w:rPr>
        <w:footnoteReference w:id="182"/>
      </w:r>
      <w:r w:rsidR="006F1811" w:rsidRPr="004D79C1">
        <w:rPr>
          <w:rFonts w:ascii="Arial" w:hAnsi="Arial" w:cs="Arial"/>
          <w:color w:val="808080" w:themeColor="background1" w:themeShade="80"/>
        </w:rPr>
        <w:t xml:space="preserve">. </w:t>
      </w:r>
      <w:r w:rsidRPr="004D79C1">
        <w:rPr>
          <w:rFonts w:ascii="Arial" w:hAnsi="Arial" w:cs="Arial"/>
          <w:color w:val="808080" w:themeColor="background1" w:themeShade="80"/>
        </w:rPr>
        <w:t xml:space="preserve">As stated above, the commencement or continuation of a criminal action or proceeding against </w:t>
      </w:r>
      <w:r w:rsidR="00EC6BB3">
        <w:rPr>
          <w:rFonts w:ascii="Arial" w:hAnsi="Arial" w:cs="Arial"/>
          <w:color w:val="808080" w:themeColor="background1" w:themeShade="80"/>
        </w:rPr>
        <w:t>a</w:t>
      </w:r>
      <w:r w:rsidRPr="004D79C1">
        <w:rPr>
          <w:rFonts w:ascii="Arial" w:hAnsi="Arial" w:cs="Arial"/>
          <w:color w:val="808080" w:themeColor="background1" w:themeShade="80"/>
        </w:rPr>
        <w:t xml:space="preserve"> debtor is an exception to the automatic stay. The rationale for this is that </w:t>
      </w:r>
      <w:r w:rsidR="00E56BD9" w:rsidRPr="004D79C1">
        <w:rPr>
          <w:rFonts w:ascii="Arial" w:hAnsi="Arial" w:cs="Arial"/>
          <w:color w:val="808080" w:themeColor="background1" w:themeShade="80"/>
        </w:rPr>
        <w:t xml:space="preserve">the </w:t>
      </w:r>
      <w:r w:rsidRPr="004D79C1">
        <w:rPr>
          <w:rFonts w:ascii="Arial" w:hAnsi="Arial" w:cs="Arial"/>
          <w:color w:val="808080" w:themeColor="background1" w:themeShade="80"/>
        </w:rPr>
        <w:t>right of certain parties should take precedence over the need for the debtor in question to have breathing space</w:t>
      </w:r>
      <w:r w:rsidR="006F1811" w:rsidRPr="004D79C1">
        <w:rPr>
          <w:rStyle w:val="FootnoteReference"/>
          <w:rFonts w:ascii="Arial" w:hAnsi="Arial" w:cs="Arial"/>
          <w:color w:val="808080" w:themeColor="background1" w:themeShade="80"/>
        </w:rPr>
        <w:footnoteReference w:id="183"/>
      </w:r>
      <w:r w:rsidR="006F1811" w:rsidRPr="004D79C1">
        <w:rPr>
          <w:rFonts w:ascii="Arial" w:hAnsi="Arial" w:cs="Arial"/>
          <w:color w:val="808080" w:themeColor="background1" w:themeShade="80"/>
        </w:rPr>
        <w:t xml:space="preserve">. </w:t>
      </w:r>
      <w:r w:rsidR="00E56BD9" w:rsidRPr="004D79C1">
        <w:rPr>
          <w:rFonts w:ascii="Arial" w:hAnsi="Arial" w:cs="Arial"/>
          <w:color w:val="808080" w:themeColor="background1" w:themeShade="80"/>
        </w:rPr>
        <w:t>T</w:t>
      </w:r>
      <w:r w:rsidRPr="004D79C1">
        <w:rPr>
          <w:rFonts w:ascii="Arial" w:hAnsi="Arial" w:cs="Arial"/>
          <w:color w:val="808080" w:themeColor="background1" w:themeShade="80"/>
        </w:rPr>
        <w:t xml:space="preserve">he DOJ investigation will not be subject to the automatic stay and </w:t>
      </w:r>
      <w:r w:rsidR="00E56BD9" w:rsidRPr="004D79C1">
        <w:rPr>
          <w:rFonts w:ascii="Arial" w:hAnsi="Arial" w:cs="Arial"/>
          <w:color w:val="808080" w:themeColor="background1" w:themeShade="80"/>
        </w:rPr>
        <w:t>will therefore</w:t>
      </w:r>
      <w:r w:rsidRPr="004D79C1">
        <w:rPr>
          <w:rFonts w:ascii="Arial" w:hAnsi="Arial" w:cs="Arial"/>
          <w:color w:val="808080" w:themeColor="background1" w:themeShade="80"/>
        </w:rPr>
        <w:t xml:space="preserve"> proceed as normal.</w:t>
      </w:r>
    </w:p>
    <w:p w14:paraId="16B3545F" w14:textId="77777777" w:rsidR="00FC56DE" w:rsidRPr="004D79C1" w:rsidRDefault="00FC56DE" w:rsidP="00EF35F3">
      <w:pPr>
        <w:pStyle w:val="AODocTxt"/>
        <w:spacing w:before="0" w:line="240" w:lineRule="auto"/>
        <w:rPr>
          <w:rFonts w:ascii="Arial" w:hAnsi="Arial" w:cs="Arial"/>
          <w:color w:val="808080" w:themeColor="background1" w:themeShade="80"/>
        </w:rPr>
      </w:pPr>
    </w:p>
    <w:p w14:paraId="5C2FE1A9" w14:textId="19968522" w:rsidR="00635FFA" w:rsidRPr="004D79C1" w:rsidRDefault="004D08C4" w:rsidP="00FC56DE">
      <w:pPr>
        <w:pStyle w:val="AODocTxt"/>
        <w:numPr>
          <w:ilvl w:val="0"/>
          <w:numId w:val="23"/>
        </w:numPr>
        <w:spacing w:before="0" w:line="240" w:lineRule="auto"/>
        <w:ind w:left="624" w:hanging="454"/>
        <w:rPr>
          <w:rFonts w:ascii="Arial" w:hAnsi="Arial" w:cs="Arial"/>
          <w:color w:val="808080" w:themeColor="background1" w:themeShade="80"/>
        </w:rPr>
      </w:pPr>
      <w:r w:rsidRPr="004D79C1">
        <w:rPr>
          <w:rFonts w:ascii="Arial" w:hAnsi="Arial" w:cs="Arial"/>
          <w:color w:val="808080" w:themeColor="background1" w:themeShade="80"/>
        </w:rPr>
        <w:t>T</w:t>
      </w:r>
      <w:r w:rsidR="00FC56DE" w:rsidRPr="004D79C1">
        <w:rPr>
          <w:rFonts w:ascii="Arial" w:hAnsi="Arial" w:cs="Arial"/>
          <w:color w:val="808080" w:themeColor="background1" w:themeShade="80"/>
        </w:rPr>
        <w:t>he effect</w:t>
      </w:r>
      <w:r w:rsidR="00260516" w:rsidRPr="004D79C1">
        <w:rPr>
          <w:rFonts w:ascii="Arial" w:hAnsi="Arial" w:cs="Arial"/>
          <w:color w:val="808080" w:themeColor="background1" w:themeShade="80"/>
        </w:rPr>
        <w:t xml:space="preserve"> </w:t>
      </w:r>
      <w:r w:rsidR="00FC56DE" w:rsidRPr="004D79C1">
        <w:rPr>
          <w:rFonts w:ascii="Arial" w:hAnsi="Arial" w:cs="Arial"/>
          <w:color w:val="808080" w:themeColor="background1" w:themeShade="80"/>
        </w:rPr>
        <w:t>of the Chapter 11 petition</w:t>
      </w:r>
      <w:r w:rsidR="008064BA" w:rsidRPr="004D79C1">
        <w:rPr>
          <w:rFonts w:ascii="Arial" w:hAnsi="Arial" w:cs="Arial"/>
          <w:color w:val="808080" w:themeColor="background1" w:themeShade="80"/>
        </w:rPr>
        <w:t xml:space="preserve"> on the margin loan default</w:t>
      </w:r>
      <w:r w:rsidR="00FC56DE" w:rsidRPr="004D79C1">
        <w:rPr>
          <w:rFonts w:ascii="Arial" w:hAnsi="Arial" w:cs="Arial"/>
          <w:color w:val="808080" w:themeColor="background1" w:themeShade="80"/>
        </w:rPr>
        <w:t xml:space="preserve"> will be that there will be a plan of </w:t>
      </w:r>
      <w:proofErr w:type="spellStart"/>
      <w:r w:rsidR="00FC56DE" w:rsidRPr="004D79C1">
        <w:rPr>
          <w:rFonts w:ascii="Arial" w:hAnsi="Arial" w:cs="Arial"/>
          <w:color w:val="808080" w:themeColor="background1" w:themeShade="80"/>
        </w:rPr>
        <w:t>reorganisation</w:t>
      </w:r>
      <w:proofErr w:type="spellEnd"/>
      <w:r w:rsidR="00FC56DE" w:rsidRPr="004D79C1">
        <w:rPr>
          <w:rFonts w:ascii="Arial" w:hAnsi="Arial" w:cs="Arial"/>
          <w:color w:val="808080" w:themeColor="background1" w:themeShade="80"/>
        </w:rPr>
        <w:t>. There will be an automatic stay</w:t>
      </w:r>
      <w:r w:rsidR="00635FFA" w:rsidRPr="004D79C1">
        <w:rPr>
          <w:rStyle w:val="FootnoteReference"/>
          <w:rFonts w:ascii="Arial" w:hAnsi="Arial" w:cs="Arial"/>
          <w:color w:val="808080" w:themeColor="background1" w:themeShade="80"/>
        </w:rPr>
        <w:footnoteReference w:id="184"/>
      </w:r>
      <w:r w:rsidR="00FC56DE" w:rsidRPr="004D79C1">
        <w:rPr>
          <w:rFonts w:ascii="Arial" w:hAnsi="Arial" w:cs="Arial"/>
          <w:color w:val="808080" w:themeColor="background1" w:themeShade="80"/>
        </w:rPr>
        <w:t xml:space="preserve"> of any litigation against Speculation by its broker in relation to the default on the margin loan.</w:t>
      </w:r>
    </w:p>
    <w:p w14:paraId="3D0349B6" w14:textId="77777777" w:rsidR="00635FFA" w:rsidRPr="004D79C1" w:rsidRDefault="00635FFA" w:rsidP="00635FFA">
      <w:pPr>
        <w:pStyle w:val="AODocTxt"/>
        <w:spacing w:before="0" w:line="240" w:lineRule="auto"/>
        <w:ind w:left="624"/>
        <w:rPr>
          <w:rFonts w:ascii="Arial" w:hAnsi="Arial" w:cs="Arial"/>
          <w:color w:val="808080" w:themeColor="background1" w:themeShade="80"/>
        </w:rPr>
      </w:pPr>
    </w:p>
    <w:p w14:paraId="195AF558" w14:textId="77777777" w:rsidR="00B03FDE" w:rsidRPr="004D79C1" w:rsidRDefault="00FC56DE" w:rsidP="00B03FDE">
      <w:pPr>
        <w:pStyle w:val="AODocTxt"/>
        <w:spacing w:before="0" w:line="240" w:lineRule="auto"/>
        <w:ind w:left="624"/>
        <w:rPr>
          <w:rFonts w:ascii="Arial" w:hAnsi="Arial" w:cs="Arial"/>
          <w:color w:val="808080" w:themeColor="background1" w:themeShade="80"/>
        </w:rPr>
      </w:pPr>
      <w:r w:rsidRPr="004D79C1">
        <w:rPr>
          <w:rFonts w:ascii="Arial" w:hAnsi="Arial" w:cs="Arial"/>
          <w:color w:val="808080" w:themeColor="background1" w:themeShade="80"/>
        </w:rPr>
        <w:t>Section 1121 provides Speculation with an exclusivity period</w:t>
      </w:r>
      <w:r w:rsidR="00635FFA" w:rsidRPr="004D79C1">
        <w:rPr>
          <w:rStyle w:val="FootnoteReference"/>
          <w:rFonts w:ascii="Arial" w:hAnsi="Arial" w:cs="Arial"/>
          <w:color w:val="808080" w:themeColor="background1" w:themeShade="80"/>
        </w:rPr>
        <w:footnoteReference w:id="185"/>
      </w:r>
      <w:r w:rsidRPr="004D79C1">
        <w:rPr>
          <w:rFonts w:ascii="Arial" w:hAnsi="Arial" w:cs="Arial"/>
          <w:color w:val="808080" w:themeColor="background1" w:themeShade="80"/>
        </w:rPr>
        <w:t xml:space="preserve"> of 120 days from the date of the petition to propose a </w:t>
      </w:r>
      <w:proofErr w:type="spellStart"/>
      <w:r w:rsidRPr="004D79C1">
        <w:rPr>
          <w:rFonts w:ascii="Arial" w:hAnsi="Arial" w:cs="Arial"/>
          <w:color w:val="808080" w:themeColor="background1" w:themeShade="80"/>
        </w:rPr>
        <w:t>reorganisation</w:t>
      </w:r>
      <w:proofErr w:type="spellEnd"/>
      <w:r w:rsidRPr="004D79C1">
        <w:rPr>
          <w:rFonts w:ascii="Arial" w:hAnsi="Arial" w:cs="Arial"/>
          <w:color w:val="808080" w:themeColor="background1" w:themeShade="80"/>
        </w:rPr>
        <w:t xml:space="preserve"> plan</w:t>
      </w:r>
      <w:r w:rsidR="00635FFA" w:rsidRPr="004D79C1">
        <w:rPr>
          <w:rStyle w:val="FootnoteReference"/>
          <w:rFonts w:ascii="Arial" w:hAnsi="Arial" w:cs="Arial"/>
          <w:color w:val="808080" w:themeColor="background1" w:themeShade="80"/>
        </w:rPr>
        <w:footnoteReference w:id="186"/>
      </w:r>
      <w:r w:rsidRPr="004D79C1">
        <w:rPr>
          <w:rFonts w:ascii="Arial" w:hAnsi="Arial" w:cs="Arial"/>
          <w:color w:val="808080" w:themeColor="background1" w:themeShade="80"/>
        </w:rPr>
        <w:t xml:space="preserve">. The plan </w:t>
      </w:r>
      <w:r w:rsidR="00B03FDE" w:rsidRPr="004D79C1">
        <w:rPr>
          <w:rFonts w:ascii="Arial" w:hAnsi="Arial" w:cs="Arial"/>
          <w:color w:val="808080" w:themeColor="background1" w:themeShade="80"/>
        </w:rPr>
        <w:t>“</w:t>
      </w:r>
      <w:r w:rsidR="00B03FDE" w:rsidRPr="004D79C1">
        <w:rPr>
          <w:rFonts w:ascii="Arial" w:hAnsi="Arial" w:cs="Arial"/>
          <w:i/>
          <w:iCs/>
          <w:color w:val="808080" w:themeColor="background1" w:themeShade="80"/>
        </w:rPr>
        <w:t xml:space="preserve">sets out a proposed compromise of its debts and/or </w:t>
      </w:r>
      <w:proofErr w:type="spellStart"/>
      <w:r w:rsidR="00B03FDE" w:rsidRPr="004D79C1">
        <w:rPr>
          <w:rFonts w:ascii="Arial" w:hAnsi="Arial" w:cs="Arial"/>
          <w:i/>
          <w:iCs/>
          <w:color w:val="808080" w:themeColor="background1" w:themeShade="80"/>
        </w:rPr>
        <w:t>reorganisation</w:t>
      </w:r>
      <w:proofErr w:type="spellEnd"/>
      <w:r w:rsidR="00B03FDE" w:rsidRPr="004D79C1">
        <w:rPr>
          <w:rFonts w:ascii="Arial" w:hAnsi="Arial" w:cs="Arial"/>
          <w:i/>
          <w:iCs/>
          <w:color w:val="808080" w:themeColor="background1" w:themeShade="80"/>
        </w:rPr>
        <w:t xml:space="preserve"> of its business</w:t>
      </w:r>
      <w:r w:rsidR="00B03FDE" w:rsidRPr="004D79C1">
        <w:rPr>
          <w:rFonts w:ascii="Arial" w:hAnsi="Arial" w:cs="Arial"/>
          <w:color w:val="808080" w:themeColor="background1" w:themeShade="80"/>
        </w:rPr>
        <w:t>.”</w:t>
      </w:r>
      <w:r w:rsidR="00B03FDE" w:rsidRPr="004D79C1">
        <w:rPr>
          <w:rStyle w:val="FootnoteReference"/>
          <w:rFonts w:ascii="Arial" w:hAnsi="Arial" w:cs="Arial"/>
          <w:color w:val="808080" w:themeColor="background1" w:themeShade="80"/>
        </w:rPr>
        <w:footnoteReference w:id="187"/>
      </w:r>
      <w:r w:rsidR="00B03FDE" w:rsidRPr="004D79C1">
        <w:rPr>
          <w:rFonts w:ascii="Arial" w:hAnsi="Arial" w:cs="Arial"/>
          <w:color w:val="808080" w:themeColor="background1" w:themeShade="80"/>
        </w:rPr>
        <w:t xml:space="preserve"> </w:t>
      </w:r>
      <w:r w:rsidRPr="004D79C1">
        <w:rPr>
          <w:rFonts w:ascii="Arial" w:hAnsi="Arial" w:cs="Arial"/>
          <w:color w:val="808080" w:themeColor="background1" w:themeShade="80"/>
        </w:rPr>
        <w:t>Once Speculation proposes the plan, there will be a further 60 days for creditors (taking the exclusivity period to 180 days), including the broker, to consider the plan</w:t>
      </w:r>
      <w:r w:rsidR="00B03FDE" w:rsidRPr="004D79C1">
        <w:rPr>
          <w:rStyle w:val="FootnoteReference"/>
          <w:rFonts w:ascii="Arial" w:hAnsi="Arial" w:cs="Arial"/>
          <w:color w:val="808080" w:themeColor="background1" w:themeShade="80"/>
        </w:rPr>
        <w:footnoteReference w:id="188"/>
      </w:r>
      <w:r w:rsidRPr="004D79C1">
        <w:rPr>
          <w:rFonts w:ascii="Arial" w:hAnsi="Arial" w:cs="Arial"/>
          <w:color w:val="808080" w:themeColor="background1" w:themeShade="80"/>
        </w:rPr>
        <w:t>. Speculation's plan must provide "adequate information"</w:t>
      </w:r>
      <w:r w:rsidR="00B03FDE" w:rsidRPr="004D79C1">
        <w:rPr>
          <w:rStyle w:val="FootnoteReference"/>
          <w:rFonts w:ascii="Arial" w:hAnsi="Arial" w:cs="Arial"/>
          <w:color w:val="808080" w:themeColor="background1" w:themeShade="80"/>
        </w:rPr>
        <w:footnoteReference w:id="189"/>
      </w:r>
      <w:r w:rsidRPr="004D79C1">
        <w:rPr>
          <w:rFonts w:ascii="Arial" w:hAnsi="Arial" w:cs="Arial"/>
          <w:color w:val="808080" w:themeColor="background1" w:themeShade="80"/>
        </w:rPr>
        <w:t xml:space="preserve"> in the disclosure statement which would assist creditors in making an informed judgment about the plan.</w:t>
      </w:r>
    </w:p>
    <w:p w14:paraId="27238856" w14:textId="77777777" w:rsidR="00B03FDE" w:rsidRPr="004D79C1" w:rsidRDefault="00B03FDE" w:rsidP="00B03FDE">
      <w:pPr>
        <w:pStyle w:val="AODocTxt"/>
        <w:spacing w:before="0" w:line="240" w:lineRule="auto"/>
        <w:ind w:left="624"/>
        <w:rPr>
          <w:rFonts w:ascii="Arial" w:hAnsi="Arial" w:cs="Arial"/>
          <w:color w:val="808080" w:themeColor="background1" w:themeShade="80"/>
        </w:rPr>
      </w:pPr>
    </w:p>
    <w:p w14:paraId="2545CAAF" w14:textId="3B8ACD1D" w:rsidR="00B03FDE" w:rsidRPr="004D79C1" w:rsidRDefault="00FC56DE" w:rsidP="00B03FDE">
      <w:pPr>
        <w:pStyle w:val="AODocTxt"/>
        <w:spacing w:before="0" w:line="240" w:lineRule="auto"/>
        <w:ind w:left="624"/>
        <w:rPr>
          <w:rFonts w:ascii="Arial" w:hAnsi="Arial" w:cs="Arial"/>
          <w:color w:val="808080" w:themeColor="background1" w:themeShade="80"/>
        </w:rPr>
      </w:pPr>
      <w:r w:rsidRPr="004D79C1">
        <w:rPr>
          <w:rFonts w:ascii="Arial" w:hAnsi="Arial" w:cs="Arial"/>
          <w:color w:val="808080" w:themeColor="background1" w:themeShade="80"/>
        </w:rPr>
        <w:t xml:space="preserve">If Speculation does not file a </w:t>
      </w:r>
      <w:proofErr w:type="spellStart"/>
      <w:r w:rsidRPr="004D79C1">
        <w:rPr>
          <w:rFonts w:ascii="Arial" w:hAnsi="Arial" w:cs="Arial"/>
          <w:color w:val="808080" w:themeColor="background1" w:themeShade="80"/>
        </w:rPr>
        <w:t>reorganisation</w:t>
      </w:r>
      <w:proofErr w:type="spellEnd"/>
      <w:r w:rsidRPr="004D79C1">
        <w:rPr>
          <w:rFonts w:ascii="Arial" w:hAnsi="Arial" w:cs="Arial"/>
          <w:color w:val="808080" w:themeColor="background1" w:themeShade="80"/>
        </w:rPr>
        <w:t xml:space="preserve"> plan within 120 days after the date of the petition</w:t>
      </w:r>
      <w:r w:rsidR="00B03FDE" w:rsidRPr="004D79C1">
        <w:rPr>
          <w:rStyle w:val="FootnoteReference"/>
          <w:rFonts w:ascii="Arial" w:hAnsi="Arial" w:cs="Arial"/>
          <w:color w:val="808080" w:themeColor="background1" w:themeShade="80"/>
        </w:rPr>
        <w:footnoteReference w:id="190"/>
      </w:r>
      <w:r w:rsidRPr="004D79C1">
        <w:rPr>
          <w:rFonts w:ascii="Arial" w:hAnsi="Arial" w:cs="Arial"/>
          <w:color w:val="808080" w:themeColor="background1" w:themeShade="80"/>
        </w:rPr>
        <w:t xml:space="preserve"> or if such a plan is proposed but is not accepted within the 180 day </w:t>
      </w:r>
      <w:r w:rsidRPr="004D79C1">
        <w:rPr>
          <w:rFonts w:ascii="Arial" w:hAnsi="Arial" w:cs="Arial"/>
          <w:color w:val="808080" w:themeColor="background1" w:themeShade="80"/>
        </w:rPr>
        <w:lastRenderedPageBreak/>
        <w:t>exclusivity period</w:t>
      </w:r>
      <w:r w:rsidR="00B03FDE" w:rsidRPr="004D79C1">
        <w:rPr>
          <w:rStyle w:val="FootnoteReference"/>
          <w:rFonts w:ascii="Arial" w:hAnsi="Arial" w:cs="Arial"/>
          <w:color w:val="808080" w:themeColor="background1" w:themeShade="80"/>
        </w:rPr>
        <w:footnoteReference w:id="191"/>
      </w:r>
      <w:r w:rsidRPr="004D79C1">
        <w:rPr>
          <w:rFonts w:ascii="Arial" w:hAnsi="Arial" w:cs="Arial"/>
          <w:color w:val="808080" w:themeColor="background1" w:themeShade="80"/>
        </w:rPr>
        <w:t>, the broker</w:t>
      </w:r>
      <w:r w:rsidR="00EC6BB3">
        <w:rPr>
          <w:rFonts w:ascii="Arial" w:hAnsi="Arial" w:cs="Arial"/>
          <w:color w:val="808080" w:themeColor="background1" w:themeShade="80"/>
        </w:rPr>
        <w:t xml:space="preserve"> (</w:t>
      </w:r>
      <w:r w:rsidRPr="004D79C1">
        <w:rPr>
          <w:rFonts w:ascii="Arial" w:hAnsi="Arial" w:cs="Arial"/>
          <w:color w:val="808080" w:themeColor="background1" w:themeShade="80"/>
        </w:rPr>
        <w:t>as a creditor</w:t>
      </w:r>
      <w:r w:rsidR="00EC6BB3">
        <w:rPr>
          <w:rFonts w:ascii="Arial" w:hAnsi="Arial" w:cs="Arial"/>
          <w:color w:val="808080" w:themeColor="background1" w:themeShade="80"/>
        </w:rPr>
        <w:t>)</w:t>
      </w:r>
      <w:r w:rsidRPr="004D79C1">
        <w:rPr>
          <w:rFonts w:ascii="Arial" w:hAnsi="Arial" w:cs="Arial"/>
          <w:color w:val="808080" w:themeColor="background1" w:themeShade="80"/>
        </w:rPr>
        <w:t xml:space="preserve"> may propose a </w:t>
      </w:r>
      <w:proofErr w:type="spellStart"/>
      <w:r w:rsidRPr="004D79C1">
        <w:rPr>
          <w:rFonts w:ascii="Arial" w:hAnsi="Arial" w:cs="Arial"/>
          <w:color w:val="808080" w:themeColor="background1" w:themeShade="80"/>
        </w:rPr>
        <w:t>reorganisation</w:t>
      </w:r>
      <w:proofErr w:type="spellEnd"/>
      <w:r w:rsidRPr="004D79C1">
        <w:rPr>
          <w:rFonts w:ascii="Arial" w:hAnsi="Arial" w:cs="Arial"/>
          <w:color w:val="808080" w:themeColor="background1" w:themeShade="80"/>
        </w:rPr>
        <w:t xml:space="preserve"> plan (without Speculation's agreement) after the exclusivity period terminates.</w:t>
      </w:r>
      <w:r w:rsidR="00B03FDE" w:rsidRPr="004D79C1">
        <w:rPr>
          <w:rStyle w:val="FootnoteReference"/>
          <w:rFonts w:ascii="Arial" w:hAnsi="Arial" w:cs="Arial"/>
          <w:color w:val="808080" w:themeColor="background1" w:themeShade="80"/>
        </w:rPr>
        <w:footnoteReference w:id="192"/>
      </w:r>
      <w:r w:rsidRPr="004D79C1">
        <w:rPr>
          <w:rFonts w:ascii="Arial" w:hAnsi="Arial" w:cs="Arial"/>
          <w:color w:val="808080" w:themeColor="background1" w:themeShade="80"/>
        </w:rPr>
        <w:t xml:space="preserve"> Similar to a debtor proposed plan, the broker's </w:t>
      </w:r>
      <w:r w:rsidR="00183A49" w:rsidRPr="004D79C1">
        <w:rPr>
          <w:rFonts w:ascii="Arial" w:hAnsi="Arial" w:cs="Arial"/>
          <w:color w:val="808080" w:themeColor="background1" w:themeShade="80"/>
        </w:rPr>
        <w:t xml:space="preserve">proposed </w:t>
      </w:r>
      <w:r w:rsidRPr="004D79C1">
        <w:rPr>
          <w:rFonts w:ascii="Arial" w:hAnsi="Arial" w:cs="Arial"/>
          <w:color w:val="808080" w:themeColor="background1" w:themeShade="80"/>
        </w:rPr>
        <w:t>plan must also provide "adequate information" to assist creditors in determining how they will vote on a proposed plan</w:t>
      </w:r>
      <w:r w:rsidR="00B03FDE" w:rsidRPr="004D79C1">
        <w:rPr>
          <w:rStyle w:val="FootnoteReference"/>
          <w:rFonts w:ascii="Arial" w:hAnsi="Arial" w:cs="Arial"/>
          <w:color w:val="808080" w:themeColor="background1" w:themeShade="80"/>
        </w:rPr>
        <w:footnoteReference w:id="193"/>
      </w:r>
      <w:r w:rsidR="00B03FDE" w:rsidRPr="004D79C1">
        <w:rPr>
          <w:rFonts w:ascii="Arial" w:hAnsi="Arial" w:cs="Arial"/>
          <w:color w:val="808080" w:themeColor="background1" w:themeShade="80"/>
        </w:rPr>
        <w:t>.</w:t>
      </w:r>
    </w:p>
    <w:p w14:paraId="4430DF23" w14:textId="77777777" w:rsidR="00B03FDE" w:rsidRPr="004D79C1" w:rsidRDefault="00B03FDE" w:rsidP="00B03FDE">
      <w:pPr>
        <w:pStyle w:val="AODocTxt"/>
        <w:spacing w:before="0" w:line="240" w:lineRule="auto"/>
        <w:ind w:left="624"/>
        <w:rPr>
          <w:rFonts w:ascii="Arial" w:hAnsi="Arial" w:cs="Arial"/>
          <w:color w:val="808080" w:themeColor="background1" w:themeShade="80"/>
        </w:rPr>
      </w:pPr>
    </w:p>
    <w:p w14:paraId="50104A74" w14:textId="448E8E27" w:rsidR="00B03FDE" w:rsidRPr="004D79C1" w:rsidRDefault="00FC56DE" w:rsidP="00B03FDE">
      <w:pPr>
        <w:pStyle w:val="AODocTxt"/>
        <w:spacing w:before="0" w:line="240" w:lineRule="auto"/>
        <w:ind w:left="624"/>
        <w:rPr>
          <w:rFonts w:ascii="Arial" w:hAnsi="Arial" w:cs="Arial"/>
          <w:color w:val="808080" w:themeColor="background1" w:themeShade="80"/>
        </w:rPr>
      </w:pPr>
      <w:r w:rsidRPr="004D79C1">
        <w:rPr>
          <w:rFonts w:ascii="Arial" w:hAnsi="Arial" w:cs="Arial"/>
          <w:color w:val="808080" w:themeColor="background1" w:themeShade="80"/>
        </w:rPr>
        <w:t xml:space="preserve">After the disclosure statement to accompany the proposed </w:t>
      </w:r>
      <w:proofErr w:type="spellStart"/>
      <w:r w:rsidRPr="004D79C1">
        <w:rPr>
          <w:rFonts w:ascii="Arial" w:hAnsi="Arial" w:cs="Arial"/>
          <w:color w:val="808080" w:themeColor="background1" w:themeShade="80"/>
        </w:rPr>
        <w:t>reorganisation</w:t>
      </w:r>
      <w:proofErr w:type="spellEnd"/>
      <w:r w:rsidRPr="004D79C1">
        <w:rPr>
          <w:rFonts w:ascii="Arial" w:hAnsi="Arial" w:cs="Arial"/>
          <w:color w:val="808080" w:themeColor="background1" w:themeShade="80"/>
        </w:rPr>
        <w:t xml:space="preserve"> plan has been approved by the court, the court will set </w:t>
      </w:r>
      <w:r w:rsidR="0029580B" w:rsidRPr="004D79C1">
        <w:rPr>
          <w:rFonts w:ascii="Arial" w:hAnsi="Arial" w:cs="Arial"/>
          <w:color w:val="808080" w:themeColor="background1" w:themeShade="80"/>
        </w:rPr>
        <w:t>a timeframe</w:t>
      </w:r>
      <w:r w:rsidRPr="004D79C1">
        <w:rPr>
          <w:rFonts w:ascii="Arial" w:hAnsi="Arial" w:cs="Arial"/>
          <w:color w:val="808080" w:themeColor="background1" w:themeShade="80"/>
        </w:rPr>
        <w:t xml:space="preserve"> for the creditors to vote on the plan</w:t>
      </w:r>
      <w:r w:rsidR="00B03FDE" w:rsidRPr="004D79C1">
        <w:rPr>
          <w:rStyle w:val="FootnoteReference"/>
          <w:rFonts w:ascii="Arial" w:hAnsi="Arial" w:cs="Arial"/>
          <w:color w:val="808080" w:themeColor="background1" w:themeShade="80"/>
        </w:rPr>
        <w:footnoteReference w:id="194"/>
      </w:r>
      <w:r w:rsidRPr="004D79C1">
        <w:rPr>
          <w:rFonts w:ascii="Arial" w:hAnsi="Arial" w:cs="Arial"/>
          <w:color w:val="808080" w:themeColor="background1" w:themeShade="80"/>
        </w:rPr>
        <w:t xml:space="preserve">. The plan will be approved by a class of creditors if a simple majority of the creditors in the class (who hold at least two-thirds of the value of the claims in the class), vote in </w:t>
      </w:r>
      <w:proofErr w:type="spellStart"/>
      <w:r w:rsidRPr="004D79C1">
        <w:rPr>
          <w:rFonts w:ascii="Arial" w:hAnsi="Arial" w:cs="Arial"/>
          <w:color w:val="808080" w:themeColor="background1" w:themeShade="80"/>
        </w:rPr>
        <w:t>favour</w:t>
      </w:r>
      <w:proofErr w:type="spellEnd"/>
      <w:r w:rsidR="00B03FDE" w:rsidRPr="004D79C1">
        <w:rPr>
          <w:rStyle w:val="FootnoteReference"/>
          <w:rFonts w:ascii="Arial" w:hAnsi="Arial" w:cs="Arial"/>
          <w:color w:val="808080" w:themeColor="background1" w:themeShade="80"/>
        </w:rPr>
        <w:footnoteReference w:id="195"/>
      </w:r>
      <w:r w:rsidRPr="004D79C1">
        <w:rPr>
          <w:rFonts w:ascii="Arial" w:hAnsi="Arial" w:cs="Arial"/>
          <w:color w:val="808080" w:themeColor="background1" w:themeShade="80"/>
        </w:rPr>
        <w:t>. If the plan is accepted by creditors, the court must determine whether to confirm the plan</w:t>
      </w:r>
      <w:r w:rsidR="00B03FDE" w:rsidRPr="004D79C1">
        <w:rPr>
          <w:rStyle w:val="FootnoteReference"/>
          <w:rFonts w:ascii="Arial" w:hAnsi="Arial" w:cs="Arial"/>
          <w:color w:val="808080" w:themeColor="background1" w:themeShade="80"/>
        </w:rPr>
        <w:footnoteReference w:id="196"/>
      </w:r>
      <w:r w:rsidRPr="004D79C1">
        <w:rPr>
          <w:rFonts w:ascii="Arial" w:hAnsi="Arial" w:cs="Arial"/>
          <w:color w:val="808080" w:themeColor="background1" w:themeShade="80"/>
        </w:rPr>
        <w:t>.</w:t>
      </w:r>
    </w:p>
    <w:p w14:paraId="19019A2D" w14:textId="77777777" w:rsidR="00B03FDE" w:rsidRPr="004D79C1" w:rsidRDefault="00B03FDE" w:rsidP="0029580B">
      <w:pPr>
        <w:pStyle w:val="AODocTxt"/>
        <w:spacing w:before="0" w:line="240" w:lineRule="auto"/>
        <w:rPr>
          <w:rFonts w:ascii="Arial" w:hAnsi="Arial" w:cs="Arial"/>
          <w:color w:val="808080" w:themeColor="background1" w:themeShade="80"/>
        </w:rPr>
      </w:pPr>
    </w:p>
    <w:p w14:paraId="594ECB2C" w14:textId="0815F23D" w:rsidR="00FC56DE" w:rsidRPr="004D79C1" w:rsidRDefault="00EC6BB3" w:rsidP="00B03FDE">
      <w:pPr>
        <w:pStyle w:val="AODocTxt"/>
        <w:spacing w:before="0" w:line="240" w:lineRule="auto"/>
        <w:ind w:left="624"/>
        <w:rPr>
          <w:rFonts w:ascii="Arial" w:hAnsi="Arial" w:cs="Arial"/>
          <w:color w:val="808080" w:themeColor="background1" w:themeShade="80"/>
        </w:rPr>
      </w:pPr>
      <w:r>
        <w:rPr>
          <w:rFonts w:ascii="Arial" w:hAnsi="Arial" w:cs="Arial"/>
          <w:color w:val="808080" w:themeColor="background1" w:themeShade="80"/>
        </w:rPr>
        <w:t>W</w:t>
      </w:r>
      <w:r w:rsidR="00FC56DE" w:rsidRPr="004D79C1">
        <w:rPr>
          <w:rFonts w:ascii="Arial" w:hAnsi="Arial" w:cs="Arial"/>
          <w:color w:val="808080" w:themeColor="background1" w:themeShade="80"/>
        </w:rPr>
        <w:t xml:space="preserve">e are informed that Speculation funded its trading through a margin loan from its broker. However, it is not known </w:t>
      </w:r>
      <w:r w:rsidR="0029580B" w:rsidRPr="004D79C1">
        <w:rPr>
          <w:rFonts w:ascii="Arial" w:hAnsi="Arial" w:cs="Arial"/>
          <w:color w:val="808080" w:themeColor="background1" w:themeShade="80"/>
        </w:rPr>
        <w:t xml:space="preserve">what </w:t>
      </w:r>
      <w:proofErr w:type="gramStart"/>
      <w:r w:rsidR="0029580B" w:rsidRPr="004D79C1">
        <w:rPr>
          <w:rFonts w:ascii="Arial" w:hAnsi="Arial" w:cs="Arial"/>
          <w:color w:val="808080" w:themeColor="background1" w:themeShade="80"/>
        </w:rPr>
        <w:t xml:space="preserve">is </w:t>
      </w:r>
      <w:r w:rsidR="00FC56DE" w:rsidRPr="004D79C1">
        <w:rPr>
          <w:rFonts w:ascii="Arial" w:hAnsi="Arial" w:cs="Arial"/>
          <w:color w:val="808080" w:themeColor="background1" w:themeShade="80"/>
        </w:rPr>
        <w:t>the value of its claim</w:t>
      </w:r>
      <w:proofErr w:type="gramEnd"/>
      <w:r w:rsidR="00FC56DE" w:rsidRPr="004D79C1">
        <w:rPr>
          <w:rFonts w:ascii="Arial" w:hAnsi="Arial" w:cs="Arial"/>
          <w:color w:val="808080" w:themeColor="background1" w:themeShade="80"/>
        </w:rPr>
        <w:t xml:space="preserve"> and whether it will be designated as an unimpaired or impaired</w:t>
      </w:r>
      <w:r w:rsidR="00B03FDE" w:rsidRPr="004D79C1">
        <w:rPr>
          <w:rStyle w:val="FootnoteReference"/>
          <w:rFonts w:ascii="Arial" w:hAnsi="Arial" w:cs="Arial"/>
          <w:color w:val="808080" w:themeColor="background1" w:themeShade="80"/>
        </w:rPr>
        <w:footnoteReference w:id="197"/>
      </w:r>
      <w:r w:rsidR="00FC56DE" w:rsidRPr="004D79C1">
        <w:rPr>
          <w:rFonts w:ascii="Arial" w:hAnsi="Arial" w:cs="Arial"/>
          <w:color w:val="808080" w:themeColor="background1" w:themeShade="80"/>
        </w:rPr>
        <w:t xml:space="preserve"> class of creditor for the purpose of the right to vote on any plan proposed.</w:t>
      </w:r>
    </w:p>
    <w:p w14:paraId="462540E0" w14:textId="77777777" w:rsidR="00FC56DE" w:rsidRPr="004D79C1" w:rsidRDefault="00FC56DE" w:rsidP="00F0266D">
      <w:pPr>
        <w:pStyle w:val="AODocTxt"/>
        <w:spacing w:before="0" w:line="240" w:lineRule="auto"/>
        <w:rPr>
          <w:rFonts w:ascii="Arial" w:hAnsi="Arial" w:cs="Arial"/>
          <w:color w:val="808080" w:themeColor="background1" w:themeShade="80"/>
        </w:rPr>
      </w:pPr>
    </w:p>
    <w:p w14:paraId="3EA5505D" w14:textId="66C8DF6A" w:rsidR="00F0266D" w:rsidRPr="004D79C1" w:rsidRDefault="00840634" w:rsidP="00F0266D">
      <w:pPr>
        <w:pStyle w:val="AODocTxt"/>
        <w:numPr>
          <w:ilvl w:val="0"/>
          <w:numId w:val="23"/>
        </w:numPr>
        <w:spacing w:before="0" w:line="240" w:lineRule="auto"/>
        <w:ind w:left="624" w:hanging="454"/>
        <w:rPr>
          <w:rFonts w:ascii="Arial" w:hAnsi="Arial" w:cs="Arial"/>
          <w:color w:val="808080" w:themeColor="background1" w:themeShade="80"/>
        </w:rPr>
      </w:pPr>
      <w:r w:rsidRPr="004D79C1">
        <w:rPr>
          <w:rFonts w:ascii="Arial" w:hAnsi="Arial" w:cs="Arial"/>
          <w:color w:val="808080"/>
        </w:rPr>
        <w:t xml:space="preserve">The delinquent lease may entitle the lessor </w:t>
      </w:r>
      <w:r w:rsidR="00964083" w:rsidRPr="004D79C1">
        <w:rPr>
          <w:rFonts w:ascii="Arial" w:hAnsi="Arial" w:cs="Arial"/>
          <w:color w:val="808080"/>
        </w:rPr>
        <w:t xml:space="preserve">of </w:t>
      </w:r>
      <w:r w:rsidR="007419FC" w:rsidRPr="004D79C1">
        <w:rPr>
          <w:rFonts w:ascii="Arial" w:hAnsi="Arial" w:cs="Arial"/>
          <w:color w:val="808080"/>
        </w:rPr>
        <w:t>Speculation</w:t>
      </w:r>
      <w:r w:rsidR="00964083" w:rsidRPr="004D79C1">
        <w:rPr>
          <w:rFonts w:ascii="Arial" w:hAnsi="Arial" w:cs="Arial"/>
          <w:color w:val="808080"/>
        </w:rPr>
        <w:t xml:space="preserve"> </w:t>
      </w:r>
      <w:r w:rsidRPr="004D79C1">
        <w:rPr>
          <w:rFonts w:ascii="Arial" w:hAnsi="Arial" w:cs="Arial"/>
          <w:color w:val="808080"/>
        </w:rPr>
        <w:t xml:space="preserve">to lift </w:t>
      </w:r>
      <w:r w:rsidR="007419FC" w:rsidRPr="004D79C1">
        <w:rPr>
          <w:rFonts w:ascii="Arial" w:hAnsi="Arial" w:cs="Arial"/>
          <w:color w:val="808080"/>
        </w:rPr>
        <w:t>any</w:t>
      </w:r>
      <w:r w:rsidRPr="004D79C1">
        <w:rPr>
          <w:rFonts w:ascii="Arial" w:hAnsi="Arial" w:cs="Arial"/>
          <w:color w:val="808080"/>
        </w:rPr>
        <w:t xml:space="preserve"> automatic stay. The automatic stay may be lifted</w:t>
      </w:r>
      <w:r w:rsidR="00B870F4" w:rsidRPr="004D79C1">
        <w:rPr>
          <w:rFonts w:ascii="Arial" w:hAnsi="Arial" w:cs="Arial"/>
          <w:color w:val="808080"/>
        </w:rPr>
        <w:t xml:space="preserve"> on creditor request which would “</w:t>
      </w:r>
      <w:r w:rsidR="00B870F4" w:rsidRPr="004D79C1">
        <w:rPr>
          <w:rFonts w:ascii="Arial" w:hAnsi="Arial" w:cs="Arial"/>
          <w:i/>
          <w:iCs/>
          <w:color w:val="808080"/>
        </w:rPr>
        <w:t>permit otherwise prohibited creditor actions in certain circumstances</w:t>
      </w:r>
      <w:r w:rsidR="00B870F4" w:rsidRPr="004D79C1">
        <w:rPr>
          <w:rFonts w:ascii="Arial" w:hAnsi="Arial" w:cs="Arial"/>
          <w:color w:val="808080"/>
        </w:rPr>
        <w:t>.”</w:t>
      </w:r>
      <w:r w:rsidR="00B870F4" w:rsidRPr="004D79C1">
        <w:rPr>
          <w:rStyle w:val="FootnoteReference"/>
          <w:rFonts w:ascii="Arial" w:hAnsi="Arial" w:cs="Arial"/>
          <w:color w:val="808080"/>
        </w:rPr>
        <w:footnoteReference w:id="198"/>
      </w:r>
      <w:r w:rsidR="00F64885" w:rsidRPr="004D79C1">
        <w:rPr>
          <w:rFonts w:ascii="Arial" w:hAnsi="Arial" w:cs="Arial"/>
          <w:color w:val="808080"/>
        </w:rPr>
        <w:t xml:space="preserve"> Section</w:t>
      </w:r>
      <w:r w:rsidRPr="004D79C1">
        <w:rPr>
          <w:rFonts w:ascii="Arial" w:hAnsi="Arial" w:cs="Arial"/>
          <w:color w:val="808080"/>
        </w:rPr>
        <w:t xml:space="preserve"> 362(d) states that the court can terminate</w:t>
      </w:r>
      <w:r w:rsidR="00F64885" w:rsidRPr="004D79C1">
        <w:rPr>
          <w:rFonts w:ascii="Arial" w:hAnsi="Arial" w:cs="Arial"/>
          <w:color w:val="808080"/>
        </w:rPr>
        <w:t xml:space="preserve">, annul, </w:t>
      </w:r>
      <w:proofErr w:type="gramStart"/>
      <w:r w:rsidR="00F64885" w:rsidRPr="004D79C1">
        <w:rPr>
          <w:rFonts w:ascii="Arial" w:hAnsi="Arial" w:cs="Arial"/>
          <w:color w:val="808080"/>
        </w:rPr>
        <w:t>modify</w:t>
      </w:r>
      <w:proofErr w:type="gramEnd"/>
      <w:r w:rsidR="00F64885" w:rsidRPr="004D79C1">
        <w:rPr>
          <w:rFonts w:ascii="Arial" w:hAnsi="Arial" w:cs="Arial"/>
          <w:color w:val="808080"/>
        </w:rPr>
        <w:t xml:space="preserve"> or condition a stay (on the request of a party in interest and after notice and a hearing) if</w:t>
      </w:r>
      <w:r w:rsidR="005B6CB0" w:rsidRPr="004D79C1">
        <w:rPr>
          <w:rFonts w:ascii="Arial" w:hAnsi="Arial" w:cs="Arial"/>
          <w:color w:val="808080"/>
        </w:rPr>
        <w:t>:</w:t>
      </w:r>
    </w:p>
    <w:p w14:paraId="6708C970" w14:textId="77777777" w:rsidR="00F0266D" w:rsidRPr="004D79C1" w:rsidRDefault="00F0266D" w:rsidP="00F0266D">
      <w:pPr>
        <w:pStyle w:val="AODocTxt"/>
        <w:numPr>
          <w:ilvl w:val="0"/>
          <w:numId w:val="25"/>
        </w:numPr>
        <w:spacing w:before="0" w:line="240" w:lineRule="auto"/>
        <w:rPr>
          <w:rFonts w:ascii="Arial" w:hAnsi="Arial" w:cs="Arial"/>
          <w:color w:val="808080" w:themeColor="background1" w:themeShade="80"/>
        </w:rPr>
      </w:pPr>
      <w:r w:rsidRPr="004D79C1">
        <w:rPr>
          <w:rFonts w:ascii="Arial" w:hAnsi="Arial" w:cs="Arial"/>
          <w:color w:val="808080"/>
        </w:rPr>
        <w:t>there is a “</w:t>
      </w:r>
      <w:r w:rsidRPr="004D79C1">
        <w:rPr>
          <w:rFonts w:ascii="Arial" w:hAnsi="Arial" w:cs="Arial"/>
          <w:i/>
          <w:iCs/>
          <w:color w:val="808080"/>
        </w:rPr>
        <w:t>lack of adequate protection of an interest in property of such party in interest</w:t>
      </w:r>
      <w:r w:rsidRPr="004D79C1">
        <w:rPr>
          <w:rFonts w:ascii="Arial" w:hAnsi="Arial" w:cs="Arial"/>
          <w:color w:val="808080"/>
        </w:rPr>
        <w:t>”</w:t>
      </w:r>
      <w:r w:rsidRPr="004D79C1">
        <w:rPr>
          <w:rStyle w:val="FootnoteReference"/>
          <w:rFonts w:ascii="Arial" w:hAnsi="Arial" w:cs="Arial"/>
          <w:color w:val="808080"/>
        </w:rPr>
        <w:footnoteReference w:id="199"/>
      </w:r>
      <w:r w:rsidRPr="004D79C1">
        <w:rPr>
          <w:rFonts w:ascii="Arial" w:hAnsi="Arial" w:cs="Arial"/>
          <w:color w:val="808080"/>
        </w:rPr>
        <w:t>; or</w:t>
      </w:r>
    </w:p>
    <w:p w14:paraId="5724BCBB" w14:textId="77777777" w:rsidR="00F0266D" w:rsidRPr="004D79C1" w:rsidRDefault="00F0266D" w:rsidP="00F0266D">
      <w:pPr>
        <w:pStyle w:val="AODocTxt"/>
        <w:numPr>
          <w:ilvl w:val="0"/>
          <w:numId w:val="25"/>
        </w:numPr>
        <w:spacing w:before="0" w:line="240" w:lineRule="auto"/>
        <w:rPr>
          <w:rFonts w:ascii="Arial" w:hAnsi="Arial" w:cs="Arial"/>
          <w:color w:val="808080" w:themeColor="background1" w:themeShade="80"/>
        </w:rPr>
      </w:pPr>
      <w:r w:rsidRPr="004D79C1">
        <w:rPr>
          <w:rFonts w:ascii="Arial" w:hAnsi="Arial" w:cs="Arial"/>
          <w:color w:val="808080"/>
        </w:rPr>
        <w:t>“</w:t>
      </w:r>
      <w:proofErr w:type="gramStart"/>
      <w:r w:rsidRPr="004D79C1">
        <w:rPr>
          <w:rFonts w:ascii="Arial" w:hAnsi="Arial" w:cs="Arial"/>
          <w:i/>
          <w:iCs/>
          <w:color w:val="808080"/>
        </w:rPr>
        <w:t>the</w:t>
      </w:r>
      <w:proofErr w:type="gramEnd"/>
      <w:r w:rsidRPr="004D79C1">
        <w:rPr>
          <w:rFonts w:ascii="Arial" w:hAnsi="Arial" w:cs="Arial"/>
          <w:i/>
          <w:iCs/>
          <w:color w:val="808080"/>
        </w:rPr>
        <w:t xml:space="preserve"> debtor does not have an equity in such property and such property is not necessary to an effective reorganization</w:t>
      </w:r>
      <w:r w:rsidRPr="004D79C1">
        <w:rPr>
          <w:rFonts w:ascii="Arial" w:hAnsi="Arial" w:cs="Arial"/>
          <w:color w:val="808080"/>
        </w:rPr>
        <w:t>”</w:t>
      </w:r>
      <w:r w:rsidRPr="004D79C1">
        <w:rPr>
          <w:rStyle w:val="FootnoteReference"/>
          <w:rFonts w:ascii="Arial" w:hAnsi="Arial" w:cs="Arial"/>
          <w:color w:val="808080"/>
        </w:rPr>
        <w:footnoteReference w:id="200"/>
      </w:r>
      <w:r w:rsidRPr="004D79C1">
        <w:rPr>
          <w:rFonts w:ascii="Arial" w:hAnsi="Arial" w:cs="Arial"/>
          <w:color w:val="808080"/>
        </w:rPr>
        <w:t>.</w:t>
      </w:r>
    </w:p>
    <w:p w14:paraId="3769331E" w14:textId="77777777" w:rsidR="00F0266D" w:rsidRPr="004D79C1" w:rsidRDefault="00F0266D" w:rsidP="00F0266D">
      <w:pPr>
        <w:pStyle w:val="AODocTxt"/>
        <w:spacing w:before="0" w:line="240" w:lineRule="auto"/>
        <w:rPr>
          <w:rFonts w:ascii="Arial" w:hAnsi="Arial" w:cs="Arial"/>
          <w:color w:val="808080" w:themeColor="background1" w:themeShade="80"/>
        </w:rPr>
      </w:pPr>
    </w:p>
    <w:p w14:paraId="59DACFED" w14:textId="4C016F67" w:rsidR="00F0266D" w:rsidRPr="004D79C1" w:rsidRDefault="00F0266D" w:rsidP="003B4145">
      <w:pPr>
        <w:pStyle w:val="AODocTxt"/>
        <w:spacing w:before="0" w:line="240" w:lineRule="auto"/>
        <w:ind w:left="624"/>
        <w:rPr>
          <w:rFonts w:ascii="Arial" w:hAnsi="Arial" w:cs="Arial"/>
          <w:color w:val="808080"/>
        </w:rPr>
      </w:pPr>
      <w:r w:rsidRPr="004D79C1">
        <w:rPr>
          <w:rFonts w:ascii="Arial" w:hAnsi="Arial" w:cs="Arial"/>
          <w:color w:val="808080"/>
        </w:rPr>
        <w:t xml:space="preserve">Applying section 362(d)(1), </w:t>
      </w:r>
      <w:r w:rsidR="00CA7A7A" w:rsidRPr="004D79C1">
        <w:rPr>
          <w:rFonts w:ascii="Arial" w:hAnsi="Arial" w:cs="Arial"/>
          <w:color w:val="808080"/>
        </w:rPr>
        <w:t>Speculation’s</w:t>
      </w:r>
      <w:r w:rsidRPr="004D79C1">
        <w:rPr>
          <w:rFonts w:ascii="Arial" w:hAnsi="Arial" w:cs="Arial"/>
          <w:color w:val="808080"/>
        </w:rPr>
        <w:t xml:space="preserve"> lessor can apply for relief from the stay if the value of the property may decline </w:t>
      </w:r>
      <w:proofErr w:type="gramStart"/>
      <w:r w:rsidRPr="004D79C1">
        <w:rPr>
          <w:rFonts w:ascii="Arial" w:hAnsi="Arial" w:cs="Arial"/>
          <w:color w:val="808080"/>
        </w:rPr>
        <w:t>during the course of</w:t>
      </w:r>
      <w:proofErr w:type="gramEnd"/>
      <w:r w:rsidRPr="004D79C1">
        <w:rPr>
          <w:rFonts w:ascii="Arial" w:hAnsi="Arial" w:cs="Arial"/>
          <w:color w:val="808080"/>
        </w:rPr>
        <w:t xml:space="preserve"> the Chapter 11 proceedings and result in Speculation’s lessor making less than a full recovery of the debts due to it</w:t>
      </w:r>
      <w:r w:rsidRPr="004D79C1">
        <w:rPr>
          <w:rStyle w:val="FootnoteReference"/>
          <w:rFonts w:ascii="Arial" w:hAnsi="Arial" w:cs="Arial"/>
          <w:color w:val="808080"/>
        </w:rPr>
        <w:footnoteReference w:id="201"/>
      </w:r>
      <w:r w:rsidRPr="004D79C1">
        <w:rPr>
          <w:rFonts w:ascii="Arial" w:hAnsi="Arial" w:cs="Arial"/>
          <w:color w:val="808080"/>
        </w:rPr>
        <w:t xml:space="preserve">. From the fact pattern, </w:t>
      </w:r>
      <w:r w:rsidR="003B4145" w:rsidRPr="004D79C1">
        <w:rPr>
          <w:rFonts w:ascii="Arial" w:hAnsi="Arial" w:cs="Arial"/>
          <w:color w:val="808080"/>
        </w:rPr>
        <w:t>it is not known what the value</w:t>
      </w:r>
      <w:r w:rsidR="00D845A6" w:rsidRPr="004D79C1">
        <w:rPr>
          <w:rFonts w:ascii="Arial" w:hAnsi="Arial" w:cs="Arial"/>
          <w:color w:val="808080"/>
        </w:rPr>
        <w:t xml:space="preserve"> of the leased </w:t>
      </w:r>
      <w:r w:rsidR="003B4145" w:rsidRPr="004D79C1">
        <w:rPr>
          <w:rFonts w:ascii="Arial" w:hAnsi="Arial" w:cs="Arial"/>
          <w:color w:val="808080"/>
        </w:rPr>
        <w:t xml:space="preserve">office space is </w:t>
      </w:r>
      <w:r w:rsidR="00D845A6" w:rsidRPr="004D79C1">
        <w:rPr>
          <w:rFonts w:ascii="Arial" w:hAnsi="Arial" w:cs="Arial"/>
          <w:color w:val="808080"/>
        </w:rPr>
        <w:t xml:space="preserve">or </w:t>
      </w:r>
      <w:r w:rsidRPr="004D79C1">
        <w:rPr>
          <w:rFonts w:ascii="Arial" w:hAnsi="Arial" w:cs="Arial"/>
          <w:color w:val="808080"/>
        </w:rPr>
        <w:t xml:space="preserve">how much rent is due from Speculation to the lessor. </w:t>
      </w:r>
      <w:r w:rsidR="008A0175" w:rsidRPr="004D79C1">
        <w:rPr>
          <w:rFonts w:ascii="Arial" w:hAnsi="Arial" w:cs="Arial"/>
          <w:color w:val="808080"/>
        </w:rPr>
        <w:t xml:space="preserve">These </w:t>
      </w:r>
      <w:r w:rsidRPr="004D79C1">
        <w:rPr>
          <w:rFonts w:ascii="Arial" w:hAnsi="Arial" w:cs="Arial"/>
          <w:color w:val="808080"/>
        </w:rPr>
        <w:t>may require an assessment to determine whether there is adequate protection. Even if it is determined that there is a lack of adequate protection, Speculation</w:t>
      </w:r>
      <w:r w:rsidR="00C63EE6" w:rsidRPr="004D79C1">
        <w:rPr>
          <w:rFonts w:ascii="Arial" w:hAnsi="Arial" w:cs="Arial"/>
          <w:color w:val="808080"/>
        </w:rPr>
        <w:t xml:space="preserve"> (</w:t>
      </w:r>
      <w:r w:rsidRPr="004D79C1">
        <w:rPr>
          <w:rFonts w:ascii="Arial" w:hAnsi="Arial" w:cs="Arial"/>
          <w:color w:val="808080"/>
        </w:rPr>
        <w:t>as debtor</w:t>
      </w:r>
      <w:r w:rsidR="00C63EE6" w:rsidRPr="004D79C1">
        <w:rPr>
          <w:rFonts w:ascii="Arial" w:hAnsi="Arial" w:cs="Arial"/>
          <w:color w:val="808080"/>
        </w:rPr>
        <w:t>)</w:t>
      </w:r>
      <w:r w:rsidRPr="004D79C1">
        <w:rPr>
          <w:rFonts w:ascii="Arial" w:hAnsi="Arial" w:cs="Arial"/>
          <w:color w:val="808080"/>
        </w:rPr>
        <w:t xml:space="preserve"> may be able to avoid the stay being lifted. Speculation could provide adequate protection by, for example, making cash payment or periodic cash payments</w:t>
      </w:r>
      <w:r w:rsidR="00C63EE6" w:rsidRPr="004D79C1">
        <w:rPr>
          <w:rFonts w:ascii="Arial" w:hAnsi="Arial" w:cs="Arial"/>
          <w:color w:val="808080"/>
        </w:rPr>
        <w:t xml:space="preserve"> which results in a decrease of the value of the lessor’s interest in the property</w:t>
      </w:r>
      <w:r w:rsidRPr="004D79C1">
        <w:rPr>
          <w:rStyle w:val="FootnoteReference"/>
          <w:rFonts w:ascii="Arial" w:hAnsi="Arial" w:cs="Arial"/>
          <w:color w:val="808080"/>
        </w:rPr>
        <w:footnoteReference w:id="202"/>
      </w:r>
      <w:r w:rsidRPr="004D79C1">
        <w:rPr>
          <w:rFonts w:ascii="Arial" w:hAnsi="Arial" w:cs="Arial"/>
          <w:color w:val="808080"/>
        </w:rPr>
        <w:t>.</w:t>
      </w:r>
    </w:p>
    <w:p w14:paraId="163BF104" w14:textId="77777777" w:rsidR="00C63EE6" w:rsidRPr="004D79C1" w:rsidRDefault="00C63EE6" w:rsidP="00C63EE6">
      <w:pPr>
        <w:pStyle w:val="AODocTxt"/>
        <w:spacing w:before="0" w:line="240" w:lineRule="auto"/>
        <w:rPr>
          <w:rFonts w:ascii="Arial" w:hAnsi="Arial" w:cs="Arial"/>
          <w:color w:val="808080"/>
        </w:rPr>
      </w:pPr>
    </w:p>
    <w:p w14:paraId="34D67A57" w14:textId="471560C2" w:rsidR="00F0266D" w:rsidRPr="004D79C1" w:rsidRDefault="00F0266D" w:rsidP="00B95128">
      <w:pPr>
        <w:pStyle w:val="AODocTxt"/>
        <w:spacing w:before="0" w:line="240" w:lineRule="auto"/>
        <w:ind w:left="624"/>
        <w:rPr>
          <w:rFonts w:ascii="Arial" w:hAnsi="Arial" w:cs="Arial"/>
          <w:color w:val="808080"/>
        </w:rPr>
      </w:pPr>
      <w:r w:rsidRPr="004D79C1">
        <w:rPr>
          <w:rFonts w:ascii="Arial" w:hAnsi="Arial" w:cs="Arial"/>
          <w:color w:val="808080"/>
        </w:rPr>
        <w:t>A</w:t>
      </w:r>
      <w:r w:rsidR="005E0C44" w:rsidRPr="004D79C1">
        <w:rPr>
          <w:rFonts w:ascii="Arial" w:hAnsi="Arial" w:cs="Arial"/>
          <w:color w:val="808080"/>
        </w:rPr>
        <w:t xml:space="preserve">n alternative to section 362(d)(1) is section 362(d)(2). </w:t>
      </w:r>
      <w:r w:rsidR="003B4145" w:rsidRPr="004D79C1">
        <w:rPr>
          <w:rFonts w:ascii="Arial" w:hAnsi="Arial" w:cs="Arial"/>
          <w:color w:val="808080"/>
        </w:rPr>
        <w:t xml:space="preserve">From the fact pattern, </w:t>
      </w:r>
      <w:r w:rsidR="00B95128" w:rsidRPr="004D79C1">
        <w:rPr>
          <w:rFonts w:ascii="Arial" w:hAnsi="Arial" w:cs="Arial"/>
          <w:color w:val="808080"/>
        </w:rPr>
        <w:t>it is likely that</w:t>
      </w:r>
      <w:r w:rsidR="003B4145" w:rsidRPr="004D79C1">
        <w:rPr>
          <w:rFonts w:ascii="Arial" w:hAnsi="Arial" w:cs="Arial"/>
          <w:color w:val="808080"/>
        </w:rPr>
        <w:t xml:space="preserve"> </w:t>
      </w:r>
      <w:r w:rsidRPr="004D79C1">
        <w:rPr>
          <w:rFonts w:ascii="Arial" w:hAnsi="Arial" w:cs="Arial"/>
          <w:color w:val="808080"/>
        </w:rPr>
        <w:t>Speculatio</w:t>
      </w:r>
      <w:r w:rsidR="003B4145" w:rsidRPr="004D79C1">
        <w:rPr>
          <w:rFonts w:ascii="Arial" w:hAnsi="Arial" w:cs="Arial"/>
          <w:color w:val="808080"/>
        </w:rPr>
        <w:t xml:space="preserve">n </w:t>
      </w:r>
      <w:r w:rsidR="00B95128" w:rsidRPr="004D79C1">
        <w:rPr>
          <w:rFonts w:ascii="Arial" w:hAnsi="Arial" w:cs="Arial"/>
          <w:color w:val="808080"/>
        </w:rPr>
        <w:t xml:space="preserve">does </w:t>
      </w:r>
      <w:r w:rsidR="00B95128" w:rsidRPr="004D79C1">
        <w:rPr>
          <w:rFonts w:ascii="Arial" w:hAnsi="Arial" w:cs="Arial"/>
          <w:color w:val="808080"/>
          <w:u w:val="single"/>
        </w:rPr>
        <w:t>not</w:t>
      </w:r>
      <w:r w:rsidRPr="004D79C1">
        <w:rPr>
          <w:rFonts w:ascii="Arial" w:hAnsi="Arial" w:cs="Arial"/>
          <w:color w:val="808080"/>
        </w:rPr>
        <w:t xml:space="preserve"> </w:t>
      </w:r>
      <w:r w:rsidR="00B95128" w:rsidRPr="004D79C1">
        <w:rPr>
          <w:rFonts w:ascii="Arial" w:hAnsi="Arial" w:cs="Arial"/>
          <w:color w:val="808080"/>
        </w:rPr>
        <w:t xml:space="preserve">have </w:t>
      </w:r>
      <w:r w:rsidRPr="004D79C1">
        <w:rPr>
          <w:rFonts w:ascii="Arial" w:hAnsi="Arial" w:cs="Arial"/>
          <w:color w:val="808080"/>
        </w:rPr>
        <w:t xml:space="preserve">equity in the </w:t>
      </w:r>
      <w:r w:rsidR="00B95128" w:rsidRPr="004D79C1">
        <w:rPr>
          <w:rFonts w:ascii="Arial" w:hAnsi="Arial" w:cs="Arial"/>
          <w:color w:val="808080"/>
        </w:rPr>
        <w:t xml:space="preserve">leased office space. It should not be difficult for the lessor to demonstrate its interest in the property (and the lack of equity that Speculation has). However, it is likely that </w:t>
      </w:r>
      <w:r w:rsidRPr="004D79C1">
        <w:rPr>
          <w:rFonts w:ascii="Arial" w:hAnsi="Arial" w:cs="Arial"/>
          <w:color w:val="808080"/>
        </w:rPr>
        <w:t xml:space="preserve">the leased </w:t>
      </w:r>
      <w:r w:rsidR="00B95128" w:rsidRPr="004D79C1">
        <w:rPr>
          <w:rFonts w:ascii="Arial" w:hAnsi="Arial" w:cs="Arial"/>
          <w:color w:val="808080"/>
        </w:rPr>
        <w:t>office space</w:t>
      </w:r>
      <w:r w:rsidRPr="004D79C1">
        <w:rPr>
          <w:rFonts w:ascii="Arial" w:hAnsi="Arial" w:cs="Arial"/>
          <w:color w:val="808080"/>
        </w:rPr>
        <w:t xml:space="preserve"> is necessary for the </w:t>
      </w:r>
      <w:proofErr w:type="spellStart"/>
      <w:r w:rsidRPr="004D79C1">
        <w:rPr>
          <w:rFonts w:ascii="Arial" w:hAnsi="Arial" w:cs="Arial"/>
          <w:color w:val="808080"/>
        </w:rPr>
        <w:t>reorganisation</w:t>
      </w:r>
      <w:proofErr w:type="spellEnd"/>
      <w:r w:rsidRPr="004D79C1">
        <w:rPr>
          <w:rFonts w:ascii="Arial" w:hAnsi="Arial" w:cs="Arial"/>
          <w:color w:val="808080"/>
        </w:rPr>
        <w:t xml:space="preserve"> of Speculation’s affairs. Speculation, to avoid </w:t>
      </w:r>
      <w:r w:rsidR="00B95128" w:rsidRPr="004D79C1">
        <w:rPr>
          <w:rFonts w:ascii="Arial" w:hAnsi="Arial" w:cs="Arial"/>
          <w:color w:val="808080"/>
        </w:rPr>
        <w:t>any</w:t>
      </w:r>
      <w:r w:rsidRPr="004D79C1">
        <w:rPr>
          <w:rFonts w:ascii="Arial" w:hAnsi="Arial" w:cs="Arial"/>
          <w:color w:val="808080"/>
        </w:rPr>
        <w:t xml:space="preserve"> stay being lifted, would </w:t>
      </w:r>
      <w:r w:rsidRPr="004D79C1">
        <w:rPr>
          <w:rFonts w:ascii="Arial" w:hAnsi="Arial" w:cs="Arial"/>
          <w:color w:val="808080"/>
        </w:rPr>
        <w:lastRenderedPageBreak/>
        <w:t xml:space="preserve">have to demonstrate that there is a reasonable prospect that there will be a </w:t>
      </w:r>
      <w:proofErr w:type="spellStart"/>
      <w:r w:rsidRPr="004D79C1">
        <w:rPr>
          <w:rFonts w:ascii="Arial" w:hAnsi="Arial" w:cs="Arial"/>
          <w:color w:val="808080"/>
        </w:rPr>
        <w:t>reorganisation</w:t>
      </w:r>
      <w:proofErr w:type="spellEnd"/>
      <w:r w:rsidRPr="004D79C1">
        <w:rPr>
          <w:rFonts w:ascii="Arial" w:hAnsi="Arial" w:cs="Arial"/>
          <w:color w:val="808080"/>
        </w:rPr>
        <w:t xml:space="preserve"> within a reasonable timeframe</w:t>
      </w:r>
      <w:r w:rsidRPr="004D79C1">
        <w:rPr>
          <w:rStyle w:val="FootnoteReference"/>
          <w:rFonts w:ascii="Arial" w:hAnsi="Arial" w:cs="Arial"/>
          <w:color w:val="808080"/>
        </w:rPr>
        <w:footnoteReference w:id="203"/>
      </w:r>
      <w:r w:rsidRPr="004D79C1">
        <w:rPr>
          <w:rFonts w:ascii="Arial" w:hAnsi="Arial" w:cs="Arial"/>
          <w:color w:val="808080"/>
        </w:rPr>
        <w:t>.</w:t>
      </w:r>
    </w:p>
    <w:p w14:paraId="21819A44" w14:textId="77777777" w:rsidR="00F0266D" w:rsidRPr="004D79C1" w:rsidRDefault="00F0266D" w:rsidP="00F0266D">
      <w:pPr>
        <w:pStyle w:val="AODocTxt"/>
        <w:spacing w:before="0" w:line="240" w:lineRule="auto"/>
        <w:rPr>
          <w:rFonts w:ascii="Arial" w:hAnsi="Arial" w:cs="Arial"/>
          <w:color w:val="808080" w:themeColor="background1" w:themeShade="80"/>
        </w:rPr>
      </w:pPr>
    </w:p>
    <w:p w14:paraId="1B077AA9" w14:textId="32E7AA5E" w:rsidR="00CB2BFA" w:rsidRPr="004D79C1" w:rsidRDefault="00F11DD6" w:rsidP="00772D3E">
      <w:pPr>
        <w:pStyle w:val="AODocTxt"/>
        <w:numPr>
          <w:ilvl w:val="0"/>
          <w:numId w:val="23"/>
        </w:numPr>
        <w:spacing w:before="0" w:line="240" w:lineRule="auto"/>
        <w:ind w:left="624" w:hanging="454"/>
        <w:rPr>
          <w:rFonts w:ascii="Arial" w:hAnsi="Arial" w:cs="Arial"/>
          <w:color w:val="808080" w:themeColor="background1" w:themeShade="80"/>
        </w:rPr>
      </w:pPr>
      <w:r w:rsidRPr="004D79C1">
        <w:rPr>
          <w:rFonts w:ascii="Arial" w:hAnsi="Arial" w:cs="Arial"/>
          <w:color w:val="808080"/>
        </w:rPr>
        <w:t>A</w:t>
      </w:r>
      <w:r w:rsidR="00CB2BFA" w:rsidRPr="004D79C1">
        <w:rPr>
          <w:rFonts w:ascii="Arial" w:hAnsi="Arial" w:cs="Arial"/>
          <w:color w:val="808080"/>
        </w:rPr>
        <w:t xml:space="preserve"> Chapter 11 petition filed by Speculation will </w:t>
      </w:r>
      <w:proofErr w:type="spellStart"/>
      <w:proofErr w:type="gramStart"/>
      <w:r w:rsidR="00CB2BFA" w:rsidRPr="004D79C1">
        <w:rPr>
          <w:rFonts w:ascii="Arial" w:hAnsi="Arial" w:cs="Arial"/>
          <w:color w:val="808080"/>
        </w:rPr>
        <w:t>effect</w:t>
      </w:r>
      <w:proofErr w:type="spellEnd"/>
      <w:proofErr w:type="gramEnd"/>
      <w:r w:rsidR="00CB2BFA" w:rsidRPr="004D79C1">
        <w:rPr>
          <w:rFonts w:ascii="Arial" w:hAnsi="Arial" w:cs="Arial"/>
          <w:color w:val="808080"/>
        </w:rPr>
        <w:t xml:space="preserve"> the employment discrimination lawsuit initiated by the former employee. Section 362(a)(1) provides that a petition filed operates a stay of "</w:t>
      </w:r>
      <w:r w:rsidR="00CB2BFA" w:rsidRPr="004D79C1">
        <w:rPr>
          <w:rFonts w:ascii="Arial" w:hAnsi="Arial" w:cs="Arial"/>
          <w:i/>
          <w:iCs/>
          <w:color w:val="808080"/>
        </w:rPr>
        <w:t>the commencement or continuation...of a judicial, administrative, or other action or proceeding against the debtor</w:t>
      </w:r>
      <w:r w:rsidR="00CB2BFA" w:rsidRPr="004D79C1">
        <w:rPr>
          <w:rFonts w:ascii="Arial" w:hAnsi="Arial" w:cs="Arial"/>
          <w:color w:val="808080"/>
        </w:rPr>
        <w:t>"</w:t>
      </w:r>
      <w:r w:rsidR="007E62FD" w:rsidRPr="004D79C1">
        <w:rPr>
          <w:rStyle w:val="FootnoteReference"/>
          <w:rFonts w:ascii="Arial" w:hAnsi="Arial" w:cs="Arial"/>
          <w:color w:val="808080"/>
        </w:rPr>
        <w:footnoteReference w:id="204"/>
      </w:r>
      <w:r w:rsidR="007E62FD" w:rsidRPr="004D79C1">
        <w:rPr>
          <w:rFonts w:ascii="Arial" w:hAnsi="Arial" w:cs="Arial"/>
          <w:color w:val="808080"/>
        </w:rPr>
        <w:t xml:space="preserve">. </w:t>
      </w:r>
      <w:r w:rsidR="00CB2BFA" w:rsidRPr="004D79C1">
        <w:rPr>
          <w:rFonts w:ascii="Arial" w:hAnsi="Arial" w:cs="Arial"/>
          <w:color w:val="808080"/>
        </w:rPr>
        <w:t>The former employee</w:t>
      </w:r>
      <w:r w:rsidRPr="004D79C1">
        <w:rPr>
          <w:rFonts w:ascii="Arial" w:hAnsi="Arial" w:cs="Arial"/>
          <w:color w:val="808080"/>
        </w:rPr>
        <w:t>’s civil lawsuit</w:t>
      </w:r>
      <w:r w:rsidR="00CB2BFA" w:rsidRPr="004D79C1">
        <w:rPr>
          <w:rFonts w:ascii="Arial" w:hAnsi="Arial" w:cs="Arial"/>
          <w:color w:val="808080"/>
        </w:rPr>
        <w:t xml:space="preserve"> constitutes a proceeding against the debtor (Speculation) that </w:t>
      </w:r>
      <w:proofErr w:type="gramStart"/>
      <w:r w:rsidR="00CB2BFA" w:rsidRPr="004D79C1">
        <w:rPr>
          <w:rFonts w:ascii="Arial" w:hAnsi="Arial" w:cs="Arial"/>
          <w:color w:val="808080"/>
        </w:rPr>
        <w:t>was commenced</w:t>
      </w:r>
      <w:proofErr w:type="gramEnd"/>
      <w:r w:rsidR="00CB2BFA" w:rsidRPr="004D79C1">
        <w:rPr>
          <w:rFonts w:ascii="Arial" w:hAnsi="Arial" w:cs="Arial"/>
          <w:color w:val="808080"/>
        </w:rPr>
        <w:t xml:space="preserve"> before the Chapter 11 </w:t>
      </w:r>
      <w:r w:rsidRPr="004D79C1">
        <w:rPr>
          <w:rFonts w:ascii="Arial" w:hAnsi="Arial" w:cs="Arial"/>
          <w:color w:val="808080"/>
        </w:rPr>
        <w:t>filing</w:t>
      </w:r>
      <w:r w:rsidR="00CB2BFA" w:rsidRPr="004D79C1">
        <w:rPr>
          <w:rFonts w:ascii="Arial" w:hAnsi="Arial" w:cs="Arial"/>
          <w:color w:val="808080"/>
        </w:rPr>
        <w:t>. The filing of the Chapter 11 petition therefore acts a</w:t>
      </w:r>
      <w:r w:rsidR="00772D3E" w:rsidRPr="004D79C1">
        <w:rPr>
          <w:rFonts w:ascii="Arial" w:hAnsi="Arial" w:cs="Arial"/>
          <w:color w:val="808080"/>
        </w:rPr>
        <w:t>s a</w:t>
      </w:r>
      <w:r w:rsidR="00CB2BFA" w:rsidRPr="004D79C1">
        <w:rPr>
          <w:rFonts w:ascii="Arial" w:hAnsi="Arial" w:cs="Arial"/>
          <w:color w:val="808080"/>
        </w:rPr>
        <w:t xml:space="preserve"> stay to the continuation of the proceedings initiated by the former employee.</w:t>
      </w:r>
      <w:r w:rsidR="007E3E89" w:rsidRPr="004D79C1">
        <w:rPr>
          <w:rFonts w:ascii="Arial" w:hAnsi="Arial" w:cs="Arial"/>
          <w:color w:val="808080"/>
        </w:rPr>
        <w:t xml:space="preserve"> The lawsuit cannot proceed any further </w:t>
      </w:r>
      <w:r w:rsidR="00C6565D">
        <w:rPr>
          <w:rFonts w:ascii="Arial" w:hAnsi="Arial" w:cs="Arial"/>
          <w:color w:val="808080"/>
        </w:rPr>
        <w:t>if</w:t>
      </w:r>
      <w:r w:rsidR="007E3E89" w:rsidRPr="004D79C1">
        <w:rPr>
          <w:rFonts w:ascii="Arial" w:hAnsi="Arial" w:cs="Arial"/>
          <w:color w:val="808080"/>
        </w:rPr>
        <w:t xml:space="preserve"> the automatic stay </w:t>
      </w:r>
      <w:r w:rsidR="00C6565D">
        <w:rPr>
          <w:rFonts w:ascii="Arial" w:hAnsi="Arial" w:cs="Arial"/>
          <w:color w:val="808080"/>
        </w:rPr>
        <w:t xml:space="preserve">is </w:t>
      </w:r>
      <w:r w:rsidR="007E3E89" w:rsidRPr="004D79C1">
        <w:rPr>
          <w:rFonts w:ascii="Arial" w:hAnsi="Arial" w:cs="Arial"/>
          <w:color w:val="808080"/>
        </w:rPr>
        <w:t>still in place.</w:t>
      </w:r>
      <w:r w:rsidR="00772D3E" w:rsidRPr="004D79C1">
        <w:rPr>
          <w:rFonts w:ascii="Arial" w:hAnsi="Arial" w:cs="Arial"/>
          <w:color w:val="808080" w:themeColor="background1" w:themeShade="80"/>
        </w:rPr>
        <w:t xml:space="preserve"> </w:t>
      </w:r>
      <w:r w:rsidR="00CB2BFA" w:rsidRPr="004D79C1">
        <w:rPr>
          <w:rFonts w:ascii="Arial" w:hAnsi="Arial" w:cs="Arial"/>
          <w:color w:val="808080"/>
        </w:rPr>
        <w:t xml:space="preserve">The automatic stay will </w:t>
      </w:r>
      <w:proofErr w:type="spellStart"/>
      <w:r w:rsidR="00CB2BFA" w:rsidRPr="004D79C1">
        <w:rPr>
          <w:rFonts w:ascii="Arial" w:hAnsi="Arial" w:cs="Arial"/>
          <w:color w:val="808080"/>
        </w:rPr>
        <w:t>maximise</w:t>
      </w:r>
      <w:proofErr w:type="spellEnd"/>
      <w:r w:rsidR="00CB2BFA" w:rsidRPr="004D79C1">
        <w:rPr>
          <w:rFonts w:ascii="Arial" w:hAnsi="Arial" w:cs="Arial"/>
          <w:color w:val="808080"/>
        </w:rPr>
        <w:t xml:space="preserve"> the going-concern value of Speculation's estate (as well as ensure the equal distribution among similar creditors)</w:t>
      </w:r>
      <w:r w:rsidR="0086579E" w:rsidRPr="004D79C1">
        <w:rPr>
          <w:rStyle w:val="FootnoteReference"/>
          <w:rFonts w:ascii="Arial" w:hAnsi="Arial" w:cs="Arial"/>
          <w:color w:val="808080"/>
        </w:rPr>
        <w:footnoteReference w:id="205"/>
      </w:r>
      <w:r w:rsidR="00CB2BFA" w:rsidRPr="004D79C1">
        <w:rPr>
          <w:rFonts w:ascii="Arial" w:hAnsi="Arial" w:cs="Arial"/>
          <w:color w:val="808080"/>
        </w:rPr>
        <w:t>. </w:t>
      </w:r>
      <w:r w:rsidRPr="004D79C1">
        <w:rPr>
          <w:rFonts w:ascii="Arial" w:hAnsi="Arial" w:cs="Arial"/>
          <w:color w:val="808080"/>
        </w:rPr>
        <w:t>A</w:t>
      </w:r>
      <w:r w:rsidR="00CB2BFA" w:rsidRPr="004D79C1">
        <w:rPr>
          <w:rFonts w:ascii="Arial" w:hAnsi="Arial" w:cs="Arial"/>
          <w:color w:val="808080"/>
        </w:rPr>
        <w:t>ny act which violates the automatic stay will constitute contempt of court and will be void (or voidable depending on the circuit)</w:t>
      </w:r>
      <w:r w:rsidR="007E62FD" w:rsidRPr="004D79C1">
        <w:rPr>
          <w:rStyle w:val="FootnoteReference"/>
          <w:rFonts w:ascii="Arial" w:hAnsi="Arial" w:cs="Arial"/>
          <w:color w:val="808080"/>
        </w:rPr>
        <w:footnoteReference w:id="206"/>
      </w:r>
      <w:r w:rsidR="00CB2BFA" w:rsidRPr="004D79C1">
        <w:rPr>
          <w:rFonts w:ascii="Arial" w:hAnsi="Arial" w:cs="Arial"/>
          <w:color w:val="808080"/>
        </w:rPr>
        <w:t>. To avoid violating the automatic stay, the lawsuit should not proceed any further until the stay is lifted or at least modified by an order of the court.</w:t>
      </w:r>
    </w:p>
    <w:p w14:paraId="70C6A8B6" w14:textId="1261BD9D" w:rsidR="00126A4D" w:rsidRDefault="00126A4D" w:rsidP="004F4B0E">
      <w:pPr>
        <w:autoSpaceDE w:val="0"/>
        <w:autoSpaceDN w:val="0"/>
        <w:adjustRightInd w:val="0"/>
        <w:jc w:val="both"/>
        <w:rPr>
          <w:rFonts w:ascii="Arial" w:hAnsi="Arial" w:cs="Arial"/>
          <w:color w:val="808080" w:themeColor="background1" w:themeShade="80"/>
          <w:sz w:val="22"/>
          <w:szCs w:val="22"/>
          <w:lang w:val="en-GB"/>
        </w:rPr>
      </w:pPr>
    </w:p>
    <w:p w14:paraId="26212239" w14:textId="77777777" w:rsidR="006B1F80" w:rsidRPr="004F4B0E" w:rsidRDefault="006B1F80" w:rsidP="004F4B0E">
      <w:pPr>
        <w:autoSpaceDE w:val="0"/>
        <w:autoSpaceDN w:val="0"/>
        <w:adjustRightInd w:val="0"/>
        <w:jc w:val="both"/>
        <w:rPr>
          <w:rFonts w:ascii="Arial" w:hAnsi="Arial"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C31029">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1E4A" w14:textId="77777777" w:rsidR="00C31029" w:rsidRDefault="00C31029" w:rsidP="00241B44">
      <w:r>
        <w:separator/>
      </w:r>
    </w:p>
  </w:endnote>
  <w:endnote w:type="continuationSeparator" w:id="0">
    <w:p w14:paraId="4BEC96E8" w14:textId="77777777" w:rsidR="00C31029" w:rsidRDefault="00C3102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409602822"/>
      <w:docPartObj>
        <w:docPartGallery w:val="Page Numbers (Bottom of Page)"/>
        <w:docPartUnique/>
      </w:docPartObj>
    </w:sdtPr>
    <w:sdtContent>
      <w:p w14:paraId="0A05F8FD" w14:textId="301381CC" w:rsidR="009B4976" w:rsidRPr="00010924" w:rsidRDefault="009B4976" w:rsidP="00E23A7A">
        <w:pPr>
          <w:pStyle w:val="Footer"/>
          <w:framePr w:wrap="none" w:vAnchor="text" w:hAnchor="margin" w:xAlign="right" w:y="1"/>
          <w:rPr>
            <w:rStyle w:val="PageNumber"/>
            <w:rFonts w:ascii="Arial" w:hAnsi="Arial" w:cs="Arial"/>
            <w:sz w:val="22"/>
            <w:szCs w:val="22"/>
          </w:rPr>
        </w:pPr>
        <w:r w:rsidRPr="00010924">
          <w:rPr>
            <w:rStyle w:val="PageNumber"/>
            <w:rFonts w:ascii="Arial" w:hAnsi="Arial" w:cs="Arial"/>
            <w:sz w:val="22"/>
            <w:szCs w:val="22"/>
          </w:rPr>
          <w:t xml:space="preserve">Page </w:t>
        </w:r>
        <w:r w:rsidRPr="00010924">
          <w:rPr>
            <w:rStyle w:val="PageNumber"/>
            <w:rFonts w:ascii="Arial" w:hAnsi="Arial" w:cs="Arial"/>
            <w:sz w:val="22"/>
            <w:szCs w:val="22"/>
          </w:rPr>
          <w:fldChar w:fldCharType="begin"/>
        </w:r>
        <w:r w:rsidRPr="00010924">
          <w:rPr>
            <w:rStyle w:val="PageNumber"/>
            <w:rFonts w:ascii="Arial" w:hAnsi="Arial" w:cs="Arial"/>
            <w:sz w:val="22"/>
            <w:szCs w:val="22"/>
          </w:rPr>
          <w:instrText xml:space="preserve"> PAGE </w:instrText>
        </w:r>
        <w:r w:rsidRPr="00010924">
          <w:rPr>
            <w:rStyle w:val="PageNumber"/>
            <w:rFonts w:ascii="Arial" w:hAnsi="Arial" w:cs="Arial"/>
            <w:sz w:val="22"/>
            <w:szCs w:val="22"/>
          </w:rPr>
          <w:fldChar w:fldCharType="separate"/>
        </w:r>
        <w:r w:rsidRPr="00010924">
          <w:rPr>
            <w:rStyle w:val="PageNumber"/>
            <w:rFonts w:ascii="Arial" w:hAnsi="Arial" w:cs="Arial"/>
            <w:noProof/>
            <w:sz w:val="22"/>
            <w:szCs w:val="22"/>
          </w:rPr>
          <w:t>3</w:t>
        </w:r>
        <w:r w:rsidRPr="00010924">
          <w:rPr>
            <w:rStyle w:val="PageNumber"/>
            <w:rFonts w:ascii="Arial" w:hAnsi="Arial" w:cs="Arial"/>
            <w:sz w:val="22"/>
            <w:szCs w:val="22"/>
          </w:rPr>
          <w:fldChar w:fldCharType="end"/>
        </w:r>
      </w:p>
    </w:sdtContent>
  </w:sdt>
  <w:p w14:paraId="30F05E79" w14:textId="56E313DC" w:rsidR="00241FA3" w:rsidRPr="00010924" w:rsidRDefault="00010924" w:rsidP="009B4976">
    <w:pPr>
      <w:pStyle w:val="Footer"/>
      <w:ind w:right="360"/>
      <w:rPr>
        <w:rFonts w:ascii="Arial" w:hAnsi="Arial" w:cs="Arial"/>
        <w:sz w:val="22"/>
        <w:szCs w:val="22"/>
        <w:lang w:val="en-GB"/>
      </w:rPr>
    </w:pPr>
    <w:r w:rsidRPr="00010924">
      <w:rPr>
        <w:rFonts w:ascii="Arial" w:hAnsi="Arial" w:cs="Arial"/>
        <w:sz w:val="22"/>
        <w:szCs w:val="22"/>
        <w:lang w:val="en-GB"/>
      </w:rPr>
      <w:t>202324-1433</w:t>
    </w:r>
    <w:r w:rsidR="0073158B" w:rsidRPr="00010924">
      <w:rPr>
        <w:rFonts w:ascii="Arial" w:hAnsi="Arial" w:cs="Arial"/>
        <w:sz w:val="22"/>
        <w:szCs w:val="22"/>
        <w:lang w:val="en-GB"/>
      </w:rPr>
      <w:t>.assessment</w:t>
    </w:r>
    <w:r w:rsidR="00610AC7" w:rsidRPr="00010924">
      <w:rPr>
        <w:rFonts w:ascii="Arial" w:hAnsi="Arial"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2497" w14:textId="77777777" w:rsidR="00C31029" w:rsidRDefault="00C31029" w:rsidP="00241B44">
      <w:r>
        <w:separator/>
      </w:r>
    </w:p>
  </w:footnote>
  <w:footnote w:type="continuationSeparator" w:id="0">
    <w:p w14:paraId="76190D09" w14:textId="77777777" w:rsidR="00C31029" w:rsidRDefault="00C31029" w:rsidP="00241B44">
      <w:r>
        <w:continuationSeparator/>
      </w:r>
    </w:p>
  </w:footnote>
  <w:footnote w:id="1">
    <w:p w14:paraId="05B8CD1F" w14:textId="098515C6" w:rsidR="0004609C" w:rsidRPr="00900B2A" w:rsidRDefault="0004609C" w:rsidP="00D07A82">
      <w:pPr>
        <w:pStyle w:val="AODocTxt"/>
        <w:spacing w:before="0" w:line="240" w:lineRule="auto"/>
        <w:rPr>
          <w:rFonts w:ascii="Arial" w:hAnsi="Arial" w:cs="Arial"/>
          <w:color w:val="808080" w:themeColor="background1" w:themeShade="80"/>
          <w:sz w:val="16"/>
          <w:szCs w:val="16"/>
        </w:rPr>
      </w:pPr>
      <w:r w:rsidRPr="00900B2A">
        <w:rPr>
          <w:rStyle w:val="FootnoteReference"/>
          <w:rFonts w:ascii="Arial" w:hAnsi="Arial" w:cs="Arial"/>
          <w:sz w:val="16"/>
          <w:szCs w:val="16"/>
        </w:rPr>
        <w:footnoteRef/>
      </w:r>
      <w:r w:rsidRPr="00900B2A">
        <w:rPr>
          <w:rFonts w:ascii="Arial" w:hAnsi="Arial" w:cs="Arial"/>
          <w:sz w:val="16"/>
          <w:szCs w:val="16"/>
        </w:rPr>
        <w:t xml:space="preserve"> </w:t>
      </w:r>
      <w:bookmarkStart w:id="1" w:name="_Hlk159601779"/>
      <w:r w:rsidRPr="00900B2A">
        <w:rPr>
          <w:rFonts w:ascii="Arial" w:hAnsi="Arial" w:cs="Arial"/>
          <w:color w:val="808080" w:themeColor="background1" w:themeShade="80"/>
          <w:sz w:val="16"/>
          <w:szCs w:val="16"/>
        </w:rPr>
        <w:t xml:space="preserve">Laura R Hall, </w:t>
      </w:r>
      <w:r w:rsidRPr="00900B2A">
        <w:rPr>
          <w:rFonts w:ascii="Arial" w:hAnsi="Arial" w:cs="Arial"/>
          <w:color w:val="808080" w:themeColor="background1" w:themeShade="80"/>
          <w:sz w:val="16"/>
          <w:szCs w:val="16"/>
          <w:lang w:val="en-GB"/>
        </w:rPr>
        <w:t xml:space="preserve">“INSOL International, Foundation Certificate in International Insolvency Law, Module </w:t>
      </w:r>
      <w:r w:rsidRPr="00900B2A">
        <w:rPr>
          <w:rFonts w:ascii="Arial" w:hAnsi="Arial" w:cs="Arial"/>
          <w:color w:val="808080" w:themeColor="background1" w:themeShade="80"/>
          <w:sz w:val="16"/>
          <w:szCs w:val="16"/>
        </w:rPr>
        <w:t>3A</w:t>
      </w:r>
      <w:r w:rsidRPr="00900B2A">
        <w:rPr>
          <w:rFonts w:ascii="Arial" w:hAnsi="Arial" w:cs="Arial"/>
          <w:color w:val="808080" w:themeColor="background1" w:themeShade="80"/>
          <w:sz w:val="16"/>
          <w:szCs w:val="16"/>
          <w:lang w:val="en-GB"/>
        </w:rPr>
        <w:t xml:space="preserve"> Guidance Text, </w:t>
      </w:r>
      <w:r w:rsidRPr="00900B2A">
        <w:rPr>
          <w:rFonts w:ascii="Arial" w:hAnsi="Arial" w:cs="Arial"/>
          <w:color w:val="808080" w:themeColor="background1" w:themeShade="80"/>
          <w:sz w:val="16"/>
          <w:szCs w:val="16"/>
        </w:rPr>
        <w:t>Insolvency System of the United States</w:t>
      </w:r>
      <w:r w:rsidRPr="00900B2A">
        <w:rPr>
          <w:rFonts w:ascii="Arial" w:hAnsi="Arial" w:cs="Arial"/>
          <w:color w:val="808080" w:themeColor="background1" w:themeShade="80"/>
          <w:sz w:val="16"/>
          <w:szCs w:val="16"/>
          <w:lang w:val="en-GB"/>
        </w:rPr>
        <w:t xml:space="preserve"> 2023/2024”, p </w:t>
      </w:r>
      <w:r w:rsidRPr="00900B2A">
        <w:rPr>
          <w:rFonts w:ascii="Arial" w:hAnsi="Arial" w:cs="Arial"/>
          <w:color w:val="808080" w:themeColor="background1" w:themeShade="80"/>
          <w:sz w:val="16"/>
          <w:szCs w:val="16"/>
        </w:rPr>
        <w:t>59</w:t>
      </w:r>
      <w:bookmarkEnd w:id="1"/>
    </w:p>
  </w:footnote>
  <w:footnote w:id="2">
    <w:p w14:paraId="7698392E" w14:textId="51A1025A" w:rsidR="0004609C" w:rsidRPr="00900B2A" w:rsidRDefault="0004609C" w:rsidP="00D07A82">
      <w:pPr>
        <w:pStyle w:val="FootnoteText"/>
        <w:jc w:val="both"/>
        <w:rPr>
          <w:rFonts w:ascii="Arial" w:hAnsi="Arial" w:cs="Arial"/>
          <w:sz w:val="16"/>
          <w:szCs w:val="16"/>
          <w:lang w:val="en-GB"/>
        </w:rPr>
      </w:pPr>
      <w:r w:rsidRPr="00900B2A">
        <w:rPr>
          <w:rStyle w:val="FootnoteReference"/>
          <w:rFonts w:ascii="Arial" w:hAnsi="Arial" w:cs="Arial"/>
          <w:sz w:val="16"/>
          <w:szCs w:val="16"/>
        </w:rPr>
        <w:footnoteRef/>
      </w:r>
      <w:r w:rsidRPr="00900B2A">
        <w:rPr>
          <w:rFonts w:ascii="Arial" w:hAnsi="Arial" w:cs="Arial"/>
          <w:sz w:val="16"/>
          <w:szCs w:val="16"/>
        </w:rPr>
        <w:t xml:space="preserve"> </w:t>
      </w:r>
      <w:r w:rsidRPr="00900B2A">
        <w:rPr>
          <w:rFonts w:ascii="Arial" w:hAnsi="Arial" w:cs="Arial"/>
          <w:color w:val="808080" w:themeColor="background1" w:themeShade="80"/>
          <w:sz w:val="16"/>
          <w:szCs w:val="16"/>
        </w:rPr>
        <w:t>Ibid.</w:t>
      </w:r>
    </w:p>
  </w:footnote>
  <w:footnote w:id="3">
    <w:p w14:paraId="31FB95EC" w14:textId="64E9EE6A" w:rsidR="0004609C" w:rsidRPr="00900B2A" w:rsidRDefault="0004609C" w:rsidP="00D07A82">
      <w:pPr>
        <w:pStyle w:val="FootnoteText"/>
        <w:jc w:val="both"/>
        <w:rPr>
          <w:rFonts w:ascii="Arial" w:hAnsi="Arial" w:cs="Arial"/>
          <w:sz w:val="16"/>
          <w:szCs w:val="16"/>
          <w:lang w:val="en-GB"/>
        </w:rPr>
      </w:pPr>
      <w:r w:rsidRPr="00900B2A">
        <w:rPr>
          <w:rStyle w:val="FootnoteReference"/>
          <w:rFonts w:ascii="Arial" w:hAnsi="Arial" w:cs="Arial"/>
          <w:sz w:val="16"/>
          <w:szCs w:val="16"/>
        </w:rPr>
        <w:footnoteRef/>
      </w:r>
      <w:r w:rsidRPr="00900B2A">
        <w:rPr>
          <w:rFonts w:ascii="Arial" w:hAnsi="Arial" w:cs="Arial"/>
          <w:sz w:val="16"/>
          <w:szCs w:val="16"/>
        </w:rPr>
        <w:t xml:space="preserve"> </w:t>
      </w:r>
      <w:r w:rsidRPr="00900B2A">
        <w:rPr>
          <w:rFonts w:ascii="Arial" w:hAnsi="Arial" w:cs="Arial"/>
          <w:color w:val="808080" w:themeColor="background1" w:themeShade="80"/>
          <w:sz w:val="16"/>
          <w:szCs w:val="16"/>
        </w:rPr>
        <w:t>Ibid., p 29</w:t>
      </w:r>
    </w:p>
  </w:footnote>
  <w:footnote w:id="4">
    <w:p w14:paraId="3F5686C1" w14:textId="4D5FACEE" w:rsidR="0004609C" w:rsidRPr="00900B2A" w:rsidRDefault="0004609C" w:rsidP="00D07A82">
      <w:pPr>
        <w:pStyle w:val="FootnoteText"/>
        <w:jc w:val="both"/>
        <w:rPr>
          <w:rFonts w:ascii="Arial" w:hAnsi="Arial" w:cs="Arial"/>
          <w:sz w:val="16"/>
          <w:szCs w:val="16"/>
          <w:lang w:val="en-GB"/>
        </w:rPr>
      </w:pPr>
      <w:r w:rsidRPr="00900B2A">
        <w:rPr>
          <w:rStyle w:val="FootnoteReference"/>
          <w:rFonts w:ascii="Arial" w:hAnsi="Arial" w:cs="Arial"/>
          <w:sz w:val="16"/>
          <w:szCs w:val="16"/>
        </w:rPr>
        <w:footnoteRef/>
      </w:r>
      <w:r w:rsidRPr="00900B2A">
        <w:rPr>
          <w:rFonts w:ascii="Arial" w:hAnsi="Arial" w:cs="Arial"/>
          <w:sz w:val="16"/>
          <w:szCs w:val="16"/>
        </w:rPr>
        <w:t xml:space="preserve"> </w:t>
      </w:r>
      <w:r w:rsidRPr="00900B2A">
        <w:rPr>
          <w:rFonts w:ascii="Arial" w:hAnsi="Arial" w:cs="Arial"/>
          <w:color w:val="808080" w:themeColor="background1" w:themeShade="80"/>
          <w:sz w:val="16"/>
          <w:szCs w:val="16"/>
        </w:rPr>
        <w:t>Ibid.</w:t>
      </w:r>
    </w:p>
  </w:footnote>
  <w:footnote w:id="5">
    <w:p w14:paraId="2F6F4E68" w14:textId="5ED30EE7" w:rsidR="00C35FCF" w:rsidRPr="00900B2A" w:rsidRDefault="00C35FCF" w:rsidP="00D07A82">
      <w:pPr>
        <w:pStyle w:val="FootnoteText"/>
        <w:jc w:val="both"/>
        <w:rPr>
          <w:rFonts w:ascii="Arial" w:hAnsi="Arial" w:cs="Arial"/>
          <w:sz w:val="16"/>
          <w:szCs w:val="16"/>
          <w:lang w:val="en-GB"/>
        </w:rPr>
      </w:pPr>
      <w:r w:rsidRPr="00900B2A">
        <w:rPr>
          <w:rStyle w:val="FootnoteReference"/>
          <w:rFonts w:ascii="Arial" w:hAnsi="Arial" w:cs="Arial"/>
          <w:sz w:val="16"/>
          <w:szCs w:val="16"/>
        </w:rPr>
        <w:footnoteRef/>
      </w:r>
      <w:r w:rsidRPr="00900B2A">
        <w:rPr>
          <w:rFonts w:ascii="Arial" w:hAnsi="Arial" w:cs="Arial"/>
          <w:sz w:val="16"/>
          <w:szCs w:val="16"/>
        </w:rPr>
        <w:t xml:space="preserve"> </w:t>
      </w:r>
      <w:r w:rsidRPr="00900B2A">
        <w:rPr>
          <w:rFonts w:ascii="Arial" w:hAnsi="Arial" w:cs="Arial"/>
          <w:color w:val="808080" w:themeColor="background1" w:themeShade="80"/>
          <w:sz w:val="16"/>
          <w:szCs w:val="16"/>
        </w:rPr>
        <w:t>Ibid., p 30</w:t>
      </w:r>
    </w:p>
  </w:footnote>
  <w:footnote w:id="6">
    <w:p w14:paraId="4B5505F0" w14:textId="1CEA3F01" w:rsidR="0018534C" w:rsidRPr="00734561" w:rsidRDefault="0018534C" w:rsidP="00734561">
      <w:pPr>
        <w:pStyle w:val="AODocTxt"/>
        <w:spacing w:before="0" w:line="240" w:lineRule="auto"/>
        <w:rPr>
          <w:rFonts w:ascii="Arial" w:hAnsi="Arial" w:cs="Arial"/>
          <w:color w:val="808080" w:themeColor="background1" w:themeShade="80"/>
          <w:sz w:val="16"/>
          <w:szCs w:val="16"/>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Pr="00734561">
        <w:rPr>
          <w:rFonts w:ascii="Arial" w:hAnsi="Arial" w:cs="Arial"/>
          <w:color w:val="808080" w:themeColor="background1" w:themeShade="80"/>
          <w:sz w:val="16"/>
          <w:szCs w:val="16"/>
        </w:rPr>
        <w:t xml:space="preserve">Practical Law, “Priming Lien”, </w:t>
      </w:r>
      <w:hyperlink r:id="rId1" w:history="1">
        <w:r w:rsidRPr="00734561">
          <w:rPr>
            <w:rStyle w:val="Hyperlink"/>
            <w:rFonts w:ascii="Arial" w:hAnsi="Arial" w:cs="Arial"/>
            <w:sz w:val="16"/>
            <w:szCs w:val="16"/>
          </w:rPr>
          <w:t>https://content.next.westlaw.com/practical-law/document/Ibb09e9a3ef0511e28578f7ccc38dcbee/Priming-Lien?viewType=FullText&amp;transitionType=Default&amp;contextData=(sc.Default)</w:t>
        </w:r>
      </w:hyperlink>
      <w:r w:rsidRPr="00734561">
        <w:rPr>
          <w:rFonts w:ascii="Arial" w:hAnsi="Arial" w:cs="Arial"/>
          <w:color w:val="808080" w:themeColor="background1" w:themeShade="80"/>
          <w:sz w:val="16"/>
          <w:szCs w:val="16"/>
          <w:lang w:val="en-GB"/>
        </w:rPr>
        <w:t>, accessed on 10 February 2024</w:t>
      </w:r>
    </w:p>
  </w:footnote>
  <w:footnote w:id="7">
    <w:p w14:paraId="2B10C27C" w14:textId="5C49B852" w:rsidR="006D1FAA" w:rsidRPr="00734561" w:rsidRDefault="006D1FAA"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Pr="00734561">
        <w:rPr>
          <w:rFonts w:ascii="Arial" w:hAnsi="Arial" w:cs="Arial"/>
          <w:color w:val="808080" w:themeColor="background1" w:themeShade="80"/>
          <w:sz w:val="16"/>
          <w:szCs w:val="16"/>
        </w:rPr>
        <w:t xml:space="preserve">Laura R Hall, </w:t>
      </w:r>
      <w:r w:rsidRPr="00734561">
        <w:rPr>
          <w:rFonts w:ascii="Arial" w:hAnsi="Arial" w:cs="Arial"/>
          <w:color w:val="808080" w:themeColor="background1" w:themeShade="80"/>
          <w:sz w:val="16"/>
          <w:szCs w:val="16"/>
          <w:lang w:val="en-GB"/>
        </w:rPr>
        <w:t xml:space="preserve">“INSOL International, Foundation Certificate in International Insolvency Law, Module </w:t>
      </w:r>
      <w:r w:rsidRPr="00734561">
        <w:rPr>
          <w:rFonts w:ascii="Arial" w:hAnsi="Arial" w:cs="Arial"/>
          <w:color w:val="808080" w:themeColor="background1" w:themeShade="80"/>
          <w:sz w:val="16"/>
          <w:szCs w:val="16"/>
        </w:rPr>
        <w:t>3A</w:t>
      </w:r>
      <w:r w:rsidRPr="00734561">
        <w:rPr>
          <w:rFonts w:ascii="Arial" w:hAnsi="Arial" w:cs="Arial"/>
          <w:color w:val="808080" w:themeColor="background1" w:themeShade="80"/>
          <w:sz w:val="16"/>
          <w:szCs w:val="16"/>
          <w:lang w:val="en-GB"/>
        </w:rPr>
        <w:t xml:space="preserve"> Guidance Text, </w:t>
      </w:r>
      <w:r w:rsidRPr="00734561">
        <w:rPr>
          <w:rFonts w:ascii="Arial" w:hAnsi="Arial" w:cs="Arial"/>
          <w:color w:val="808080" w:themeColor="background1" w:themeShade="80"/>
          <w:sz w:val="16"/>
          <w:szCs w:val="16"/>
        </w:rPr>
        <w:t>Insolvency System of the United States</w:t>
      </w:r>
      <w:r w:rsidRPr="00734561">
        <w:rPr>
          <w:rFonts w:ascii="Arial" w:hAnsi="Arial" w:cs="Arial"/>
          <w:color w:val="808080" w:themeColor="background1" w:themeShade="80"/>
          <w:sz w:val="16"/>
          <w:szCs w:val="16"/>
          <w:lang w:val="en-GB"/>
        </w:rPr>
        <w:t xml:space="preserve"> 2023/2024”, p </w:t>
      </w:r>
      <w:r w:rsidRPr="00734561">
        <w:rPr>
          <w:rFonts w:ascii="Arial" w:hAnsi="Arial" w:cs="Arial"/>
          <w:color w:val="808080" w:themeColor="background1" w:themeShade="80"/>
          <w:sz w:val="16"/>
          <w:szCs w:val="16"/>
        </w:rPr>
        <w:t>30</w:t>
      </w:r>
    </w:p>
  </w:footnote>
  <w:footnote w:id="8">
    <w:p w14:paraId="39C5A0A3" w14:textId="0B590996" w:rsidR="00840D08" w:rsidRPr="00734561" w:rsidRDefault="00840D08"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AC4FCA" w:rsidRPr="00734561">
        <w:rPr>
          <w:rFonts w:ascii="Arial" w:hAnsi="Arial" w:cs="Arial"/>
          <w:color w:val="808080" w:themeColor="background1" w:themeShade="80"/>
          <w:sz w:val="16"/>
          <w:szCs w:val="16"/>
        </w:rPr>
        <w:t>Ibid.</w:t>
      </w:r>
      <w:r w:rsidRPr="00734561">
        <w:rPr>
          <w:rFonts w:ascii="Arial" w:hAnsi="Arial" w:cs="Arial"/>
          <w:color w:val="808080" w:themeColor="background1" w:themeShade="80"/>
          <w:sz w:val="16"/>
          <w:szCs w:val="16"/>
          <w:lang w:val="en-GB"/>
        </w:rPr>
        <w:t xml:space="preserve">, p </w:t>
      </w:r>
      <w:r w:rsidRPr="00734561">
        <w:rPr>
          <w:rFonts w:ascii="Arial" w:hAnsi="Arial" w:cs="Arial"/>
          <w:color w:val="808080" w:themeColor="background1" w:themeShade="80"/>
          <w:sz w:val="16"/>
          <w:szCs w:val="16"/>
        </w:rPr>
        <w:t>22</w:t>
      </w:r>
    </w:p>
  </w:footnote>
  <w:footnote w:id="9">
    <w:p w14:paraId="2A00CF46" w14:textId="29D65716" w:rsidR="00C648A8" w:rsidRPr="00734561" w:rsidRDefault="00C648A8" w:rsidP="00734561">
      <w:pPr>
        <w:pStyle w:val="AODocTxt"/>
        <w:spacing w:before="0" w:line="240" w:lineRule="auto"/>
        <w:rPr>
          <w:rFonts w:ascii="Arial" w:hAnsi="Arial" w:cs="Arial"/>
          <w:color w:val="808080" w:themeColor="background1" w:themeShade="80"/>
          <w:sz w:val="16"/>
          <w:szCs w:val="16"/>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470616" w:rsidRPr="00734561">
        <w:rPr>
          <w:rFonts w:ascii="Arial" w:hAnsi="Arial" w:cs="Arial"/>
          <w:color w:val="808080" w:themeColor="background1" w:themeShade="80"/>
          <w:sz w:val="16"/>
          <w:szCs w:val="16"/>
        </w:rPr>
        <w:t xml:space="preserve">Professor John D. Ayer, Michael </w:t>
      </w:r>
      <w:proofErr w:type="gramStart"/>
      <w:r w:rsidR="00470616" w:rsidRPr="00734561">
        <w:rPr>
          <w:rFonts w:ascii="Arial" w:hAnsi="Arial" w:cs="Arial"/>
          <w:color w:val="808080" w:themeColor="background1" w:themeShade="80"/>
          <w:sz w:val="16"/>
          <w:szCs w:val="16"/>
        </w:rPr>
        <w:t>Bernstein</w:t>
      </w:r>
      <w:proofErr w:type="gramEnd"/>
      <w:r w:rsidR="00470616" w:rsidRPr="00734561">
        <w:rPr>
          <w:rFonts w:ascii="Arial" w:hAnsi="Arial" w:cs="Arial"/>
          <w:color w:val="808080" w:themeColor="background1" w:themeShade="80"/>
          <w:sz w:val="16"/>
          <w:szCs w:val="16"/>
        </w:rPr>
        <w:t xml:space="preserve"> and Jonathan Friedland, “An Overview of the Automatic Stay” (2004) American Bankruptcy Institute Journal 22</w:t>
      </w:r>
    </w:p>
  </w:footnote>
  <w:footnote w:id="10">
    <w:p w14:paraId="0DD7E680" w14:textId="46E0096F" w:rsidR="00C648A8" w:rsidRPr="00734561" w:rsidRDefault="00C648A8"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470616" w:rsidRPr="00734561">
        <w:rPr>
          <w:rFonts w:ascii="Arial" w:hAnsi="Arial" w:cs="Arial"/>
          <w:color w:val="808080" w:themeColor="background1" w:themeShade="80"/>
          <w:sz w:val="16"/>
          <w:szCs w:val="16"/>
        </w:rPr>
        <w:t>Ibid.</w:t>
      </w:r>
    </w:p>
  </w:footnote>
  <w:footnote w:id="11">
    <w:p w14:paraId="31133626" w14:textId="5A6D9F7B" w:rsidR="00037B05" w:rsidRPr="00734561" w:rsidRDefault="00037B05" w:rsidP="00734561">
      <w:pPr>
        <w:pStyle w:val="AODocTxt"/>
        <w:spacing w:before="0" w:line="240" w:lineRule="auto"/>
        <w:rPr>
          <w:rFonts w:ascii="Arial" w:hAnsi="Arial" w:cs="Arial"/>
          <w:color w:val="808080" w:themeColor="background1" w:themeShade="80"/>
          <w:sz w:val="16"/>
          <w:szCs w:val="16"/>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896888" w:rsidRPr="00734561">
        <w:rPr>
          <w:rFonts w:ascii="Arial" w:hAnsi="Arial" w:cs="Arial"/>
          <w:color w:val="808080" w:themeColor="background1" w:themeShade="80"/>
          <w:sz w:val="16"/>
          <w:szCs w:val="16"/>
        </w:rPr>
        <w:t xml:space="preserve">American Bar Association, “The Automatic Stay in Bankruptcy: An Overview” (reprinted from Thomson Reuters Practical Law Bankruptcy &amp; Restructuring and Practical Law Finance, 2022), </w:t>
      </w:r>
      <w:hyperlink r:id="rId2" w:history="1">
        <w:r w:rsidR="00896888" w:rsidRPr="00734561">
          <w:rPr>
            <w:rStyle w:val="Hyperlink"/>
            <w:rFonts w:ascii="Arial" w:hAnsi="Arial" w:cs="Arial"/>
            <w:sz w:val="16"/>
            <w:szCs w:val="16"/>
          </w:rPr>
          <w:t>https://www.americanbar.org/groups/gpsolo/publications/gpsolo_ereport/2022/september-2022/automatic-stay-bankruptcy-overview/</w:t>
        </w:r>
      </w:hyperlink>
      <w:r w:rsidR="00896888" w:rsidRPr="00734561">
        <w:rPr>
          <w:rFonts w:ascii="Arial" w:hAnsi="Arial" w:cs="Arial"/>
          <w:color w:val="808080" w:themeColor="background1" w:themeShade="80"/>
          <w:sz w:val="16"/>
          <w:szCs w:val="16"/>
        </w:rPr>
        <w:t xml:space="preserve">, </w:t>
      </w:r>
      <w:r w:rsidR="00896888" w:rsidRPr="00734561">
        <w:rPr>
          <w:rFonts w:ascii="Arial" w:hAnsi="Arial" w:cs="Arial"/>
          <w:color w:val="7B7B7B" w:themeColor="accent3" w:themeShade="BF"/>
          <w:sz w:val="16"/>
          <w:szCs w:val="16"/>
        </w:rPr>
        <w:t>accessed on 10 February 2024</w:t>
      </w:r>
    </w:p>
  </w:footnote>
  <w:footnote w:id="12">
    <w:p w14:paraId="1380C36A" w14:textId="79699273" w:rsidR="00377E1A" w:rsidRPr="00734561" w:rsidRDefault="00377E1A"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840D08" w:rsidRPr="00734561">
        <w:rPr>
          <w:rFonts w:ascii="Arial" w:hAnsi="Arial" w:cs="Arial"/>
          <w:color w:val="808080" w:themeColor="background1" w:themeShade="80"/>
          <w:sz w:val="16"/>
          <w:szCs w:val="16"/>
        </w:rPr>
        <w:t xml:space="preserve">Laura R Hall, </w:t>
      </w:r>
      <w:r w:rsidR="00840D08" w:rsidRPr="00734561">
        <w:rPr>
          <w:rFonts w:ascii="Arial" w:hAnsi="Arial" w:cs="Arial"/>
          <w:color w:val="808080" w:themeColor="background1" w:themeShade="80"/>
          <w:sz w:val="16"/>
          <w:szCs w:val="16"/>
          <w:lang w:val="en-GB"/>
        </w:rPr>
        <w:t xml:space="preserve">“INSOL International, Foundation Certificate in International Insolvency Law, Module </w:t>
      </w:r>
      <w:r w:rsidR="00840D08" w:rsidRPr="00734561">
        <w:rPr>
          <w:rFonts w:ascii="Arial" w:hAnsi="Arial" w:cs="Arial"/>
          <w:color w:val="808080" w:themeColor="background1" w:themeShade="80"/>
          <w:sz w:val="16"/>
          <w:szCs w:val="16"/>
        </w:rPr>
        <w:t>3A</w:t>
      </w:r>
      <w:r w:rsidR="00840D08" w:rsidRPr="00734561">
        <w:rPr>
          <w:rFonts w:ascii="Arial" w:hAnsi="Arial" w:cs="Arial"/>
          <w:color w:val="808080" w:themeColor="background1" w:themeShade="80"/>
          <w:sz w:val="16"/>
          <w:szCs w:val="16"/>
          <w:lang w:val="en-GB"/>
        </w:rPr>
        <w:t xml:space="preserve"> Guidance Text, </w:t>
      </w:r>
      <w:r w:rsidR="00840D08" w:rsidRPr="00734561">
        <w:rPr>
          <w:rFonts w:ascii="Arial" w:hAnsi="Arial" w:cs="Arial"/>
          <w:color w:val="808080" w:themeColor="background1" w:themeShade="80"/>
          <w:sz w:val="16"/>
          <w:szCs w:val="16"/>
        </w:rPr>
        <w:t>Insolvency System of the United States</w:t>
      </w:r>
      <w:r w:rsidR="00840D08" w:rsidRPr="00734561">
        <w:rPr>
          <w:rFonts w:ascii="Arial" w:hAnsi="Arial" w:cs="Arial"/>
          <w:color w:val="808080" w:themeColor="background1" w:themeShade="80"/>
          <w:sz w:val="16"/>
          <w:szCs w:val="16"/>
          <w:lang w:val="en-GB"/>
        </w:rPr>
        <w:t xml:space="preserve"> 2023/2024”, p </w:t>
      </w:r>
      <w:r w:rsidR="00840D08" w:rsidRPr="00734561">
        <w:rPr>
          <w:rFonts w:ascii="Arial" w:hAnsi="Arial" w:cs="Arial"/>
          <w:color w:val="808080" w:themeColor="background1" w:themeShade="80"/>
          <w:sz w:val="16"/>
          <w:szCs w:val="16"/>
        </w:rPr>
        <w:t>22</w:t>
      </w:r>
    </w:p>
  </w:footnote>
  <w:footnote w:id="13">
    <w:p w14:paraId="0E9E3A96" w14:textId="508D781A" w:rsidR="00377E1A" w:rsidRPr="00734561" w:rsidRDefault="00377E1A"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Pr="00734561">
        <w:rPr>
          <w:rFonts w:ascii="Arial" w:hAnsi="Arial" w:cs="Arial"/>
          <w:color w:val="808080" w:themeColor="background1" w:themeShade="80"/>
          <w:sz w:val="16"/>
          <w:szCs w:val="16"/>
        </w:rPr>
        <w:t>Ibid.,</w:t>
      </w:r>
      <w:r w:rsidRPr="00734561">
        <w:rPr>
          <w:rFonts w:ascii="Arial" w:hAnsi="Arial" w:cs="Arial"/>
          <w:color w:val="808080" w:themeColor="background1" w:themeShade="80"/>
          <w:sz w:val="16"/>
          <w:szCs w:val="16"/>
          <w:lang w:val="en-GB"/>
        </w:rPr>
        <w:t xml:space="preserve"> p </w:t>
      </w:r>
      <w:r w:rsidRPr="00734561">
        <w:rPr>
          <w:rFonts w:ascii="Arial" w:hAnsi="Arial" w:cs="Arial"/>
          <w:color w:val="808080" w:themeColor="background1" w:themeShade="80"/>
          <w:sz w:val="16"/>
          <w:szCs w:val="16"/>
        </w:rPr>
        <w:t>22-23</w:t>
      </w:r>
    </w:p>
  </w:footnote>
  <w:footnote w:id="14">
    <w:p w14:paraId="50CCBC68" w14:textId="1B2820A0" w:rsidR="00B0719E" w:rsidRPr="00734561" w:rsidRDefault="00B0719E"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936883" w:rsidRPr="00734561">
        <w:rPr>
          <w:rFonts w:ascii="Arial" w:hAnsi="Arial" w:cs="Arial"/>
          <w:color w:val="808080" w:themeColor="background1" w:themeShade="80"/>
          <w:sz w:val="16"/>
          <w:szCs w:val="16"/>
        </w:rPr>
        <w:t>Ibid.</w:t>
      </w:r>
      <w:r w:rsidRPr="00734561">
        <w:rPr>
          <w:rFonts w:ascii="Arial" w:hAnsi="Arial" w:cs="Arial"/>
          <w:color w:val="808080" w:themeColor="background1" w:themeShade="80"/>
          <w:sz w:val="16"/>
          <w:szCs w:val="16"/>
          <w:lang w:val="en-GB"/>
        </w:rPr>
        <w:t xml:space="preserve">, p </w:t>
      </w:r>
      <w:r w:rsidRPr="00734561">
        <w:rPr>
          <w:rFonts w:ascii="Arial" w:hAnsi="Arial" w:cs="Arial"/>
          <w:color w:val="808080" w:themeColor="background1" w:themeShade="80"/>
          <w:sz w:val="16"/>
          <w:szCs w:val="16"/>
        </w:rPr>
        <w:t>38</w:t>
      </w:r>
    </w:p>
  </w:footnote>
  <w:footnote w:id="15">
    <w:p w14:paraId="49B51220" w14:textId="7EB1E32F" w:rsidR="00B0719E" w:rsidRPr="00734561" w:rsidRDefault="00B0719E"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0F7952" w:rsidRPr="00734561">
        <w:rPr>
          <w:rFonts w:ascii="Arial" w:hAnsi="Arial" w:cs="Arial"/>
          <w:color w:val="808080" w:themeColor="background1" w:themeShade="80"/>
          <w:sz w:val="16"/>
          <w:szCs w:val="16"/>
        </w:rPr>
        <w:t>Title 11 of the United States Code, s</w:t>
      </w:r>
      <w:r w:rsidRPr="00734561">
        <w:rPr>
          <w:rFonts w:ascii="Arial" w:hAnsi="Arial" w:cs="Arial"/>
          <w:color w:val="808080" w:themeColor="background1" w:themeShade="80"/>
          <w:sz w:val="16"/>
          <w:szCs w:val="16"/>
        </w:rPr>
        <w:t>ection 1124(1)</w:t>
      </w:r>
    </w:p>
  </w:footnote>
  <w:footnote w:id="16">
    <w:p w14:paraId="44981E1F" w14:textId="4CB7D33F" w:rsidR="00B0719E" w:rsidRPr="00734561" w:rsidRDefault="00B0719E"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0F7952" w:rsidRPr="00734561">
        <w:rPr>
          <w:rFonts w:ascii="Arial" w:hAnsi="Arial" w:cs="Arial"/>
          <w:color w:val="808080" w:themeColor="background1" w:themeShade="80"/>
          <w:sz w:val="16"/>
          <w:szCs w:val="16"/>
        </w:rPr>
        <w:t>Ibid., s</w:t>
      </w:r>
      <w:r w:rsidRPr="00734561">
        <w:rPr>
          <w:rFonts w:ascii="Arial" w:hAnsi="Arial" w:cs="Arial"/>
          <w:color w:val="808080" w:themeColor="background1" w:themeShade="80"/>
          <w:sz w:val="16"/>
          <w:szCs w:val="16"/>
        </w:rPr>
        <w:t>ection 1124(2)(A)</w:t>
      </w:r>
    </w:p>
  </w:footnote>
  <w:footnote w:id="17">
    <w:p w14:paraId="381BABD9" w14:textId="1FA731C6" w:rsidR="00B0719E" w:rsidRPr="00734561" w:rsidRDefault="00B0719E"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0F7952" w:rsidRPr="00734561">
        <w:rPr>
          <w:rFonts w:ascii="Arial" w:hAnsi="Arial" w:cs="Arial"/>
          <w:color w:val="808080" w:themeColor="background1" w:themeShade="80"/>
          <w:sz w:val="16"/>
          <w:szCs w:val="16"/>
        </w:rPr>
        <w:t>Ibid., s</w:t>
      </w:r>
      <w:r w:rsidRPr="00734561">
        <w:rPr>
          <w:rFonts w:ascii="Arial" w:hAnsi="Arial" w:cs="Arial"/>
          <w:color w:val="808080" w:themeColor="background1" w:themeShade="80"/>
          <w:sz w:val="16"/>
          <w:szCs w:val="16"/>
        </w:rPr>
        <w:t>ection 1124(2)(B)</w:t>
      </w:r>
    </w:p>
  </w:footnote>
  <w:footnote w:id="18">
    <w:p w14:paraId="34B1A60D" w14:textId="1D40F59E" w:rsidR="00B0719E" w:rsidRPr="00605870" w:rsidRDefault="00B0719E" w:rsidP="00734561">
      <w:pPr>
        <w:pStyle w:val="FootnoteText"/>
        <w:jc w:val="both"/>
        <w:rPr>
          <w:rFonts w:ascii="Arial" w:hAnsi="Arial" w:cs="Arial"/>
          <w:sz w:val="16"/>
          <w:szCs w:val="16"/>
          <w:lang w:val="en-GB"/>
        </w:rPr>
      </w:pPr>
      <w:r w:rsidRPr="00734561">
        <w:rPr>
          <w:rStyle w:val="FootnoteReference"/>
          <w:rFonts w:ascii="Arial" w:hAnsi="Arial" w:cs="Arial"/>
          <w:sz w:val="16"/>
          <w:szCs w:val="16"/>
        </w:rPr>
        <w:footnoteRef/>
      </w:r>
      <w:r w:rsidRPr="00734561">
        <w:rPr>
          <w:rFonts w:ascii="Arial" w:hAnsi="Arial" w:cs="Arial"/>
          <w:sz w:val="16"/>
          <w:szCs w:val="16"/>
        </w:rPr>
        <w:t xml:space="preserve"> </w:t>
      </w:r>
      <w:r w:rsidR="000F7952" w:rsidRPr="00734561">
        <w:rPr>
          <w:rFonts w:ascii="Arial" w:hAnsi="Arial" w:cs="Arial"/>
          <w:color w:val="808080" w:themeColor="background1" w:themeShade="80"/>
          <w:sz w:val="16"/>
          <w:szCs w:val="16"/>
        </w:rPr>
        <w:t>Ibid., s</w:t>
      </w:r>
      <w:r w:rsidRPr="00734561">
        <w:rPr>
          <w:rFonts w:ascii="Arial" w:hAnsi="Arial" w:cs="Arial"/>
          <w:color w:val="808080" w:themeColor="background1" w:themeShade="80"/>
          <w:sz w:val="16"/>
          <w:szCs w:val="16"/>
        </w:rPr>
        <w:t>ection 1124(2)(D)</w:t>
      </w:r>
    </w:p>
  </w:footnote>
  <w:footnote w:id="19">
    <w:p w14:paraId="70104AD0" w14:textId="1860BF33" w:rsidR="002048E6" w:rsidRPr="00094C1D" w:rsidRDefault="002048E6" w:rsidP="00DA3146">
      <w:pPr>
        <w:pStyle w:val="FootnoteText"/>
        <w:jc w:val="both"/>
        <w:rPr>
          <w:rFonts w:ascii="Arial" w:hAnsi="Arial" w:cs="Arial"/>
          <w:sz w:val="16"/>
          <w:szCs w:val="16"/>
          <w:lang w:val="en-GB"/>
        </w:rPr>
      </w:pPr>
      <w:r w:rsidRPr="00094C1D">
        <w:rPr>
          <w:rStyle w:val="FootnoteReference"/>
          <w:rFonts w:ascii="Arial" w:hAnsi="Arial" w:cs="Arial"/>
          <w:sz w:val="16"/>
          <w:szCs w:val="16"/>
        </w:rPr>
        <w:footnoteRef/>
      </w:r>
      <w:r w:rsidR="000F7952" w:rsidRPr="00094C1D">
        <w:rPr>
          <w:rFonts w:ascii="Arial" w:hAnsi="Arial" w:cs="Arial"/>
          <w:color w:val="808080" w:themeColor="background1" w:themeShade="80"/>
          <w:sz w:val="16"/>
          <w:szCs w:val="16"/>
        </w:rPr>
        <w:t xml:space="preserve"> Ibid., s</w:t>
      </w:r>
      <w:r w:rsidRPr="00094C1D">
        <w:rPr>
          <w:rFonts w:ascii="Arial" w:hAnsi="Arial" w:cs="Arial"/>
          <w:color w:val="808080" w:themeColor="background1" w:themeShade="80"/>
          <w:sz w:val="16"/>
          <w:szCs w:val="16"/>
        </w:rPr>
        <w:t>ection 1126(f)</w:t>
      </w:r>
    </w:p>
  </w:footnote>
  <w:footnote w:id="20">
    <w:p w14:paraId="7BE56598" w14:textId="036431C3" w:rsidR="002048E6" w:rsidRPr="00094C1D" w:rsidRDefault="002048E6" w:rsidP="00DA3146">
      <w:pPr>
        <w:pStyle w:val="FootnoteText"/>
        <w:jc w:val="both"/>
        <w:rPr>
          <w:rFonts w:ascii="Arial" w:hAnsi="Arial" w:cs="Arial"/>
          <w:sz w:val="16"/>
          <w:szCs w:val="16"/>
          <w:lang w:val="en-GB"/>
        </w:rPr>
      </w:pPr>
      <w:r w:rsidRPr="00094C1D">
        <w:rPr>
          <w:rStyle w:val="FootnoteReference"/>
          <w:rFonts w:ascii="Arial" w:hAnsi="Arial" w:cs="Arial"/>
          <w:sz w:val="16"/>
          <w:szCs w:val="16"/>
        </w:rPr>
        <w:footnoteRef/>
      </w:r>
      <w:r w:rsidRPr="00094C1D">
        <w:rPr>
          <w:rFonts w:ascii="Arial" w:hAnsi="Arial" w:cs="Arial"/>
          <w:sz w:val="16"/>
          <w:szCs w:val="16"/>
        </w:rPr>
        <w:t xml:space="preserve"> </w:t>
      </w:r>
      <w:r w:rsidR="000F7952" w:rsidRPr="00094C1D">
        <w:rPr>
          <w:rFonts w:ascii="Arial" w:hAnsi="Arial" w:cs="Arial"/>
          <w:color w:val="808080" w:themeColor="background1" w:themeShade="80"/>
          <w:sz w:val="16"/>
          <w:szCs w:val="16"/>
        </w:rPr>
        <w:t>Ibid.</w:t>
      </w:r>
    </w:p>
  </w:footnote>
  <w:footnote w:id="21">
    <w:p w14:paraId="758D2BA9" w14:textId="137B349E" w:rsidR="002048E6" w:rsidRPr="00094C1D" w:rsidRDefault="002048E6" w:rsidP="00DA3146">
      <w:pPr>
        <w:pStyle w:val="FootnoteText"/>
        <w:jc w:val="both"/>
        <w:rPr>
          <w:rFonts w:ascii="Arial" w:hAnsi="Arial" w:cs="Arial"/>
          <w:sz w:val="16"/>
          <w:szCs w:val="16"/>
          <w:lang w:val="en-GB"/>
        </w:rPr>
      </w:pPr>
      <w:r w:rsidRPr="00094C1D">
        <w:rPr>
          <w:rStyle w:val="FootnoteReference"/>
          <w:rFonts w:ascii="Arial" w:hAnsi="Arial" w:cs="Arial"/>
          <w:sz w:val="16"/>
          <w:szCs w:val="16"/>
        </w:rPr>
        <w:footnoteRef/>
      </w:r>
      <w:r w:rsidRPr="00094C1D">
        <w:rPr>
          <w:rFonts w:ascii="Arial" w:hAnsi="Arial" w:cs="Arial"/>
          <w:sz w:val="16"/>
          <w:szCs w:val="16"/>
        </w:rPr>
        <w:t xml:space="preserve"> </w:t>
      </w:r>
      <w:r w:rsidR="000F7952" w:rsidRPr="00094C1D">
        <w:rPr>
          <w:rFonts w:ascii="Arial" w:hAnsi="Arial" w:cs="Arial"/>
          <w:color w:val="808080" w:themeColor="background1" w:themeShade="80"/>
          <w:sz w:val="16"/>
          <w:szCs w:val="16"/>
        </w:rPr>
        <w:t>Ibid., s</w:t>
      </w:r>
      <w:r w:rsidRPr="00094C1D">
        <w:rPr>
          <w:rFonts w:ascii="Arial" w:hAnsi="Arial" w:cs="Arial"/>
          <w:color w:val="808080" w:themeColor="background1" w:themeShade="80"/>
          <w:sz w:val="16"/>
          <w:szCs w:val="16"/>
        </w:rPr>
        <w:t>ection 1126(g)</w:t>
      </w:r>
    </w:p>
  </w:footnote>
  <w:footnote w:id="22">
    <w:p w14:paraId="0451468B" w14:textId="530621BE" w:rsidR="002048E6" w:rsidRPr="00094C1D" w:rsidRDefault="002048E6" w:rsidP="00DA3146">
      <w:pPr>
        <w:pStyle w:val="AODocTxt"/>
        <w:spacing w:before="0" w:line="240" w:lineRule="auto"/>
        <w:rPr>
          <w:rFonts w:ascii="Arial" w:hAnsi="Arial" w:cs="Arial"/>
          <w:color w:val="808080" w:themeColor="background1" w:themeShade="80"/>
          <w:sz w:val="16"/>
          <w:szCs w:val="16"/>
        </w:rPr>
      </w:pPr>
      <w:r w:rsidRPr="00094C1D">
        <w:rPr>
          <w:rStyle w:val="FootnoteReference"/>
          <w:rFonts w:ascii="Arial" w:hAnsi="Arial" w:cs="Arial"/>
          <w:sz w:val="16"/>
          <w:szCs w:val="16"/>
        </w:rPr>
        <w:footnoteRef/>
      </w:r>
      <w:r w:rsidRPr="00094C1D">
        <w:rPr>
          <w:rFonts w:ascii="Arial" w:hAnsi="Arial" w:cs="Arial"/>
          <w:sz w:val="16"/>
          <w:szCs w:val="16"/>
        </w:rPr>
        <w:t xml:space="preserve"> </w:t>
      </w:r>
      <w:r w:rsidR="00A53048" w:rsidRPr="00094C1D">
        <w:rPr>
          <w:rFonts w:ascii="Arial" w:hAnsi="Arial" w:cs="Arial"/>
          <w:color w:val="808080" w:themeColor="background1" w:themeShade="80"/>
          <w:sz w:val="16"/>
          <w:szCs w:val="16"/>
        </w:rPr>
        <w:t xml:space="preserve">Jones Day, Business Restructuring Review, “Unimpaired Unsecured Creditors in Solvent-Debtor Chapter 11 Case Entitled to </w:t>
      </w:r>
      <w:proofErr w:type="spellStart"/>
      <w:r w:rsidR="00A53048" w:rsidRPr="00094C1D">
        <w:rPr>
          <w:rFonts w:ascii="Arial" w:hAnsi="Arial" w:cs="Arial"/>
          <w:color w:val="808080" w:themeColor="background1" w:themeShade="80"/>
          <w:sz w:val="16"/>
          <w:szCs w:val="16"/>
        </w:rPr>
        <w:t>Postpetition</w:t>
      </w:r>
      <w:proofErr w:type="spellEnd"/>
      <w:r w:rsidR="00A53048" w:rsidRPr="00094C1D">
        <w:rPr>
          <w:rFonts w:ascii="Arial" w:hAnsi="Arial" w:cs="Arial"/>
          <w:color w:val="808080" w:themeColor="background1" w:themeShade="80"/>
          <w:sz w:val="16"/>
          <w:szCs w:val="16"/>
        </w:rPr>
        <w:t xml:space="preserve"> Interest, Presumably at Contract or Default Rate” (2022), </w:t>
      </w:r>
      <w:hyperlink r:id="rId3" w:history="1">
        <w:r w:rsidR="00A53048" w:rsidRPr="00094C1D">
          <w:rPr>
            <w:rStyle w:val="Hyperlink"/>
            <w:rFonts w:ascii="Arial" w:hAnsi="Arial" w:cs="Arial"/>
            <w:sz w:val="16"/>
            <w:szCs w:val="16"/>
          </w:rPr>
          <w:t>https://www.jonesday.com/en/insights/2022/12/unimpaired-unsecured-creditors-in-solventdebtor-chapter-11-case-entitled-to-postpetition-interest-presumably-at-contract</w:t>
        </w:r>
      </w:hyperlink>
      <w:r w:rsidR="00A53048" w:rsidRPr="00094C1D">
        <w:rPr>
          <w:rFonts w:ascii="Arial" w:hAnsi="Arial" w:cs="Arial"/>
          <w:color w:val="808080" w:themeColor="background1" w:themeShade="80"/>
          <w:sz w:val="16"/>
          <w:szCs w:val="16"/>
        </w:rPr>
        <w:t>, accessed on 13 February 2024</w:t>
      </w:r>
    </w:p>
  </w:footnote>
  <w:footnote w:id="23">
    <w:p w14:paraId="5D7B82B8" w14:textId="769BC0FA" w:rsidR="00A53048" w:rsidRPr="00094C1D" w:rsidRDefault="00A53048" w:rsidP="00DA3146">
      <w:pPr>
        <w:pStyle w:val="FootnoteText"/>
        <w:jc w:val="both"/>
        <w:rPr>
          <w:rFonts w:ascii="Arial" w:hAnsi="Arial" w:cs="Arial"/>
          <w:sz w:val="16"/>
          <w:szCs w:val="16"/>
          <w:lang w:val="en-GB"/>
        </w:rPr>
      </w:pPr>
      <w:r w:rsidRPr="00094C1D">
        <w:rPr>
          <w:rStyle w:val="FootnoteReference"/>
          <w:rFonts w:ascii="Arial" w:hAnsi="Arial" w:cs="Arial"/>
          <w:sz w:val="16"/>
          <w:szCs w:val="16"/>
        </w:rPr>
        <w:footnoteRef/>
      </w:r>
      <w:r w:rsidRPr="00094C1D">
        <w:rPr>
          <w:rFonts w:ascii="Arial" w:hAnsi="Arial" w:cs="Arial"/>
          <w:sz w:val="16"/>
          <w:szCs w:val="16"/>
        </w:rPr>
        <w:t xml:space="preserve"> </w:t>
      </w:r>
      <w:r w:rsidRPr="00094C1D">
        <w:rPr>
          <w:rFonts w:ascii="Arial" w:hAnsi="Arial" w:cs="Arial"/>
          <w:color w:val="808080" w:themeColor="background1" w:themeShade="80"/>
          <w:sz w:val="16"/>
          <w:szCs w:val="16"/>
        </w:rPr>
        <w:t xml:space="preserve">Laura R Hall, </w:t>
      </w:r>
      <w:r w:rsidRPr="00094C1D">
        <w:rPr>
          <w:rFonts w:ascii="Arial" w:hAnsi="Arial" w:cs="Arial"/>
          <w:color w:val="808080" w:themeColor="background1" w:themeShade="80"/>
          <w:sz w:val="16"/>
          <w:szCs w:val="16"/>
          <w:lang w:val="en-GB"/>
        </w:rPr>
        <w:t xml:space="preserve">“INSOL International, Foundation Certificate in International Insolvency Law, Module </w:t>
      </w:r>
      <w:r w:rsidRPr="00094C1D">
        <w:rPr>
          <w:rFonts w:ascii="Arial" w:hAnsi="Arial" w:cs="Arial"/>
          <w:color w:val="808080" w:themeColor="background1" w:themeShade="80"/>
          <w:sz w:val="16"/>
          <w:szCs w:val="16"/>
        </w:rPr>
        <w:t>3A</w:t>
      </w:r>
      <w:r w:rsidRPr="00094C1D">
        <w:rPr>
          <w:rFonts w:ascii="Arial" w:hAnsi="Arial" w:cs="Arial"/>
          <w:color w:val="808080" w:themeColor="background1" w:themeShade="80"/>
          <w:sz w:val="16"/>
          <w:szCs w:val="16"/>
          <w:lang w:val="en-GB"/>
        </w:rPr>
        <w:t xml:space="preserve"> Guidance Text, </w:t>
      </w:r>
      <w:r w:rsidRPr="00094C1D">
        <w:rPr>
          <w:rFonts w:ascii="Arial" w:hAnsi="Arial" w:cs="Arial"/>
          <w:color w:val="808080" w:themeColor="background1" w:themeShade="80"/>
          <w:sz w:val="16"/>
          <w:szCs w:val="16"/>
        </w:rPr>
        <w:t>Insolvency System of the United States</w:t>
      </w:r>
      <w:r w:rsidRPr="00094C1D">
        <w:rPr>
          <w:rFonts w:ascii="Arial" w:hAnsi="Arial" w:cs="Arial"/>
          <w:color w:val="808080" w:themeColor="background1" w:themeShade="80"/>
          <w:sz w:val="16"/>
          <w:szCs w:val="16"/>
          <w:lang w:val="en-GB"/>
        </w:rPr>
        <w:t xml:space="preserve"> 2023/2024”, p </w:t>
      </w:r>
      <w:r w:rsidRPr="00094C1D">
        <w:rPr>
          <w:rFonts w:ascii="Arial" w:hAnsi="Arial" w:cs="Arial"/>
          <w:color w:val="808080" w:themeColor="background1" w:themeShade="80"/>
          <w:sz w:val="16"/>
          <w:szCs w:val="16"/>
        </w:rPr>
        <w:t>41</w:t>
      </w:r>
    </w:p>
  </w:footnote>
  <w:footnote w:id="24">
    <w:p w14:paraId="7FB8F4A6" w14:textId="4767C864" w:rsidR="00A53048" w:rsidRPr="00094C1D" w:rsidRDefault="00A53048" w:rsidP="00DA3146">
      <w:pPr>
        <w:pStyle w:val="FootnoteText"/>
        <w:jc w:val="both"/>
        <w:rPr>
          <w:rFonts w:ascii="Arial" w:hAnsi="Arial" w:cs="Arial"/>
          <w:sz w:val="16"/>
          <w:szCs w:val="16"/>
          <w:lang w:val="en-GB"/>
        </w:rPr>
      </w:pPr>
      <w:r w:rsidRPr="00094C1D">
        <w:rPr>
          <w:rStyle w:val="FootnoteReference"/>
          <w:rFonts w:ascii="Arial" w:hAnsi="Arial" w:cs="Arial"/>
          <w:sz w:val="16"/>
          <w:szCs w:val="16"/>
        </w:rPr>
        <w:footnoteRef/>
      </w:r>
      <w:r w:rsidRPr="00094C1D">
        <w:rPr>
          <w:rFonts w:ascii="Arial" w:hAnsi="Arial" w:cs="Arial"/>
          <w:sz w:val="16"/>
          <w:szCs w:val="16"/>
        </w:rPr>
        <w:t xml:space="preserve"> </w:t>
      </w:r>
      <w:r w:rsidR="000F7952" w:rsidRPr="00094C1D">
        <w:rPr>
          <w:rFonts w:ascii="Arial" w:hAnsi="Arial" w:cs="Arial"/>
          <w:color w:val="808080" w:themeColor="background1" w:themeShade="80"/>
          <w:sz w:val="16"/>
          <w:szCs w:val="16"/>
        </w:rPr>
        <w:t>Title 11 of the United States Code, s</w:t>
      </w:r>
      <w:r w:rsidRPr="00094C1D">
        <w:rPr>
          <w:rFonts w:ascii="Arial" w:hAnsi="Arial" w:cs="Arial"/>
          <w:color w:val="808080" w:themeColor="background1" w:themeShade="80"/>
          <w:sz w:val="16"/>
          <w:szCs w:val="16"/>
        </w:rPr>
        <w:t>ection 1126(c)</w:t>
      </w:r>
    </w:p>
  </w:footnote>
  <w:footnote w:id="25">
    <w:p w14:paraId="64DD4F4D" w14:textId="6501AC2B" w:rsidR="00A53048" w:rsidRPr="0023793B" w:rsidRDefault="00A53048" w:rsidP="00DA3146">
      <w:pPr>
        <w:pStyle w:val="FootnoteText"/>
        <w:jc w:val="both"/>
        <w:rPr>
          <w:rFonts w:ascii="Arial" w:hAnsi="Arial" w:cs="Arial"/>
          <w:sz w:val="16"/>
          <w:szCs w:val="16"/>
          <w:lang w:val="en-GB"/>
        </w:rPr>
      </w:pPr>
      <w:r w:rsidRPr="00094C1D">
        <w:rPr>
          <w:rStyle w:val="FootnoteReference"/>
          <w:rFonts w:ascii="Arial" w:hAnsi="Arial" w:cs="Arial"/>
          <w:sz w:val="16"/>
          <w:szCs w:val="16"/>
        </w:rPr>
        <w:footnoteRef/>
      </w:r>
      <w:r w:rsidRPr="00094C1D">
        <w:rPr>
          <w:rFonts w:ascii="Arial" w:hAnsi="Arial" w:cs="Arial"/>
          <w:sz w:val="16"/>
          <w:szCs w:val="16"/>
        </w:rPr>
        <w:t xml:space="preserve"> </w:t>
      </w:r>
      <w:r w:rsidR="000F7952" w:rsidRPr="00094C1D">
        <w:rPr>
          <w:rFonts w:ascii="Arial" w:hAnsi="Arial" w:cs="Arial"/>
          <w:color w:val="808080" w:themeColor="background1" w:themeShade="80"/>
          <w:sz w:val="16"/>
          <w:szCs w:val="16"/>
        </w:rPr>
        <w:t>Ibid., s</w:t>
      </w:r>
      <w:r w:rsidRPr="00094C1D">
        <w:rPr>
          <w:rFonts w:ascii="Arial" w:hAnsi="Arial" w:cs="Arial"/>
          <w:color w:val="808080" w:themeColor="background1" w:themeShade="80"/>
          <w:sz w:val="16"/>
          <w:szCs w:val="16"/>
        </w:rPr>
        <w:t>ection 1126(d)</w:t>
      </w:r>
    </w:p>
  </w:footnote>
  <w:footnote w:id="26">
    <w:p w14:paraId="16FD314E" w14:textId="5FB5DD0B" w:rsidR="007400D7" w:rsidRPr="00514494" w:rsidRDefault="007400D7" w:rsidP="00514494">
      <w:pPr>
        <w:pStyle w:val="AODocTxt"/>
        <w:spacing w:before="0" w:line="240" w:lineRule="auto"/>
        <w:rPr>
          <w:rFonts w:ascii="Arial" w:hAnsi="Arial" w:cs="Arial"/>
          <w:color w:val="808080" w:themeColor="background1" w:themeShade="80"/>
          <w:sz w:val="16"/>
          <w:szCs w:val="16"/>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0F7952" w:rsidRPr="00514494">
        <w:rPr>
          <w:rFonts w:ascii="Arial" w:hAnsi="Arial" w:cs="Arial"/>
          <w:color w:val="808080" w:themeColor="background1" w:themeShade="80"/>
          <w:sz w:val="16"/>
          <w:szCs w:val="16"/>
        </w:rPr>
        <w:t>Ibid., s</w:t>
      </w:r>
      <w:r w:rsidRPr="00514494">
        <w:rPr>
          <w:rFonts w:ascii="Arial" w:hAnsi="Arial" w:cs="Arial"/>
          <w:color w:val="808080" w:themeColor="background1" w:themeShade="80"/>
          <w:sz w:val="16"/>
          <w:szCs w:val="16"/>
        </w:rPr>
        <w:t>ection 547(b)(5)(A)</w:t>
      </w:r>
    </w:p>
  </w:footnote>
  <w:footnote w:id="27">
    <w:p w14:paraId="46494A1B" w14:textId="576765E4" w:rsidR="007400D7" w:rsidRPr="00514494" w:rsidRDefault="007400D7" w:rsidP="00514494">
      <w:pPr>
        <w:pStyle w:val="AODocTxt"/>
        <w:spacing w:before="0" w:line="240" w:lineRule="auto"/>
        <w:rPr>
          <w:rFonts w:ascii="Arial" w:hAnsi="Arial" w:cs="Arial"/>
          <w:color w:val="808080" w:themeColor="background1" w:themeShade="80"/>
          <w:sz w:val="16"/>
          <w:szCs w:val="16"/>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0F7952" w:rsidRPr="00514494">
        <w:rPr>
          <w:rFonts w:ascii="Arial" w:hAnsi="Arial" w:cs="Arial"/>
          <w:color w:val="808080" w:themeColor="background1" w:themeShade="80"/>
          <w:sz w:val="16"/>
          <w:szCs w:val="16"/>
        </w:rPr>
        <w:t>Ibid., s</w:t>
      </w:r>
      <w:r w:rsidRPr="00514494">
        <w:rPr>
          <w:rFonts w:ascii="Arial" w:hAnsi="Arial" w:cs="Arial"/>
          <w:color w:val="808080" w:themeColor="background1" w:themeShade="80"/>
          <w:sz w:val="16"/>
          <w:szCs w:val="16"/>
        </w:rPr>
        <w:t>ection 547(b)(5)(B)</w:t>
      </w:r>
    </w:p>
  </w:footnote>
  <w:footnote w:id="28">
    <w:p w14:paraId="19B00B18" w14:textId="54CE25B0"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0F7952" w:rsidRPr="00514494">
        <w:rPr>
          <w:rFonts w:ascii="Arial" w:hAnsi="Arial" w:cs="Arial"/>
          <w:color w:val="808080" w:themeColor="background1" w:themeShade="80"/>
          <w:sz w:val="16"/>
          <w:szCs w:val="16"/>
        </w:rPr>
        <w:t>Ibid., s</w:t>
      </w:r>
      <w:r w:rsidRPr="00514494">
        <w:rPr>
          <w:rFonts w:ascii="Arial" w:hAnsi="Arial" w:cs="Arial"/>
          <w:color w:val="808080" w:themeColor="background1" w:themeShade="80"/>
          <w:sz w:val="16"/>
          <w:szCs w:val="16"/>
        </w:rPr>
        <w:t>ection 547(b)(1)</w:t>
      </w:r>
    </w:p>
  </w:footnote>
  <w:footnote w:id="29">
    <w:p w14:paraId="61ABDFAF" w14:textId="7661B102"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Pr="00514494">
        <w:rPr>
          <w:rFonts w:ascii="Arial" w:hAnsi="Arial" w:cs="Arial"/>
          <w:color w:val="808080" w:themeColor="background1" w:themeShade="80"/>
          <w:sz w:val="16"/>
          <w:szCs w:val="16"/>
        </w:rPr>
        <w:t xml:space="preserve">Laura R Hall, </w:t>
      </w:r>
      <w:r w:rsidRPr="00514494">
        <w:rPr>
          <w:rFonts w:ascii="Arial" w:hAnsi="Arial" w:cs="Arial"/>
          <w:color w:val="808080" w:themeColor="background1" w:themeShade="80"/>
          <w:sz w:val="16"/>
          <w:szCs w:val="16"/>
          <w:lang w:val="en-GB"/>
        </w:rPr>
        <w:t xml:space="preserve">“INSOL International, Foundation Certificate in International Insolvency Law, Module </w:t>
      </w:r>
      <w:r w:rsidRPr="00514494">
        <w:rPr>
          <w:rFonts w:ascii="Arial" w:hAnsi="Arial" w:cs="Arial"/>
          <w:color w:val="808080" w:themeColor="background1" w:themeShade="80"/>
          <w:sz w:val="16"/>
          <w:szCs w:val="16"/>
        </w:rPr>
        <w:t>3A</w:t>
      </w:r>
      <w:r w:rsidRPr="00514494">
        <w:rPr>
          <w:rFonts w:ascii="Arial" w:hAnsi="Arial" w:cs="Arial"/>
          <w:color w:val="808080" w:themeColor="background1" w:themeShade="80"/>
          <w:sz w:val="16"/>
          <w:szCs w:val="16"/>
          <w:lang w:val="en-GB"/>
        </w:rPr>
        <w:t xml:space="preserve"> Guidance Text, </w:t>
      </w:r>
      <w:r w:rsidRPr="00514494">
        <w:rPr>
          <w:rFonts w:ascii="Arial" w:hAnsi="Arial" w:cs="Arial"/>
          <w:color w:val="808080" w:themeColor="background1" w:themeShade="80"/>
          <w:sz w:val="16"/>
          <w:szCs w:val="16"/>
        </w:rPr>
        <w:t>Insolvency System of the United States</w:t>
      </w:r>
      <w:r w:rsidRPr="00514494">
        <w:rPr>
          <w:rFonts w:ascii="Arial" w:hAnsi="Arial" w:cs="Arial"/>
          <w:color w:val="808080" w:themeColor="background1" w:themeShade="80"/>
          <w:sz w:val="16"/>
          <w:szCs w:val="16"/>
          <w:lang w:val="en-GB"/>
        </w:rPr>
        <w:t xml:space="preserve"> 2023/2024”, p </w:t>
      </w:r>
      <w:r w:rsidRPr="00514494">
        <w:rPr>
          <w:rFonts w:ascii="Arial" w:hAnsi="Arial" w:cs="Arial"/>
          <w:color w:val="808080" w:themeColor="background1" w:themeShade="80"/>
          <w:sz w:val="16"/>
          <w:szCs w:val="16"/>
        </w:rPr>
        <w:t>51</w:t>
      </w:r>
    </w:p>
  </w:footnote>
  <w:footnote w:id="30">
    <w:p w14:paraId="3ECAE982" w14:textId="461B75E9"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0F7952" w:rsidRPr="00514494">
        <w:rPr>
          <w:rFonts w:ascii="Arial" w:hAnsi="Arial" w:cs="Arial"/>
          <w:color w:val="808080" w:themeColor="background1" w:themeShade="80"/>
          <w:sz w:val="16"/>
          <w:szCs w:val="16"/>
        </w:rPr>
        <w:t>Ibid.</w:t>
      </w:r>
      <w:r w:rsidRPr="00514494">
        <w:rPr>
          <w:rFonts w:ascii="Arial" w:hAnsi="Arial" w:cs="Arial"/>
          <w:color w:val="808080" w:themeColor="background1" w:themeShade="80"/>
          <w:sz w:val="16"/>
          <w:szCs w:val="16"/>
          <w:lang w:val="en-GB"/>
        </w:rPr>
        <w:t xml:space="preserve">, p </w:t>
      </w:r>
      <w:r w:rsidRPr="00514494">
        <w:rPr>
          <w:rFonts w:ascii="Arial" w:hAnsi="Arial" w:cs="Arial"/>
          <w:color w:val="808080" w:themeColor="background1" w:themeShade="80"/>
          <w:sz w:val="16"/>
          <w:szCs w:val="16"/>
        </w:rPr>
        <w:t>52</w:t>
      </w:r>
    </w:p>
  </w:footnote>
  <w:footnote w:id="31">
    <w:p w14:paraId="135F0278" w14:textId="36D2746C"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684C88" w:rsidRPr="00514494">
        <w:rPr>
          <w:rFonts w:ascii="Arial" w:hAnsi="Arial" w:cs="Arial"/>
          <w:color w:val="808080" w:themeColor="background1" w:themeShade="80"/>
          <w:sz w:val="16"/>
          <w:szCs w:val="16"/>
        </w:rPr>
        <w:t>Title 11 of the United States Code, s</w:t>
      </w:r>
      <w:r w:rsidRPr="00514494">
        <w:rPr>
          <w:rFonts w:ascii="Arial" w:hAnsi="Arial" w:cs="Arial"/>
          <w:color w:val="808080" w:themeColor="background1" w:themeShade="80"/>
          <w:sz w:val="16"/>
          <w:szCs w:val="16"/>
        </w:rPr>
        <w:t>ection 547(b)(</w:t>
      </w:r>
      <w:r w:rsidR="007A761B" w:rsidRPr="00514494">
        <w:rPr>
          <w:rFonts w:ascii="Arial" w:hAnsi="Arial" w:cs="Arial"/>
          <w:color w:val="808080" w:themeColor="background1" w:themeShade="80"/>
          <w:sz w:val="16"/>
          <w:szCs w:val="16"/>
        </w:rPr>
        <w:t>2</w:t>
      </w:r>
      <w:r w:rsidRPr="00514494">
        <w:rPr>
          <w:rFonts w:ascii="Arial" w:hAnsi="Arial" w:cs="Arial"/>
          <w:color w:val="808080" w:themeColor="background1" w:themeShade="80"/>
          <w:sz w:val="16"/>
          <w:szCs w:val="16"/>
        </w:rPr>
        <w:t>)</w:t>
      </w:r>
    </w:p>
  </w:footnote>
  <w:footnote w:id="32">
    <w:p w14:paraId="0942584E" w14:textId="55113E0F"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Pr="00514494">
        <w:rPr>
          <w:rFonts w:ascii="Arial" w:hAnsi="Arial" w:cs="Arial"/>
          <w:color w:val="808080" w:themeColor="background1" w:themeShade="80"/>
          <w:sz w:val="16"/>
          <w:szCs w:val="16"/>
        </w:rPr>
        <w:t xml:space="preserve">Laura R Hall, </w:t>
      </w:r>
      <w:r w:rsidRPr="00514494">
        <w:rPr>
          <w:rFonts w:ascii="Arial" w:hAnsi="Arial" w:cs="Arial"/>
          <w:color w:val="808080" w:themeColor="background1" w:themeShade="80"/>
          <w:sz w:val="16"/>
          <w:szCs w:val="16"/>
          <w:lang w:val="en-GB"/>
        </w:rPr>
        <w:t xml:space="preserve">“INSOL International, Foundation Certificate in International Insolvency Law, Module </w:t>
      </w:r>
      <w:r w:rsidRPr="00514494">
        <w:rPr>
          <w:rFonts w:ascii="Arial" w:hAnsi="Arial" w:cs="Arial"/>
          <w:color w:val="808080" w:themeColor="background1" w:themeShade="80"/>
          <w:sz w:val="16"/>
          <w:szCs w:val="16"/>
        </w:rPr>
        <w:t>3A</w:t>
      </w:r>
      <w:r w:rsidRPr="00514494">
        <w:rPr>
          <w:rFonts w:ascii="Arial" w:hAnsi="Arial" w:cs="Arial"/>
          <w:color w:val="808080" w:themeColor="background1" w:themeShade="80"/>
          <w:sz w:val="16"/>
          <w:szCs w:val="16"/>
          <w:lang w:val="en-GB"/>
        </w:rPr>
        <w:t xml:space="preserve"> Guidance Text, </w:t>
      </w:r>
      <w:r w:rsidRPr="00514494">
        <w:rPr>
          <w:rFonts w:ascii="Arial" w:hAnsi="Arial" w:cs="Arial"/>
          <w:color w:val="808080" w:themeColor="background1" w:themeShade="80"/>
          <w:sz w:val="16"/>
          <w:szCs w:val="16"/>
        </w:rPr>
        <w:t>Insolvency System of the United States</w:t>
      </w:r>
      <w:r w:rsidRPr="00514494">
        <w:rPr>
          <w:rFonts w:ascii="Arial" w:hAnsi="Arial" w:cs="Arial"/>
          <w:color w:val="808080" w:themeColor="background1" w:themeShade="80"/>
          <w:sz w:val="16"/>
          <w:szCs w:val="16"/>
          <w:lang w:val="en-GB"/>
        </w:rPr>
        <w:t xml:space="preserve"> 2023/2024”, p </w:t>
      </w:r>
      <w:r w:rsidRPr="00514494">
        <w:rPr>
          <w:rFonts w:ascii="Arial" w:hAnsi="Arial" w:cs="Arial"/>
          <w:color w:val="808080" w:themeColor="background1" w:themeShade="80"/>
          <w:sz w:val="16"/>
          <w:szCs w:val="16"/>
        </w:rPr>
        <w:t>52</w:t>
      </w:r>
    </w:p>
  </w:footnote>
  <w:footnote w:id="33">
    <w:p w14:paraId="34C894E7" w14:textId="204EC12B"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684C88" w:rsidRPr="00514494">
        <w:rPr>
          <w:rFonts w:ascii="Arial" w:hAnsi="Arial" w:cs="Arial"/>
          <w:color w:val="808080" w:themeColor="background1" w:themeShade="80"/>
          <w:sz w:val="16"/>
          <w:szCs w:val="16"/>
        </w:rPr>
        <w:t>Ibid.</w:t>
      </w:r>
    </w:p>
  </w:footnote>
  <w:footnote w:id="34">
    <w:p w14:paraId="60982563" w14:textId="269360A0"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1757F7" w:rsidRPr="00514494">
        <w:rPr>
          <w:rFonts w:ascii="Arial" w:hAnsi="Arial" w:cs="Arial"/>
          <w:color w:val="808080" w:themeColor="background1" w:themeShade="80"/>
          <w:sz w:val="16"/>
          <w:szCs w:val="16"/>
        </w:rPr>
        <w:t>Title 11 of the United States Code,</w:t>
      </w:r>
      <w:r w:rsidR="00684C88" w:rsidRPr="00514494">
        <w:rPr>
          <w:rFonts w:ascii="Arial" w:hAnsi="Arial" w:cs="Arial"/>
          <w:color w:val="808080" w:themeColor="background1" w:themeShade="80"/>
          <w:sz w:val="16"/>
          <w:szCs w:val="16"/>
          <w:lang w:val="en-GB"/>
        </w:rPr>
        <w:t xml:space="preserve"> </w:t>
      </w:r>
      <w:r w:rsidR="00684C88" w:rsidRPr="00514494">
        <w:rPr>
          <w:rFonts w:ascii="Arial" w:hAnsi="Arial" w:cs="Arial"/>
          <w:color w:val="808080" w:themeColor="background1" w:themeShade="80"/>
          <w:sz w:val="16"/>
          <w:szCs w:val="16"/>
        </w:rPr>
        <w:t>s</w:t>
      </w:r>
      <w:r w:rsidRPr="00514494">
        <w:rPr>
          <w:rFonts w:ascii="Arial" w:hAnsi="Arial" w:cs="Arial"/>
          <w:color w:val="808080" w:themeColor="background1" w:themeShade="80"/>
          <w:sz w:val="16"/>
          <w:szCs w:val="16"/>
        </w:rPr>
        <w:t>ection 548(a)(1)(B)(</w:t>
      </w:r>
      <w:proofErr w:type="spellStart"/>
      <w:r w:rsidRPr="00514494">
        <w:rPr>
          <w:rFonts w:ascii="Arial" w:hAnsi="Arial" w:cs="Arial"/>
          <w:color w:val="808080" w:themeColor="background1" w:themeShade="80"/>
          <w:sz w:val="16"/>
          <w:szCs w:val="16"/>
        </w:rPr>
        <w:t>i</w:t>
      </w:r>
      <w:proofErr w:type="spellEnd"/>
      <w:r w:rsidRPr="00514494">
        <w:rPr>
          <w:rFonts w:ascii="Arial" w:hAnsi="Arial" w:cs="Arial"/>
          <w:color w:val="808080" w:themeColor="background1" w:themeShade="80"/>
          <w:sz w:val="16"/>
          <w:szCs w:val="16"/>
        </w:rPr>
        <w:t>)</w:t>
      </w:r>
    </w:p>
  </w:footnote>
  <w:footnote w:id="35">
    <w:p w14:paraId="70E7C5E9" w14:textId="5BAEBEE1" w:rsidR="00A25FB1" w:rsidRPr="00514494" w:rsidRDefault="00A25FB1" w:rsidP="00514494">
      <w:pPr>
        <w:pStyle w:val="FootnoteText"/>
        <w:jc w:val="both"/>
        <w:rPr>
          <w:rFonts w:ascii="Arial" w:hAnsi="Arial" w:cs="Arial"/>
          <w:sz w:val="16"/>
          <w:szCs w:val="16"/>
          <w:lang w:val="en-GB"/>
        </w:rPr>
      </w:pPr>
      <w:r w:rsidRPr="00514494">
        <w:rPr>
          <w:rStyle w:val="FootnoteReference"/>
          <w:rFonts w:ascii="Arial" w:hAnsi="Arial" w:cs="Arial"/>
          <w:sz w:val="16"/>
          <w:szCs w:val="16"/>
        </w:rPr>
        <w:footnoteRef/>
      </w:r>
      <w:r w:rsidRPr="00514494">
        <w:rPr>
          <w:rFonts w:ascii="Arial" w:hAnsi="Arial" w:cs="Arial"/>
          <w:sz w:val="16"/>
          <w:szCs w:val="16"/>
        </w:rPr>
        <w:t xml:space="preserve"> </w:t>
      </w:r>
      <w:r w:rsidR="00684C88" w:rsidRPr="00514494">
        <w:rPr>
          <w:rFonts w:ascii="Arial" w:hAnsi="Arial" w:cs="Arial"/>
          <w:color w:val="808080" w:themeColor="background1" w:themeShade="80"/>
          <w:sz w:val="16"/>
          <w:szCs w:val="16"/>
        </w:rPr>
        <w:t>Ibid.</w:t>
      </w:r>
      <w:r w:rsidR="00684C88" w:rsidRPr="00514494">
        <w:rPr>
          <w:rFonts w:ascii="Arial" w:hAnsi="Arial" w:cs="Arial"/>
          <w:color w:val="808080" w:themeColor="background1" w:themeShade="80"/>
          <w:sz w:val="16"/>
          <w:szCs w:val="16"/>
          <w:lang w:val="en-GB"/>
        </w:rPr>
        <w:t xml:space="preserve">, </w:t>
      </w:r>
      <w:r w:rsidR="00684C88" w:rsidRPr="00514494">
        <w:rPr>
          <w:rFonts w:ascii="Arial" w:hAnsi="Arial" w:cs="Arial"/>
          <w:color w:val="808080" w:themeColor="background1" w:themeShade="80"/>
          <w:sz w:val="16"/>
          <w:szCs w:val="16"/>
        </w:rPr>
        <w:t>s</w:t>
      </w:r>
      <w:r w:rsidRPr="00514494">
        <w:rPr>
          <w:rFonts w:ascii="Arial" w:hAnsi="Arial" w:cs="Arial"/>
          <w:color w:val="808080" w:themeColor="background1" w:themeShade="80"/>
          <w:sz w:val="16"/>
          <w:szCs w:val="16"/>
        </w:rPr>
        <w:t>ection 548(a)(1)(B)(ii)(I)</w:t>
      </w:r>
    </w:p>
  </w:footnote>
  <w:footnote w:id="36">
    <w:p w14:paraId="365A618A" w14:textId="328732B0" w:rsidR="003A5998" w:rsidRPr="0023793B" w:rsidRDefault="003A5998" w:rsidP="003A5998">
      <w:pPr>
        <w:pStyle w:val="FootnoteText"/>
        <w:jc w:val="both"/>
        <w:rPr>
          <w:rFonts w:ascii="Arial" w:hAnsi="Arial" w:cs="Arial"/>
          <w:sz w:val="16"/>
          <w:szCs w:val="16"/>
          <w:lang w:val="en-GB"/>
        </w:rPr>
      </w:pPr>
      <w:r w:rsidRPr="0023793B">
        <w:rPr>
          <w:rStyle w:val="FootnoteReference"/>
          <w:rFonts w:ascii="Arial" w:hAnsi="Arial" w:cs="Arial"/>
          <w:sz w:val="16"/>
          <w:szCs w:val="16"/>
        </w:rPr>
        <w:footnoteRef/>
      </w:r>
      <w:r w:rsidRPr="0023793B">
        <w:rPr>
          <w:rFonts w:ascii="Arial" w:hAnsi="Arial" w:cs="Arial"/>
          <w:sz w:val="16"/>
          <w:szCs w:val="16"/>
        </w:rPr>
        <w:t xml:space="preserve"> </w:t>
      </w:r>
      <w:r w:rsidR="00443DFD">
        <w:rPr>
          <w:rFonts w:ascii="Arial" w:hAnsi="Arial" w:cs="Arial"/>
          <w:color w:val="808080" w:themeColor="background1" w:themeShade="80"/>
          <w:sz w:val="16"/>
          <w:szCs w:val="16"/>
        </w:rPr>
        <w:t>Ibid., s</w:t>
      </w:r>
      <w:r w:rsidRPr="0023793B">
        <w:rPr>
          <w:rFonts w:ascii="Arial" w:hAnsi="Arial" w:cs="Arial"/>
          <w:color w:val="808080" w:themeColor="background1" w:themeShade="80"/>
          <w:sz w:val="16"/>
          <w:szCs w:val="16"/>
        </w:rPr>
        <w:t>ection 548(a)(1)(A)</w:t>
      </w:r>
    </w:p>
  </w:footnote>
  <w:footnote w:id="37">
    <w:p w14:paraId="4A9B29C2" w14:textId="355F9C1F" w:rsidR="003A5998" w:rsidRPr="0023793B" w:rsidRDefault="003A5998" w:rsidP="003A5998">
      <w:pPr>
        <w:pStyle w:val="FootnoteText"/>
        <w:jc w:val="both"/>
        <w:rPr>
          <w:rFonts w:ascii="Arial" w:hAnsi="Arial" w:cs="Arial"/>
          <w:sz w:val="16"/>
          <w:szCs w:val="16"/>
          <w:lang w:val="en-GB"/>
        </w:rPr>
      </w:pPr>
      <w:r w:rsidRPr="0023793B">
        <w:rPr>
          <w:rStyle w:val="FootnoteReference"/>
          <w:rFonts w:ascii="Arial" w:hAnsi="Arial" w:cs="Arial"/>
          <w:sz w:val="16"/>
          <w:szCs w:val="16"/>
        </w:rPr>
        <w:footnoteRef/>
      </w:r>
      <w:r w:rsidRPr="0023793B">
        <w:rPr>
          <w:rFonts w:ascii="Arial" w:hAnsi="Arial" w:cs="Arial"/>
          <w:sz w:val="16"/>
          <w:szCs w:val="16"/>
        </w:rPr>
        <w:t xml:space="preserve"> </w:t>
      </w:r>
      <w:r w:rsidR="00443DFD">
        <w:rPr>
          <w:rFonts w:ascii="Arial" w:hAnsi="Arial" w:cs="Arial"/>
          <w:color w:val="808080" w:themeColor="background1" w:themeShade="80"/>
          <w:sz w:val="16"/>
          <w:szCs w:val="16"/>
        </w:rPr>
        <w:t>Ibid., s</w:t>
      </w:r>
      <w:r w:rsidRPr="0023793B">
        <w:rPr>
          <w:rFonts w:ascii="Arial" w:hAnsi="Arial" w:cs="Arial"/>
          <w:color w:val="808080" w:themeColor="background1" w:themeShade="80"/>
          <w:sz w:val="16"/>
          <w:szCs w:val="16"/>
        </w:rPr>
        <w:t>ection 548(e)(2)(A)</w:t>
      </w:r>
    </w:p>
  </w:footnote>
  <w:footnote w:id="38">
    <w:p w14:paraId="1D20F145" w14:textId="7EFF7A92" w:rsidR="003A5998" w:rsidRPr="0023793B" w:rsidRDefault="003A5998" w:rsidP="003A5998">
      <w:pPr>
        <w:pStyle w:val="FootnoteText"/>
        <w:jc w:val="both"/>
        <w:rPr>
          <w:rFonts w:ascii="Arial" w:hAnsi="Arial" w:cs="Arial"/>
          <w:sz w:val="16"/>
          <w:szCs w:val="16"/>
          <w:lang w:val="en-GB"/>
        </w:rPr>
      </w:pPr>
      <w:r w:rsidRPr="0023793B">
        <w:rPr>
          <w:rStyle w:val="FootnoteReference"/>
          <w:rFonts w:ascii="Arial" w:hAnsi="Arial" w:cs="Arial"/>
          <w:sz w:val="16"/>
          <w:szCs w:val="16"/>
        </w:rPr>
        <w:footnoteRef/>
      </w:r>
      <w:r w:rsidRPr="0023793B">
        <w:rPr>
          <w:rFonts w:ascii="Arial" w:hAnsi="Arial" w:cs="Arial"/>
          <w:sz w:val="16"/>
          <w:szCs w:val="16"/>
        </w:rPr>
        <w:t xml:space="preserve"> </w:t>
      </w:r>
      <w:r w:rsidR="00443DFD">
        <w:rPr>
          <w:rFonts w:ascii="Arial" w:hAnsi="Arial" w:cs="Arial"/>
          <w:color w:val="808080" w:themeColor="background1" w:themeShade="80"/>
          <w:sz w:val="16"/>
          <w:szCs w:val="16"/>
        </w:rPr>
        <w:t>Ibid., s</w:t>
      </w:r>
      <w:r w:rsidRPr="0023793B">
        <w:rPr>
          <w:rFonts w:ascii="Arial" w:hAnsi="Arial" w:cs="Arial"/>
          <w:color w:val="808080" w:themeColor="background1" w:themeShade="80"/>
          <w:sz w:val="16"/>
          <w:szCs w:val="16"/>
        </w:rPr>
        <w:t>ect</w:t>
      </w:r>
      <w:r w:rsidR="00443DFD">
        <w:rPr>
          <w:rFonts w:ascii="Arial" w:hAnsi="Arial" w:cs="Arial"/>
          <w:color w:val="808080" w:themeColor="background1" w:themeShade="80"/>
          <w:sz w:val="16"/>
          <w:szCs w:val="16"/>
        </w:rPr>
        <w:t>i</w:t>
      </w:r>
      <w:r w:rsidRPr="0023793B">
        <w:rPr>
          <w:rFonts w:ascii="Arial" w:hAnsi="Arial" w:cs="Arial"/>
          <w:color w:val="808080" w:themeColor="background1" w:themeShade="80"/>
          <w:sz w:val="16"/>
          <w:szCs w:val="16"/>
        </w:rPr>
        <w:t>on 548(e)(2)(B)</w:t>
      </w:r>
    </w:p>
  </w:footnote>
  <w:footnote w:id="39">
    <w:p w14:paraId="34D7D4C3" w14:textId="62DD5A75" w:rsidR="003A5998" w:rsidRPr="0023793B" w:rsidRDefault="003A5998" w:rsidP="003A5998">
      <w:pPr>
        <w:pStyle w:val="FootnoteText"/>
        <w:jc w:val="both"/>
        <w:rPr>
          <w:rFonts w:ascii="Arial" w:hAnsi="Arial" w:cs="Arial"/>
          <w:sz w:val="16"/>
          <w:szCs w:val="16"/>
          <w:lang w:val="en-GB"/>
        </w:rPr>
      </w:pPr>
      <w:r w:rsidRPr="0023793B">
        <w:rPr>
          <w:rStyle w:val="FootnoteReference"/>
          <w:rFonts w:ascii="Arial" w:hAnsi="Arial" w:cs="Arial"/>
          <w:sz w:val="16"/>
          <w:szCs w:val="16"/>
        </w:rPr>
        <w:footnoteRef/>
      </w:r>
      <w:r w:rsidRPr="0023793B">
        <w:rPr>
          <w:rFonts w:ascii="Arial" w:hAnsi="Arial" w:cs="Arial"/>
          <w:sz w:val="16"/>
          <w:szCs w:val="16"/>
        </w:rPr>
        <w:t xml:space="preserve"> </w:t>
      </w:r>
      <w:r w:rsidRPr="0023793B">
        <w:rPr>
          <w:rFonts w:ascii="Arial" w:hAnsi="Arial" w:cs="Arial"/>
          <w:color w:val="808080" w:themeColor="background1" w:themeShade="80"/>
          <w:sz w:val="16"/>
          <w:szCs w:val="16"/>
        </w:rPr>
        <w:t xml:space="preserve">Laura R Hall, </w:t>
      </w:r>
      <w:r w:rsidRPr="0023793B">
        <w:rPr>
          <w:rFonts w:ascii="Arial" w:hAnsi="Arial" w:cs="Arial"/>
          <w:color w:val="808080" w:themeColor="background1" w:themeShade="80"/>
          <w:sz w:val="16"/>
          <w:szCs w:val="16"/>
          <w:lang w:val="en-GB"/>
        </w:rPr>
        <w:t xml:space="preserve">“INSOL International, Foundation Certificate in International Insolvency Law, Module </w:t>
      </w:r>
      <w:r w:rsidRPr="0023793B">
        <w:rPr>
          <w:rFonts w:ascii="Arial" w:hAnsi="Arial" w:cs="Arial"/>
          <w:color w:val="808080" w:themeColor="background1" w:themeShade="80"/>
          <w:sz w:val="16"/>
          <w:szCs w:val="16"/>
        </w:rPr>
        <w:t>3A</w:t>
      </w:r>
      <w:r w:rsidRPr="0023793B">
        <w:rPr>
          <w:rFonts w:ascii="Arial" w:hAnsi="Arial" w:cs="Arial"/>
          <w:color w:val="808080" w:themeColor="background1" w:themeShade="80"/>
          <w:sz w:val="16"/>
          <w:szCs w:val="16"/>
          <w:lang w:val="en-GB"/>
        </w:rPr>
        <w:t xml:space="preserve"> Guidance Text, </w:t>
      </w:r>
      <w:r w:rsidRPr="0023793B">
        <w:rPr>
          <w:rFonts w:ascii="Arial" w:hAnsi="Arial" w:cs="Arial"/>
          <w:color w:val="808080" w:themeColor="background1" w:themeShade="80"/>
          <w:sz w:val="16"/>
          <w:szCs w:val="16"/>
        </w:rPr>
        <w:t>Insolvency System of the United States</w:t>
      </w:r>
      <w:r w:rsidRPr="0023793B">
        <w:rPr>
          <w:rFonts w:ascii="Arial" w:hAnsi="Arial" w:cs="Arial"/>
          <w:color w:val="808080" w:themeColor="background1" w:themeShade="80"/>
          <w:sz w:val="16"/>
          <w:szCs w:val="16"/>
          <w:lang w:val="en-GB"/>
        </w:rPr>
        <w:t xml:space="preserve"> 2023/2024”, p </w:t>
      </w:r>
      <w:r w:rsidRPr="0023793B">
        <w:rPr>
          <w:rFonts w:ascii="Arial" w:hAnsi="Arial" w:cs="Arial"/>
          <w:color w:val="808080" w:themeColor="background1" w:themeShade="80"/>
          <w:sz w:val="16"/>
          <w:szCs w:val="16"/>
        </w:rPr>
        <w:t>57</w:t>
      </w:r>
    </w:p>
  </w:footnote>
  <w:footnote w:id="40">
    <w:p w14:paraId="62EDCA7B" w14:textId="17E02220" w:rsidR="003A5998" w:rsidRPr="0023793B" w:rsidRDefault="003A5998" w:rsidP="003A5998">
      <w:pPr>
        <w:pStyle w:val="FootnoteText"/>
        <w:jc w:val="both"/>
        <w:rPr>
          <w:rFonts w:ascii="Arial" w:hAnsi="Arial" w:cs="Arial"/>
          <w:sz w:val="16"/>
          <w:szCs w:val="16"/>
          <w:lang w:val="en-GB"/>
        </w:rPr>
      </w:pPr>
      <w:r w:rsidRPr="0023793B">
        <w:rPr>
          <w:rStyle w:val="FootnoteReference"/>
          <w:rFonts w:ascii="Arial" w:hAnsi="Arial" w:cs="Arial"/>
          <w:sz w:val="16"/>
          <w:szCs w:val="16"/>
        </w:rPr>
        <w:footnoteRef/>
      </w:r>
      <w:r w:rsidRPr="0023793B">
        <w:rPr>
          <w:rFonts w:ascii="Arial" w:hAnsi="Arial" w:cs="Arial"/>
          <w:sz w:val="16"/>
          <w:szCs w:val="16"/>
        </w:rPr>
        <w:t xml:space="preserve"> </w:t>
      </w:r>
      <w:r w:rsidRPr="0023793B">
        <w:rPr>
          <w:rFonts w:ascii="Arial" w:hAnsi="Arial" w:cs="Arial"/>
          <w:i/>
          <w:iCs/>
          <w:color w:val="808080" w:themeColor="background1" w:themeShade="80"/>
          <w:sz w:val="16"/>
          <w:szCs w:val="16"/>
        </w:rPr>
        <w:t>Ritchie Capital Management, LLC v. Stoebner</w:t>
      </w:r>
      <w:r w:rsidRPr="0023793B">
        <w:rPr>
          <w:rFonts w:ascii="Arial" w:hAnsi="Arial" w:cs="Arial"/>
          <w:color w:val="808080" w:themeColor="background1" w:themeShade="80"/>
          <w:sz w:val="16"/>
          <w:szCs w:val="16"/>
        </w:rPr>
        <w:t xml:space="preserve"> 779 F.3d 857 (8th Cir. 2015) at 863 </w:t>
      </w:r>
    </w:p>
  </w:footnote>
  <w:footnote w:id="41">
    <w:p w14:paraId="7A79EA0B" w14:textId="1E688F24" w:rsidR="003A5998" w:rsidRPr="002F05D4" w:rsidRDefault="003A5998"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57-58</w:t>
      </w:r>
    </w:p>
  </w:footnote>
  <w:footnote w:id="42">
    <w:p w14:paraId="40A8BD67" w14:textId="7569B179" w:rsidR="000B234A" w:rsidRPr="002F05D4" w:rsidRDefault="000B234A" w:rsidP="002F05D4">
      <w:pPr>
        <w:pStyle w:val="AODocTxt"/>
        <w:spacing w:before="0" w:line="240" w:lineRule="auto"/>
        <w:rPr>
          <w:rFonts w:ascii="Arial" w:hAnsi="Arial" w:cs="Arial"/>
          <w:color w:val="808080" w:themeColor="background1" w:themeShade="80"/>
          <w:sz w:val="16"/>
          <w:szCs w:val="16"/>
          <w:highlight w:val="green"/>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Samuel Henninger, “Bankruptcy Courts and the Constitution” (2020), </w:t>
      </w:r>
      <w:hyperlink r:id="rId4" w:history="1">
        <w:r w:rsidRPr="002F05D4">
          <w:rPr>
            <w:rStyle w:val="Hyperlink"/>
            <w:rFonts w:ascii="Arial" w:hAnsi="Arial" w:cs="Arial"/>
            <w:sz w:val="16"/>
            <w:szCs w:val="16"/>
          </w:rPr>
          <w:t>https://www.americanbar.org/groups/business_law/resources/business-law-today/2020-december/bankruptcy-courts-and-the-constitution/</w:t>
        </w:r>
      </w:hyperlink>
      <w:r w:rsidRPr="002F05D4">
        <w:rPr>
          <w:rFonts w:ascii="Arial" w:hAnsi="Arial" w:cs="Arial"/>
          <w:color w:val="808080" w:themeColor="background1" w:themeShade="80"/>
          <w:sz w:val="16"/>
          <w:szCs w:val="16"/>
        </w:rPr>
        <w:t xml:space="preserve">, </w:t>
      </w:r>
      <w:r w:rsidRPr="002F05D4">
        <w:rPr>
          <w:rFonts w:ascii="Arial" w:hAnsi="Arial" w:cs="Arial"/>
          <w:color w:val="7B7B7B" w:themeColor="accent3" w:themeShade="BF"/>
          <w:sz w:val="16"/>
          <w:szCs w:val="16"/>
        </w:rPr>
        <w:t>accessed on 11 February 2024</w:t>
      </w:r>
    </w:p>
  </w:footnote>
  <w:footnote w:id="43">
    <w:p w14:paraId="2D65E6DE" w14:textId="00F05EE0" w:rsidR="000B234A" w:rsidRPr="002F05D4" w:rsidRDefault="000B234A"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443DFD" w:rsidRPr="002F05D4">
        <w:rPr>
          <w:rFonts w:ascii="Arial" w:hAnsi="Arial" w:cs="Arial"/>
          <w:color w:val="808080" w:themeColor="background1" w:themeShade="80"/>
          <w:sz w:val="16"/>
          <w:szCs w:val="16"/>
        </w:rPr>
        <w:t>United States Constitution, s</w:t>
      </w:r>
      <w:r w:rsidRPr="002F05D4">
        <w:rPr>
          <w:rFonts w:ascii="Arial" w:hAnsi="Arial" w:cs="Arial"/>
          <w:color w:val="808080" w:themeColor="background1" w:themeShade="80"/>
          <w:sz w:val="16"/>
          <w:szCs w:val="16"/>
        </w:rPr>
        <w:t>ection 8 of Article I</w:t>
      </w:r>
    </w:p>
  </w:footnote>
  <w:footnote w:id="44">
    <w:p w14:paraId="0A9FACCE" w14:textId="172D9CBE" w:rsidR="00191822" w:rsidRPr="002F05D4" w:rsidRDefault="00191822"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w:t>
      </w:r>
    </w:p>
  </w:footnote>
  <w:footnote w:id="45">
    <w:p w14:paraId="7412932D" w14:textId="207475F1" w:rsidR="00A37D63" w:rsidRPr="002F05D4" w:rsidRDefault="00A37D63" w:rsidP="002F05D4">
      <w:pPr>
        <w:pStyle w:val="AODocTxt"/>
        <w:spacing w:before="0" w:line="240" w:lineRule="auto"/>
        <w:rPr>
          <w:rFonts w:ascii="Arial" w:hAnsi="Arial" w:cs="Arial"/>
          <w:color w:val="808080" w:themeColor="background1" w:themeShade="80"/>
          <w:sz w:val="16"/>
          <w:szCs w:val="16"/>
          <w:highlight w:val="green"/>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Title 28 of the United States Code, s</w:t>
      </w:r>
      <w:r w:rsidRPr="002F05D4">
        <w:rPr>
          <w:rFonts w:ascii="Arial" w:hAnsi="Arial" w:cs="Arial"/>
          <w:color w:val="808080" w:themeColor="background1" w:themeShade="80"/>
          <w:sz w:val="16"/>
          <w:szCs w:val="16"/>
        </w:rPr>
        <w:t>ection 1334</w:t>
      </w:r>
      <w:r w:rsidR="00686869" w:rsidRPr="002F05D4">
        <w:rPr>
          <w:rFonts w:ascii="Arial" w:hAnsi="Arial" w:cs="Arial"/>
          <w:color w:val="808080" w:themeColor="background1" w:themeShade="80"/>
          <w:sz w:val="16"/>
          <w:szCs w:val="16"/>
        </w:rPr>
        <w:t>(a)</w:t>
      </w:r>
    </w:p>
  </w:footnote>
  <w:footnote w:id="46">
    <w:p w14:paraId="2CC34DA3" w14:textId="7385FC8D" w:rsidR="00A37D63" w:rsidRPr="002F05D4" w:rsidRDefault="00A37D63"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157</w:t>
      </w:r>
      <w:r w:rsidR="00686869" w:rsidRPr="002F05D4">
        <w:rPr>
          <w:rFonts w:ascii="Arial" w:hAnsi="Arial" w:cs="Arial"/>
          <w:color w:val="808080" w:themeColor="background1" w:themeShade="80"/>
          <w:sz w:val="16"/>
          <w:szCs w:val="16"/>
        </w:rPr>
        <w:t>(a)</w:t>
      </w:r>
    </w:p>
  </w:footnote>
  <w:footnote w:id="47">
    <w:p w14:paraId="59438680" w14:textId="4541D81D" w:rsidR="00A37D63" w:rsidRPr="002F05D4" w:rsidRDefault="00A37D63"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1</w:t>
      </w:r>
      <w:r w:rsidRPr="002F05D4">
        <w:rPr>
          <w:rFonts w:ascii="Arial" w:hAnsi="Arial" w:cs="Arial"/>
          <w:color w:val="808080" w:themeColor="background1" w:themeShade="80"/>
          <w:sz w:val="16"/>
          <w:szCs w:val="16"/>
        </w:rPr>
        <w:t>7</w:t>
      </w:r>
    </w:p>
  </w:footnote>
  <w:footnote w:id="48">
    <w:p w14:paraId="1B9EA908" w14:textId="33269644" w:rsidR="00061C1C" w:rsidRPr="002F05D4" w:rsidRDefault="00061C1C"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Title 28 of the United States Code, s</w:t>
      </w:r>
      <w:r w:rsidRPr="002F05D4">
        <w:rPr>
          <w:rFonts w:ascii="Arial" w:hAnsi="Arial" w:cs="Arial"/>
          <w:color w:val="808080" w:themeColor="background1" w:themeShade="80"/>
          <w:sz w:val="16"/>
          <w:szCs w:val="16"/>
        </w:rPr>
        <w:t>ection 157</w:t>
      </w:r>
      <w:r w:rsidR="00686869" w:rsidRPr="002F05D4">
        <w:rPr>
          <w:rFonts w:ascii="Arial" w:hAnsi="Arial" w:cs="Arial"/>
          <w:color w:val="808080" w:themeColor="background1" w:themeShade="80"/>
          <w:sz w:val="16"/>
          <w:szCs w:val="16"/>
        </w:rPr>
        <w:t>(b)(1)</w:t>
      </w:r>
    </w:p>
  </w:footnote>
  <w:footnote w:id="49">
    <w:p w14:paraId="3C278153" w14:textId="71687190" w:rsidR="003935BA" w:rsidRPr="002F05D4" w:rsidRDefault="003935BA"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Ibid., section 157(b)(2)(A)</w:t>
      </w:r>
    </w:p>
  </w:footnote>
  <w:footnote w:id="50">
    <w:p w14:paraId="2071BC84" w14:textId="04A02697" w:rsidR="0074435D" w:rsidRPr="002F05D4" w:rsidRDefault="0074435D"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157(</w:t>
      </w:r>
      <w:r w:rsidR="0094637D" w:rsidRPr="002F05D4">
        <w:rPr>
          <w:rFonts w:ascii="Arial" w:hAnsi="Arial" w:cs="Arial"/>
          <w:color w:val="808080" w:themeColor="background1" w:themeShade="80"/>
          <w:sz w:val="16"/>
          <w:szCs w:val="16"/>
        </w:rPr>
        <w:t>c)(1</w:t>
      </w:r>
      <w:r w:rsidRPr="002F05D4">
        <w:rPr>
          <w:rFonts w:ascii="Arial" w:hAnsi="Arial" w:cs="Arial"/>
          <w:color w:val="808080" w:themeColor="background1" w:themeShade="80"/>
          <w:sz w:val="16"/>
          <w:szCs w:val="16"/>
        </w:rPr>
        <w:t>)</w:t>
      </w:r>
    </w:p>
  </w:footnote>
  <w:footnote w:id="51">
    <w:p w14:paraId="40C422E8" w14:textId="7AD6EF28" w:rsidR="0094637D" w:rsidRPr="00BD2B58" w:rsidRDefault="0094637D"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w:t>
      </w:r>
    </w:p>
  </w:footnote>
  <w:footnote w:id="52">
    <w:p w14:paraId="263C46A7" w14:textId="3A4B30E0" w:rsidR="00EC61AD" w:rsidRPr="002F05D4" w:rsidRDefault="00EC61AD"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564 US 462 (2011)</w:t>
      </w:r>
    </w:p>
  </w:footnote>
  <w:footnote w:id="53">
    <w:p w14:paraId="2327267E" w14:textId="41AF1625" w:rsidR="00C33350" w:rsidRPr="002F05D4" w:rsidRDefault="00C33350"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1</w:t>
      </w:r>
      <w:r w:rsidRPr="002F05D4">
        <w:rPr>
          <w:rFonts w:ascii="Arial" w:hAnsi="Arial" w:cs="Arial"/>
          <w:color w:val="808080" w:themeColor="background1" w:themeShade="80"/>
          <w:sz w:val="16"/>
          <w:szCs w:val="16"/>
        </w:rPr>
        <w:t>8</w:t>
      </w:r>
    </w:p>
  </w:footnote>
  <w:footnote w:id="54">
    <w:p w14:paraId="77B66DCA" w14:textId="67FBB585" w:rsidR="00C33350" w:rsidRPr="002F05D4" w:rsidRDefault="00C33350" w:rsidP="002F05D4">
      <w:pPr>
        <w:pStyle w:val="AODocTxt"/>
        <w:spacing w:before="0" w:line="240" w:lineRule="auto"/>
        <w:rPr>
          <w:rFonts w:ascii="Arial" w:hAnsi="Arial" w:cs="Arial"/>
          <w:color w:val="808080" w:themeColor="background1" w:themeShade="80"/>
          <w:sz w:val="16"/>
          <w:szCs w:val="16"/>
          <w:highlight w:val="green"/>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DB5AEF" w:rsidRPr="002F05D4">
        <w:rPr>
          <w:rFonts w:ascii="Arial" w:hAnsi="Arial" w:cs="Arial"/>
          <w:color w:val="808080" w:themeColor="background1" w:themeShade="80"/>
          <w:sz w:val="16"/>
          <w:szCs w:val="16"/>
        </w:rPr>
        <w:t xml:space="preserve">Cadwalader, Wickersham &amp; Taft LLP, “Stern v. Marshall: How Big Is It?” (2011), </w:t>
      </w:r>
      <w:hyperlink r:id="rId5" w:history="1">
        <w:r w:rsidR="00DB5AEF" w:rsidRPr="002F05D4">
          <w:rPr>
            <w:rStyle w:val="Hyperlink"/>
            <w:rFonts w:ascii="Arial" w:hAnsi="Arial" w:cs="Arial"/>
            <w:sz w:val="16"/>
            <w:szCs w:val="16"/>
          </w:rPr>
          <w:t>https://www.cadwalader.com/resources/clients-friends-memos/stern-v-marshall-how-big-is-it</w:t>
        </w:r>
      </w:hyperlink>
      <w:r w:rsidR="00DB5AEF" w:rsidRPr="002F05D4">
        <w:rPr>
          <w:rFonts w:ascii="Arial" w:hAnsi="Arial" w:cs="Arial"/>
          <w:color w:val="808080" w:themeColor="background1" w:themeShade="80"/>
          <w:sz w:val="16"/>
          <w:szCs w:val="16"/>
        </w:rPr>
        <w:t xml:space="preserve">,  </w:t>
      </w:r>
      <w:r w:rsidR="00DB5AEF" w:rsidRPr="002F05D4">
        <w:rPr>
          <w:rFonts w:ascii="Arial" w:hAnsi="Arial" w:cs="Arial"/>
          <w:color w:val="7B7B7B" w:themeColor="accent3" w:themeShade="BF"/>
          <w:sz w:val="16"/>
          <w:szCs w:val="16"/>
        </w:rPr>
        <w:t>accessed on 12 February 2024</w:t>
      </w:r>
    </w:p>
  </w:footnote>
  <w:footnote w:id="55">
    <w:p w14:paraId="31C4DA3A" w14:textId="09D7A159" w:rsidR="00562F82" w:rsidRPr="002F05D4" w:rsidRDefault="00562F8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134 S. Ct. 2165 (2014)</w:t>
      </w:r>
    </w:p>
  </w:footnote>
  <w:footnote w:id="56">
    <w:p w14:paraId="4E4E60DD" w14:textId="45DDF426" w:rsidR="00C15D31" w:rsidRPr="002F05D4" w:rsidRDefault="00C15D31"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Faegre Drinker Biddle &amp; Reath LLP, “Supreme Court Decides </w:t>
      </w:r>
      <w:r w:rsidRPr="002F05D4">
        <w:rPr>
          <w:rFonts w:ascii="Arial" w:hAnsi="Arial" w:cs="Arial"/>
          <w:i/>
          <w:iCs/>
          <w:color w:val="808080" w:themeColor="background1" w:themeShade="80"/>
          <w:sz w:val="16"/>
          <w:szCs w:val="16"/>
        </w:rPr>
        <w:t xml:space="preserve">Executive Benefits Insurance Agency v. </w:t>
      </w:r>
      <w:proofErr w:type="spellStart"/>
      <w:r w:rsidRPr="002F05D4">
        <w:rPr>
          <w:rFonts w:ascii="Arial" w:hAnsi="Arial" w:cs="Arial"/>
          <w:i/>
          <w:iCs/>
          <w:color w:val="808080" w:themeColor="background1" w:themeShade="80"/>
          <w:sz w:val="16"/>
          <w:szCs w:val="16"/>
        </w:rPr>
        <w:t>Arkison</w:t>
      </w:r>
      <w:proofErr w:type="spellEnd"/>
      <w:r w:rsidRPr="002F05D4">
        <w:rPr>
          <w:rFonts w:ascii="Arial" w:hAnsi="Arial" w:cs="Arial"/>
          <w:color w:val="808080" w:themeColor="background1" w:themeShade="80"/>
          <w:sz w:val="16"/>
          <w:szCs w:val="16"/>
        </w:rPr>
        <w:t xml:space="preserve">” (2014), </w:t>
      </w:r>
      <w:hyperlink r:id="rId6" w:history="1">
        <w:r w:rsidR="00F821E6" w:rsidRPr="002F05D4">
          <w:rPr>
            <w:rStyle w:val="Hyperlink"/>
            <w:rFonts w:ascii="Arial" w:hAnsi="Arial" w:cs="Arial"/>
            <w:sz w:val="16"/>
            <w:szCs w:val="16"/>
          </w:rPr>
          <w:t>https://www.faegredrinker.com/en/insights/publications/2014/6/supreme-court-decides-executive-benefits-insurance-agency-v-arkison</w:t>
        </w:r>
      </w:hyperlink>
      <w:r w:rsidRPr="002F05D4">
        <w:rPr>
          <w:rFonts w:ascii="Arial" w:hAnsi="Arial" w:cs="Arial"/>
          <w:color w:val="808080" w:themeColor="background1" w:themeShade="80"/>
          <w:sz w:val="16"/>
          <w:szCs w:val="16"/>
        </w:rPr>
        <w:t>, accessed on 13 February 2024</w:t>
      </w:r>
    </w:p>
  </w:footnote>
  <w:footnote w:id="57">
    <w:p w14:paraId="2D7EFBFC" w14:textId="2D6D1AFE" w:rsidR="00C15D31" w:rsidRPr="002F05D4" w:rsidRDefault="00C15D31"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Paul Hessler, Aaron Javian and Robert Trust, Columbia Law School, The CLS Blue Sky Blog, “Linklaters discusses Supreme Court’s Ruling in Executive Benefits Insurance Agency v. </w:t>
      </w:r>
      <w:proofErr w:type="spellStart"/>
      <w:r w:rsidRPr="002F05D4">
        <w:rPr>
          <w:rFonts w:ascii="Arial" w:hAnsi="Arial" w:cs="Arial"/>
          <w:color w:val="808080" w:themeColor="background1" w:themeShade="80"/>
          <w:sz w:val="16"/>
          <w:szCs w:val="16"/>
        </w:rPr>
        <w:t>Arkison</w:t>
      </w:r>
      <w:proofErr w:type="spellEnd"/>
      <w:r w:rsidRPr="002F05D4">
        <w:rPr>
          <w:rFonts w:ascii="Arial" w:hAnsi="Arial" w:cs="Arial"/>
          <w:color w:val="808080" w:themeColor="background1" w:themeShade="80"/>
          <w:sz w:val="16"/>
          <w:szCs w:val="16"/>
        </w:rPr>
        <w:t xml:space="preserve">” (2014), </w:t>
      </w:r>
      <w:hyperlink r:id="rId7" w:history="1">
        <w:r w:rsidRPr="002F05D4">
          <w:rPr>
            <w:rStyle w:val="Hyperlink"/>
            <w:rFonts w:ascii="Arial" w:hAnsi="Arial" w:cs="Arial"/>
            <w:sz w:val="16"/>
            <w:szCs w:val="16"/>
          </w:rPr>
          <w:t>https://clsbluesky.law.columbia.edu/2014/07/11/linklaters-discusses-supreme-courts-ruling-in-executive-benefits-ins-agency-v-arkinson/</w:t>
        </w:r>
      </w:hyperlink>
      <w:r w:rsidRPr="002F05D4">
        <w:rPr>
          <w:rFonts w:ascii="Arial" w:hAnsi="Arial" w:cs="Arial"/>
          <w:color w:val="808080" w:themeColor="background1" w:themeShade="80"/>
          <w:sz w:val="16"/>
          <w:szCs w:val="16"/>
        </w:rPr>
        <w:t xml:space="preserve">, </w:t>
      </w:r>
      <w:r w:rsidRPr="002F05D4">
        <w:rPr>
          <w:rFonts w:ascii="Arial" w:hAnsi="Arial" w:cs="Arial"/>
          <w:color w:val="7B7B7B" w:themeColor="accent3" w:themeShade="BF"/>
          <w:sz w:val="16"/>
          <w:szCs w:val="16"/>
        </w:rPr>
        <w:t>accessed on 13 February 2024</w:t>
      </w:r>
    </w:p>
  </w:footnote>
  <w:footnote w:id="58">
    <w:p w14:paraId="3E57621B" w14:textId="30822430" w:rsidR="00C15D31" w:rsidRPr="002F05D4" w:rsidRDefault="00C15D31"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135 S Ct. 2165 (2014)</w:t>
      </w:r>
    </w:p>
  </w:footnote>
  <w:footnote w:id="59">
    <w:p w14:paraId="1BF444E8" w14:textId="11FA4ABA" w:rsidR="00C15D31" w:rsidRPr="002F05D4" w:rsidRDefault="00C15D31" w:rsidP="002F05D4">
      <w:pPr>
        <w:pStyle w:val="AODocTxt"/>
        <w:spacing w:before="0" w:line="240" w:lineRule="auto"/>
        <w:rPr>
          <w:rFonts w:ascii="Arial" w:hAnsi="Arial" w:cs="Arial"/>
          <w:color w:val="808080" w:themeColor="background1" w:themeShade="80"/>
          <w:sz w:val="16"/>
          <w:szCs w:val="16"/>
          <w:highlight w:val="green"/>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54D5" w:rsidRPr="002F05D4">
        <w:rPr>
          <w:rFonts w:ascii="Arial" w:hAnsi="Arial" w:cs="Arial"/>
          <w:color w:val="808080" w:themeColor="background1" w:themeShade="80"/>
          <w:sz w:val="16"/>
          <w:szCs w:val="16"/>
        </w:rPr>
        <w:t>Oyez, “</w:t>
      </w:r>
      <w:r w:rsidR="00C354D5" w:rsidRPr="002F05D4">
        <w:rPr>
          <w:rFonts w:ascii="Arial" w:hAnsi="Arial" w:cs="Arial"/>
          <w:i/>
          <w:iCs/>
          <w:color w:val="808080" w:themeColor="background1" w:themeShade="80"/>
          <w:sz w:val="16"/>
          <w:szCs w:val="16"/>
        </w:rPr>
        <w:t>Wellness International Network v. Sharif</w:t>
      </w:r>
      <w:r w:rsidR="00C354D5" w:rsidRPr="002F05D4">
        <w:rPr>
          <w:rFonts w:ascii="Arial" w:hAnsi="Arial" w:cs="Arial"/>
          <w:color w:val="808080" w:themeColor="background1" w:themeShade="80"/>
          <w:sz w:val="16"/>
          <w:szCs w:val="16"/>
        </w:rPr>
        <w:t xml:space="preserve">”, </w:t>
      </w:r>
      <w:hyperlink r:id="rId8" w:history="1">
        <w:r w:rsidR="00C354D5" w:rsidRPr="002F05D4">
          <w:rPr>
            <w:rStyle w:val="Hyperlink"/>
            <w:rFonts w:ascii="Arial" w:hAnsi="Arial" w:cs="Arial"/>
            <w:sz w:val="16"/>
            <w:szCs w:val="16"/>
          </w:rPr>
          <w:t>https://www.oyez.org/cases/2014/13-935</w:t>
        </w:r>
      </w:hyperlink>
      <w:r w:rsidR="00C354D5" w:rsidRPr="002F05D4">
        <w:rPr>
          <w:rFonts w:ascii="Arial" w:hAnsi="Arial" w:cs="Arial"/>
          <w:color w:val="808080" w:themeColor="background1" w:themeShade="80"/>
          <w:sz w:val="16"/>
          <w:szCs w:val="16"/>
        </w:rPr>
        <w:t>, access on 13 February 2024</w:t>
      </w:r>
    </w:p>
  </w:footnote>
  <w:footnote w:id="60">
    <w:p w14:paraId="464CFE15" w14:textId="72B27AFB" w:rsidR="00C354D5" w:rsidRPr="002F05D4" w:rsidRDefault="00C354D5"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w:t>
      </w:r>
    </w:p>
  </w:footnote>
  <w:footnote w:id="61">
    <w:p w14:paraId="78782286" w14:textId="31730D79" w:rsidR="00C354D5" w:rsidRPr="002F05D4" w:rsidRDefault="00C354D5"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w:t>
      </w:r>
    </w:p>
  </w:footnote>
  <w:footnote w:id="62">
    <w:p w14:paraId="2D663566" w14:textId="3F221212" w:rsidR="00C354D5" w:rsidRPr="002F05D4" w:rsidRDefault="00C354D5"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Harvard Law Review, “</w:t>
      </w:r>
      <w:r w:rsidRPr="002F05D4">
        <w:rPr>
          <w:rFonts w:ascii="Arial" w:hAnsi="Arial" w:cs="Arial"/>
          <w:i/>
          <w:iCs/>
          <w:color w:val="808080" w:themeColor="background1" w:themeShade="80"/>
          <w:sz w:val="16"/>
          <w:szCs w:val="16"/>
        </w:rPr>
        <w:t>Wellness International Network, Ltd. v. Sharif</w:t>
      </w:r>
      <w:r w:rsidRPr="002F05D4">
        <w:rPr>
          <w:rFonts w:ascii="Arial" w:hAnsi="Arial" w:cs="Arial"/>
          <w:color w:val="808080" w:themeColor="background1" w:themeShade="80"/>
          <w:sz w:val="16"/>
          <w:szCs w:val="16"/>
        </w:rPr>
        <w:t xml:space="preserve">” 129 Harv. L. Rev. 201 (2015), </w:t>
      </w:r>
      <w:hyperlink r:id="rId9" w:history="1">
        <w:r w:rsidRPr="002F05D4">
          <w:rPr>
            <w:rStyle w:val="Hyperlink"/>
            <w:rFonts w:ascii="Arial" w:hAnsi="Arial" w:cs="Arial"/>
            <w:sz w:val="16"/>
            <w:szCs w:val="16"/>
          </w:rPr>
          <w:t>https://harvardlawreview.org/print/vol-129/wellness-international-network-ltd-v-sharif/</w:t>
        </w:r>
      </w:hyperlink>
      <w:r w:rsidRPr="002F05D4">
        <w:rPr>
          <w:rFonts w:ascii="Arial" w:hAnsi="Arial" w:cs="Arial"/>
          <w:color w:val="808080" w:themeColor="background1" w:themeShade="80"/>
          <w:sz w:val="16"/>
          <w:szCs w:val="16"/>
        </w:rPr>
        <w:t>, accessed on 13 February 2024</w:t>
      </w:r>
    </w:p>
  </w:footnote>
  <w:footnote w:id="63">
    <w:p w14:paraId="4F5E393E" w14:textId="1EBF45BB" w:rsidR="00770C98" w:rsidRPr="00BD5784" w:rsidRDefault="00770C98" w:rsidP="002F05D4">
      <w:pPr>
        <w:pStyle w:val="AODocTxt"/>
        <w:spacing w:before="0" w:line="240" w:lineRule="auto"/>
        <w:rPr>
          <w:rFonts w:ascii="Arial" w:hAnsi="Arial" w:cs="Arial"/>
          <w:color w:val="808080" w:themeColor="background1" w:themeShade="80"/>
          <w:sz w:val="16"/>
          <w:szCs w:val="16"/>
          <w:highlight w:val="green"/>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Federal Rules of Bankruptcy Procedure, r</w:t>
      </w:r>
      <w:r w:rsidRPr="002F05D4">
        <w:rPr>
          <w:rFonts w:ascii="Arial" w:hAnsi="Arial" w:cs="Arial"/>
          <w:color w:val="808080" w:themeColor="background1" w:themeShade="80"/>
          <w:sz w:val="16"/>
          <w:szCs w:val="16"/>
        </w:rPr>
        <w:t>ule 7008(a)</w:t>
      </w:r>
    </w:p>
  </w:footnote>
  <w:footnote w:id="64">
    <w:p w14:paraId="70BEA9E2" w14:textId="6584177C" w:rsidR="001B342F" w:rsidRPr="002F05D4" w:rsidRDefault="001B342F"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18</w:t>
      </w:r>
    </w:p>
  </w:footnote>
  <w:footnote w:id="65">
    <w:p w14:paraId="75BAD080" w14:textId="5CD1A968" w:rsidR="00CF399C" w:rsidRPr="002F05D4" w:rsidRDefault="00CF399C" w:rsidP="002F05D4">
      <w:pPr>
        <w:pStyle w:val="AODocTxt"/>
        <w:spacing w:before="0" w:line="240" w:lineRule="auto"/>
        <w:rPr>
          <w:rFonts w:ascii="Arial" w:hAnsi="Arial" w:cs="Arial"/>
          <w:color w:val="808080" w:themeColor="background1" w:themeShade="80"/>
          <w:sz w:val="16"/>
          <w:szCs w:val="16"/>
          <w:highlight w:val="green"/>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Federal Rules of Bankruptcy Procedure, r</w:t>
      </w:r>
      <w:r w:rsidRPr="002F05D4">
        <w:rPr>
          <w:rFonts w:ascii="Arial" w:hAnsi="Arial" w:cs="Arial"/>
          <w:color w:val="808080" w:themeColor="background1" w:themeShade="80"/>
          <w:sz w:val="16"/>
          <w:szCs w:val="16"/>
        </w:rPr>
        <w:t>ule 8018.1</w:t>
      </w:r>
    </w:p>
  </w:footnote>
  <w:footnote w:id="66">
    <w:p w14:paraId="441EFE59" w14:textId="1827676D" w:rsidR="00D4228F" w:rsidRPr="002F05D4" w:rsidRDefault="00D4228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20</w:t>
      </w:r>
    </w:p>
  </w:footnote>
  <w:footnote w:id="67">
    <w:p w14:paraId="58B3004C" w14:textId="73410C84" w:rsidR="001B342F" w:rsidRPr="002F05D4" w:rsidRDefault="001B342F" w:rsidP="002F05D4">
      <w:pPr>
        <w:pStyle w:val="FootnoteText"/>
        <w:jc w:val="both"/>
        <w:rPr>
          <w:rFonts w:ascii="Arial" w:hAnsi="Arial" w:cs="Arial"/>
          <w:sz w:val="16"/>
          <w:szCs w:val="16"/>
          <w:highlight w:val="green"/>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D4228F" w:rsidRPr="002F05D4">
        <w:rPr>
          <w:rFonts w:ascii="Arial" w:hAnsi="Arial" w:cs="Arial"/>
          <w:color w:val="808080" w:themeColor="background1" w:themeShade="80"/>
          <w:sz w:val="16"/>
          <w:szCs w:val="16"/>
        </w:rPr>
        <w:t>Ibid.</w:t>
      </w:r>
    </w:p>
  </w:footnote>
  <w:footnote w:id="68">
    <w:p w14:paraId="6079A0AC" w14:textId="17FA9A99" w:rsidR="00275F12" w:rsidRPr="002F05D4" w:rsidRDefault="00275F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Title 28 of the United States Code, s</w:t>
      </w:r>
      <w:r w:rsidRPr="002F05D4">
        <w:rPr>
          <w:rFonts w:ascii="Arial" w:hAnsi="Arial" w:cs="Arial"/>
          <w:color w:val="808080" w:themeColor="background1" w:themeShade="80"/>
          <w:sz w:val="16"/>
          <w:szCs w:val="16"/>
        </w:rPr>
        <w:t>ection 158(d)(2)(A)(</w:t>
      </w:r>
      <w:proofErr w:type="spellStart"/>
      <w:r w:rsidRPr="002F05D4">
        <w:rPr>
          <w:rFonts w:ascii="Arial" w:hAnsi="Arial" w:cs="Arial"/>
          <w:color w:val="808080" w:themeColor="background1" w:themeShade="80"/>
          <w:sz w:val="16"/>
          <w:szCs w:val="16"/>
        </w:rPr>
        <w:t>i</w:t>
      </w:r>
      <w:proofErr w:type="spellEnd"/>
      <w:r w:rsidRPr="002F05D4">
        <w:rPr>
          <w:rFonts w:ascii="Arial" w:hAnsi="Arial" w:cs="Arial"/>
          <w:color w:val="808080" w:themeColor="background1" w:themeShade="80"/>
          <w:sz w:val="16"/>
          <w:szCs w:val="16"/>
        </w:rPr>
        <w:t>)</w:t>
      </w:r>
    </w:p>
  </w:footnote>
  <w:footnote w:id="69">
    <w:p w14:paraId="2DCA9D8F" w14:textId="41798419" w:rsidR="00275F12" w:rsidRPr="002F05D4" w:rsidRDefault="00275F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158(d)(2)(A)(ii)</w:t>
      </w:r>
    </w:p>
  </w:footnote>
  <w:footnote w:id="70">
    <w:p w14:paraId="03BB7F59" w14:textId="2F21D98C" w:rsidR="00275F12" w:rsidRPr="002F05D4" w:rsidRDefault="00275F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158(d)(2)(A)(iii)</w:t>
      </w:r>
    </w:p>
  </w:footnote>
  <w:footnote w:id="71">
    <w:p w14:paraId="18210058" w14:textId="5801C769" w:rsidR="0023793B" w:rsidRPr="002F05D4" w:rsidRDefault="0023793B"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United States Courts, “Chapter 15 - Bankruptcy Basics - Ancillary and Other Cross-Border Cases”, </w:t>
      </w:r>
      <w:hyperlink r:id="rId10" w:anchor=":~:text=An%20ancillary%20case%20is%20commenced,U.S.%20courts%20for%20this%20purpose" w:history="1">
        <w:r w:rsidRPr="002F05D4">
          <w:rPr>
            <w:rStyle w:val="Hyperlink"/>
            <w:rFonts w:ascii="Arial" w:hAnsi="Arial" w:cs="Arial"/>
            <w:sz w:val="16"/>
            <w:szCs w:val="16"/>
          </w:rPr>
          <w:t>https://www.uscourts.gov/services-forms/bankruptcy/bankruptcy-basics/chapter-15-bankruptcy-basics#:~:text=An%20ancillary%20case%20is%20commenced,U.S.%20courts%20for%20this%20purpose</w:t>
        </w:r>
      </w:hyperlink>
      <w:r w:rsidRPr="002F05D4">
        <w:rPr>
          <w:rFonts w:ascii="Arial" w:hAnsi="Arial" w:cs="Arial"/>
          <w:color w:val="808080" w:themeColor="background1" w:themeShade="80"/>
          <w:sz w:val="16"/>
          <w:szCs w:val="16"/>
        </w:rPr>
        <w:t>, accessed on 16 February 2024</w:t>
      </w:r>
    </w:p>
  </w:footnote>
  <w:footnote w:id="72">
    <w:p w14:paraId="5A7F3653" w14:textId="18C73731" w:rsidR="0023793B" w:rsidRPr="002F05D4" w:rsidRDefault="0023793B"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1521(a)(1)</w:t>
      </w:r>
    </w:p>
  </w:footnote>
  <w:footnote w:id="73">
    <w:p w14:paraId="2D3A332B" w14:textId="79BB468A" w:rsidR="0023793B" w:rsidRPr="008A01A0" w:rsidRDefault="0023793B"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1521(a)(7)</w:t>
      </w:r>
    </w:p>
  </w:footnote>
  <w:footnote w:id="74">
    <w:p w14:paraId="72EAFD9D" w14:textId="07344309" w:rsidR="00F6195A" w:rsidRPr="002F05D4" w:rsidRDefault="00F6195A" w:rsidP="00C54BF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66</w:t>
      </w:r>
    </w:p>
  </w:footnote>
  <w:footnote w:id="75">
    <w:p w14:paraId="635E95CE" w14:textId="0A3DC43A" w:rsidR="00F6195A" w:rsidRPr="002F05D4" w:rsidRDefault="00F6195A" w:rsidP="00C54BF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Ibid</w:t>
      </w:r>
      <w:r w:rsidR="00A800E6" w:rsidRPr="002F05D4">
        <w:rPr>
          <w:rFonts w:ascii="Arial" w:hAnsi="Arial" w:cs="Arial"/>
          <w:color w:val="808080" w:themeColor="background1" w:themeShade="80"/>
          <w:sz w:val="16"/>
          <w:szCs w:val="16"/>
          <w:lang w:val="en-GB"/>
        </w:rPr>
        <w:t>.</w:t>
      </w:r>
    </w:p>
  </w:footnote>
  <w:footnote w:id="76">
    <w:p w14:paraId="19E3FDFF" w14:textId="4E6777F6" w:rsidR="00F6195A" w:rsidRPr="002F05D4" w:rsidRDefault="00F6195A" w:rsidP="00C54BF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601 F.3d 319 (5th Cir. 2010)</w:t>
      </w:r>
    </w:p>
  </w:footnote>
  <w:footnote w:id="77">
    <w:p w14:paraId="38A4EC0D" w14:textId="64B44DCF" w:rsidR="002D294B" w:rsidRPr="002F05D4" w:rsidRDefault="002D294B" w:rsidP="00C54BF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Jones Day Publications, “Foreign Representative Lacks Standing to Assert State-Law Avoidance Claims in Chapter 15 Case” (2015), </w:t>
      </w:r>
      <w:hyperlink r:id="rId11" w:history="1">
        <w:r w:rsidRPr="002F05D4">
          <w:rPr>
            <w:rStyle w:val="Hyperlink"/>
            <w:rFonts w:ascii="Arial" w:hAnsi="Arial" w:cs="Arial"/>
            <w:sz w:val="16"/>
            <w:szCs w:val="16"/>
          </w:rPr>
          <w:t>https://www.jonesday.com/en/insights/2015/03/foreign-representative-lacks-standing-to-assert-state-law-avoidance-claims-in-chapter-15-case</w:t>
        </w:r>
      </w:hyperlink>
      <w:r w:rsidRPr="002F05D4">
        <w:rPr>
          <w:rFonts w:ascii="Arial" w:hAnsi="Arial" w:cs="Arial"/>
          <w:color w:val="808080" w:themeColor="background1" w:themeShade="80"/>
          <w:sz w:val="16"/>
          <w:szCs w:val="16"/>
        </w:rPr>
        <w:t>, accessed on 16 February 2024</w:t>
      </w:r>
    </w:p>
  </w:footnote>
  <w:footnote w:id="78">
    <w:p w14:paraId="5BA944C6" w14:textId="1350A9F2" w:rsidR="00F6195A" w:rsidRPr="002F05D4" w:rsidRDefault="00F6195A" w:rsidP="00C54BF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1523(a)</w:t>
      </w:r>
    </w:p>
  </w:footnote>
  <w:footnote w:id="79">
    <w:p w14:paraId="364D659C" w14:textId="467D0DD7" w:rsidR="00412A41" w:rsidRPr="00412A41" w:rsidRDefault="00412A41" w:rsidP="00C54BFF">
      <w:pPr>
        <w:pStyle w:val="FootnoteText"/>
        <w:jc w:val="both"/>
        <w:rPr>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66</w:t>
      </w:r>
    </w:p>
  </w:footnote>
  <w:footnote w:id="80">
    <w:p w14:paraId="539B21FF" w14:textId="69C9F3ED" w:rsidR="00863B68" w:rsidRPr="002F05D4" w:rsidRDefault="00863B68"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The National Court Rules Committee, “Federal Rules of Bankruptcy Procedure” (2021), </w:t>
      </w:r>
      <w:hyperlink r:id="rId12" w:history="1">
        <w:r w:rsidRPr="002F05D4">
          <w:rPr>
            <w:rStyle w:val="Hyperlink"/>
            <w:rFonts w:ascii="Arial" w:hAnsi="Arial" w:cs="Arial"/>
            <w:sz w:val="16"/>
            <w:szCs w:val="16"/>
          </w:rPr>
          <w:t>https://www.federalrulesofbankruptcyprocedure.org/</w:t>
        </w:r>
      </w:hyperlink>
      <w:r w:rsidRPr="002F05D4">
        <w:rPr>
          <w:rFonts w:ascii="Arial" w:hAnsi="Arial" w:cs="Arial"/>
          <w:color w:val="808080" w:themeColor="background1" w:themeShade="80"/>
          <w:sz w:val="16"/>
          <w:szCs w:val="16"/>
        </w:rPr>
        <w:t>,  accessed on 15 February 2024</w:t>
      </w:r>
    </w:p>
  </w:footnote>
  <w:footnote w:id="81">
    <w:p w14:paraId="41DD4B39" w14:textId="0208E5E7" w:rsidR="00863B68" w:rsidRPr="002F05D4" w:rsidRDefault="00863B68"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Federal Rules of Bankruptcy Procedure, </w:t>
      </w:r>
      <w:r w:rsidR="00C34233"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1001</w:t>
      </w:r>
    </w:p>
  </w:footnote>
  <w:footnote w:id="82">
    <w:p w14:paraId="0F41E754" w14:textId="40545D38" w:rsidR="00863B68" w:rsidRPr="002F05D4" w:rsidRDefault="00863B68"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bookmarkStart w:id="2" w:name="_Hlk159626977"/>
      <w:r w:rsidR="00A40BA3" w:rsidRPr="002F05D4">
        <w:rPr>
          <w:rFonts w:ascii="Arial" w:hAnsi="Arial" w:cs="Arial"/>
          <w:color w:val="808080" w:themeColor="background1" w:themeShade="80"/>
          <w:sz w:val="16"/>
          <w:szCs w:val="16"/>
        </w:rPr>
        <w:t xml:space="preserve">Ibid., </w:t>
      </w:r>
      <w:bookmarkEnd w:id="2"/>
      <w:r w:rsidR="00A40BA3" w:rsidRPr="002F05D4">
        <w:rPr>
          <w:rFonts w:ascii="Arial" w:hAnsi="Arial" w:cs="Arial"/>
          <w:color w:val="808080" w:themeColor="background1" w:themeShade="80"/>
          <w:sz w:val="16"/>
          <w:szCs w:val="16"/>
        </w:rPr>
        <w:t>P</w:t>
      </w:r>
      <w:r w:rsidRPr="002F05D4">
        <w:rPr>
          <w:rFonts w:ascii="Arial" w:hAnsi="Arial" w:cs="Arial"/>
          <w:color w:val="808080" w:themeColor="background1" w:themeShade="80"/>
          <w:sz w:val="16"/>
          <w:szCs w:val="16"/>
        </w:rPr>
        <w:t>art I</w:t>
      </w:r>
    </w:p>
  </w:footnote>
  <w:footnote w:id="83">
    <w:p w14:paraId="299A85D7" w14:textId="40934C6A" w:rsidR="00BF2174" w:rsidRPr="002F05D4" w:rsidRDefault="00BF2174"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Ibid., </w:t>
      </w:r>
      <w:r w:rsidR="00C34233"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1002(a)</w:t>
      </w:r>
    </w:p>
  </w:footnote>
  <w:footnote w:id="84">
    <w:p w14:paraId="6A03F20C" w14:textId="60E44C9A" w:rsidR="00704136" w:rsidRPr="002F05D4" w:rsidRDefault="00704136"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Ibid., </w:t>
      </w:r>
      <w:r w:rsidR="00C34233"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1006(a)</w:t>
      </w:r>
    </w:p>
  </w:footnote>
  <w:footnote w:id="85">
    <w:p w14:paraId="2E445847" w14:textId="24C97BC1" w:rsidR="00B760A3" w:rsidRPr="002F05D4" w:rsidRDefault="00B760A3"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Ibid., </w:t>
      </w:r>
      <w:r w:rsidR="00C34233"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1001</w:t>
      </w:r>
    </w:p>
  </w:footnote>
  <w:footnote w:id="86">
    <w:p w14:paraId="56EBEEB8" w14:textId="12D34F5E" w:rsidR="006A665F" w:rsidRPr="002F05D4" w:rsidRDefault="006A665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Ibid., </w:t>
      </w:r>
      <w:r w:rsidR="00C34233"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7001(1)</w:t>
      </w:r>
    </w:p>
  </w:footnote>
  <w:footnote w:id="87">
    <w:p w14:paraId="3431E77B" w14:textId="66062D0E" w:rsidR="006A665F" w:rsidRPr="002F05D4" w:rsidRDefault="006A665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Ibid., </w:t>
      </w:r>
      <w:r w:rsidR="004B4A98" w:rsidRPr="002F05D4">
        <w:rPr>
          <w:rFonts w:ascii="Arial" w:hAnsi="Arial" w:cs="Arial"/>
          <w:color w:val="808080" w:themeColor="background1" w:themeShade="80"/>
          <w:sz w:val="16"/>
          <w:szCs w:val="16"/>
        </w:rPr>
        <w:t xml:space="preserve">Rule 7001, </w:t>
      </w:r>
      <w:r w:rsidRPr="002F05D4">
        <w:rPr>
          <w:rFonts w:ascii="Arial" w:hAnsi="Arial" w:cs="Arial"/>
          <w:color w:val="808080" w:themeColor="background1" w:themeShade="80"/>
          <w:sz w:val="16"/>
          <w:szCs w:val="16"/>
        </w:rPr>
        <w:t>Notes of Advisory Committee on Rules - 1983</w:t>
      </w:r>
    </w:p>
  </w:footnote>
  <w:footnote w:id="88">
    <w:p w14:paraId="43D9D61F" w14:textId="2ADD362C" w:rsidR="00834233" w:rsidRPr="002F05D4" w:rsidRDefault="00834233"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Ibid., </w:t>
      </w:r>
      <w:r w:rsidR="00C34233"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7002</w:t>
      </w:r>
    </w:p>
  </w:footnote>
  <w:footnote w:id="89">
    <w:p w14:paraId="12E44D34" w14:textId="024D747E" w:rsidR="00704136" w:rsidRPr="002F05D4" w:rsidRDefault="00704136"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40BA3" w:rsidRPr="002F05D4">
        <w:rPr>
          <w:rFonts w:ascii="Arial" w:hAnsi="Arial" w:cs="Arial"/>
          <w:color w:val="808080" w:themeColor="background1" w:themeShade="80"/>
          <w:sz w:val="16"/>
          <w:szCs w:val="16"/>
        </w:rPr>
        <w:t xml:space="preserve">Federal Rules of Civil Procedure, </w:t>
      </w:r>
      <w:r w:rsidR="008A71A6" w:rsidRPr="002F05D4">
        <w:rPr>
          <w:rFonts w:ascii="Arial" w:hAnsi="Arial" w:cs="Arial"/>
          <w:color w:val="808080" w:themeColor="background1" w:themeShade="80"/>
          <w:sz w:val="16"/>
          <w:szCs w:val="16"/>
        </w:rPr>
        <w:t>R</w:t>
      </w:r>
      <w:r w:rsidRPr="002F05D4">
        <w:rPr>
          <w:rFonts w:ascii="Arial" w:hAnsi="Arial" w:cs="Arial"/>
          <w:color w:val="808080" w:themeColor="background1" w:themeShade="80"/>
          <w:sz w:val="16"/>
          <w:szCs w:val="16"/>
        </w:rPr>
        <w:t>ule 1</w:t>
      </w:r>
    </w:p>
  </w:footnote>
  <w:footnote w:id="90">
    <w:p w14:paraId="28095097" w14:textId="447FF5EA" w:rsidR="00704136" w:rsidRPr="002F05D4" w:rsidRDefault="00704136"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Ibid.</w:t>
      </w:r>
    </w:p>
  </w:footnote>
  <w:footnote w:id="91">
    <w:p w14:paraId="039C1B8D" w14:textId="16E61F72" w:rsidR="00704136" w:rsidRPr="0096603E" w:rsidRDefault="00704136"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Ibid., R</w:t>
      </w:r>
      <w:r w:rsidRPr="002F05D4">
        <w:rPr>
          <w:rFonts w:ascii="Arial" w:hAnsi="Arial" w:cs="Arial"/>
          <w:color w:val="808080" w:themeColor="background1" w:themeShade="80"/>
          <w:sz w:val="16"/>
          <w:szCs w:val="16"/>
        </w:rPr>
        <w:t>ule 81(a)(2)</w:t>
      </w:r>
    </w:p>
  </w:footnote>
  <w:footnote w:id="92">
    <w:p w14:paraId="665D39A2" w14:textId="3FE7918D" w:rsidR="005F1E97" w:rsidRPr="002F05D4" w:rsidRDefault="005F1E97"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 xml:space="preserve">Federal Rules of Bankruptcy Procedure, </w:t>
      </w:r>
      <w:r w:rsidRPr="002F05D4">
        <w:rPr>
          <w:rFonts w:ascii="Arial" w:hAnsi="Arial" w:cs="Arial"/>
          <w:color w:val="808080" w:themeColor="background1" w:themeShade="80"/>
          <w:sz w:val="16"/>
          <w:szCs w:val="16"/>
        </w:rPr>
        <w:t>Rule 9032</w:t>
      </w:r>
    </w:p>
  </w:footnote>
  <w:footnote w:id="93">
    <w:p w14:paraId="74C98A4A" w14:textId="4BBBEA89" w:rsidR="00C20CBB" w:rsidRPr="002F05D4" w:rsidRDefault="00C20CBB"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5</w:t>
      </w:r>
    </w:p>
  </w:footnote>
  <w:footnote w:id="94">
    <w:p w14:paraId="08EC5AEC" w14:textId="73C9D71A" w:rsidR="00C20CBB" w:rsidRPr="002F05D4" w:rsidRDefault="00C20CBB"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Ibid.</w:t>
      </w:r>
    </w:p>
  </w:footnote>
  <w:footnote w:id="95">
    <w:p w14:paraId="09E89982" w14:textId="1D9FCB4E" w:rsidR="00C20CBB" w:rsidRPr="002F05D4" w:rsidRDefault="00C20CBB"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Ibid.</w:t>
      </w:r>
    </w:p>
  </w:footnote>
  <w:footnote w:id="96">
    <w:p w14:paraId="1756DCDE" w14:textId="0C0C1264" w:rsidR="00A23620" w:rsidRPr="002F05D4" w:rsidRDefault="00A23620" w:rsidP="005C78AF">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Local Rules for the United States Bankruptcy Court District of Delaware, 2023, R</w:t>
      </w:r>
      <w:r w:rsidRPr="002F05D4">
        <w:rPr>
          <w:rFonts w:ascii="Arial" w:hAnsi="Arial" w:cs="Arial"/>
          <w:color w:val="808080" w:themeColor="background1" w:themeShade="80"/>
          <w:sz w:val="16"/>
          <w:szCs w:val="16"/>
        </w:rPr>
        <w:t>ule 1001-1(b)</w:t>
      </w:r>
    </w:p>
  </w:footnote>
  <w:footnote w:id="97">
    <w:p w14:paraId="5E291551" w14:textId="5C6C0D4F" w:rsidR="00A23620" w:rsidRPr="002F05D4" w:rsidRDefault="00A23620"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34233" w:rsidRPr="002F05D4">
        <w:rPr>
          <w:rFonts w:ascii="Arial" w:hAnsi="Arial" w:cs="Arial"/>
          <w:color w:val="808080" w:themeColor="background1" w:themeShade="80"/>
          <w:sz w:val="16"/>
          <w:szCs w:val="16"/>
        </w:rPr>
        <w:t>Ibid., R</w:t>
      </w:r>
      <w:r w:rsidRPr="002F05D4">
        <w:rPr>
          <w:rFonts w:ascii="Arial" w:hAnsi="Arial" w:cs="Arial"/>
          <w:color w:val="808080" w:themeColor="background1" w:themeShade="80"/>
          <w:sz w:val="16"/>
          <w:szCs w:val="16"/>
        </w:rPr>
        <w:t>ule 7008-1</w:t>
      </w:r>
    </w:p>
  </w:footnote>
  <w:footnote w:id="98">
    <w:p w14:paraId="4CFFC8AF" w14:textId="7DCE78AF" w:rsidR="003109FD" w:rsidRPr="002F05D4" w:rsidRDefault="003109FD"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73</w:t>
      </w:r>
    </w:p>
  </w:footnote>
  <w:footnote w:id="99">
    <w:p w14:paraId="2D519FB6" w14:textId="0056BEBF" w:rsidR="00C2684C" w:rsidRPr="002F05D4" w:rsidRDefault="00C2684C"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126F17" w:rsidRPr="002F05D4">
        <w:rPr>
          <w:rFonts w:ascii="Arial" w:hAnsi="Arial" w:cs="Arial"/>
          <w:color w:val="808080" w:themeColor="background1" w:themeShade="80"/>
          <w:sz w:val="16"/>
          <w:szCs w:val="16"/>
        </w:rPr>
        <w:t>Ibid.</w:t>
      </w:r>
      <w:r w:rsidRPr="002F05D4">
        <w:rPr>
          <w:rFonts w:ascii="Arial" w:hAnsi="Arial" w:cs="Arial"/>
          <w:color w:val="808080" w:themeColor="background1" w:themeShade="80"/>
          <w:sz w:val="16"/>
          <w:szCs w:val="16"/>
          <w:lang w:val="en-GB"/>
        </w:rPr>
        <w:t xml:space="preserve">, p </w:t>
      </w:r>
      <w:r w:rsidRPr="002F05D4">
        <w:rPr>
          <w:rFonts w:ascii="Arial" w:hAnsi="Arial" w:cs="Arial"/>
          <w:color w:val="808080" w:themeColor="background1" w:themeShade="80"/>
          <w:sz w:val="16"/>
          <w:szCs w:val="16"/>
        </w:rPr>
        <w:t>60</w:t>
      </w:r>
    </w:p>
  </w:footnote>
  <w:footnote w:id="100">
    <w:p w14:paraId="27E82DC6" w14:textId="1B8FA5CF" w:rsidR="00984286" w:rsidRPr="002F05D4" w:rsidRDefault="00984286" w:rsidP="005C78AF">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5A00F4" w:rsidRPr="002F05D4">
        <w:rPr>
          <w:rFonts w:ascii="Arial" w:hAnsi="Arial" w:cs="Arial"/>
          <w:color w:val="808080" w:themeColor="background1" w:themeShade="80"/>
          <w:sz w:val="16"/>
          <w:szCs w:val="16"/>
        </w:rPr>
        <w:t xml:space="preserve">Chauncey Crail, Rob Watts and Jane Haskins, “Why Incorporate </w:t>
      </w:r>
      <w:proofErr w:type="gramStart"/>
      <w:r w:rsidR="005A00F4" w:rsidRPr="002F05D4">
        <w:rPr>
          <w:rFonts w:ascii="Arial" w:hAnsi="Arial" w:cs="Arial"/>
          <w:color w:val="808080" w:themeColor="background1" w:themeShade="80"/>
          <w:sz w:val="16"/>
          <w:szCs w:val="16"/>
        </w:rPr>
        <w:t>In</w:t>
      </w:r>
      <w:proofErr w:type="gramEnd"/>
      <w:r w:rsidR="005A00F4" w:rsidRPr="002F05D4">
        <w:rPr>
          <w:rFonts w:ascii="Arial" w:hAnsi="Arial" w:cs="Arial"/>
          <w:color w:val="808080" w:themeColor="background1" w:themeShade="80"/>
          <w:sz w:val="16"/>
          <w:szCs w:val="16"/>
        </w:rPr>
        <w:t xml:space="preserve"> Delaware? Benefits &amp; Considerations”</w:t>
      </w:r>
      <w:r w:rsidR="00A53048" w:rsidRPr="002F05D4">
        <w:rPr>
          <w:rFonts w:ascii="Arial" w:hAnsi="Arial" w:cs="Arial"/>
          <w:color w:val="808080" w:themeColor="background1" w:themeShade="80"/>
          <w:sz w:val="16"/>
          <w:szCs w:val="16"/>
        </w:rPr>
        <w:t xml:space="preserve"> (</w:t>
      </w:r>
      <w:r w:rsidR="005A00F4" w:rsidRPr="002F05D4">
        <w:rPr>
          <w:rFonts w:ascii="Arial" w:hAnsi="Arial" w:cs="Arial"/>
          <w:color w:val="808080" w:themeColor="background1" w:themeShade="80"/>
          <w:sz w:val="16"/>
          <w:szCs w:val="16"/>
        </w:rPr>
        <w:t>2023</w:t>
      </w:r>
      <w:r w:rsidR="00A53048" w:rsidRPr="002F05D4">
        <w:rPr>
          <w:rFonts w:ascii="Arial" w:hAnsi="Arial" w:cs="Arial"/>
          <w:color w:val="808080" w:themeColor="background1" w:themeShade="80"/>
          <w:sz w:val="16"/>
          <w:szCs w:val="16"/>
        </w:rPr>
        <w:t>)</w:t>
      </w:r>
      <w:r w:rsidR="00780C72" w:rsidRPr="002F05D4">
        <w:rPr>
          <w:rFonts w:ascii="Arial" w:hAnsi="Arial" w:cs="Arial"/>
          <w:color w:val="808080" w:themeColor="background1" w:themeShade="80"/>
          <w:sz w:val="16"/>
          <w:szCs w:val="16"/>
        </w:rPr>
        <w:t>,</w:t>
      </w:r>
      <w:r w:rsidR="005A00F4" w:rsidRPr="002F05D4">
        <w:rPr>
          <w:rFonts w:ascii="Arial" w:hAnsi="Arial" w:cs="Arial"/>
          <w:color w:val="808080" w:themeColor="background1" w:themeShade="80"/>
          <w:sz w:val="16"/>
          <w:szCs w:val="16"/>
        </w:rPr>
        <w:t xml:space="preserve"> </w:t>
      </w:r>
      <w:hyperlink r:id="rId13" w:history="1">
        <w:r w:rsidR="005A00F4" w:rsidRPr="002F05D4">
          <w:rPr>
            <w:rStyle w:val="Hyperlink"/>
            <w:rFonts w:ascii="Arial" w:hAnsi="Arial" w:cs="Arial"/>
            <w:sz w:val="16"/>
            <w:szCs w:val="16"/>
          </w:rPr>
          <w:t>https://www.forbes.com/advisor/business/incorporating-in-delaware/</w:t>
        </w:r>
      </w:hyperlink>
      <w:r w:rsidR="005A00F4" w:rsidRPr="002F05D4">
        <w:rPr>
          <w:rFonts w:ascii="Arial" w:hAnsi="Arial" w:cs="Arial"/>
          <w:color w:val="808080" w:themeColor="background1" w:themeShade="80"/>
          <w:sz w:val="16"/>
          <w:szCs w:val="16"/>
        </w:rPr>
        <w:t xml:space="preserve">,  </w:t>
      </w:r>
      <w:r w:rsidR="005A00F4" w:rsidRPr="002F05D4">
        <w:rPr>
          <w:rFonts w:ascii="Arial" w:hAnsi="Arial" w:cs="Arial"/>
          <w:color w:val="808080" w:themeColor="background1" w:themeShade="80"/>
          <w:sz w:val="16"/>
          <w:szCs w:val="16"/>
          <w:lang w:val="en-GB"/>
        </w:rPr>
        <w:t>accessed on 10 February 2024</w:t>
      </w:r>
    </w:p>
  </w:footnote>
  <w:footnote w:id="101">
    <w:p w14:paraId="32BF9776" w14:textId="3B7C7AB8" w:rsidR="00984286" w:rsidRPr="005E1A41" w:rsidRDefault="00984286"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126F17" w:rsidRPr="002F05D4">
        <w:rPr>
          <w:rFonts w:ascii="Arial" w:hAnsi="Arial" w:cs="Arial"/>
          <w:color w:val="808080" w:themeColor="background1" w:themeShade="80"/>
          <w:sz w:val="16"/>
          <w:szCs w:val="16"/>
        </w:rPr>
        <w:t>Ibid.</w:t>
      </w:r>
    </w:p>
  </w:footnote>
  <w:footnote w:id="102">
    <w:p w14:paraId="4581A10F" w14:textId="70D8B5F6" w:rsidR="00D42AA7" w:rsidRPr="002F05D4" w:rsidRDefault="00D42AA7"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Skadden, Arps, Slate, Meagher &amp; Flom LLP, “Directors’ Fiduciary Duties: Back to Delaware Law Basics” (2020)</w:t>
      </w:r>
      <w:r w:rsidR="00A53048" w:rsidRPr="002F05D4">
        <w:rPr>
          <w:rFonts w:ascii="Arial" w:hAnsi="Arial" w:cs="Arial"/>
          <w:color w:val="808080" w:themeColor="background1" w:themeShade="80"/>
          <w:sz w:val="16"/>
          <w:szCs w:val="16"/>
        </w:rPr>
        <w:t>,</w:t>
      </w:r>
      <w:r w:rsidRPr="002F05D4">
        <w:rPr>
          <w:rFonts w:ascii="Arial" w:hAnsi="Arial" w:cs="Arial"/>
          <w:color w:val="808080" w:themeColor="background1" w:themeShade="80"/>
          <w:sz w:val="16"/>
          <w:szCs w:val="16"/>
        </w:rPr>
        <w:t xml:space="preserve"> p 1</w:t>
      </w:r>
      <w:r w:rsidR="0013114F" w:rsidRPr="002F05D4">
        <w:rPr>
          <w:rFonts w:ascii="Arial" w:hAnsi="Arial" w:cs="Arial"/>
          <w:color w:val="808080" w:themeColor="background1" w:themeShade="80"/>
          <w:sz w:val="16"/>
          <w:szCs w:val="16"/>
        </w:rPr>
        <w:t xml:space="preserve"> </w:t>
      </w:r>
    </w:p>
  </w:footnote>
  <w:footnote w:id="103">
    <w:p w14:paraId="602D183E" w14:textId="0C1F4A34" w:rsidR="00D42AA7" w:rsidRPr="002F05D4" w:rsidRDefault="00D42AA7"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03635C" w:rsidRPr="002F05D4">
        <w:rPr>
          <w:rFonts w:ascii="Arial" w:hAnsi="Arial" w:cs="Arial"/>
          <w:color w:val="808080" w:themeColor="background1" w:themeShade="80"/>
          <w:sz w:val="16"/>
          <w:szCs w:val="16"/>
        </w:rPr>
        <w:t>Ibid.</w:t>
      </w:r>
      <w:r w:rsidR="005919CA" w:rsidRPr="002F05D4">
        <w:rPr>
          <w:rFonts w:ascii="Arial" w:hAnsi="Arial" w:cs="Arial"/>
          <w:color w:val="808080" w:themeColor="background1" w:themeShade="80"/>
          <w:sz w:val="16"/>
          <w:szCs w:val="16"/>
        </w:rPr>
        <w:t xml:space="preserve">, p </w:t>
      </w:r>
      <w:r w:rsidR="00C5691F" w:rsidRPr="002F05D4">
        <w:rPr>
          <w:rFonts w:ascii="Arial" w:hAnsi="Arial" w:cs="Arial"/>
          <w:color w:val="808080" w:themeColor="background1" w:themeShade="80"/>
          <w:sz w:val="16"/>
          <w:szCs w:val="16"/>
        </w:rPr>
        <w:t>2</w:t>
      </w:r>
    </w:p>
  </w:footnote>
  <w:footnote w:id="104">
    <w:p w14:paraId="3EAFE1E9" w14:textId="30CF8176" w:rsidR="005919CA" w:rsidRPr="002F05D4" w:rsidRDefault="005919CA"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Morrison &amp; Foerster LLP, “What Fiduciary Duties Do I Have as a Director of a Delaware Corporation?” (2023), </w:t>
      </w:r>
      <w:hyperlink r:id="rId14" w:history="1">
        <w:r w:rsidRPr="002F05D4">
          <w:rPr>
            <w:rStyle w:val="Hyperlink"/>
            <w:rFonts w:ascii="Arial" w:hAnsi="Arial" w:cs="Arial"/>
            <w:sz w:val="16"/>
            <w:szCs w:val="16"/>
          </w:rPr>
          <w:t>https://www.mofo.com/resources/insights/230628-fiduciary-duties-director-of-a-delaware-corporation</w:t>
        </w:r>
      </w:hyperlink>
      <w:r w:rsidRPr="002F05D4">
        <w:rPr>
          <w:rFonts w:ascii="Arial" w:hAnsi="Arial" w:cs="Arial"/>
          <w:color w:val="808080" w:themeColor="background1" w:themeShade="80"/>
          <w:sz w:val="16"/>
          <w:szCs w:val="16"/>
        </w:rPr>
        <w:t>, accessed on 10 February 2024</w:t>
      </w:r>
    </w:p>
  </w:footnote>
  <w:footnote w:id="105">
    <w:p w14:paraId="74630649" w14:textId="4D1D6D7A" w:rsidR="0013114F" w:rsidRPr="002F05D4" w:rsidRDefault="0013114F"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5919CA" w:rsidRPr="002F05D4">
        <w:rPr>
          <w:rFonts w:ascii="Arial" w:hAnsi="Arial" w:cs="Arial"/>
          <w:color w:val="808080" w:themeColor="background1" w:themeShade="80"/>
          <w:sz w:val="16"/>
          <w:szCs w:val="16"/>
        </w:rPr>
        <w:t xml:space="preserve">Skadden, Arps, Slate, Meagher &amp; Flom LLP, “Directors’ Fiduciary Duties: Back to Delaware Law Basics” (2020), p </w:t>
      </w:r>
      <w:r w:rsidR="00C5691F" w:rsidRPr="002F05D4">
        <w:rPr>
          <w:rFonts w:ascii="Arial" w:hAnsi="Arial" w:cs="Arial"/>
          <w:color w:val="808080" w:themeColor="background1" w:themeShade="80"/>
          <w:sz w:val="16"/>
          <w:szCs w:val="16"/>
        </w:rPr>
        <w:t>2</w:t>
      </w:r>
      <w:r w:rsidR="005919CA" w:rsidRPr="002F05D4">
        <w:rPr>
          <w:rFonts w:ascii="Arial" w:hAnsi="Arial" w:cs="Arial"/>
          <w:color w:val="808080" w:themeColor="background1" w:themeShade="80"/>
          <w:sz w:val="16"/>
          <w:szCs w:val="16"/>
        </w:rPr>
        <w:t xml:space="preserve"> </w:t>
      </w:r>
    </w:p>
  </w:footnote>
  <w:footnote w:id="106">
    <w:p w14:paraId="54CF24B8" w14:textId="25C4D89E" w:rsidR="00F25C82" w:rsidRPr="002F05D4" w:rsidRDefault="00F25C82"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i/>
          <w:iCs/>
          <w:color w:val="808080" w:themeColor="background1" w:themeShade="80"/>
          <w:sz w:val="16"/>
          <w:szCs w:val="16"/>
        </w:rPr>
        <w:t>Guth v. Loft. Inc</w:t>
      </w:r>
      <w:r w:rsidRPr="002F05D4">
        <w:rPr>
          <w:rFonts w:ascii="Arial" w:hAnsi="Arial" w:cs="Arial"/>
          <w:color w:val="808080" w:themeColor="background1" w:themeShade="80"/>
          <w:sz w:val="16"/>
          <w:szCs w:val="16"/>
        </w:rPr>
        <w:t>., 5 A.2d 503, 510 (Del. 1939) at 510</w:t>
      </w:r>
    </w:p>
  </w:footnote>
  <w:footnote w:id="107">
    <w:p w14:paraId="2604F9F0" w14:textId="095CC585" w:rsidR="00C10360" w:rsidRPr="002F05D4" w:rsidRDefault="00C10360"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Morrison &amp; Foerster LLP, “What Fiduciary Duties Do I Have as a Director of a Delaware Corporation?” (2023), </w:t>
      </w:r>
      <w:hyperlink r:id="rId15" w:history="1">
        <w:r w:rsidRPr="002F05D4">
          <w:rPr>
            <w:rStyle w:val="Hyperlink"/>
            <w:rFonts w:ascii="Arial" w:hAnsi="Arial" w:cs="Arial"/>
            <w:sz w:val="16"/>
            <w:szCs w:val="16"/>
          </w:rPr>
          <w:t>https://www.mofo.com/resources/insights/230628-fiduciary-duties-director-of-a-delaware-corporation</w:t>
        </w:r>
      </w:hyperlink>
      <w:r w:rsidRPr="002F05D4">
        <w:rPr>
          <w:rFonts w:ascii="Arial" w:hAnsi="Arial" w:cs="Arial"/>
          <w:color w:val="808080" w:themeColor="background1" w:themeShade="80"/>
          <w:sz w:val="16"/>
          <w:szCs w:val="16"/>
        </w:rPr>
        <w:t>,  accessed on 10 February 2024</w:t>
      </w:r>
    </w:p>
  </w:footnote>
  <w:footnote w:id="108">
    <w:p w14:paraId="0544D3E6" w14:textId="5AB48556" w:rsidR="003441CF" w:rsidRPr="002F05D4" w:rsidRDefault="003441C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60</w:t>
      </w:r>
    </w:p>
  </w:footnote>
  <w:footnote w:id="109">
    <w:p w14:paraId="10E0B014" w14:textId="0CEE965C" w:rsidR="007402DB" w:rsidRPr="002F05D4" w:rsidRDefault="007402DB"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Skadden, Arps, Slate, Meagher &amp; Flom LLP, “Directors’ Fiduciary Duties: Back to Delaware Law Basics” (2020) p 2</w:t>
      </w:r>
    </w:p>
  </w:footnote>
  <w:footnote w:id="110">
    <w:p w14:paraId="7782A009" w14:textId="6DA076BB" w:rsidR="007402DB" w:rsidRPr="002F05D4" w:rsidRDefault="007402DB"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60</w:t>
      </w:r>
    </w:p>
  </w:footnote>
  <w:footnote w:id="111">
    <w:p w14:paraId="2D8C7050" w14:textId="77777777" w:rsidR="00BB4EB0" w:rsidRPr="002F05D4" w:rsidRDefault="00BB4EB0"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663 A.2d 1156 (Del. 1995)</w:t>
      </w:r>
    </w:p>
  </w:footnote>
  <w:footnote w:id="112">
    <w:p w14:paraId="7FBD8181" w14:textId="77777777" w:rsidR="00BB4EB0" w:rsidRPr="002F05D4" w:rsidRDefault="00BB4EB0"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Ibid., 1164</w:t>
      </w:r>
    </w:p>
  </w:footnote>
  <w:footnote w:id="113">
    <w:p w14:paraId="216835D8" w14:textId="14EDC434" w:rsidR="005D11F3" w:rsidRPr="002F05D4" w:rsidRDefault="005D11F3"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110CF" w:rsidRPr="002F05D4">
        <w:rPr>
          <w:rFonts w:ascii="Arial" w:hAnsi="Arial" w:cs="Arial"/>
          <w:color w:val="808080" w:themeColor="background1" w:themeShade="80"/>
          <w:sz w:val="16"/>
          <w:szCs w:val="16"/>
        </w:rPr>
        <w:t>William M. Lafferty, Lisa A. Schmidt and Donald J. Wolfe, Jr, “A Brief Introduction to the Fiduciary Duties of Directors Under Delaware Law” (2012) Penn State Law Review 837, 842</w:t>
      </w:r>
    </w:p>
  </w:footnote>
  <w:footnote w:id="114">
    <w:p w14:paraId="1C8915CB" w14:textId="5D820851" w:rsidR="005B5FDE" w:rsidRPr="002F05D4" w:rsidRDefault="005B5FDE"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i/>
          <w:iCs/>
          <w:color w:val="808080" w:themeColor="background1" w:themeShade="80"/>
          <w:sz w:val="16"/>
          <w:szCs w:val="16"/>
        </w:rPr>
        <w:t>Cede &amp; Co. v. Technicolor, Inc</w:t>
      </w:r>
      <w:r w:rsidRPr="002F05D4">
        <w:rPr>
          <w:rFonts w:ascii="Arial" w:hAnsi="Arial" w:cs="Arial"/>
          <w:color w:val="808080" w:themeColor="background1" w:themeShade="80"/>
          <w:sz w:val="16"/>
          <w:szCs w:val="16"/>
        </w:rPr>
        <w:t>., 634 A.2d 345, 361 (Del. 1993)</w:t>
      </w:r>
    </w:p>
  </w:footnote>
  <w:footnote w:id="115">
    <w:p w14:paraId="3B40EB45" w14:textId="01C23AEA" w:rsidR="00BC5AEB" w:rsidRPr="00ED2C91" w:rsidRDefault="00BC5AEB"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Morrison &amp; Foerster LLP, “What Fiduciary Duties Do I Have as a Director of a Delaware Corporation?” (2023), </w:t>
      </w:r>
      <w:hyperlink r:id="rId16" w:history="1">
        <w:r w:rsidRPr="002F05D4">
          <w:rPr>
            <w:rStyle w:val="Hyperlink"/>
            <w:rFonts w:ascii="Arial" w:hAnsi="Arial" w:cs="Arial"/>
            <w:sz w:val="16"/>
            <w:szCs w:val="16"/>
          </w:rPr>
          <w:t>https://www.mofo.com/resources/insights/230628-fiduciary-duties-director-of-a-delaware-corporation</w:t>
        </w:r>
      </w:hyperlink>
      <w:r w:rsidRPr="002F05D4">
        <w:rPr>
          <w:rFonts w:ascii="Arial" w:hAnsi="Arial" w:cs="Arial"/>
          <w:color w:val="808080" w:themeColor="background1" w:themeShade="80"/>
          <w:sz w:val="16"/>
          <w:szCs w:val="16"/>
        </w:rPr>
        <w:t>, accessed on 10 February 2024</w:t>
      </w:r>
    </w:p>
  </w:footnote>
  <w:footnote w:id="116">
    <w:p w14:paraId="2D3330FB" w14:textId="0A8AE6C8" w:rsidR="00FC6022" w:rsidRPr="002F05D4" w:rsidRDefault="00FC6022"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Brad Eric Scheler, Gary L. Kaplan, and Jennifer L. </w:t>
      </w:r>
      <w:proofErr w:type="spellStart"/>
      <w:r w:rsidRPr="002F05D4">
        <w:rPr>
          <w:rFonts w:ascii="Arial" w:hAnsi="Arial" w:cs="Arial"/>
          <w:color w:val="808080" w:themeColor="background1" w:themeShade="80"/>
          <w:sz w:val="16"/>
          <w:szCs w:val="16"/>
        </w:rPr>
        <w:t>Rodburg</w:t>
      </w:r>
      <w:proofErr w:type="spellEnd"/>
      <w:r w:rsidRPr="002F05D4">
        <w:rPr>
          <w:rFonts w:ascii="Arial" w:hAnsi="Arial" w:cs="Arial"/>
          <w:color w:val="808080" w:themeColor="background1" w:themeShade="80"/>
          <w:sz w:val="16"/>
          <w:szCs w:val="16"/>
        </w:rPr>
        <w:t xml:space="preserve">, Fried, Frank, Harris, Shriver &amp; Jacobson LLP, Harvard Law School Forum on Corporate Governance, “Director Fiduciary Duty in Insolvency” (2020), </w:t>
      </w:r>
      <w:hyperlink r:id="rId17" w:history="1">
        <w:r w:rsidRPr="002F05D4">
          <w:rPr>
            <w:rStyle w:val="Hyperlink"/>
            <w:rFonts w:ascii="Arial" w:hAnsi="Arial" w:cs="Arial"/>
            <w:sz w:val="16"/>
            <w:szCs w:val="16"/>
          </w:rPr>
          <w:t>https://corpgov.law.harvard.edu/2020/04/15/director-fiduciary-duty-in-insolvency/</w:t>
        </w:r>
      </w:hyperlink>
      <w:r w:rsidRPr="002F05D4">
        <w:rPr>
          <w:rFonts w:ascii="Arial" w:hAnsi="Arial" w:cs="Arial"/>
          <w:color w:val="808080" w:themeColor="background1" w:themeShade="80"/>
          <w:sz w:val="16"/>
          <w:szCs w:val="16"/>
        </w:rPr>
        <w:t>, accessed on 29 February 2024</w:t>
      </w:r>
    </w:p>
  </w:footnote>
  <w:footnote w:id="117">
    <w:p w14:paraId="47BB76F9" w14:textId="0F651F1C" w:rsidR="00ED2C91" w:rsidRPr="002F05D4" w:rsidRDefault="00ED2C91"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Ibid.</w:t>
      </w:r>
    </w:p>
  </w:footnote>
  <w:footnote w:id="118">
    <w:p w14:paraId="6FCEF894" w14:textId="77777777" w:rsidR="0025125F" w:rsidRPr="002F05D4" w:rsidRDefault="0025125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930 A.2d (Del 18 </w:t>
      </w:r>
      <w:proofErr w:type="gramStart"/>
      <w:r w:rsidRPr="002F05D4">
        <w:rPr>
          <w:rFonts w:ascii="Arial" w:hAnsi="Arial" w:cs="Arial"/>
          <w:color w:val="808080" w:themeColor="background1" w:themeShade="80"/>
          <w:sz w:val="16"/>
          <w:szCs w:val="16"/>
        </w:rPr>
        <w:t>May,</w:t>
      </w:r>
      <w:proofErr w:type="gramEnd"/>
      <w:r w:rsidRPr="002F05D4">
        <w:rPr>
          <w:rFonts w:ascii="Arial" w:hAnsi="Arial" w:cs="Arial"/>
          <w:color w:val="808080" w:themeColor="background1" w:themeShade="80"/>
          <w:sz w:val="16"/>
          <w:szCs w:val="16"/>
        </w:rPr>
        <w:t xml:space="preserve"> 2007)</w:t>
      </w:r>
    </w:p>
  </w:footnote>
  <w:footnote w:id="119">
    <w:p w14:paraId="51728A7B" w14:textId="70AEBFA9" w:rsidR="00FB5DDE" w:rsidRPr="002F05D4" w:rsidRDefault="00FB5DD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Ibid.</w:t>
      </w:r>
    </w:p>
  </w:footnote>
  <w:footnote w:id="120">
    <w:p w14:paraId="334D91F8" w14:textId="6FC4C0E4" w:rsidR="00F1538F" w:rsidRPr="002F05D4" w:rsidRDefault="00F1538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Brad Eric Scheler, Gary L. Kaplan, and Jennifer L. </w:t>
      </w:r>
      <w:proofErr w:type="spellStart"/>
      <w:r w:rsidRPr="002F05D4">
        <w:rPr>
          <w:rFonts w:ascii="Arial" w:hAnsi="Arial" w:cs="Arial"/>
          <w:color w:val="808080" w:themeColor="background1" w:themeShade="80"/>
          <w:sz w:val="16"/>
          <w:szCs w:val="16"/>
        </w:rPr>
        <w:t>Rodburg</w:t>
      </w:r>
      <w:proofErr w:type="spellEnd"/>
      <w:r w:rsidRPr="002F05D4">
        <w:rPr>
          <w:rFonts w:ascii="Arial" w:hAnsi="Arial" w:cs="Arial"/>
          <w:color w:val="808080" w:themeColor="background1" w:themeShade="80"/>
          <w:sz w:val="16"/>
          <w:szCs w:val="16"/>
        </w:rPr>
        <w:t xml:space="preserve">, Fried, Frank, Harris, Shriver &amp; Jacobson LLP, Harvard Law School Forum on Corporate Governance, “Director Fiduciary Duty in Insolvency” (2020), </w:t>
      </w:r>
      <w:hyperlink r:id="rId18" w:history="1">
        <w:r w:rsidRPr="002F05D4">
          <w:rPr>
            <w:rStyle w:val="Hyperlink"/>
            <w:rFonts w:ascii="Arial" w:hAnsi="Arial" w:cs="Arial"/>
            <w:sz w:val="16"/>
            <w:szCs w:val="16"/>
          </w:rPr>
          <w:t>https://corpgov.law.harvard.edu/2020/04/15/director-fiduciary-duty-in-insolvency/</w:t>
        </w:r>
      </w:hyperlink>
      <w:r w:rsidRPr="002F05D4">
        <w:rPr>
          <w:rFonts w:ascii="Arial" w:hAnsi="Arial" w:cs="Arial"/>
          <w:color w:val="808080" w:themeColor="background1" w:themeShade="80"/>
          <w:sz w:val="16"/>
          <w:szCs w:val="16"/>
        </w:rPr>
        <w:t>, accessed on 29 February 2024</w:t>
      </w:r>
    </w:p>
  </w:footnote>
  <w:footnote w:id="121">
    <w:p w14:paraId="50C77E2C" w14:textId="408F327E" w:rsidR="00F1538F" w:rsidRPr="002F05D4" w:rsidRDefault="00F1538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930 A.2d (Del 18 </w:t>
      </w:r>
      <w:proofErr w:type="gramStart"/>
      <w:r w:rsidRPr="002F05D4">
        <w:rPr>
          <w:rFonts w:ascii="Arial" w:hAnsi="Arial" w:cs="Arial"/>
          <w:color w:val="808080" w:themeColor="background1" w:themeShade="80"/>
          <w:sz w:val="16"/>
          <w:szCs w:val="16"/>
        </w:rPr>
        <w:t>May,</w:t>
      </w:r>
      <w:proofErr w:type="gramEnd"/>
      <w:r w:rsidRPr="002F05D4">
        <w:rPr>
          <w:rFonts w:ascii="Arial" w:hAnsi="Arial" w:cs="Arial"/>
          <w:color w:val="808080" w:themeColor="background1" w:themeShade="80"/>
          <w:sz w:val="16"/>
          <w:szCs w:val="16"/>
        </w:rPr>
        <w:t xml:space="preserve"> 2007)</w:t>
      </w:r>
    </w:p>
  </w:footnote>
  <w:footnote w:id="122">
    <w:p w14:paraId="704A0E76" w14:textId="2A7E7E62" w:rsidR="00F1538F" w:rsidRPr="002F05D4" w:rsidRDefault="00F1538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Brad Eric Scheler, Gary L. Kaplan, and Jennifer L. </w:t>
      </w:r>
      <w:proofErr w:type="spellStart"/>
      <w:r w:rsidRPr="002F05D4">
        <w:rPr>
          <w:rFonts w:ascii="Arial" w:hAnsi="Arial" w:cs="Arial"/>
          <w:color w:val="808080" w:themeColor="background1" w:themeShade="80"/>
          <w:sz w:val="16"/>
          <w:szCs w:val="16"/>
        </w:rPr>
        <w:t>Rodburg</w:t>
      </w:r>
      <w:proofErr w:type="spellEnd"/>
      <w:r w:rsidRPr="002F05D4">
        <w:rPr>
          <w:rFonts w:ascii="Arial" w:hAnsi="Arial" w:cs="Arial"/>
          <w:color w:val="808080" w:themeColor="background1" w:themeShade="80"/>
          <w:sz w:val="16"/>
          <w:szCs w:val="16"/>
        </w:rPr>
        <w:t xml:space="preserve">, Fried, Frank, Harris, Shriver &amp; Jacobson LLP, Harvard Law School Forum on Corporate Governance, “Director Fiduciary Duty in Insolvency” (2020), </w:t>
      </w:r>
      <w:hyperlink r:id="rId19" w:history="1">
        <w:r w:rsidRPr="002F05D4">
          <w:rPr>
            <w:rStyle w:val="Hyperlink"/>
            <w:rFonts w:ascii="Arial" w:hAnsi="Arial" w:cs="Arial"/>
            <w:sz w:val="16"/>
            <w:szCs w:val="16"/>
          </w:rPr>
          <w:t>https://corpgov.law.harvard.edu/2020/04/15/director-fiduciary-duty-in-insolvency/</w:t>
        </w:r>
      </w:hyperlink>
      <w:r w:rsidRPr="002F05D4">
        <w:rPr>
          <w:rFonts w:ascii="Arial" w:hAnsi="Arial" w:cs="Arial"/>
          <w:color w:val="808080" w:themeColor="background1" w:themeShade="80"/>
          <w:sz w:val="16"/>
          <w:szCs w:val="16"/>
        </w:rPr>
        <w:t>, accessed on 29 February 2024</w:t>
      </w:r>
    </w:p>
  </w:footnote>
  <w:footnote w:id="123">
    <w:p w14:paraId="11CC91A2" w14:textId="55962864" w:rsidR="00F1538F" w:rsidRPr="005C78AF" w:rsidRDefault="00F1538F"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930 A.2d (Del 18 </w:t>
      </w:r>
      <w:proofErr w:type="gramStart"/>
      <w:r w:rsidRPr="002F05D4">
        <w:rPr>
          <w:rFonts w:ascii="Arial" w:hAnsi="Arial" w:cs="Arial"/>
          <w:color w:val="808080" w:themeColor="background1" w:themeShade="80"/>
          <w:sz w:val="16"/>
          <w:szCs w:val="16"/>
        </w:rPr>
        <w:t>May,</w:t>
      </w:r>
      <w:proofErr w:type="gramEnd"/>
      <w:r w:rsidRPr="002F05D4">
        <w:rPr>
          <w:rFonts w:ascii="Arial" w:hAnsi="Arial" w:cs="Arial"/>
          <w:color w:val="808080" w:themeColor="background1" w:themeShade="80"/>
          <w:sz w:val="16"/>
          <w:szCs w:val="16"/>
        </w:rPr>
        <w:t xml:space="preserve"> 2007)</w:t>
      </w:r>
    </w:p>
  </w:footnote>
  <w:footnote w:id="124">
    <w:p w14:paraId="24C5B1C5" w14:textId="735F7BF0" w:rsidR="00673471" w:rsidRPr="002F05D4" w:rsidRDefault="00673471"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115 A.3d 535 (Del. Ch. 2015)</w:t>
      </w:r>
    </w:p>
  </w:footnote>
  <w:footnote w:id="125">
    <w:p w14:paraId="5D560739" w14:textId="415DBB54" w:rsidR="00673471" w:rsidRPr="002F05D4" w:rsidRDefault="00673471"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Ryan Philp, Ronald J. Silverman and Matthew Ducharme, Hogan Lovell, Bloomberg Law, "Fiduciary Duties for Directors of Distressed, Insolvent, and Bankrupt Companies" (2021), p 3</w:t>
      </w:r>
    </w:p>
  </w:footnote>
  <w:footnote w:id="126">
    <w:p w14:paraId="27D1AB32" w14:textId="48E14D7C" w:rsidR="00D115F8" w:rsidRPr="002F05D4" w:rsidRDefault="00D115F8"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115 A.3d 535 (Del. Ch. 2015)</w:t>
      </w:r>
    </w:p>
  </w:footnote>
  <w:footnote w:id="127">
    <w:p w14:paraId="7E631466" w14:textId="23C40581" w:rsidR="00BA409E" w:rsidRPr="002F05D4" w:rsidRDefault="003868C1" w:rsidP="005C78AF">
      <w:pPr>
        <w:pStyle w:val="FootnoteText"/>
        <w:jc w:val="both"/>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CE62DC"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365(a)</w:t>
      </w:r>
    </w:p>
  </w:footnote>
  <w:footnote w:id="128">
    <w:p w14:paraId="2BC1C4E9" w14:textId="77777777" w:rsidR="00CF705E" w:rsidRPr="002F05D4" w:rsidRDefault="00CF705E" w:rsidP="005C78AF">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bookmarkStart w:id="3" w:name="_Hlk159103126"/>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31</w:t>
      </w:r>
      <w:bookmarkEnd w:id="3"/>
    </w:p>
  </w:footnote>
  <w:footnote w:id="129">
    <w:p w14:paraId="233D114A" w14:textId="7580D915" w:rsidR="00123C65" w:rsidRPr="005F3B4E" w:rsidRDefault="00123C65" w:rsidP="005C78AF">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bookmarkStart w:id="4" w:name="_Hlk159075452"/>
      <w:r w:rsidRPr="002F05D4">
        <w:rPr>
          <w:rFonts w:ascii="Arial" w:hAnsi="Arial" w:cs="Arial"/>
          <w:color w:val="808080" w:themeColor="background1" w:themeShade="80"/>
          <w:sz w:val="16"/>
          <w:szCs w:val="16"/>
        </w:rPr>
        <w:t xml:space="preserve">John Delnero, Pedersen &amp; Houpt, “Lessor Rights in Retail Bankruptcy Cases” (2020), </w:t>
      </w:r>
      <w:hyperlink r:id="rId20" w:anchor=":~:text" w:history="1">
        <w:r w:rsidRPr="002F05D4">
          <w:rPr>
            <w:rStyle w:val="Hyperlink"/>
            <w:rFonts w:ascii="Arial" w:hAnsi="Arial" w:cs="Arial"/>
            <w:sz w:val="16"/>
            <w:szCs w:val="16"/>
          </w:rPr>
          <w:t>https://www.pedersenhoupt.com/newsroom-alerts-60.html#:~:text</w:t>
        </w:r>
      </w:hyperlink>
      <w:r w:rsidRPr="002F05D4">
        <w:rPr>
          <w:rFonts w:ascii="Arial" w:hAnsi="Arial" w:cs="Arial"/>
          <w:color w:val="808080" w:themeColor="background1" w:themeShade="80"/>
          <w:sz w:val="16"/>
          <w:szCs w:val="16"/>
        </w:rPr>
        <w:t>, accessed on 17 February 2024</w:t>
      </w:r>
      <w:bookmarkEnd w:id="4"/>
    </w:p>
  </w:footnote>
  <w:footnote w:id="130">
    <w:p w14:paraId="4EE29234" w14:textId="0FA58EDF" w:rsidR="002F2CFC" w:rsidRPr="002F05D4" w:rsidRDefault="002F2CFC"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365(d)(4)(A)</w:t>
      </w:r>
    </w:p>
  </w:footnote>
  <w:footnote w:id="131">
    <w:p w14:paraId="6800A933" w14:textId="7EE9807C" w:rsidR="002F2CFC" w:rsidRPr="002F05D4" w:rsidRDefault="002F2CFC"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365(d)(4)(B)</w:t>
      </w:r>
    </w:p>
  </w:footnote>
  <w:footnote w:id="132">
    <w:p w14:paraId="3380C457" w14:textId="10692258" w:rsidR="00503370" w:rsidRPr="002F05D4" w:rsidRDefault="00503370"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Kyriaki Christodoulou, KI Legal, “Executory Contracts and Leases in Bankruptcy” (2023), </w:t>
      </w:r>
      <w:hyperlink r:id="rId21" w:history="1">
        <w:r w:rsidRPr="002F05D4">
          <w:rPr>
            <w:rStyle w:val="Hyperlink"/>
            <w:rFonts w:ascii="Arial" w:hAnsi="Arial" w:cs="Arial"/>
            <w:sz w:val="16"/>
            <w:szCs w:val="16"/>
          </w:rPr>
          <w:t>https://www.kilegal.com/blog/2023/july/executory-contracts-and-leases-in-bankruptcy/</w:t>
        </w:r>
      </w:hyperlink>
      <w:r w:rsidRPr="002F05D4">
        <w:rPr>
          <w:rFonts w:ascii="Arial" w:hAnsi="Arial" w:cs="Arial"/>
          <w:color w:val="808080" w:themeColor="background1" w:themeShade="80"/>
          <w:sz w:val="16"/>
          <w:szCs w:val="16"/>
        </w:rPr>
        <w:t>, accessed on 17 February 2024</w:t>
      </w:r>
    </w:p>
  </w:footnote>
  <w:footnote w:id="133">
    <w:p w14:paraId="1426A9AE" w14:textId="23B73EF3" w:rsidR="002F2CFC" w:rsidRPr="002F05D4" w:rsidRDefault="002F2CFC"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bookmarkStart w:id="5" w:name="_Hlk159073116"/>
      <w:r w:rsidRPr="002F05D4">
        <w:rPr>
          <w:rFonts w:ascii="Arial" w:hAnsi="Arial" w:cs="Arial"/>
          <w:color w:val="808080" w:themeColor="background1" w:themeShade="80"/>
          <w:sz w:val="16"/>
          <w:szCs w:val="16"/>
        </w:rPr>
        <w:t xml:space="preserve">Kimberly Black and Daniel A. Lowenthal, Patterson Belknap Webb &amp; Tyler LLP, “What to Do If Your Tenant Is Bankrupt” (2022), </w:t>
      </w:r>
      <w:hyperlink r:id="rId22" w:history="1">
        <w:r w:rsidRPr="002F05D4">
          <w:rPr>
            <w:rStyle w:val="Hyperlink"/>
            <w:rFonts w:ascii="Arial" w:hAnsi="Arial" w:cs="Arial"/>
            <w:sz w:val="16"/>
            <w:szCs w:val="16"/>
          </w:rPr>
          <w:t>https://www.pbwt.com/bankruptcy-update-blog/what-to-do-if-your-tenant-is-bankrupt</w:t>
        </w:r>
      </w:hyperlink>
      <w:r w:rsidRPr="002F05D4">
        <w:rPr>
          <w:rFonts w:ascii="Arial" w:hAnsi="Arial" w:cs="Arial"/>
          <w:color w:val="808080" w:themeColor="background1" w:themeShade="80"/>
          <w:sz w:val="16"/>
          <w:szCs w:val="16"/>
        </w:rPr>
        <w:t>, accessed on 17 February 2024</w:t>
      </w:r>
      <w:bookmarkEnd w:id="5"/>
    </w:p>
  </w:footnote>
  <w:footnote w:id="134">
    <w:p w14:paraId="207E81CE" w14:textId="0A86E627" w:rsidR="00CF705E" w:rsidRPr="002F05D4" w:rsidRDefault="00CF705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A5119C" w:rsidRPr="002F05D4">
        <w:rPr>
          <w:rFonts w:ascii="Arial" w:hAnsi="Arial" w:cs="Arial"/>
          <w:color w:val="808080" w:themeColor="background1" w:themeShade="80"/>
          <w:sz w:val="16"/>
          <w:szCs w:val="16"/>
        </w:rPr>
        <w:t>Ibid.</w:t>
      </w:r>
    </w:p>
  </w:footnote>
  <w:footnote w:id="135">
    <w:p w14:paraId="2C57C3B6" w14:textId="6DCEBD70" w:rsidR="00C71312" w:rsidRPr="002F05D4" w:rsidRDefault="00C71312"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365(g)(1)</w:t>
      </w:r>
    </w:p>
  </w:footnote>
  <w:footnote w:id="136">
    <w:p w14:paraId="3DFBE3B3" w14:textId="77777777" w:rsidR="00C71312" w:rsidRPr="002F05D4" w:rsidRDefault="00C713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Kimberly Black and Daniel A. Lowenthal, Patterson Belknap Webb &amp; Tyler LLP, “What to Do If Your Tenant Is Bankrupt” (2022), </w:t>
      </w:r>
      <w:hyperlink r:id="rId23" w:history="1">
        <w:r w:rsidRPr="002F05D4">
          <w:rPr>
            <w:rStyle w:val="Hyperlink"/>
            <w:rFonts w:ascii="Arial" w:hAnsi="Arial" w:cs="Arial"/>
            <w:sz w:val="16"/>
            <w:szCs w:val="16"/>
          </w:rPr>
          <w:t>https://www.pbwt.com/bankruptcy-update-blog/what-to-do-if-your-tenant-is-bankrupt</w:t>
        </w:r>
      </w:hyperlink>
      <w:r w:rsidRPr="002F05D4">
        <w:rPr>
          <w:rFonts w:ascii="Arial" w:hAnsi="Arial" w:cs="Arial"/>
          <w:color w:val="808080" w:themeColor="background1" w:themeShade="80"/>
          <w:sz w:val="16"/>
          <w:szCs w:val="16"/>
        </w:rPr>
        <w:t>, accessed on 17 February 2024</w:t>
      </w:r>
    </w:p>
  </w:footnote>
  <w:footnote w:id="137">
    <w:p w14:paraId="035B27EB" w14:textId="77777777" w:rsidR="00C71312" w:rsidRPr="002F05D4" w:rsidRDefault="00C713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bookmarkStart w:id="6" w:name="_Hlk159075836"/>
      <w:r w:rsidRPr="002F05D4">
        <w:rPr>
          <w:rFonts w:ascii="Arial" w:hAnsi="Arial" w:cs="Arial"/>
          <w:color w:val="808080" w:themeColor="background1" w:themeShade="80"/>
          <w:sz w:val="16"/>
          <w:szCs w:val="16"/>
        </w:rPr>
        <w:t xml:space="preserve">John Delnero, Pedersen &amp; Houpt, “Lessor Rights in Retail Bankruptcy Cases” (2020), </w:t>
      </w:r>
      <w:hyperlink r:id="rId24" w:anchor=":~:text" w:history="1">
        <w:r w:rsidRPr="002F05D4">
          <w:rPr>
            <w:rStyle w:val="Hyperlink"/>
            <w:rFonts w:ascii="Arial" w:hAnsi="Arial" w:cs="Arial"/>
            <w:sz w:val="16"/>
            <w:szCs w:val="16"/>
          </w:rPr>
          <w:t>https://www.pedersenhoupt.com/newsroom-alerts-60.html#:~:text</w:t>
        </w:r>
      </w:hyperlink>
      <w:r w:rsidRPr="002F05D4">
        <w:rPr>
          <w:rFonts w:ascii="Arial" w:hAnsi="Arial" w:cs="Arial"/>
          <w:color w:val="808080" w:themeColor="background1" w:themeShade="80"/>
          <w:sz w:val="16"/>
          <w:szCs w:val="16"/>
        </w:rPr>
        <w:t>, accessed on 17 February 2024</w:t>
      </w:r>
      <w:bookmarkEnd w:id="6"/>
    </w:p>
  </w:footnote>
  <w:footnote w:id="138">
    <w:p w14:paraId="5B170656" w14:textId="7713D21E" w:rsidR="00C71312" w:rsidRPr="002F05D4" w:rsidRDefault="00C713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365(d)(4)(A)</w:t>
      </w:r>
    </w:p>
  </w:footnote>
  <w:footnote w:id="139">
    <w:p w14:paraId="1D5AF247" w14:textId="77777777" w:rsidR="00C71312" w:rsidRPr="005237A3" w:rsidRDefault="00C71312"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John Delnero, Pedersen &amp; Houpt, “Lessor Rights in Retail Bankruptcy Cases” (2020), </w:t>
      </w:r>
      <w:hyperlink r:id="rId25" w:anchor=":~:text" w:history="1">
        <w:r w:rsidRPr="002F05D4">
          <w:rPr>
            <w:rStyle w:val="Hyperlink"/>
            <w:rFonts w:ascii="Arial" w:hAnsi="Arial" w:cs="Arial"/>
            <w:sz w:val="16"/>
            <w:szCs w:val="16"/>
          </w:rPr>
          <w:t>https://www.pedersenhoupt.com/newsroom-alerts-60.html#:~:text</w:t>
        </w:r>
      </w:hyperlink>
      <w:r w:rsidRPr="002F05D4">
        <w:rPr>
          <w:rFonts w:ascii="Arial" w:hAnsi="Arial" w:cs="Arial"/>
          <w:color w:val="808080" w:themeColor="background1" w:themeShade="80"/>
          <w:sz w:val="16"/>
          <w:szCs w:val="16"/>
        </w:rPr>
        <w:t>, accessed on 17 February 2024</w:t>
      </w:r>
    </w:p>
  </w:footnote>
  <w:footnote w:id="140">
    <w:p w14:paraId="619B4AEF" w14:textId="31159420" w:rsidR="00C71312" w:rsidRPr="002F05D4" w:rsidRDefault="00C71312"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bookmarkStart w:id="7" w:name="_Hlk159099303"/>
      <w:r w:rsidR="00862E6B"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365(b)(1)(A)</w:t>
      </w:r>
      <w:bookmarkEnd w:id="7"/>
    </w:p>
  </w:footnote>
  <w:footnote w:id="141">
    <w:p w14:paraId="1D96A9F6" w14:textId="51D14341" w:rsidR="00C71312" w:rsidRPr="002F05D4" w:rsidRDefault="00C71312"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365(b)(1)(B)</w:t>
      </w:r>
    </w:p>
  </w:footnote>
  <w:footnote w:id="142">
    <w:p w14:paraId="380314DD" w14:textId="15017AB9" w:rsidR="00C71312" w:rsidRPr="002F05D4" w:rsidRDefault="00C71312"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365(b)(1)(C)</w:t>
      </w:r>
    </w:p>
  </w:footnote>
  <w:footnote w:id="143">
    <w:p w14:paraId="69443B99" w14:textId="77777777" w:rsidR="00C71312" w:rsidRPr="002F05D4" w:rsidRDefault="00C71312"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Kimberly Black and Daniel A. Lowenthal, Patterson Belknap Webb &amp; Tyler LLP, “What to Do If Your Tenant Is Bankrupt” (2022), </w:t>
      </w:r>
      <w:hyperlink r:id="rId26" w:history="1">
        <w:r w:rsidRPr="002F05D4">
          <w:rPr>
            <w:rStyle w:val="Hyperlink"/>
            <w:rFonts w:ascii="Arial" w:hAnsi="Arial" w:cs="Arial"/>
            <w:sz w:val="16"/>
            <w:szCs w:val="16"/>
          </w:rPr>
          <w:t>https://www.pbwt.com/bankruptcy-update-blog/what-to-do-if-your-tenant-is-bankrupt</w:t>
        </w:r>
      </w:hyperlink>
      <w:r w:rsidRPr="002F05D4">
        <w:rPr>
          <w:rFonts w:ascii="Arial" w:hAnsi="Arial" w:cs="Arial"/>
          <w:color w:val="808080" w:themeColor="background1" w:themeShade="80"/>
          <w:sz w:val="16"/>
          <w:szCs w:val="16"/>
        </w:rPr>
        <w:t>, accessed on 17 February 2024</w:t>
      </w:r>
    </w:p>
  </w:footnote>
  <w:footnote w:id="144">
    <w:p w14:paraId="79AF4A33" w14:textId="033979C4" w:rsidR="00C71312" w:rsidRPr="002F05D4" w:rsidRDefault="00C71312"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E87B30" w:rsidRPr="002F05D4">
        <w:rPr>
          <w:rFonts w:ascii="Arial" w:hAnsi="Arial" w:cs="Arial"/>
          <w:color w:val="808080" w:themeColor="background1" w:themeShade="80"/>
          <w:sz w:val="16"/>
          <w:szCs w:val="16"/>
        </w:rPr>
        <w:t>Ibid.</w:t>
      </w:r>
    </w:p>
  </w:footnote>
  <w:footnote w:id="145">
    <w:p w14:paraId="51BA8025" w14:textId="5BE2417E" w:rsidR="00085C9D" w:rsidRPr="002F05D4" w:rsidRDefault="00085C9D"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365(f)(1)</w:t>
      </w:r>
    </w:p>
  </w:footnote>
  <w:footnote w:id="146">
    <w:p w14:paraId="0DB25961" w14:textId="6EA140DA" w:rsidR="00085C9D" w:rsidRPr="002F05D4" w:rsidRDefault="00085C9D"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365(f)(2)(A)</w:t>
      </w:r>
    </w:p>
  </w:footnote>
  <w:footnote w:id="147">
    <w:p w14:paraId="1F15DE2B" w14:textId="2DE5E564" w:rsidR="00085C9D" w:rsidRPr="002F05D4" w:rsidRDefault="00085C9D"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365(f)(2)(B)</w:t>
      </w:r>
    </w:p>
  </w:footnote>
  <w:footnote w:id="148">
    <w:p w14:paraId="312A9D9B" w14:textId="27174BA4" w:rsidR="008753FB" w:rsidRPr="002F05D4" w:rsidRDefault="008753FB"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365(b)(1)(A)</w:t>
      </w:r>
    </w:p>
  </w:footnote>
  <w:footnote w:id="149">
    <w:p w14:paraId="4418925F" w14:textId="77777777" w:rsidR="005F5B04" w:rsidRPr="00EC4FC7" w:rsidRDefault="005F5B04"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Kimberly Black and Daniel A. Lowenthal, Patterson Belknap Webb &amp; Tyler LLP, “What to Do If Your Tenant Is Bankrupt” (2022), </w:t>
      </w:r>
      <w:hyperlink r:id="rId27" w:history="1">
        <w:r w:rsidRPr="002F05D4">
          <w:rPr>
            <w:rStyle w:val="Hyperlink"/>
            <w:rFonts w:ascii="Arial" w:hAnsi="Arial" w:cs="Arial"/>
            <w:sz w:val="16"/>
            <w:szCs w:val="16"/>
          </w:rPr>
          <w:t>https://www.pbwt.com/bankruptcy-update-blog/what-to-do-if-your-tenant-is-bankrupt</w:t>
        </w:r>
      </w:hyperlink>
      <w:r w:rsidRPr="002F05D4">
        <w:rPr>
          <w:rFonts w:ascii="Arial" w:hAnsi="Arial" w:cs="Arial"/>
          <w:color w:val="808080" w:themeColor="background1" w:themeShade="80"/>
          <w:sz w:val="16"/>
          <w:szCs w:val="16"/>
        </w:rPr>
        <w:t>, accessed on 17 February 2024</w:t>
      </w:r>
    </w:p>
  </w:footnote>
  <w:footnote w:id="150">
    <w:p w14:paraId="5188ABDC" w14:textId="38E5FC71" w:rsidR="00514BD7" w:rsidRPr="002F05D4" w:rsidRDefault="00514BD7"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33</w:t>
      </w:r>
    </w:p>
  </w:footnote>
  <w:footnote w:id="151">
    <w:p w14:paraId="1C9C383B" w14:textId="17C3DD48" w:rsidR="00514BD7" w:rsidRPr="002F05D4" w:rsidRDefault="00514BD7"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365(b)(2)(A)</w:t>
      </w:r>
    </w:p>
  </w:footnote>
  <w:footnote w:id="152">
    <w:p w14:paraId="3F209D19" w14:textId="00299255" w:rsidR="00514BD7" w:rsidRPr="002F05D4" w:rsidRDefault="00514BD7"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862E6B"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365(b)(2)(B)</w:t>
      </w:r>
    </w:p>
  </w:footnote>
  <w:footnote w:id="153">
    <w:p w14:paraId="4C90E037" w14:textId="04264AFA" w:rsidR="004D4183" w:rsidRPr="002F05D4" w:rsidRDefault="004D4183" w:rsidP="00EC4FC7">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D77789" w:rsidRPr="002F05D4">
        <w:rPr>
          <w:rFonts w:ascii="Arial" w:hAnsi="Arial" w:cs="Arial"/>
          <w:color w:val="808080" w:themeColor="background1" w:themeShade="80"/>
          <w:sz w:val="16"/>
          <w:szCs w:val="16"/>
        </w:rPr>
        <w:t>Ibid.</w:t>
      </w:r>
      <w:r w:rsidR="00B733DA" w:rsidRPr="002F05D4">
        <w:rPr>
          <w:rFonts w:ascii="Arial" w:hAnsi="Arial" w:cs="Arial"/>
          <w:color w:val="808080" w:themeColor="background1" w:themeShade="80"/>
          <w:sz w:val="16"/>
          <w:szCs w:val="16"/>
        </w:rPr>
        <w:t>, s</w:t>
      </w:r>
      <w:r w:rsidRPr="002F05D4">
        <w:rPr>
          <w:rFonts w:ascii="Arial" w:hAnsi="Arial" w:cs="Arial"/>
          <w:color w:val="808080" w:themeColor="background1" w:themeShade="80"/>
          <w:sz w:val="16"/>
          <w:szCs w:val="16"/>
        </w:rPr>
        <w:t>ection 1515(a)</w:t>
      </w:r>
    </w:p>
  </w:footnote>
  <w:footnote w:id="154">
    <w:p w14:paraId="6B2C916F" w14:textId="1E5B0082" w:rsidR="008C6534" w:rsidRPr="002F05D4" w:rsidRDefault="008C6534" w:rsidP="00EC4FC7">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101(24)</w:t>
      </w:r>
    </w:p>
  </w:footnote>
  <w:footnote w:id="155">
    <w:p w14:paraId="60619168" w14:textId="3FDCE40D" w:rsidR="001D0206" w:rsidRPr="002F05D4" w:rsidRDefault="001D0206" w:rsidP="00EC4FC7">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101(23)</w:t>
      </w:r>
    </w:p>
  </w:footnote>
  <w:footnote w:id="156">
    <w:p w14:paraId="1FEE1F7C" w14:textId="792F6FD9" w:rsidR="00D300D8" w:rsidRPr="002F05D4" w:rsidRDefault="00D300D8" w:rsidP="00EC4FC7">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Thomas Reuters Practical Law, “Scheme of arrangement”,  </w:t>
      </w:r>
      <w:hyperlink r:id="rId28" w:history="1">
        <w:r w:rsidRPr="002F05D4">
          <w:rPr>
            <w:rStyle w:val="Hyperlink"/>
            <w:rFonts w:ascii="Arial" w:hAnsi="Arial" w:cs="Arial"/>
            <w:sz w:val="16"/>
            <w:szCs w:val="16"/>
          </w:rPr>
          <w:t>https://uk.practicallaw.thomsonreuters.com/0-107-7201?contextData=(sc.Default)&amp;transitionType=Default&amp;firstPage=true</w:t>
        </w:r>
      </w:hyperlink>
      <w:r w:rsidRPr="002F05D4">
        <w:rPr>
          <w:rFonts w:ascii="Arial" w:hAnsi="Arial" w:cs="Arial"/>
          <w:color w:val="808080" w:themeColor="background1" w:themeShade="80"/>
          <w:sz w:val="16"/>
          <w:szCs w:val="16"/>
        </w:rPr>
        <w:t>, accessed on 18 February 2024</w:t>
      </w:r>
    </w:p>
  </w:footnote>
  <w:footnote w:id="157">
    <w:p w14:paraId="5FF16AF9" w14:textId="152C93F8" w:rsidR="00264497" w:rsidRPr="00EC4FC7" w:rsidRDefault="00264497" w:rsidP="00EC4FC7">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50768C" w:rsidRPr="002F05D4">
        <w:rPr>
          <w:rFonts w:ascii="Arial" w:hAnsi="Arial" w:cs="Arial"/>
          <w:color w:val="808080" w:themeColor="background1" w:themeShade="80"/>
          <w:sz w:val="16"/>
          <w:szCs w:val="16"/>
        </w:rPr>
        <w:t>Ibid.</w:t>
      </w:r>
      <w:r w:rsidRPr="00EC4FC7">
        <w:rPr>
          <w:rFonts w:ascii="Arial" w:hAnsi="Arial" w:cs="Arial"/>
          <w:color w:val="808080" w:themeColor="background1" w:themeShade="80"/>
          <w:sz w:val="16"/>
          <w:szCs w:val="16"/>
        </w:rPr>
        <w:t xml:space="preserve"> </w:t>
      </w:r>
    </w:p>
  </w:footnote>
  <w:footnote w:id="158">
    <w:p w14:paraId="29C3AFB8" w14:textId="033CB35F" w:rsidR="00FC702E" w:rsidRPr="002F05D4" w:rsidRDefault="00FC702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63</w:t>
      </w:r>
    </w:p>
  </w:footnote>
  <w:footnote w:id="159">
    <w:p w14:paraId="2B34A9A7" w14:textId="50A72403" w:rsidR="00FC702E" w:rsidRPr="002F05D4" w:rsidRDefault="00FC702E"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1506</w:t>
      </w:r>
    </w:p>
  </w:footnote>
  <w:footnote w:id="160">
    <w:p w14:paraId="1CAF9DE3" w14:textId="6D4BB6B0" w:rsidR="006964FB" w:rsidRPr="002F05D4" w:rsidRDefault="006964FB"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Ibid., section 1517(a)</w:t>
      </w:r>
    </w:p>
  </w:footnote>
  <w:footnote w:id="161">
    <w:p w14:paraId="311454B7" w14:textId="3BC8B501" w:rsidR="00D274A0" w:rsidRPr="002F05D4" w:rsidRDefault="00D274A0"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00EC4FC7" w:rsidRPr="002F05D4">
        <w:rPr>
          <w:rFonts w:ascii="Arial" w:hAnsi="Arial" w:cs="Arial"/>
          <w:sz w:val="16"/>
          <w:szCs w:val="16"/>
        </w:rPr>
        <w:t xml:space="preserve"> </w:t>
      </w:r>
      <w:r w:rsidRPr="002F05D4">
        <w:rPr>
          <w:rFonts w:ascii="Arial" w:hAnsi="Arial" w:cs="Arial"/>
          <w:color w:val="808080" w:themeColor="background1" w:themeShade="80"/>
          <w:sz w:val="16"/>
          <w:szCs w:val="16"/>
        </w:rPr>
        <w:t>Ibid., section 1517(b)(1)</w:t>
      </w:r>
    </w:p>
  </w:footnote>
  <w:footnote w:id="162">
    <w:p w14:paraId="3E3ACC4E" w14:textId="53F87EA3" w:rsidR="004B09E6" w:rsidRPr="002F05D4" w:rsidRDefault="004B09E6"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00A63101"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w:t>
      </w:r>
      <w:r w:rsidR="00C47CBF" w:rsidRPr="002F05D4">
        <w:rPr>
          <w:rFonts w:ascii="Arial" w:hAnsi="Arial" w:cs="Arial"/>
          <w:color w:val="808080" w:themeColor="background1" w:themeShade="80"/>
          <w:sz w:val="16"/>
          <w:szCs w:val="16"/>
        </w:rPr>
        <w:t>02(4)</w:t>
      </w:r>
    </w:p>
  </w:footnote>
  <w:footnote w:id="163">
    <w:p w14:paraId="68C53333" w14:textId="03EE119F" w:rsidR="00D274A0" w:rsidRPr="002F05D4" w:rsidRDefault="00D274A0"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00EC4FC7" w:rsidRPr="002F05D4">
        <w:rPr>
          <w:rFonts w:ascii="Arial" w:hAnsi="Arial" w:cs="Arial"/>
          <w:sz w:val="16"/>
          <w:szCs w:val="16"/>
        </w:rPr>
        <w:t xml:space="preserve"> </w:t>
      </w:r>
      <w:r w:rsidRPr="002F05D4">
        <w:rPr>
          <w:rFonts w:ascii="Arial" w:hAnsi="Arial" w:cs="Arial"/>
          <w:color w:val="808080" w:themeColor="background1" w:themeShade="80"/>
          <w:sz w:val="16"/>
          <w:szCs w:val="16"/>
        </w:rPr>
        <w:t>Ibid., section 1517(b)(2)</w:t>
      </w:r>
    </w:p>
  </w:footnote>
  <w:footnote w:id="164">
    <w:p w14:paraId="75F1EF55" w14:textId="6260E822" w:rsidR="004B09E6" w:rsidRPr="002F05D4" w:rsidRDefault="004B09E6"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w:t>
      </w:r>
      <w:r w:rsidR="00C47CBF" w:rsidRPr="002F05D4">
        <w:rPr>
          <w:rFonts w:ascii="Arial" w:hAnsi="Arial" w:cs="Arial"/>
          <w:color w:val="808080" w:themeColor="background1" w:themeShade="80"/>
          <w:sz w:val="16"/>
          <w:szCs w:val="16"/>
        </w:rPr>
        <w:t>02(5)</w:t>
      </w:r>
    </w:p>
  </w:footnote>
  <w:footnote w:id="165">
    <w:p w14:paraId="44E669D1" w14:textId="33BA0BF1" w:rsidR="00A63101" w:rsidRPr="002F05D4" w:rsidRDefault="00A63101"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United States Courts, “Chapter 15 - Bankruptcy Basics - Ancillary and Other Cross-Border Cases”, </w:t>
      </w:r>
      <w:hyperlink r:id="rId29" w:anchor=":~:text=An%20ancillary%20case%20is%20commenced,U.S.%20courts%20for%20this%20purpose" w:history="1">
        <w:r w:rsidRPr="002F05D4">
          <w:rPr>
            <w:rStyle w:val="Hyperlink"/>
            <w:rFonts w:ascii="Arial" w:hAnsi="Arial" w:cs="Arial"/>
            <w:sz w:val="16"/>
            <w:szCs w:val="16"/>
          </w:rPr>
          <w:t>https://www.uscourts.gov/services-forms/bankruptcy/bankruptcy-basics/chapter-15-bankruptcy-basics#:~:text=An%20ancillary%20case%20is%20commenced,U.S.%20courts%20for%20this%20purpose</w:t>
        </w:r>
      </w:hyperlink>
      <w:r w:rsidRPr="002F05D4">
        <w:rPr>
          <w:rFonts w:ascii="Arial" w:hAnsi="Arial" w:cs="Arial"/>
          <w:color w:val="808080" w:themeColor="background1" w:themeShade="80"/>
          <w:sz w:val="16"/>
          <w:szCs w:val="16"/>
        </w:rPr>
        <w:t>, accessed on 16 February 2024</w:t>
      </w:r>
    </w:p>
  </w:footnote>
  <w:footnote w:id="166">
    <w:p w14:paraId="4F4444A6" w14:textId="77777777" w:rsidR="00A63101" w:rsidRPr="002F05D4" w:rsidRDefault="00A63101"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63</w:t>
      </w:r>
    </w:p>
  </w:footnote>
  <w:footnote w:id="167">
    <w:p w14:paraId="61D91CB8" w14:textId="0622D5A0" w:rsidR="00FF07CE" w:rsidRPr="002F05D4" w:rsidRDefault="00FF07C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1516(c)</w:t>
      </w:r>
    </w:p>
  </w:footnote>
  <w:footnote w:id="168">
    <w:p w14:paraId="258AF5BC" w14:textId="5AB02D6A" w:rsidR="00AF7715" w:rsidRPr="002F05D4" w:rsidRDefault="00AF7715"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63</w:t>
      </w:r>
    </w:p>
  </w:footnote>
  <w:footnote w:id="169">
    <w:p w14:paraId="4E979075" w14:textId="1196E8EB" w:rsidR="001E0324" w:rsidRPr="00EC4FC7" w:rsidRDefault="001E0324"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EC4FC7" w:rsidRPr="002F05D4">
        <w:rPr>
          <w:rFonts w:ascii="Arial" w:hAnsi="Arial" w:cs="Arial"/>
          <w:color w:val="808080" w:themeColor="background1" w:themeShade="80"/>
          <w:sz w:val="16"/>
          <w:szCs w:val="16"/>
        </w:rPr>
        <w:t>Title 11 of the United States Code</w:t>
      </w:r>
      <w:r w:rsidR="00B733DA" w:rsidRPr="002F05D4">
        <w:rPr>
          <w:rFonts w:ascii="Arial" w:hAnsi="Arial" w:cs="Arial"/>
          <w:color w:val="808080" w:themeColor="background1" w:themeShade="80"/>
          <w:sz w:val="16"/>
          <w:szCs w:val="16"/>
        </w:rPr>
        <w:t>, s</w:t>
      </w:r>
      <w:r w:rsidRPr="002F05D4">
        <w:rPr>
          <w:rFonts w:ascii="Arial" w:hAnsi="Arial" w:cs="Arial"/>
          <w:color w:val="808080" w:themeColor="background1" w:themeShade="80"/>
          <w:sz w:val="16"/>
          <w:szCs w:val="16"/>
        </w:rPr>
        <w:t>ection 1502(2)</w:t>
      </w:r>
    </w:p>
  </w:footnote>
  <w:footnote w:id="170">
    <w:p w14:paraId="75EB7FB8" w14:textId="5C1C0A8B" w:rsidR="006F7BEB" w:rsidRPr="002F05D4" w:rsidRDefault="006F7BEB" w:rsidP="00EC4FC7">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374 BR 122 (</w:t>
      </w:r>
      <w:proofErr w:type="spellStart"/>
      <w:r w:rsidRPr="002F05D4">
        <w:rPr>
          <w:rFonts w:ascii="Arial" w:hAnsi="Arial" w:cs="Arial"/>
          <w:color w:val="808080" w:themeColor="background1" w:themeShade="80"/>
          <w:sz w:val="16"/>
          <w:szCs w:val="16"/>
        </w:rPr>
        <w:t>Bankr</w:t>
      </w:r>
      <w:proofErr w:type="spellEnd"/>
      <w:r w:rsidRPr="002F05D4">
        <w:rPr>
          <w:rFonts w:ascii="Arial" w:hAnsi="Arial" w:cs="Arial"/>
          <w:color w:val="808080" w:themeColor="background1" w:themeShade="80"/>
          <w:sz w:val="16"/>
          <w:szCs w:val="16"/>
        </w:rPr>
        <w:t xml:space="preserve"> SDNY 2007)</w:t>
      </w:r>
    </w:p>
  </w:footnote>
  <w:footnote w:id="171">
    <w:p w14:paraId="2F69129C" w14:textId="15230182" w:rsidR="009E01E7" w:rsidRPr="002F05D4" w:rsidRDefault="009E01E7" w:rsidP="005E1A41">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1521(c)</w:t>
      </w:r>
    </w:p>
  </w:footnote>
  <w:footnote w:id="172">
    <w:p w14:paraId="34E9E4B0" w14:textId="529A27A9" w:rsidR="009E01E7" w:rsidRPr="002F05D4" w:rsidRDefault="009E01E7"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1521(a)(1)</w:t>
      </w:r>
    </w:p>
  </w:footnote>
  <w:footnote w:id="173">
    <w:p w14:paraId="6EA1EFF1" w14:textId="489A400C" w:rsidR="00967F1F" w:rsidRPr="002F05D4" w:rsidRDefault="00967F1F" w:rsidP="005E1A41">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1521(c)</w:t>
      </w:r>
    </w:p>
  </w:footnote>
  <w:footnote w:id="174">
    <w:p w14:paraId="689A3A40" w14:textId="131EF317" w:rsidR="00F44561" w:rsidRPr="002F05D4" w:rsidRDefault="00F44561" w:rsidP="00B03FDE">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301(a)</w:t>
      </w:r>
    </w:p>
  </w:footnote>
  <w:footnote w:id="175">
    <w:p w14:paraId="625D3752" w14:textId="0D1DF1F0" w:rsidR="0050169B" w:rsidRPr="002F05D4" w:rsidRDefault="0050169B" w:rsidP="00B03FDE">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362(a)</w:t>
      </w:r>
    </w:p>
  </w:footnote>
  <w:footnote w:id="176">
    <w:p w14:paraId="568985E5" w14:textId="1F1B4C3F" w:rsidR="00C92A50" w:rsidRPr="002F05D4" w:rsidRDefault="00C92A50" w:rsidP="00B03FDE">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United States Court, “Chapter 11 - Bankruptcy Basics”, </w:t>
      </w:r>
      <w:hyperlink r:id="rId30" w:history="1">
        <w:r w:rsidRPr="002F05D4">
          <w:rPr>
            <w:rStyle w:val="Hyperlink"/>
            <w:rFonts w:ascii="Arial" w:hAnsi="Arial" w:cs="Arial"/>
            <w:sz w:val="16"/>
            <w:szCs w:val="16"/>
          </w:rPr>
          <w:t>https://www.uscourts.gov/services-forms/bankruptcy/bankruptcy-basics/chapter-11-bankruptcy-basics</w:t>
        </w:r>
      </w:hyperlink>
      <w:r w:rsidRPr="002F05D4">
        <w:rPr>
          <w:rFonts w:ascii="Arial" w:hAnsi="Arial" w:cs="Arial"/>
          <w:color w:val="808080" w:themeColor="background1" w:themeShade="80"/>
          <w:sz w:val="16"/>
          <w:szCs w:val="16"/>
        </w:rPr>
        <w:t>, accessed on 19 February 2024</w:t>
      </w:r>
    </w:p>
  </w:footnote>
  <w:footnote w:id="177">
    <w:p w14:paraId="07E3523C" w14:textId="2F771999" w:rsidR="00554B96" w:rsidRPr="00B03FDE" w:rsidRDefault="00554B96" w:rsidP="00B03FDE">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Professor John D. Ayer, Michael </w:t>
      </w:r>
      <w:proofErr w:type="gramStart"/>
      <w:r w:rsidRPr="002F05D4">
        <w:rPr>
          <w:rFonts w:ascii="Arial" w:hAnsi="Arial" w:cs="Arial"/>
          <w:color w:val="808080" w:themeColor="background1" w:themeShade="80"/>
          <w:sz w:val="16"/>
          <w:szCs w:val="16"/>
        </w:rPr>
        <w:t>Bernstein</w:t>
      </w:r>
      <w:proofErr w:type="gramEnd"/>
      <w:r w:rsidRPr="002F05D4">
        <w:rPr>
          <w:rFonts w:ascii="Arial" w:hAnsi="Arial" w:cs="Arial"/>
          <w:color w:val="808080" w:themeColor="background1" w:themeShade="80"/>
          <w:sz w:val="16"/>
          <w:szCs w:val="16"/>
        </w:rPr>
        <w:t xml:space="preserve"> and Jonathan Friedland, “An Overview of the Automatic Stay” (2004) American Bankruptcy Institute Journal 22</w:t>
      </w:r>
    </w:p>
  </w:footnote>
  <w:footnote w:id="178">
    <w:p w14:paraId="5C679CC9" w14:textId="269B57F3" w:rsidR="0042541A" w:rsidRPr="002F05D4" w:rsidRDefault="0042541A"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22</w:t>
      </w:r>
    </w:p>
  </w:footnote>
  <w:footnote w:id="179">
    <w:p w14:paraId="0410501E" w14:textId="4DDB5607" w:rsidR="004C4417" w:rsidRPr="002F05D4" w:rsidRDefault="004C4417"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362(b)(1)</w:t>
      </w:r>
    </w:p>
  </w:footnote>
  <w:footnote w:id="180">
    <w:p w14:paraId="5EEB08A2" w14:textId="793326A9" w:rsidR="006F1811" w:rsidRPr="002F05D4" w:rsidRDefault="006F1811"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US Department of Justice, “About DOJ”, </w:t>
      </w:r>
      <w:hyperlink r:id="rId31" w:history="1">
        <w:r w:rsidRPr="002F05D4">
          <w:rPr>
            <w:rStyle w:val="Hyperlink"/>
            <w:rFonts w:ascii="Arial" w:hAnsi="Arial" w:cs="Arial"/>
            <w:sz w:val="16"/>
            <w:szCs w:val="16"/>
          </w:rPr>
          <w:t>https://www.justice.gov/about</w:t>
        </w:r>
      </w:hyperlink>
      <w:r w:rsidRPr="002F05D4">
        <w:rPr>
          <w:rFonts w:ascii="Arial" w:hAnsi="Arial" w:cs="Arial"/>
          <w:color w:val="808080" w:themeColor="background1" w:themeShade="80"/>
          <w:sz w:val="16"/>
          <w:szCs w:val="16"/>
        </w:rPr>
        <w:t>, accessed on 19 February 2024</w:t>
      </w:r>
    </w:p>
  </w:footnote>
  <w:footnote w:id="181">
    <w:p w14:paraId="024A22EC" w14:textId="4C784B62" w:rsidR="006F1811" w:rsidRPr="002F05D4" w:rsidRDefault="006F1811"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US Department of Justice, “Corporate Crime”, </w:t>
      </w:r>
      <w:hyperlink r:id="rId32" w:history="1">
        <w:r w:rsidRPr="002F05D4">
          <w:rPr>
            <w:rStyle w:val="Hyperlink"/>
            <w:rFonts w:ascii="Arial" w:hAnsi="Arial" w:cs="Arial"/>
            <w:sz w:val="16"/>
            <w:szCs w:val="16"/>
          </w:rPr>
          <w:t>https://www.justice.gov/corporate-crime</w:t>
        </w:r>
      </w:hyperlink>
      <w:r w:rsidRPr="002F05D4">
        <w:rPr>
          <w:rFonts w:ascii="Arial" w:hAnsi="Arial" w:cs="Arial"/>
          <w:color w:val="808080" w:themeColor="background1" w:themeShade="80"/>
          <w:sz w:val="16"/>
          <w:szCs w:val="16"/>
        </w:rPr>
        <w:t>, accessed on 19 February 2024</w:t>
      </w:r>
    </w:p>
  </w:footnote>
  <w:footnote w:id="182">
    <w:p w14:paraId="0D75863D" w14:textId="6BD33CDE" w:rsidR="006F1811" w:rsidRPr="002F05D4" w:rsidRDefault="006F1811"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4D79C1" w:rsidRPr="002F05D4">
        <w:rPr>
          <w:rFonts w:ascii="Arial" w:hAnsi="Arial" w:cs="Arial"/>
          <w:color w:val="808080" w:themeColor="background1" w:themeShade="80"/>
          <w:sz w:val="16"/>
          <w:szCs w:val="16"/>
        </w:rPr>
        <w:t>Ibid.</w:t>
      </w:r>
    </w:p>
  </w:footnote>
  <w:footnote w:id="183">
    <w:p w14:paraId="1C136668" w14:textId="32FF6EDD" w:rsidR="006F1811" w:rsidRPr="002F05D4" w:rsidRDefault="006F1811"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Professor John D. Ayer, Michael </w:t>
      </w:r>
      <w:proofErr w:type="gramStart"/>
      <w:r w:rsidRPr="002F05D4">
        <w:rPr>
          <w:rFonts w:ascii="Arial" w:hAnsi="Arial" w:cs="Arial"/>
          <w:color w:val="808080" w:themeColor="background1" w:themeShade="80"/>
          <w:sz w:val="16"/>
          <w:szCs w:val="16"/>
        </w:rPr>
        <w:t>Bernstein</w:t>
      </w:r>
      <w:proofErr w:type="gramEnd"/>
      <w:r w:rsidRPr="002F05D4">
        <w:rPr>
          <w:rFonts w:ascii="Arial" w:hAnsi="Arial" w:cs="Arial"/>
          <w:color w:val="808080" w:themeColor="background1" w:themeShade="80"/>
          <w:sz w:val="16"/>
          <w:szCs w:val="16"/>
        </w:rPr>
        <w:t xml:space="preserve"> and Jonathan Friedland, “An Overview of the Automatic Stay” (2004) American Bankruptcy Institute Journal 22</w:t>
      </w:r>
    </w:p>
  </w:footnote>
  <w:footnote w:id="184">
    <w:p w14:paraId="24C8CE4B" w14:textId="7833FCE2" w:rsidR="00635FFA" w:rsidRPr="002F05D4" w:rsidRDefault="00635FFA"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362(a)</w:t>
      </w:r>
    </w:p>
  </w:footnote>
  <w:footnote w:id="185">
    <w:p w14:paraId="48288CF0" w14:textId="163B5A64" w:rsidR="00635FFA" w:rsidRPr="002F05D4" w:rsidRDefault="00635FFA"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39</w:t>
      </w:r>
    </w:p>
  </w:footnote>
  <w:footnote w:id="186">
    <w:p w14:paraId="751A3A0C" w14:textId="22E68B48" w:rsidR="00635FFA" w:rsidRPr="002F05D4" w:rsidRDefault="00635FFA"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 xml:space="preserve">ection </w:t>
      </w:r>
      <w:proofErr w:type="gramStart"/>
      <w:r w:rsidRPr="002F05D4">
        <w:rPr>
          <w:rFonts w:ascii="Arial" w:hAnsi="Arial" w:cs="Arial"/>
          <w:color w:val="808080" w:themeColor="background1" w:themeShade="80"/>
          <w:sz w:val="16"/>
          <w:szCs w:val="16"/>
        </w:rPr>
        <w:t>1121(a)</w:t>
      </w:r>
      <w:proofErr w:type="gramEnd"/>
      <w:r w:rsidRPr="002F05D4">
        <w:rPr>
          <w:rFonts w:ascii="Arial" w:hAnsi="Arial" w:cs="Arial"/>
          <w:color w:val="808080" w:themeColor="background1" w:themeShade="80"/>
          <w:sz w:val="16"/>
          <w:szCs w:val="16"/>
        </w:rPr>
        <w:t xml:space="preserve"> and </w:t>
      </w:r>
      <w:r w:rsidR="00FC783F" w:rsidRPr="002F05D4">
        <w:rPr>
          <w:rFonts w:ascii="Arial" w:hAnsi="Arial" w:cs="Arial"/>
          <w:color w:val="808080" w:themeColor="background1" w:themeShade="80"/>
          <w:sz w:val="16"/>
          <w:szCs w:val="16"/>
        </w:rPr>
        <w:t>s</w:t>
      </w:r>
      <w:r w:rsidRPr="002F05D4">
        <w:rPr>
          <w:rFonts w:ascii="Arial" w:hAnsi="Arial" w:cs="Arial"/>
          <w:color w:val="808080" w:themeColor="background1" w:themeShade="80"/>
          <w:sz w:val="16"/>
          <w:szCs w:val="16"/>
        </w:rPr>
        <w:t>ection 1121(b)</w:t>
      </w:r>
    </w:p>
  </w:footnote>
  <w:footnote w:id="187">
    <w:p w14:paraId="05785D9E" w14:textId="6C31EEB2" w:rsidR="00B03FDE" w:rsidRPr="002F05D4" w:rsidRDefault="00B03FDE" w:rsidP="002F05D4">
      <w:pPr>
        <w:pStyle w:val="AODocTxt"/>
        <w:spacing w:before="0" w:line="240" w:lineRule="auto"/>
        <w:rPr>
          <w:rFonts w:ascii="Arial" w:hAnsi="Arial" w:cs="Arial"/>
          <w:color w:val="808080" w:themeColor="background1" w:themeShade="80"/>
          <w:sz w:val="16"/>
          <w:szCs w:val="16"/>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Thomas Reuters Practical Law, “Chapter 11”, </w:t>
      </w:r>
      <w:hyperlink r:id="rId33" w:history="1">
        <w:r w:rsidRPr="002F05D4">
          <w:rPr>
            <w:rStyle w:val="Hyperlink"/>
            <w:rFonts w:ascii="Arial" w:hAnsi="Arial" w:cs="Arial"/>
            <w:sz w:val="16"/>
            <w:szCs w:val="16"/>
          </w:rPr>
          <w:t>https://uk.practicallaw.thomsonreuters.com/4-107-5889?transitionType=Default&amp;contextData=(sc.Default)&amp;firstPage=true</w:t>
        </w:r>
      </w:hyperlink>
      <w:r w:rsidRPr="002F05D4">
        <w:rPr>
          <w:rFonts w:ascii="Arial" w:hAnsi="Arial" w:cs="Arial"/>
          <w:color w:val="808080" w:themeColor="background1" w:themeShade="80"/>
          <w:sz w:val="16"/>
          <w:szCs w:val="16"/>
        </w:rPr>
        <w:t xml:space="preserve">, accessed on 22 February 2024 </w:t>
      </w:r>
    </w:p>
  </w:footnote>
  <w:footnote w:id="188">
    <w:p w14:paraId="6113FF9D" w14:textId="455DF9B9" w:rsidR="00B03FDE" w:rsidRPr="002F05D4" w:rsidRDefault="00B03FD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Pr="002F05D4">
        <w:rPr>
          <w:rFonts w:ascii="Arial" w:hAnsi="Arial" w:cs="Arial"/>
          <w:color w:val="808080" w:themeColor="background1" w:themeShade="80"/>
          <w:sz w:val="16"/>
          <w:szCs w:val="16"/>
        </w:rPr>
        <w:t xml:space="preserve">Laura R Hall, </w:t>
      </w:r>
      <w:r w:rsidRPr="002F05D4">
        <w:rPr>
          <w:rFonts w:ascii="Arial" w:hAnsi="Arial" w:cs="Arial"/>
          <w:color w:val="808080" w:themeColor="background1" w:themeShade="80"/>
          <w:sz w:val="16"/>
          <w:szCs w:val="16"/>
          <w:lang w:val="en-GB"/>
        </w:rPr>
        <w:t xml:space="preserve">“INSOL International, Foundation Certificate in International Insolvency Law, Module </w:t>
      </w:r>
      <w:r w:rsidRPr="002F05D4">
        <w:rPr>
          <w:rFonts w:ascii="Arial" w:hAnsi="Arial" w:cs="Arial"/>
          <w:color w:val="808080" w:themeColor="background1" w:themeShade="80"/>
          <w:sz w:val="16"/>
          <w:szCs w:val="16"/>
        </w:rPr>
        <w:t>3A</w:t>
      </w:r>
      <w:r w:rsidRPr="002F05D4">
        <w:rPr>
          <w:rFonts w:ascii="Arial" w:hAnsi="Arial" w:cs="Arial"/>
          <w:color w:val="808080" w:themeColor="background1" w:themeShade="80"/>
          <w:sz w:val="16"/>
          <w:szCs w:val="16"/>
          <w:lang w:val="en-GB"/>
        </w:rPr>
        <w:t xml:space="preserve"> Guidance Text, </w:t>
      </w:r>
      <w:r w:rsidRPr="002F05D4">
        <w:rPr>
          <w:rFonts w:ascii="Arial" w:hAnsi="Arial" w:cs="Arial"/>
          <w:color w:val="808080" w:themeColor="background1" w:themeShade="80"/>
          <w:sz w:val="16"/>
          <w:szCs w:val="16"/>
        </w:rPr>
        <w:t>Insolvency System of the United States</w:t>
      </w:r>
      <w:r w:rsidRPr="002F05D4">
        <w:rPr>
          <w:rFonts w:ascii="Arial" w:hAnsi="Arial" w:cs="Arial"/>
          <w:color w:val="808080" w:themeColor="background1" w:themeShade="80"/>
          <w:sz w:val="16"/>
          <w:szCs w:val="16"/>
          <w:lang w:val="en-GB"/>
        </w:rPr>
        <w:t xml:space="preserve"> 2023/2024”, p </w:t>
      </w:r>
      <w:r w:rsidRPr="002F05D4">
        <w:rPr>
          <w:rFonts w:ascii="Arial" w:hAnsi="Arial" w:cs="Arial"/>
          <w:color w:val="808080" w:themeColor="background1" w:themeShade="80"/>
          <w:sz w:val="16"/>
          <w:szCs w:val="16"/>
        </w:rPr>
        <w:t>39</w:t>
      </w:r>
    </w:p>
  </w:footnote>
  <w:footnote w:id="189">
    <w:p w14:paraId="5AE3A508" w14:textId="5C135815" w:rsidR="00B03FDE" w:rsidRPr="002F05D4" w:rsidRDefault="00B03FD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Title 11 of the United States Code, s</w:t>
      </w:r>
      <w:r w:rsidRPr="002F05D4">
        <w:rPr>
          <w:rFonts w:ascii="Arial" w:hAnsi="Arial" w:cs="Arial"/>
          <w:color w:val="808080" w:themeColor="background1" w:themeShade="80"/>
          <w:sz w:val="16"/>
          <w:szCs w:val="16"/>
        </w:rPr>
        <w:t>ection 1125(a)(1)</w:t>
      </w:r>
    </w:p>
  </w:footnote>
  <w:footnote w:id="190">
    <w:p w14:paraId="0A906147" w14:textId="393F7931" w:rsidR="00B03FDE" w:rsidRPr="00B03FDE" w:rsidRDefault="00B03FDE" w:rsidP="002F05D4">
      <w:pPr>
        <w:pStyle w:val="FootnoteText"/>
        <w:jc w:val="both"/>
        <w:rPr>
          <w:rFonts w:ascii="Arial" w:hAnsi="Arial" w:cs="Arial"/>
          <w:sz w:val="16"/>
          <w:szCs w:val="16"/>
          <w:lang w:val="en-GB"/>
        </w:rPr>
      </w:pPr>
      <w:r w:rsidRPr="002F05D4">
        <w:rPr>
          <w:rStyle w:val="FootnoteReference"/>
          <w:rFonts w:ascii="Arial" w:hAnsi="Arial" w:cs="Arial"/>
          <w:sz w:val="16"/>
          <w:szCs w:val="16"/>
        </w:rPr>
        <w:footnoteRef/>
      </w:r>
      <w:r w:rsidRPr="002F05D4">
        <w:rPr>
          <w:rFonts w:ascii="Arial" w:hAnsi="Arial" w:cs="Arial"/>
          <w:sz w:val="16"/>
          <w:szCs w:val="16"/>
        </w:rPr>
        <w:t xml:space="preserve"> </w:t>
      </w:r>
      <w:r w:rsidR="00B733DA" w:rsidRPr="002F05D4">
        <w:rPr>
          <w:rFonts w:ascii="Arial" w:hAnsi="Arial" w:cs="Arial"/>
          <w:color w:val="808080" w:themeColor="background1" w:themeShade="80"/>
          <w:sz w:val="16"/>
          <w:szCs w:val="16"/>
        </w:rPr>
        <w:t>Ibid., s</w:t>
      </w:r>
      <w:r w:rsidRPr="002F05D4">
        <w:rPr>
          <w:rFonts w:ascii="Arial" w:hAnsi="Arial" w:cs="Arial"/>
          <w:color w:val="808080" w:themeColor="background1" w:themeShade="80"/>
          <w:sz w:val="16"/>
          <w:szCs w:val="16"/>
        </w:rPr>
        <w:t>ection 1121(c)(2)</w:t>
      </w:r>
    </w:p>
  </w:footnote>
  <w:footnote w:id="191">
    <w:p w14:paraId="70FADAA2" w14:textId="435B8099" w:rsidR="00B03FDE" w:rsidRPr="00B03FDE" w:rsidRDefault="00B03FDE" w:rsidP="00B03FDE">
      <w:pPr>
        <w:pStyle w:val="FootnoteText"/>
        <w:jc w:val="both"/>
        <w:rPr>
          <w:rFonts w:ascii="Arial" w:hAnsi="Arial" w:cs="Arial"/>
          <w:sz w:val="16"/>
          <w:szCs w:val="16"/>
          <w:lang w:val="en-GB"/>
        </w:rPr>
      </w:pPr>
      <w:r w:rsidRPr="00B03FDE">
        <w:rPr>
          <w:rStyle w:val="FootnoteReference"/>
          <w:rFonts w:ascii="Arial" w:hAnsi="Arial" w:cs="Arial"/>
          <w:sz w:val="16"/>
          <w:szCs w:val="16"/>
        </w:rPr>
        <w:footnoteRef/>
      </w:r>
      <w:r w:rsidRPr="00B03FDE">
        <w:rPr>
          <w:rFonts w:ascii="Arial" w:hAnsi="Arial" w:cs="Arial"/>
          <w:sz w:val="16"/>
          <w:szCs w:val="16"/>
        </w:rPr>
        <w:t xml:space="preserve"> </w:t>
      </w:r>
      <w:r w:rsidR="00B733DA">
        <w:rPr>
          <w:rFonts w:ascii="Arial" w:hAnsi="Arial" w:cs="Arial"/>
          <w:color w:val="808080" w:themeColor="background1" w:themeShade="80"/>
          <w:sz w:val="16"/>
          <w:szCs w:val="16"/>
        </w:rPr>
        <w:t>Ibid., s</w:t>
      </w:r>
      <w:r w:rsidRPr="00B03FDE">
        <w:rPr>
          <w:rFonts w:ascii="Arial" w:hAnsi="Arial" w:cs="Arial"/>
          <w:color w:val="808080" w:themeColor="background1" w:themeShade="80"/>
          <w:sz w:val="16"/>
          <w:szCs w:val="16"/>
        </w:rPr>
        <w:t>ection 1121(c)(3)</w:t>
      </w:r>
    </w:p>
  </w:footnote>
  <w:footnote w:id="192">
    <w:p w14:paraId="64441D8C" w14:textId="2FE9E3AB" w:rsidR="00B03FDE" w:rsidRPr="00B03FDE" w:rsidRDefault="00B03FDE" w:rsidP="00B03FDE">
      <w:pPr>
        <w:pStyle w:val="FootnoteText"/>
        <w:jc w:val="both"/>
        <w:rPr>
          <w:rFonts w:ascii="Arial" w:hAnsi="Arial" w:cs="Arial"/>
          <w:sz w:val="16"/>
          <w:szCs w:val="16"/>
          <w:lang w:val="en-GB"/>
        </w:rPr>
      </w:pPr>
      <w:r w:rsidRPr="00B03FDE">
        <w:rPr>
          <w:rStyle w:val="FootnoteReference"/>
          <w:rFonts w:ascii="Arial" w:hAnsi="Arial" w:cs="Arial"/>
          <w:sz w:val="16"/>
          <w:szCs w:val="16"/>
        </w:rPr>
        <w:footnoteRef/>
      </w:r>
      <w:r w:rsidRPr="00B03FDE">
        <w:rPr>
          <w:rFonts w:ascii="Arial" w:hAnsi="Arial" w:cs="Arial"/>
          <w:sz w:val="16"/>
          <w:szCs w:val="16"/>
        </w:rPr>
        <w:t xml:space="preserve"> </w:t>
      </w:r>
      <w:r w:rsidR="00B733DA">
        <w:rPr>
          <w:rFonts w:ascii="Arial" w:hAnsi="Arial" w:cs="Arial"/>
          <w:color w:val="808080" w:themeColor="background1" w:themeShade="80"/>
          <w:sz w:val="16"/>
          <w:szCs w:val="16"/>
        </w:rPr>
        <w:t>Ibid., s</w:t>
      </w:r>
      <w:r w:rsidRPr="00B03FDE">
        <w:rPr>
          <w:rFonts w:ascii="Arial" w:hAnsi="Arial" w:cs="Arial"/>
          <w:color w:val="808080" w:themeColor="background1" w:themeShade="80"/>
          <w:sz w:val="16"/>
          <w:szCs w:val="16"/>
        </w:rPr>
        <w:t>ection 1121(c)</w:t>
      </w:r>
    </w:p>
  </w:footnote>
  <w:footnote w:id="193">
    <w:p w14:paraId="0207D76D" w14:textId="0E273F32" w:rsidR="00B03FDE" w:rsidRPr="00B03FDE" w:rsidRDefault="00B03FDE" w:rsidP="00B03FDE">
      <w:pPr>
        <w:pStyle w:val="FootnoteText"/>
        <w:jc w:val="both"/>
        <w:rPr>
          <w:rFonts w:ascii="Arial" w:hAnsi="Arial" w:cs="Arial"/>
          <w:sz w:val="16"/>
          <w:szCs w:val="16"/>
          <w:lang w:val="en-GB"/>
        </w:rPr>
      </w:pPr>
      <w:r w:rsidRPr="00B03FDE">
        <w:rPr>
          <w:rStyle w:val="FootnoteReference"/>
          <w:rFonts w:ascii="Arial" w:hAnsi="Arial" w:cs="Arial"/>
          <w:sz w:val="16"/>
          <w:szCs w:val="16"/>
        </w:rPr>
        <w:footnoteRef/>
      </w:r>
      <w:r w:rsidRPr="00B03FDE">
        <w:rPr>
          <w:rFonts w:ascii="Arial" w:hAnsi="Arial" w:cs="Arial"/>
          <w:sz w:val="16"/>
          <w:szCs w:val="16"/>
        </w:rPr>
        <w:t xml:space="preserve"> </w:t>
      </w:r>
      <w:r w:rsidRPr="00B03FDE">
        <w:rPr>
          <w:rFonts w:ascii="Arial" w:hAnsi="Arial" w:cs="Arial"/>
          <w:color w:val="808080" w:themeColor="background1" w:themeShade="80"/>
          <w:sz w:val="16"/>
          <w:szCs w:val="16"/>
        </w:rPr>
        <w:t xml:space="preserve">Laura R Hall, </w:t>
      </w:r>
      <w:r w:rsidRPr="00B03FDE">
        <w:rPr>
          <w:rFonts w:ascii="Arial" w:hAnsi="Arial" w:cs="Arial"/>
          <w:color w:val="808080" w:themeColor="background1" w:themeShade="80"/>
          <w:sz w:val="16"/>
          <w:szCs w:val="16"/>
          <w:lang w:val="en-GB"/>
        </w:rPr>
        <w:t xml:space="preserve">“INSOL International, Foundation Certificate in International Insolvency Law, Module </w:t>
      </w:r>
      <w:r w:rsidRPr="00B03FDE">
        <w:rPr>
          <w:rFonts w:ascii="Arial" w:hAnsi="Arial" w:cs="Arial"/>
          <w:color w:val="808080" w:themeColor="background1" w:themeShade="80"/>
          <w:sz w:val="16"/>
          <w:szCs w:val="16"/>
        </w:rPr>
        <w:t>3A</w:t>
      </w:r>
      <w:r w:rsidRPr="00B03FDE">
        <w:rPr>
          <w:rFonts w:ascii="Arial" w:hAnsi="Arial" w:cs="Arial"/>
          <w:color w:val="808080" w:themeColor="background1" w:themeShade="80"/>
          <w:sz w:val="16"/>
          <w:szCs w:val="16"/>
          <w:lang w:val="en-GB"/>
        </w:rPr>
        <w:t xml:space="preserve"> Guidance Text, </w:t>
      </w:r>
      <w:r w:rsidRPr="00B03FDE">
        <w:rPr>
          <w:rFonts w:ascii="Arial" w:hAnsi="Arial" w:cs="Arial"/>
          <w:color w:val="808080" w:themeColor="background1" w:themeShade="80"/>
          <w:sz w:val="16"/>
          <w:szCs w:val="16"/>
        </w:rPr>
        <w:t>Insolvency System of the United States</w:t>
      </w:r>
      <w:r w:rsidRPr="00B03FDE">
        <w:rPr>
          <w:rFonts w:ascii="Arial" w:hAnsi="Arial" w:cs="Arial"/>
          <w:color w:val="808080" w:themeColor="background1" w:themeShade="80"/>
          <w:sz w:val="16"/>
          <w:szCs w:val="16"/>
          <w:lang w:val="en-GB"/>
        </w:rPr>
        <w:t xml:space="preserve"> 2023/2024”, p </w:t>
      </w:r>
      <w:r w:rsidRPr="00B03FDE">
        <w:rPr>
          <w:rFonts w:ascii="Arial" w:hAnsi="Arial" w:cs="Arial"/>
          <w:color w:val="808080" w:themeColor="background1" w:themeShade="80"/>
          <w:sz w:val="16"/>
          <w:szCs w:val="16"/>
        </w:rPr>
        <w:t>39</w:t>
      </w:r>
    </w:p>
  </w:footnote>
  <w:footnote w:id="194">
    <w:p w14:paraId="2BE9C2BB" w14:textId="4A57FFA0" w:rsidR="00B03FDE" w:rsidRPr="00B03FDE" w:rsidRDefault="00B03FDE" w:rsidP="00B03FDE">
      <w:pPr>
        <w:pStyle w:val="FootnoteText"/>
        <w:jc w:val="both"/>
        <w:rPr>
          <w:rFonts w:ascii="Arial" w:hAnsi="Arial" w:cs="Arial"/>
          <w:sz w:val="16"/>
          <w:szCs w:val="16"/>
          <w:lang w:val="en-GB"/>
        </w:rPr>
      </w:pPr>
      <w:r w:rsidRPr="00B03FDE">
        <w:rPr>
          <w:rStyle w:val="FootnoteReference"/>
          <w:rFonts w:ascii="Arial" w:hAnsi="Arial" w:cs="Arial"/>
          <w:sz w:val="16"/>
          <w:szCs w:val="16"/>
        </w:rPr>
        <w:footnoteRef/>
      </w:r>
      <w:r w:rsidR="00B733DA">
        <w:rPr>
          <w:rFonts w:ascii="Arial" w:hAnsi="Arial" w:cs="Arial"/>
          <w:color w:val="808080" w:themeColor="background1" w:themeShade="80"/>
          <w:sz w:val="16"/>
          <w:szCs w:val="16"/>
          <w:lang w:val="en-GB"/>
        </w:rPr>
        <w:t xml:space="preserve"> Ibid.</w:t>
      </w:r>
      <w:r w:rsidRPr="00B03FDE">
        <w:rPr>
          <w:rFonts w:ascii="Arial" w:hAnsi="Arial" w:cs="Arial"/>
          <w:color w:val="808080" w:themeColor="background1" w:themeShade="80"/>
          <w:sz w:val="16"/>
          <w:szCs w:val="16"/>
          <w:lang w:val="en-GB"/>
        </w:rPr>
        <w:t xml:space="preserve">, p </w:t>
      </w:r>
      <w:r w:rsidRPr="00B03FDE">
        <w:rPr>
          <w:rFonts w:ascii="Arial" w:hAnsi="Arial" w:cs="Arial"/>
          <w:color w:val="808080" w:themeColor="background1" w:themeShade="80"/>
          <w:sz w:val="16"/>
          <w:szCs w:val="16"/>
        </w:rPr>
        <w:t>40</w:t>
      </w:r>
    </w:p>
  </w:footnote>
  <w:footnote w:id="195">
    <w:p w14:paraId="04E097F4" w14:textId="7A2DF0D3" w:rsidR="00B03FDE" w:rsidRPr="00B03FDE" w:rsidRDefault="00B03FDE" w:rsidP="00B03FDE">
      <w:pPr>
        <w:pStyle w:val="FootnoteText"/>
        <w:jc w:val="both"/>
        <w:rPr>
          <w:rFonts w:ascii="Arial" w:hAnsi="Arial" w:cs="Arial"/>
          <w:sz w:val="16"/>
          <w:szCs w:val="16"/>
          <w:lang w:val="en-GB"/>
        </w:rPr>
      </w:pPr>
      <w:r w:rsidRPr="00B03FDE">
        <w:rPr>
          <w:rStyle w:val="FootnoteReference"/>
          <w:rFonts w:ascii="Arial" w:hAnsi="Arial" w:cs="Arial"/>
          <w:sz w:val="16"/>
          <w:szCs w:val="16"/>
        </w:rPr>
        <w:footnoteRef/>
      </w:r>
      <w:r w:rsidRPr="00B03FDE">
        <w:rPr>
          <w:rFonts w:ascii="Arial" w:hAnsi="Arial" w:cs="Arial"/>
          <w:sz w:val="16"/>
          <w:szCs w:val="16"/>
        </w:rPr>
        <w:t xml:space="preserve"> </w:t>
      </w:r>
      <w:r w:rsidR="00B733DA" w:rsidRPr="00B03FDE">
        <w:rPr>
          <w:rFonts w:ascii="Arial" w:hAnsi="Arial" w:cs="Arial"/>
          <w:color w:val="808080" w:themeColor="background1" w:themeShade="80"/>
          <w:sz w:val="16"/>
          <w:szCs w:val="16"/>
        </w:rPr>
        <w:t>Title 11 of the United States Code</w:t>
      </w:r>
      <w:r w:rsidR="00B733DA">
        <w:rPr>
          <w:rFonts w:ascii="Arial" w:hAnsi="Arial" w:cs="Arial"/>
          <w:color w:val="808080" w:themeColor="background1" w:themeShade="80"/>
          <w:sz w:val="16"/>
          <w:szCs w:val="16"/>
        </w:rPr>
        <w:t>, s</w:t>
      </w:r>
      <w:r w:rsidRPr="00B03FDE">
        <w:rPr>
          <w:rFonts w:ascii="Arial" w:hAnsi="Arial" w:cs="Arial"/>
          <w:color w:val="808080" w:themeColor="background1" w:themeShade="80"/>
          <w:sz w:val="16"/>
          <w:szCs w:val="16"/>
        </w:rPr>
        <w:t>ection 1126(c)</w:t>
      </w:r>
    </w:p>
  </w:footnote>
  <w:footnote w:id="196">
    <w:p w14:paraId="1AAE06D1" w14:textId="7A7AB41F" w:rsidR="00B03FDE" w:rsidRPr="00B03FDE" w:rsidRDefault="00B03FDE" w:rsidP="00B03FDE">
      <w:pPr>
        <w:pStyle w:val="FootnoteText"/>
        <w:jc w:val="both"/>
        <w:rPr>
          <w:rFonts w:ascii="Arial" w:hAnsi="Arial" w:cs="Arial"/>
          <w:sz w:val="16"/>
          <w:szCs w:val="16"/>
          <w:lang w:val="en-GB"/>
        </w:rPr>
      </w:pPr>
      <w:r w:rsidRPr="00B03FDE">
        <w:rPr>
          <w:rStyle w:val="FootnoteReference"/>
          <w:rFonts w:ascii="Arial" w:hAnsi="Arial" w:cs="Arial"/>
          <w:sz w:val="16"/>
          <w:szCs w:val="16"/>
        </w:rPr>
        <w:footnoteRef/>
      </w:r>
      <w:r w:rsidRPr="00B03FDE">
        <w:rPr>
          <w:rFonts w:ascii="Arial" w:hAnsi="Arial" w:cs="Arial"/>
          <w:sz w:val="16"/>
          <w:szCs w:val="16"/>
        </w:rPr>
        <w:t xml:space="preserve"> </w:t>
      </w:r>
      <w:r w:rsidR="00B733DA">
        <w:rPr>
          <w:rFonts w:ascii="Arial" w:hAnsi="Arial" w:cs="Arial"/>
          <w:color w:val="808080" w:themeColor="background1" w:themeShade="80"/>
          <w:sz w:val="16"/>
          <w:szCs w:val="16"/>
        </w:rPr>
        <w:t>Ibid., s</w:t>
      </w:r>
      <w:r w:rsidRPr="00B03FDE">
        <w:rPr>
          <w:rFonts w:ascii="Arial" w:hAnsi="Arial" w:cs="Arial"/>
          <w:color w:val="808080" w:themeColor="background1" w:themeShade="80"/>
          <w:sz w:val="16"/>
          <w:szCs w:val="16"/>
        </w:rPr>
        <w:t>ection 1129</w:t>
      </w:r>
    </w:p>
  </w:footnote>
  <w:footnote w:id="197">
    <w:p w14:paraId="493D6309" w14:textId="1BA1F5C0" w:rsidR="00B03FDE" w:rsidRPr="00B03FDE" w:rsidRDefault="00B03FDE" w:rsidP="00B03FDE">
      <w:pPr>
        <w:pStyle w:val="FootnoteText"/>
        <w:jc w:val="both"/>
        <w:rPr>
          <w:lang w:val="en-GB"/>
        </w:rPr>
      </w:pPr>
      <w:r w:rsidRPr="00B03FDE">
        <w:rPr>
          <w:rStyle w:val="FootnoteReference"/>
          <w:rFonts w:ascii="Arial" w:hAnsi="Arial" w:cs="Arial"/>
          <w:sz w:val="16"/>
          <w:szCs w:val="16"/>
        </w:rPr>
        <w:footnoteRef/>
      </w:r>
      <w:r w:rsidRPr="00B03FDE">
        <w:rPr>
          <w:rFonts w:ascii="Arial" w:hAnsi="Arial" w:cs="Arial"/>
          <w:sz w:val="16"/>
          <w:szCs w:val="16"/>
        </w:rPr>
        <w:t xml:space="preserve"> </w:t>
      </w:r>
      <w:r w:rsidR="00B733DA">
        <w:rPr>
          <w:rFonts w:ascii="Arial" w:hAnsi="Arial" w:cs="Arial"/>
          <w:color w:val="808080" w:themeColor="background1" w:themeShade="80"/>
          <w:sz w:val="16"/>
          <w:szCs w:val="16"/>
        </w:rPr>
        <w:t>Ibid., s</w:t>
      </w:r>
      <w:r w:rsidRPr="00B03FDE">
        <w:rPr>
          <w:rFonts w:ascii="Arial" w:hAnsi="Arial" w:cs="Arial"/>
          <w:color w:val="808080" w:themeColor="background1" w:themeShade="80"/>
          <w:sz w:val="16"/>
          <w:szCs w:val="16"/>
        </w:rPr>
        <w:t>ection 1124</w:t>
      </w:r>
    </w:p>
  </w:footnote>
  <w:footnote w:id="198">
    <w:p w14:paraId="0FC32911" w14:textId="31BDAAB9" w:rsidR="00B870F4" w:rsidRPr="00C357C0" w:rsidRDefault="00B870F4" w:rsidP="00C357C0">
      <w:pPr>
        <w:pStyle w:val="FootnoteText"/>
        <w:jc w:val="both"/>
        <w:rPr>
          <w:rFonts w:ascii="Arial" w:hAnsi="Arial" w:cs="Arial"/>
          <w:sz w:val="16"/>
          <w:szCs w:val="16"/>
          <w:lang w:val="en-GB"/>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Pr="00C357C0">
        <w:rPr>
          <w:rFonts w:ascii="Arial" w:hAnsi="Arial" w:cs="Arial"/>
          <w:color w:val="808080" w:themeColor="background1" w:themeShade="80"/>
          <w:sz w:val="16"/>
          <w:szCs w:val="16"/>
        </w:rPr>
        <w:t xml:space="preserve">Laura R Hall, </w:t>
      </w:r>
      <w:r w:rsidRPr="00C357C0">
        <w:rPr>
          <w:rFonts w:ascii="Arial" w:hAnsi="Arial" w:cs="Arial"/>
          <w:color w:val="808080" w:themeColor="background1" w:themeShade="80"/>
          <w:sz w:val="16"/>
          <w:szCs w:val="16"/>
          <w:lang w:val="en-GB"/>
        </w:rPr>
        <w:t xml:space="preserve">“INSOL International, Foundation Certificate in International Insolvency Law, Module </w:t>
      </w:r>
      <w:r w:rsidRPr="00C357C0">
        <w:rPr>
          <w:rFonts w:ascii="Arial" w:hAnsi="Arial" w:cs="Arial"/>
          <w:color w:val="808080" w:themeColor="background1" w:themeShade="80"/>
          <w:sz w:val="16"/>
          <w:szCs w:val="16"/>
        </w:rPr>
        <w:t>3A</w:t>
      </w:r>
      <w:r w:rsidRPr="00C357C0">
        <w:rPr>
          <w:rFonts w:ascii="Arial" w:hAnsi="Arial" w:cs="Arial"/>
          <w:color w:val="808080" w:themeColor="background1" w:themeShade="80"/>
          <w:sz w:val="16"/>
          <w:szCs w:val="16"/>
          <w:lang w:val="en-GB"/>
        </w:rPr>
        <w:t xml:space="preserve"> Guidance Text, </w:t>
      </w:r>
      <w:r w:rsidRPr="00C357C0">
        <w:rPr>
          <w:rFonts w:ascii="Arial" w:hAnsi="Arial" w:cs="Arial"/>
          <w:color w:val="808080" w:themeColor="background1" w:themeShade="80"/>
          <w:sz w:val="16"/>
          <w:szCs w:val="16"/>
        </w:rPr>
        <w:t>Insolvency System of the United States</w:t>
      </w:r>
      <w:r w:rsidRPr="00C357C0">
        <w:rPr>
          <w:rFonts w:ascii="Arial" w:hAnsi="Arial" w:cs="Arial"/>
          <w:color w:val="808080" w:themeColor="background1" w:themeShade="80"/>
          <w:sz w:val="16"/>
          <w:szCs w:val="16"/>
          <w:lang w:val="en-GB"/>
        </w:rPr>
        <w:t xml:space="preserve"> 2023/2024”, p </w:t>
      </w:r>
      <w:r w:rsidRPr="00C357C0">
        <w:rPr>
          <w:rFonts w:ascii="Arial" w:hAnsi="Arial" w:cs="Arial"/>
          <w:color w:val="808080" w:themeColor="background1" w:themeShade="80"/>
          <w:sz w:val="16"/>
          <w:szCs w:val="16"/>
        </w:rPr>
        <w:t>24</w:t>
      </w:r>
    </w:p>
  </w:footnote>
  <w:footnote w:id="199">
    <w:p w14:paraId="23202783" w14:textId="68187E8F" w:rsidR="00F0266D" w:rsidRPr="00C357C0" w:rsidRDefault="00F0266D" w:rsidP="00C357C0">
      <w:pPr>
        <w:pStyle w:val="AODocTxt"/>
        <w:spacing w:before="0" w:line="240" w:lineRule="auto"/>
        <w:rPr>
          <w:rFonts w:ascii="Arial" w:hAnsi="Arial" w:cs="Arial"/>
          <w:color w:val="808080"/>
          <w:sz w:val="16"/>
          <w:szCs w:val="16"/>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00B733DA" w:rsidRPr="00C357C0">
        <w:rPr>
          <w:rFonts w:ascii="Arial" w:hAnsi="Arial" w:cs="Arial"/>
          <w:color w:val="808080"/>
          <w:sz w:val="16"/>
          <w:szCs w:val="16"/>
        </w:rPr>
        <w:t>Title 11 of the United States Code</w:t>
      </w:r>
      <w:r w:rsidR="00B733DA">
        <w:rPr>
          <w:rFonts w:ascii="Arial" w:hAnsi="Arial" w:cs="Arial"/>
          <w:color w:val="808080"/>
          <w:sz w:val="16"/>
          <w:szCs w:val="16"/>
        </w:rPr>
        <w:t>, s</w:t>
      </w:r>
      <w:r w:rsidRPr="00C357C0">
        <w:rPr>
          <w:rFonts w:ascii="Arial" w:hAnsi="Arial" w:cs="Arial"/>
          <w:color w:val="808080"/>
          <w:sz w:val="16"/>
          <w:szCs w:val="16"/>
        </w:rPr>
        <w:t>ection 362(d)(1)</w:t>
      </w:r>
    </w:p>
  </w:footnote>
  <w:footnote w:id="200">
    <w:p w14:paraId="23988024" w14:textId="20DD6DF6" w:rsidR="00F0266D" w:rsidRPr="00C357C0" w:rsidRDefault="00F0266D" w:rsidP="00C357C0">
      <w:pPr>
        <w:pStyle w:val="FootnoteText"/>
        <w:jc w:val="both"/>
        <w:rPr>
          <w:rFonts w:ascii="Arial" w:hAnsi="Arial" w:cs="Arial"/>
          <w:sz w:val="16"/>
          <w:szCs w:val="16"/>
          <w:lang w:val="en-GB"/>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00B733DA">
        <w:rPr>
          <w:rFonts w:ascii="Arial" w:hAnsi="Arial" w:cs="Arial"/>
          <w:color w:val="808080"/>
          <w:sz w:val="16"/>
          <w:szCs w:val="16"/>
        </w:rPr>
        <w:t>Ibid., s</w:t>
      </w:r>
      <w:r w:rsidRPr="00C357C0">
        <w:rPr>
          <w:rFonts w:ascii="Arial" w:hAnsi="Arial" w:cs="Arial"/>
          <w:color w:val="808080"/>
          <w:sz w:val="16"/>
          <w:szCs w:val="16"/>
        </w:rPr>
        <w:t>ection 362(d)(2)</w:t>
      </w:r>
    </w:p>
  </w:footnote>
  <w:footnote w:id="201">
    <w:p w14:paraId="2C78BDB8" w14:textId="77777777" w:rsidR="00F0266D" w:rsidRPr="00C357C0" w:rsidRDefault="00F0266D" w:rsidP="00C357C0">
      <w:pPr>
        <w:pStyle w:val="FootnoteText"/>
        <w:jc w:val="both"/>
        <w:rPr>
          <w:rFonts w:ascii="Arial" w:hAnsi="Arial" w:cs="Arial"/>
          <w:sz w:val="16"/>
          <w:szCs w:val="16"/>
          <w:lang w:val="en-GB"/>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Pr="00C357C0">
        <w:rPr>
          <w:rFonts w:ascii="Arial" w:hAnsi="Arial" w:cs="Arial"/>
          <w:color w:val="808080" w:themeColor="background1" w:themeShade="80"/>
          <w:sz w:val="16"/>
          <w:szCs w:val="16"/>
        </w:rPr>
        <w:t xml:space="preserve">Laura R Hall, </w:t>
      </w:r>
      <w:r w:rsidRPr="00C357C0">
        <w:rPr>
          <w:rFonts w:ascii="Arial" w:hAnsi="Arial" w:cs="Arial"/>
          <w:color w:val="808080" w:themeColor="background1" w:themeShade="80"/>
          <w:sz w:val="16"/>
          <w:szCs w:val="16"/>
          <w:lang w:val="en-GB"/>
        </w:rPr>
        <w:t xml:space="preserve">“INSOL International, Foundation Certificate in International Insolvency Law, Module </w:t>
      </w:r>
      <w:r w:rsidRPr="00C357C0">
        <w:rPr>
          <w:rFonts w:ascii="Arial" w:hAnsi="Arial" w:cs="Arial"/>
          <w:color w:val="808080" w:themeColor="background1" w:themeShade="80"/>
          <w:sz w:val="16"/>
          <w:szCs w:val="16"/>
        </w:rPr>
        <w:t>3A</w:t>
      </w:r>
      <w:r w:rsidRPr="00C357C0">
        <w:rPr>
          <w:rFonts w:ascii="Arial" w:hAnsi="Arial" w:cs="Arial"/>
          <w:color w:val="808080" w:themeColor="background1" w:themeShade="80"/>
          <w:sz w:val="16"/>
          <w:szCs w:val="16"/>
          <w:lang w:val="en-GB"/>
        </w:rPr>
        <w:t xml:space="preserve"> Guidance Text, </w:t>
      </w:r>
      <w:r w:rsidRPr="00C357C0">
        <w:rPr>
          <w:rFonts w:ascii="Arial" w:hAnsi="Arial" w:cs="Arial"/>
          <w:color w:val="808080" w:themeColor="background1" w:themeShade="80"/>
          <w:sz w:val="16"/>
          <w:szCs w:val="16"/>
        </w:rPr>
        <w:t>Insolvency System of the United States</w:t>
      </w:r>
      <w:r w:rsidRPr="00C357C0">
        <w:rPr>
          <w:rFonts w:ascii="Arial" w:hAnsi="Arial" w:cs="Arial"/>
          <w:color w:val="808080" w:themeColor="background1" w:themeShade="80"/>
          <w:sz w:val="16"/>
          <w:szCs w:val="16"/>
          <w:lang w:val="en-GB"/>
        </w:rPr>
        <w:t xml:space="preserve"> 2023/2024”, p </w:t>
      </w:r>
      <w:r w:rsidRPr="00C357C0">
        <w:rPr>
          <w:rFonts w:ascii="Arial" w:hAnsi="Arial" w:cs="Arial"/>
          <w:color w:val="808080" w:themeColor="background1" w:themeShade="80"/>
          <w:sz w:val="16"/>
          <w:szCs w:val="16"/>
        </w:rPr>
        <w:t>24</w:t>
      </w:r>
    </w:p>
  </w:footnote>
  <w:footnote w:id="202">
    <w:p w14:paraId="2F13111D" w14:textId="7C0DF4A1" w:rsidR="00F0266D" w:rsidRPr="00C357C0" w:rsidRDefault="00F0266D" w:rsidP="00C357C0">
      <w:pPr>
        <w:pStyle w:val="AODocTxt"/>
        <w:spacing w:before="0" w:line="240" w:lineRule="auto"/>
        <w:rPr>
          <w:rFonts w:ascii="Arial" w:hAnsi="Arial" w:cs="Arial"/>
          <w:color w:val="808080"/>
          <w:sz w:val="16"/>
          <w:szCs w:val="16"/>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00B733DA" w:rsidRPr="00C357C0">
        <w:rPr>
          <w:rFonts w:ascii="Arial" w:hAnsi="Arial" w:cs="Arial"/>
          <w:color w:val="808080"/>
          <w:sz w:val="16"/>
          <w:szCs w:val="16"/>
        </w:rPr>
        <w:t>Title 11 of the United States Code</w:t>
      </w:r>
      <w:r w:rsidR="00B733DA">
        <w:rPr>
          <w:rFonts w:ascii="Arial" w:hAnsi="Arial" w:cs="Arial"/>
          <w:color w:val="808080"/>
          <w:sz w:val="16"/>
          <w:szCs w:val="16"/>
        </w:rPr>
        <w:t>, s</w:t>
      </w:r>
      <w:r w:rsidRPr="00C357C0">
        <w:rPr>
          <w:rFonts w:ascii="Arial" w:hAnsi="Arial" w:cs="Arial"/>
          <w:color w:val="808080"/>
          <w:sz w:val="16"/>
          <w:szCs w:val="16"/>
        </w:rPr>
        <w:t>ection 361(1)</w:t>
      </w:r>
    </w:p>
  </w:footnote>
  <w:footnote w:id="203">
    <w:p w14:paraId="09845423" w14:textId="77777777" w:rsidR="00F0266D" w:rsidRPr="00C357C0" w:rsidRDefault="00F0266D" w:rsidP="00C357C0">
      <w:pPr>
        <w:pStyle w:val="FootnoteText"/>
        <w:jc w:val="both"/>
        <w:rPr>
          <w:rFonts w:ascii="Arial" w:hAnsi="Arial" w:cs="Arial"/>
          <w:sz w:val="16"/>
          <w:szCs w:val="16"/>
          <w:lang w:val="en-GB"/>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Pr="00C357C0">
        <w:rPr>
          <w:rFonts w:ascii="Arial" w:hAnsi="Arial" w:cs="Arial"/>
          <w:color w:val="808080" w:themeColor="background1" w:themeShade="80"/>
          <w:sz w:val="16"/>
          <w:szCs w:val="16"/>
        </w:rPr>
        <w:t xml:space="preserve">Laura R Hall, </w:t>
      </w:r>
      <w:r w:rsidRPr="00C357C0">
        <w:rPr>
          <w:rFonts w:ascii="Arial" w:hAnsi="Arial" w:cs="Arial"/>
          <w:color w:val="808080" w:themeColor="background1" w:themeShade="80"/>
          <w:sz w:val="16"/>
          <w:szCs w:val="16"/>
          <w:lang w:val="en-GB"/>
        </w:rPr>
        <w:t xml:space="preserve">“INSOL International, Foundation Certificate in International Insolvency Law, Module </w:t>
      </w:r>
      <w:r w:rsidRPr="00C357C0">
        <w:rPr>
          <w:rFonts w:ascii="Arial" w:hAnsi="Arial" w:cs="Arial"/>
          <w:color w:val="808080" w:themeColor="background1" w:themeShade="80"/>
          <w:sz w:val="16"/>
          <w:szCs w:val="16"/>
        </w:rPr>
        <w:t>3A</w:t>
      </w:r>
      <w:r w:rsidRPr="00C357C0">
        <w:rPr>
          <w:rFonts w:ascii="Arial" w:hAnsi="Arial" w:cs="Arial"/>
          <w:color w:val="808080" w:themeColor="background1" w:themeShade="80"/>
          <w:sz w:val="16"/>
          <w:szCs w:val="16"/>
          <w:lang w:val="en-GB"/>
        </w:rPr>
        <w:t xml:space="preserve"> Guidance Text, </w:t>
      </w:r>
      <w:r w:rsidRPr="00C357C0">
        <w:rPr>
          <w:rFonts w:ascii="Arial" w:hAnsi="Arial" w:cs="Arial"/>
          <w:color w:val="808080" w:themeColor="background1" w:themeShade="80"/>
          <w:sz w:val="16"/>
          <w:szCs w:val="16"/>
        </w:rPr>
        <w:t>Insolvency System of the United States</w:t>
      </w:r>
      <w:r w:rsidRPr="00C357C0">
        <w:rPr>
          <w:rFonts w:ascii="Arial" w:hAnsi="Arial" w:cs="Arial"/>
          <w:color w:val="808080" w:themeColor="background1" w:themeShade="80"/>
          <w:sz w:val="16"/>
          <w:szCs w:val="16"/>
          <w:lang w:val="en-GB"/>
        </w:rPr>
        <w:t xml:space="preserve"> 2023/2024”, p </w:t>
      </w:r>
      <w:r w:rsidRPr="00C357C0">
        <w:rPr>
          <w:rFonts w:ascii="Arial" w:hAnsi="Arial" w:cs="Arial"/>
          <w:color w:val="808080" w:themeColor="background1" w:themeShade="80"/>
          <w:sz w:val="16"/>
          <w:szCs w:val="16"/>
        </w:rPr>
        <w:t>24</w:t>
      </w:r>
    </w:p>
  </w:footnote>
  <w:footnote w:id="204">
    <w:p w14:paraId="64B4319C" w14:textId="38F74613" w:rsidR="007E62FD" w:rsidRPr="00100A36" w:rsidRDefault="007E62FD" w:rsidP="00C357C0">
      <w:pPr>
        <w:pStyle w:val="AODocTxt"/>
        <w:spacing w:before="0" w:line="240" w:lineRule="auto"/>
        <w:rPr>
          <w:rFonts w:ascii="Arial" w:hAnsi="Arial" w:cs="Arial"/>
          <w:color w:val="808080"/>
          <w:sz w:val="16"/>
          <w:szCs w:val="16"/>
        </w:rPr>
      </w:pPr>
      <w:r w:rsidRPr="00C357C0">
        <w:rPr>
          <w:rStyle w:val="FootnoteReference"/>
          <w:rFonts w:ascii="Arial" w:hAnsi="Arial" w:cs="Arial"/>
          <w:sz w:val="16"/>
          <w:szCs w:val="16"/>
        </w:rPr>
        <w:footnoteRef/>
      </w:r>
      <w:r w:rsidRPr="00C357C0">
        <w:rPr>
          <w:rFonts w:ascii="Arial" w:hAnsi="Arial" w:cs="Arial"/>
          <w:sz w:val="16"/>
          <w:szCs w:val="16"/>
        </w:rPr>
        <w:t xml:space="preserve"> </w:t>
      </w:r>
      <w:r w:rsidRPr="00C357C0">
        <w:rPr>
          <w:rFonts w:ascii="Arial" w:hAnsi="Arial" w:cs="Arial"/>
          <w:color w:val="808080"/>
          <w:sz w:val="16"/>
          <w:szCs w:val="16"/>
        </w:rPr>
        <w:t>Section 362(a)(1), Title 11 of the United States Code</w:t>
      </w:r>
    </w:p>
  </w:footnote>
  <w:footnote w:id="205">
    <w:p w14:paraId="4C9E48C6" w14:textId="1C4F2715" w:rsidR="0086579E" w:rsidRPr="0086579E" w:rsidRDefault="0086579E" w:rsidP="0086579E">
      <w:pPr>
        <w:pStyle w:val="AODocTxt"/>
        <w:spacing w:before="0" w:line="240" w:lineRule="auto"/>
        <w:rPr>
          <w:rFonts w:ascii="Arial" w:hAnsi="Arial" w:cs="Arial"/>
          <w:color w:val="808080" w:themeColor="background1" w:themeShade="80"/>
        </w:rPr>
      </w:pPr>
      <w:r w:rsidRPr="00100A36">
        <w:rPr>
          <w:rStyle w:val="FootnoteReference"/>
          <w:rFonts w:ascii="Arial" w:hAnsi="Arial" w:cs="Arial"/>
          <w:sz w:val="16"/>
          <w:szCs w:val="16"/>
        </w:rPr>
        <w:footnoteRef/>
      </w:r>
      <w:r w:rsidRPr="00100A36">
        <w:rPr>
          <w:rFonts w:ascii="Arial" w:hAnsi="Arial" w:cs="Arial"/>
          <w:sz w:val="16"/>
          <w:szCs w:val="16"/>
        </w:rPr>
        <w:t xml:space="preserve"> </w:t>
      </w:r>
      <w:r w:rsidRPr="00100A36">
        <w:rPr>
          <w:rFonts w:ascii="Arial" w:hAnsi="Arial" w:cs="Arial"/>
          <w:color w:val="808080" w:themeColor="background1" w:themeShade="80"/>
          <w:sz w:val="16"/>
          <w:szCs w:val="16"/>
        </w:rPr>
        <w:t xml:space="preserve">Professor John D. Ayer, Michael </w:t>
      </w:r>
      <w:proofErr w:type="gramStart"/>
      <w:r w:rsidRPr="00100A36">
        <w:rPr>
          <w:rFonts w:ascii="Arial" w:hAnsi="Arial" w:cs="Arial"/>
          <w:color w:val="808080" w:themeColor="background1" w:themeShade="80"/>
          <w:sz w:val="16"/>
          <w:szCs w:val="16"/>
        </w:rPr>
        <w:t>Bernstein</w:t>
      </w:r>
      <w:proofErr w:type="gramEnd"/>
      <w:r w:rsidRPr="00100A36">
        <w:rPr>
          <w:rFonts w:ascii="Arial" w:hAnsi="Arial" w:cs="Arial"/>
          <w:color w:val="808080" w:themeColor="background1" w:themeShade="80"/>
          <w:sz w:val="16"/>
          <w:szCs w:val="16"/>
        </w:rPr>
        <w:t xml:space="preserve"> and Jonathan Friedland, “An Overview of the Automatic Stay” (2004) American Bankruptcy Institute Journal 22</w:t>
      </w:r>
    </w:p>
  </w:footnote>
  <w:footnote w:id="206">
    <w:p w14:paraId="603AD2C0" w14:textId="2626C8EF" w:rsidR="007E62FD" w:rsidRPr="00100A36" w:rsidRDefault="007E62FD" w:rsidP="00100A36">
      <w:pPr>
        <w:pStyle w:val="FootnoteText"/>
        <w:jc w:val="both"/>
        <w:rPr>
          <w:rFonts w:ascii="Arial" w:hAnsi="Arial" w:cs="Arial"/>
          <w:sz w:val="16"/>
          <w:szCs w:val="16"/>
          <w:lang w:val="en-GB"/>
        </w:rPr>
      </w:pPr>
      <w:r w:rsidRPr="00100A36">
        <w:rPr>
          <w:rStyle w:val="FootnoteReference"/>
          <w:rFonts w:ascii="Arial" w:hAnsi="Arial" w:cs="Arial"/>
          <w:sz w:val="16"/>
          <w:szCs w:val="16"/>
        </w:rPr>
        <w:footnoteRef/>
      </w:r>
      <w:r w:rsidRPr="00100A36">
        <w:rPr>
          <w:rFonts w:ascii="Arial" w:hAnsi="Arial" w:cs="Arial"/>
          <w:sz w:val="16"/>
          <w:szCs w:val="16"/>
        </w:rPr>
        <w:t xml:space="preserve"> </w:t>
      </w:r>
      <w:r w:rsidRPr="00100A36">
        <w:rPr>
          <w:rFonts w:ascii="Arial" w:hAnsi="Arial" w:cs="Arial"/>
          <w:color w:val="808080" w:themeColor="background1" w:themeShade="80"/>
          <w:sz w:val="16"/>
          <w:szCs w:val="16"/>
        </w:rPr>
        <w:t xml:space="preserve">Laura R Hall, </w:t>
      </w:r>
      <w:r w:rsidRPr="00100A36">
        <w:rPr>
          <w:rFonts w:ascii="Arial" w:hAnsi="Arial" w:cs="Arial"/>
          <w:color w:val="808080" w:themeColor="background1" w:themeShade="80"/>
          <w:sz w:val="16"/>
          <w:szCs w:val="16"/>
          <w:lang w:val="en-GB"/>
        </w:rPr>
        <w:t xml:space="preserve">“INSOL International, Foundation Certificate in International Insolvency Law, Module </w:t>
      </w:r>
      <w:r w:rsidRPr="00100A36">
        <w:rPr>
          <w:rFonts w:ascii="Arial" w:hAnsi="Arial" w:cs="Arial"/>
          <w:color w:val="808080" w:themeColor="background1" w:themeShade="80"/>
          <w:sz w:val="16"/>
          <w:szCs w:val="16"/>
        </w:rPr>
        <w:t>3A</w:t>
      </w:r>
      <w:r w:rsidRPr="00100A36">
        <w:rPr>
          <w:rFonts w:ascii="Arial" w:hAnsi="Arial" w:cs="Arial"/>
          <w:color w:val="808080" w:themeColor="background1" w:themeShade="80"/>
          <w:sz w:val="16"/>
          <w:szCs w:val="16"/>
          <w:lang w:val="en-GB"/>
        </w:rPr>
        <w:t xml:space="preserve"> Guidance Text, </w:t>
      </w:r>
      <w:r w:rsidRPr="00100A36">
        <w:rPr>
          <w:rFonts w:ascii="Arial" w:hAnsi="Arial" w:cs="Arial"/>
          <w:color w:val="808080" w:themeColor="background1" w:themeShade="80"/>
          <w:sz w:val="16"/>
          <w:szCs w:val="16"/>
        </w:rPr>
        <w:t>Insolvency System of the United States</w:t>
      </w:r>
      <w:r w:rsidRPr="00100A36">
        <w:rPr>
          <w:rFonts w:ascii="Arial" w:hAnsi="Arial" w:cs="Arial"/>
          <w:color w:val="808080" w:themeColor="background1" w:themeShade="80"/>
          <w:sz w:val="16"/>
          <w:szCs w:val="16"/>
          <w:lang w:val="en-GB"/>
        </w:rPr>
        <w:t xml:space="preserve"> 2023/2024”, p </w:t>
      </w:r>
      <w:r w:rsidRPr="00100A36">
        <w:rPr>
          <w:rFonts w:ascii="Arial" w:hAnsi="Arial" w:cs="Arial"/>
          <w:color w:val="808080" w:themeColor="background1" w:themeShade="80"/>
          <w:sz w:val="16"/>
          <w:szCs w:val="16"/>
        </w:rPr>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82E"/>
    <w:multiLevelType w:val="hybridMultilevel"/>
    <w:tmpl w:val="CC4E86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82BF1"/>
    <w:multiLevelType w:val="hybridMultilevel"/>
    <w:tmpl w:val="F03A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A3CCF"/>
    <w:multiLevelType w:val="hybridMultilevel"/>
    <w:tmpl w:val="65ACE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7C17DF"/>
    <w:multiLevelType w:val="hybridMultilevel"/>
    <w:tmpl w:val="FA88D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F0D31"/>
    <w:multiLevelType w:val="hybridMultilevel"/>
    <w:tmpl w:val="1F3A648E"/>
    <w:lvl w:ilvl="0" w:tplc="2ACC436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F44F0"/>
    <w:multiLevelType w:val="hybridMultilevel"/>
    <w:tmpl w:val="E758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41A18"/>
    <w:multiLevelType w:val="hybridMultilevel"/>
    <w:tmpl w:val="AA62FFE2"/>
    <w:lvl w:ilvl="0" w:tplc="7F1A7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7168E"/>
    <w:multiLevelType w:val="hybridMultilevel"/>
    <w:tmpl w:val="702CBDB2"/>
    <w:lvl w:ilvl="0" w:tplc="B6D0BF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EE16BFF"/>
    <w:multiLevelType w:val="hybridMultilevel"/>
    <w:tmpl w:val="2CFE6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913AE"/>
    <w:multiLevelType w:val="hybridMultilevel"/>
    <w:tmpl w:val="E3247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D11D2"/>
    <w:multiLevelType w:val="hybridMultilevel"/>
    <w:tmpl w:val="7E48225C"/>
    <w:lvl w:ilvl="0" w:tplc="97589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12D94"/>
    <w:multiLevelType w:val="hybridMultilevel"/>
    <w:tmpl w:val="CC986DA6"/>
    <w:lvl w:ilvl="0" w:tplc="DED8C1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838EE"/>
    <w:multiLevelType w:val="hybridMultilevel"/>
    <w:tmpl w:val="D8607B8C"/>
    <w:lvl w:ilvl="0" w:tplc="1B80449A">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3313696"/>
    <w:multiLevelType w:val="hybridMultilevel"/>
    <w:tmpl w:val="60AE4E04"/>
    <w:lvl w:ilvl="0" w:tplc="CEDA1A68">
      <w:start w:val="1"/>
      <w:numFmt w:val="decimal"/>
      <w:lvlText w:val="%1)"/>
      <w:lvlJc w:val="left"/>
      <w:pPr>
        <w:ind w:left="1080" w:hanging="360"/>
      </w:pPr>
      <w:rPr>
        <w:rFonts w:hint="default"/>
        <w:color w:val="8080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8118A0"/>
    <w:multiLevelType w:val="hybridMultilevel"/>
    <w:tmpl w:val="DD5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75B54"/>
    <w:multiLevelType w:val="hybridMultilevel"/>
    <w:tmpl w:val="6FFA6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0016C"/>
    <w:multiLevelType w:val="hybridMultilevel"/>
    <w:tmpl w:val="EDAC9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335172"/>
    <w:multiLevelType w:val="hybridMultilevel"/>
    <w:tmpl w:val="5E624A0E"/>
    <w:lvl w:ilvl="0" w:tplc="18CCB118">
      <w:start w:val="1"/>
      <w:numFmt w:val="decimal"/>
      <w:lvlText w:val="%1)"/>
      <w:lvlJc w:val="left"/>
      <w:pPr>
        <w:ind w:left="984" w:hanging="360"/>
      </w:pPr>
      <w:rPr>
        <w:rFonts w:hint="default"/>
        <w:color w:val="80808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4"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25" w15:restartNumberingAfterBreak="0">
    <w:nsid w:val="7FB4708C"/>
    <w:multiLevelType w:val="hybridMultilevel"/>
    <w:tmpl w:val="084A7906"/>
    <w:lvl w:ilvl="0" w:tplc="7A605A6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62497721">
    <w:abstractNumId w:val="19"/>
  </w:num>
  <w:num w:numId="2" w16cid:durableId="937979478">
    <w:abstractNumId w:val="20"/>
  </w:num>
  <w:num w:numId="3" w16cid:durableId="293563849">
    <w:abstractNumId w:val="5"/>
  </w:num>
  <w:num w:numId="4" w16cid:durableId="1203253494">
    <w:abstractNumId w:val="3"/>
  </w:num>
  <w:num w:numId="5" w16cid:durableId="2144806674">
    <w:abstractNumId w:val="21"/>
  </w:num>
  <w:num w:numId="6" w16cid:durableId="1673992024">
    <w:abstractNumId w:val="22"/>
  </w:num>
  <w:num w:numId="7" w16cid:durableId="289169433">
    <w:abstractNumId w:val="4"/>
  </w:num>
  <w:num w:numId="8" w16cid:durableId="710303923">
    <w:abstractNumId w:val="13"/>
  </w:num>
  <w:num w:numId="9" w16cid:durableId="737285773">
    <w:abstractNumId w:val="9"/>
  </w:num>
  <w:num w:numId="10" w16cid:durableId="259023075">
    <w:abstractNumId w:val="25"/>
  </w:num>
  <w:num w:numId="11" w16cid:durableId="152575966">
    <w:abstractNumId w:val="8"/>
  </w:num>
  <w:num w:numId="12" w16cid:durableId="18967223">
    <w:abstractNumId w:val="2"/>
  </w:num>
  <w:num w:numId="13" w16cid:durableId="1945722811">
    <w:abstractNumId w:val="16"/>
  </w:num>
  <w:num w:numId="14" w16cid:durableId="1980721315">
    <w:abstractNumId w:val="11"/>
  </w:num>
  <w:num w:numId="15" w16cid:durableId="232393180">
    <w:abstractNumId w:val="6"/>
  </w:num>
  <w:num w:numId="16" w16cid:durableId="696388162">
    <w:abstractNumId w:val="17"/>
  </w:num>
  <w:num w:numId="17" w16cid:durableId="1815751648">
    <w:abstractNumId w:val="18"/>
  </w:num>
  <w:num w:numId="18" w16cid:durableId="1882012898">
    <w:abstractNumId w:val="14"/>
  </w:num>
  <w:num w:numId="19" w16cid:durableId="1523011974">
    <w:abstractNumId w:val="7"/>
  </w:num>
  <w:num w:numId="20" w16cid:durableId="1959487061">
    <w:abstractNumId w:val="1"/>
  </w:num>
  <w:num w:numId="21" w16cid:durableId="48698151">
    <w:abstractNumId w:val="0"/>
  </w:num>
  <w:num w:numId="22" w16cid:durableId="304163542">
    <w:abstractNumId w:val="10"/>
  </w:num>
  <w:num w:numId="23" w16cid:durableId="1885093313">
    <w:abstractNumId w:val="12"/>
  </w:num>
  <w:num w:numId="24" w16cid:durableId="1048603942">
    <w:abstractNumId w:val="23"/>
  </w:num>
  <w:num w:numId="25" w16cid:durableId="200266045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9D"/>
    <w:rsid w:val="000011AD"/>
    <w:rsid w:val="00002AFC"/>
    <w:rsid w:val="00003073"/>
    <w:rsid w:val="00003B5E"/>
    <w:rsid w:val="00003E52"/>
    <w:rsid w:val="000056C1"/>
    <w:rsid w:val="00007A86"/>
    <w:rsid w:val="000106A0"/>
    <w:rsid w:val="00010924"/>
    <w:rsid w:val="00010BA0"/>
    <w:rsid w:val="000131DF"/>
    <w:rsid w:val="0001333B"/>
    <w:rsid w:val="00013AA5"/>
    <w:rsid w:val="000160C4"/>
    <w:rsid w:val="00016F84"/>
    <w:rsid w:val="00017BC2"/>
    <w:rsid w:val="0002038B"/>
    <w:rsid w:val="00020557"/>
    <w:rsid w:val="00021FC2"/>
    <w:rsid w:val="000225B3"/>
    <w:rsid w:val="00022E00"/>
    <w:rsid w:val="000250C7"/>
    <w:rsid w:val="00026F16"/>
    <w:rsid w:val="0003047B"/>
    <w:rsid w:val="000346E7"/>
    <w:rsid w:val="000356BF"/>
    <w:rsid w:val="0003635C"/>
    <w:rsid w:val="000375B1"/>
    <w:rsid w:val="00037621"/>
    <w:rsid w:val="00037671"/>
    <w:rsid w:val="00037B05"/>
    <w:rsid w:val="00043085"/>
    <w:rsid w:val="00043AF6"/>
    <w:rsid w:val="0004407A"/>
    <w:rsid w:val="00044236"/>
    <w:rsid w:val="00044D46"/>
    <w:rsid w:val="00045088"/>
    <w:rsid w:val="00045904"/>
    <w:rsid w:val="0004609C"/>
    <w:rsid w:val="00046DF2"/>
    <w:rsid w:val="000502FD"/>
    <w:rsid w:val="000513CD"/>
    <w:rsid w:val="0005367A"/>
    <w:rsid w:val="00057C8B"/>
    <w:rsid w:val="00061C1C"/>
    <w:rsid w:val="00061DA5"/>
    <w:rsid w:val="00062675"/>
    <w:rsid w:val="000628C1"/>
    <w:rsid w:val="00063BF6"/>
    <w:rsid w:val="000643AB"/>
    <w:rsid w:val="000648DD"/>
    <w:rsid w:val="00065166"/>
    <w:rsid w:val="00066EF1"/>
    <w:rsid w:val="00067904"/>
    <w:rsid w:val="00071293"/>
    <w:rsid w:val="00073F1A"/>
    <w:rsid w:val="000778B1"/>
    <w:rsid w:val="000810B2"/>
    <w:rsid w:val="00081DAE"/>
    <w:rsid w:val="00082609"/>
    <w:rsid w:val="000827A5"/>
    <w:rsid w:val="00082812"/>
    <w:rsid w:val="00084FE2"/>
    <w:rsid w:val="000851CC"/>
    <w:rsid w:val="00085C9D"/>
    <w:rsid w:val="000877CC"/>
    <w:rsid w:val="00092D78"/>
    <w:rsid w:val="00093BE8"/>
    <w:rsid w:val="00094C1D"/>
    <w:rsid w:val="00096298"/>
    <w:rsid w:val="000968D6"/>
    <w:rsid w:val="00097B45"/>
    <w:rsid w:val="00097D56"/>
    <w:rsid w:val="000A1C83"/>
    <w:rsid w:val="000A407B"/>
    <w:rsid w:val="000A42A9"/>
    <w:rsid w:val="000A636A"/>
    <w:rsid w:val="000A68ED"/>
    <w:rsid w:val="000A7A3D"/>
    <w:rsid w:val="000B006E"/>
    <w:rsid w:val="000B234A"/>
    <w:rsid w:val="000B2B06"/>
    <w:rsid w:val="000B3401"/>
    <w:rsid w:val="000B4698"/>
    <w:rsid w:val="000B5FF1"/>
    <w:rsid w:val="000B609F"/>
    <w:rsid w:val="000B6F32"/>
    <w:rsid w:val="000C3F52"/>
    <w:rsid w:val="000C4C5B"/>
    <w:rsid w:val="000D20A4"/>
    <w:rsid w:val="000D2FB7"/>
    <w:rsid w:val="000D55A8"/>
    <w:rsid w:val="000D569D"/>
    <w:rsid w:val="000D5D08"/>
    <w:rsid w:val="000E0630"/>
    <w:rsid w:val="000E3632"/>
    <w:rsid w:val="000E4841"/>
    <w:rsid w:val="000E747D"/>
    <w:rsid w:val="000F0E89"/>
    <w:rsid w:val="000F1677"/>
    <w:rsid w:val="000F2C62"/>
    <w:rsid w:val="000F3D6C"/>
    <w:rsid w:val="000F4EF8"/>
    <w:rsid w:val="000F71E2"/>
    <w:rsid w:val="000F7952"/>
    <w:rsid w:val="000F7FC2"/>
    <w:rsid w:val="00100A36"/>
    <w:rsid w:val="00101707"/>
    <w:rsid w:val="00102CC9"/>
    <w:rsid w:val="00106CA8"/>
    <w:rsid w:val="001109FE"/>
    <w:rsid w:val="001135D4"/>
    <w:rsid w:val="00113E8E"/>
    <w:rsid w:val="0011473D"/>
    <w:rsid w:val="00115C85"/>
    <w:rsid w:val="00121BC9"/>
    <w:rsid w:val="0012224B"/>
    <w:rsid w:val="00123855"/>
    <w:rsid w:val="00123C65"/>
    <w:rsid w:val="00125163"/>
    <w:rsid w:val="001261ED"/>
    <w:rsid w:val="00126A4D"/>
    <w:rsid w:val="00126F17"/>
    <w:rsid w:val="00127BAC"/>
    <w:rsid w:val="0013114F"/>
    <w:rsid w:val="00134804"/>
    <w:rsid w:val="00137398"/>
    <w:rsid w:val="00140DF6"/>
    <w:rsid w:val="0014171F"/>
    <w:rsid w:val="00141AE8"/>
    <w:rsid w:val="001437A8"/>
    <w:rsid w:val="001445EF"/>
    <w:rsid w:val="0014622C"/>
    <w:rsid w:val="00146BEA"/>
    <w:rsid w:val="00152348"/>
    <w:rsid w:val="0015456D"/>
    <w:rsid w:val="00155FA2"/>
    <w:rsid w:val="0015754D"/>
    <w:rsid w:val="00160679"/>
    <w:rsid w:val="00160A0F"/>
    <w:rsid w:val="00161005"/>
    <w:rsid w:val="00161F1B"/>
    <w:rsid w:val="00162829"/>
    <w:rsid w:val="001647AD"/>
    <w:rsid w:val="001675D3"/>
    <w:rsid w:val="00167EED"/>
    <w:rsid w:val="001757F7"/>
    <w:rsid w:val="00180548"/>
    <w:rsid w:val="00180AC4"/>
    <w:rsid w:val="00180CCE"/>
    <w:rsid w:val="0018110F"/>
    <w:rsid w:val="001816A2"/>
    <w:rsid w:val="0018267A"/>
    <w:rsid w:val="00182779"/>
    <w:rsid w:val="001830DF"/>
    <w:rsid w:val="00183A49"/>
    <w:rsid w:val="0018534C"/>
    <w:rsid w:val="00191822"/>
    <w:rsid w:val="001966D9"/>
    <w:rsid w:val="00196A74"/>
    <w:rsid w:val="0019754B"/>
    <w:rsid w:val="001978CC"/>
    <w:rsid w:val="00197E4B"/>
    <w:rsid w:val="001A2DC2"/>
    <w:rsid w:val="001A5E46"/>
    <w:rsid w:val="001A60BA"/>
    <w:rsid w:val="001A659F"/>
    <w:rsid w:val="001A7E9A"/>
    <w:rsid w:val="001B0F70"/>
    <w:rsid w:val="001B1763"/>
    <w:rsid w:val="001B2085"/>
    <w:rsid w:val="001B2BFA"/>
    <w:rsid w:val="001B33F5"/>
    <w:rsid w:val="001B342F"/>
    <w:rsid w:val="001B44E8"/>
    <w:rsid w:val="001B5016"/>
    <w:rsid w:val="001B5806"/>
    <w:rsid w:val="001B5CA5"/>
    <w:rsid w:val="001C0AAA"/>
    <w:rsid w:val="001C45FC"/>
    <w:rsid w:val="001D0206"/>
    <w:rsid w:val="001D0469"/>
    <w:rsid w:val="001D1B38"/>
    <w:rsid w:val="001D3BAA"/>
    <w:rsid w:val="001D4862"/>
    <w:rsid w:val="001E0324"/>
    <w:rsid w:val="001E25B9"/>
    <w:rsid w:val="001E49E0"/>
    <w:rsid w:val="001E5438"/>
    <w:rsid w:val="001E6C11"/>
    <w:rsid w:val="001E7B5A"/>
    <w:rsid w:val="001F02F2"/>
    <w:rsid w:val="001F2425"/>
    <w:rsid w:val="001F31A0"/>
    <w:rsid w:val="001F3E8C"/>
    <w:rsid w:val="001F525C"/>
    <w:rsid w:val="001F611C"/>
    <w:rsid w:val="001F7412"/>
    <w:rsid w:val="001F7932"/>
    <w:rsid w:val="002020C9"/>
    <w:rsid w:val="00202DFE"/>
    <w:rsid w:val="002048E6"/>
    <w:rsid w:val="00204A78"/>
    <w:rsid w:val="00206E3D"/>
    <w:rsid w:val="0020725B"/>
    <w:rsid w:val="0020780E"/>
    <w:rsid w:val="00207EFB"/>
    <w:rsid w:val="0021059E"/>
    <w:rsid w:val="002110F1"/>
    <w:rsid w:val="002124C6"/>
    <w:rsid w:val="002204B8"/>
    <w:rsid w:val="00223917"/>
    <w:rsid w:val="00224888"/>
    <w:rsid w:val="0023538A"/>
    <w:rsid w:val="002374FE"/>
    <w:rsid w:val="0023793B"/>
    <w:rsid w:val="0024116D"/>
    <w:rsid w:val="00241B44"/>
    <w:rsid w:val="00241F31"/>
    <w:rsid w:val="00241FA3"/>
    <w:rsid w:val="00242B3A"/>
    <w:rsid w:val="00243CC7"/>
    <w:rsid w:val="00243E81"/>
    <w:rsid w:val="0024528D"/>
    <w:rsid w:val="00245EFB"/>
    <w:rsid w:val="00250C7E"/>
    <w:rsid w:val="0025125F"/>
    <w:rsid w:val="00252B63"/>
    <w:rsid w:val="0025386E"/>
    <w:rsid w:val="00256B74"/>
    <w:rsid w:val="00260516"/>
    <w:rsid w:val="002631D3"/>
    <w:rsid w:val="002638B0"/>
    <w:rsid w:val="00264497"/>
    <w:rsid w:val="00266439"/>
    <w:rsid w:val="0026647A"/>
    <w:rsid w:val="002668D3"/>
    <w:rsid w:val="0026790D"/>
    <w:rsid w:val="002721A7"/>
    <w:rsid w:val="0027299F"/>
    <w:rsid w:val="00274119"/>
    <w:rsid w:val="00275F12"/>
    <w:rsid w:val="00276803"/>
    <w:rsid w:val="00276AAC"/>
    <w:rsid w:val="00276B4A"/>
    <w:rsid w:val="002775A4"/>
    <w:rsid w:val="002778AE"/>
    <w:rsid w:val="002833D9"/>
    <w:rsid w:val="00284EBE"/>
    <w:rsid w:val="00286562"/>
    <w:rsid w:val="002903A7"/>
    <w:rsid w:val="00291367"/>
    <w:rsid w:val="0029433F"/>
    <w:rsid w:val="00294829"/>
    <w:rsid w:val="002955A5"/>
    <w:rsid w:val="0029580B"/>
    <w:rsid w:val="0029690F"/>
    <w:rsid w:val="00297C8A"/>
    <w:rsid w:val="00297F07"/>
    <w:rsid w:val="002A1606"/>
    <w:rsid w:val="002A16B3"/>
    <w:rsid w:val="002A2A60"/>
    <w:rsid w:val="002A2D31"/>
    <w:rsid w:val="002A37BB"/>
    <w:rsid w:val="002B1C45"/>
    <w:rsid w:val="002B425E"/>
    <w:rsid w:val="002B5D64"/>
    <w:rsid w:val="002B5F95"/>
    <w:rsid w:val="002B70D1"/>
    <w:rsid w:val="002C13C8"/>
    <w:rsid w:val="002C3547"/>
    <w:rsid w:val="002C3605"/>
    <w:rsid w:val="002C44E1"/>
    <w:rsid w:val="002C610E"/>
    <w:rsid w:val="002D0021"/>
    <w:rsid w:val="002D2149"/>
    <w:rsid w:val="002D294B"/>
    <w:rsid w:val="002D299D"/>
    <w:rsid w:val="002D3473"/>
    <w:rsid w:val="002D447C"/>
    <w:rsid w:val="002D46DB"/>
    <w:rsid w:val="002D495B"/>
    <w:rsid w:val="002D4CD8"/>
    <w:rsid w:val="002D6789"/>
    <w:rsid w:val="002D68C8"/>
    <w:rsid w:val="002D78C5"/>
    <w:rsid w:val="002E0C1A"/>
    <w:rsid w:val="002E0F33"/>
    <w:rsid w:val="002E1E74"/>
    <w:rsid w:val="002E2721"/>
    <w:rsid w:val="002E32E6"/>
    <w:rsid w:val="002E577E"/>
    <w:rsid w:val="002E5AEC"/>
    <w:rsid w:val="002E6C58"/>
    <w:rsid w:val="002E6DE4"/>
    <w:rsid w:val="002F05D4"/>
    <w:rsid w:val="002F15CF"/>
    <w:rsid w:val="002F1956"/>
    <w:rsid w:val="002F2CFC"/>
    <w:rsid w:val="002F3440"/>
    <w:rsid w:val="002F75A3"/>
    <w:rsid w:val="00301D2B"/>
    <w:rsid w:val="00303B8C"/>
    <w:rsid w:val="00303C2F"/>
    <w:rsid w:val="00303FD0"/>
    <w:rsid w:val="003048C2"/>
    <w:rsid w:val="00306500"/>
    <w:rsid w:val="0031031E"/>
    <w:rsid w:val="003105AB"/>
    <w:rsid w:val="003109FD"/>
    <w:rsid w:val="00313CBE"/>
    <w:rsid w:val="003144EF"/>
    <w:rsid w:val="00316881"/>
    <w:rsid w:val="0031704F"/>
    <w:rsid w:val="00323167"/>
    <w:rsid w:val="00326292"/>
    <w:rsid w:val="00326415"/>
    <w:rsid w:val="00330937"/>
    <w:rsid w:val="00330F31"/>
    <w:rsid w:val="00333017"/>
    <w:rsid w:val="00334648"/>
    <w:rsid w:val="00334B98"/>
    <w:rsid w:val="0033768C"/>
    <w:rsid w:val="00337938"/>
    <w:rsid w:val="00337E38"/>
    <w:rsid w:val="00340769"/>
    <w:rsid w:val="00340D45"/>
    <w:rsid w:val="00341AA6"/>
    <w:rsid w:val="003441CF"/>
    <w:rsid w:val="003502EB"/>
    <w:rsid w:val="00352E16"/>
    <w:rsid w:val="0035323E"/>
    <w:rsid w:val="00355742"/>
    <w:rsid w:val="00356D74"/>
    <w:rsid w:val="003573A4"/>
    <w:rsid w:val="00360193"/>
    <w:rsid w:val="003614DD"/>
    <w:rsid w:val="00361A0A"/>
    <w:rsid w:val="00364836"/>
    <w:rsid w:val="0036565C"/>
    <w:rsid w:val="003658B8"/>
    <w:rsid w:val="0036625E"/>
    <w:rsid w:val="0036662D"/>
    <w:rsid w:val="00367300"/>
    <w:rsid w:val="003707EC"/>
    <w:rsid w:val="00371391"/>
    <w:rsid w:val="00371FC3"/>
    <w:rsid w:val="00372FA5"/>
    <w:rsid w:val="0037465A"/>
    <w:rsid w:val="0037658C"/>
    <w:rsid w:val="00377E1A"/>
    <w:rsid w:val="00380ED3"/>
    <w:rsid w:val="00380F08"/>
    <w:rsid w:val="00382261"/>
    <w:rsid w:val="00382C98"/>
    <w:rsid w:val="00383458"/>
    <w:rsid w:val="0038533C"/>
    <w:rsid w:val="00386568"/>
    <w:rsid w:val="003868C1"/>
    <w:rsid w:val="00390B57"/>
    <w:rsid w:val="003935BA"/>
    <w:rsid w:val="003948D5"/>
    <w:rsid w:val="00396821"/>
    <w:rsid w:val="00397D3A"/>
    <w:rsid w:val="003A051E"/>
    <w:rsid w:val="003A056D"/>
    <w:rsid w:val="003A14CB"/>
    <w:rsid w:val="003A40C9"/>
    <w:rsid w:val="003A5204"/>
    <w:rsid w:val="003A5537"/>
    <w:rsid w:val="003A5998"/>
    <w:rsid w:val="003A59C6"/>
    <w:rsid w:val="003A5A6A"/>
    <w:rsid w:val="003A5C3D"/>
    <w:rsid w:val="003A75F4"/>
    <w:rsid w:val="003A7FBB"/>
    <w:rsid w:val="003B0BBB"/>
    <w:rsid w:val="003B170F"/>
    <w:rsid w:val="003B3C5F"/>
    <w:rsid w:val="003B4145"/>
    <w:rsid w:val="003B5CB4"/>
    <w:rsid w:val="003B7184"/>
    <w:rsid w:val="003C0F8C"/>
    <w:rsid w:val="003C1190"/>
    <w:rsid w:val="003C3388"/>
    <w:rsid w:val="003C4471"/>
    <w:rsid w:val="003C53FE"/>
    <w:rsid w:val="003D04B4"/>
    <w:rsid w:val="003D0A6D"/>
    <w:rsid w:val="003D332A"/>
    <w:rsid w:val="003D3D5A"/>
    <w:rsid w:val="003D450D"/>
    <w:rsid w:val="003D5C36"/>
    <w:rsid w:val="003E0B16"/>
    <w:rsid w:val="003E67D1"/>
    <w:rsid w:val="003F08EE"/>
    <w:rsid w:val="003F190D"/>
    <w:rsid w:val="003F2EA2"/>
    <w:rsid w:val="003F4AA0"/>
    <w:rsid w:val="003F5CB0"/>
    <w:rsid w:val="003F6C60"/>
    <w:rsid w:val="0040382F"/>
    <w:rsid w:val="00404329"/>
    <w:rsid w:val="004046C9"/>
    <w:rsid w:val="00405DC1"/>
    <w:rsid w:val="00407A56"/>
    <w:rsid w:val="00410A3D"/>
    <w:rsid w:val="00410B62"/>
    <w:rsid w:val="00412A41"/>
    <w:rsid w:val="00415F1F"/>
    <w:rsid w:val="004172DA"/>
    <w:rsid w:val="00420FAC"/>
    <w:rsid w:val="0042108F"/>
    <w:rsid w:val="004239B1"/>
    <w:rsid w:val="004248F6"/>
    <w:rsid w:val="0042541A"/>
    <w:rsid w:val="00425B44"/>
    <w:rsid w:val="004273B0"/>
    <w:rsid w:val="0042765D"/>
    <w:rsid w:val="00430FED"/>
    <w:rsid w:val="00434A8C"/>
    <w:rsid w:val="00435733"/>
    <w:rsid w:val="00437297"/>
    <w:rsid w:val="00441516"/>
    <w:rsid w:val="00443DFD"/>
    <w:rsid w:val="00444284"/>
    <w:rsid w:val="004452B2"/>
    <w:rsid w:val="00445CE6"/>
    <w:rsid w:val="00446415"/>
    <w:rsid w:val="0044664D"/>
    <w:rsid w:val="00447637"/>
    <w:rsid w:val="00451D29"/>
    <w:rsid w:val="004534C2"/>
    <w:rsid w:val="0045446F"/>
    <w:rsid w:val="00455018"/>
    <w:rsid w:val="0045683E"/>
    <w:rsid w:val="00456C35"/>
    <w:rsid w:val="004574E0"/>
    <w:rsid w:val="0045769F"/>
    <w:rsid w:val="00461153"/>
    <w:rsid w:val="00461390"/>
    <w:rsid w:val="00461E4A"/>
    <w:rsid w:val="00462835"/>
    <w:rsid w:val="004673D1"/>
    <w:rsid w:val="00470616"/>
    <w:rsid w:val="00472A28"/>
    <w:rsid w:val="0047360E"/>
    <w:rsid w:val="004748B1"/>
    <w:rsid w:val="00475350"/>
    <w:rsid w:val="00477C72"/>
    <w:rsid w:val="00482421"/>
    <w:rsid w:val="0048256D"/>
    <w:rsid w:val="004830F8"/>
    <w:rsid w:val="00483A6B"/>
    <w:rsid w:val="00484B73"/>
    <w:rsid w:val="00491675"/>
    <w:rsid w:val="0049306E"/>
    <w:rsid w:val="00493855"/>
    <w:rsid w:val="00494630"/>
    <w:rsid w:val="00494B81"/>
    <w:rsid w:val="00494FA7"/>
    <w:rsid w:val="00495E79"/>
    <w:rsid w:val="004A05FE"/>
    <w:rsid w:val="004A2E1E"/>
    <w:rsid w:val="004A4487"/>
    <w:rsid w:val="004A57DD"/>
    <w:rsid w:val="004A7B51"/>
    <w:rsid w:val="004A7D71"/>
    <w:rsid w:val="004A7EF3"/>
    <w:rsid w:val="004B09E6"/>
    <w:rsid w:val="004B0E88"/>
    <w:rsid w:val="004B11FD"/>
    <w:rsid w:val="004B23A2"/>
    <w:rsid w:val="004B4A98"/>
    <w:rsid w:val="004B678D"/>
    <w:rsid w:val="004C3D91"/>
    <w:rsid w:val="004C4349"/>
    <w:rsid w:val="004C4417"/>
    <w:rsid w:val="004C49C3"/>
    <w:rsid w:val="004C63F1"/>
    <w:rsid w:val="004C652A"/>
    <w:rsid w:val="004D08C4"/>
    <w:rsid w:val="004D1821"/>
    <w:rsid w:val="004D1A5A"/>
    <w:rsid w:val="004D2A77"/>
    <w:rsid w:val="004D2FFF"/>
    <w:rsid w:val="004D3363"/>
    <w:rsid w:val="004D36D5"/>
    <w:rsid w:val="004D3721"/>
    <w:rsid w:val="004D4183"/>
    <w:rsid w:val="004D4255"/>
    <w:rsid w:val="004D63CB"/>
    <w:rsid w:val="004D64F9"/>
    <w:rsid w:val="004D79C1"/>
    <w:rsid w:val="004E00D9"/>
    <w:rsid w:val="004E1F4B"/>
    <w:rsid w:val="004E3A6B"/>
    <w:rsid w:val="004E3FD2"/>
    <w:rsid w:val="004E5AF5"/>
    <w:rsid w:val="004E622C"/>
    <w:rsid w:val="004F4833"/>
    <w:rsid w:val="004F49B5"/>
    <w:rsid w:val="004F4B0E"/>
    <w:rsid w:val="004F5FDF"/>
    <w:rsid w:val="004F65B3"/>
    <w:rsid w:val="004F7368"/>
    <w:rsid w:val="004F7B99"/>
    <w:rsid w:val="0050070A"/>
    <w:rsid w:val="00500D17"/>
    <w:rsid w:val="0050169B"/>
    <w:rsid w:val="005028C8"/>
    <w:rsid w:val="005031A2"/>
    <w:rsid w:val="00503370"/>
    <w:rsid w:val="0050768C"/>
    <w:rsid w:val="0051126E"/>
    <w:rsid w:val="00514494"/>
    <w:rsid w:val="00514607"/>
    <w:rsid w:val="00514BD7"/>
    <w:rsid w:val="00515810"/>
    <w:rsid w:val="005177FE"/>
    <w:rsid w:val="005210BC"/>
    <w:rsid w:val="0052263B"/>
    <w:rsid w:val="005237A3"/>
    <w:rsid w:val="00523B59"/>
    <w:rsid w:val="00524728"/>
    <w:rsid w:val="00524AC2"/>
    <w:rsid w:val="005331CA"/>
    <w:rsid w:val="005334C3"/>
    <w:rsid w:val="005344F8"/>
    <w:rsid w:val="0053664B"/>
    <w:rsid w:val="00537970"/>
    <w:rsid w:val="00540A34"/>
    <w:rsid w:val="00540A9C"/>
    <w:rsid w:val="00540E3A"/>
    <w:rsid w:val="005438A2"/>
    <w:rsid w:val="00543CCE"/>
    <w:rsid w:val="00544127"/>
    <w:rsid w:val="00545F4F"/>
    <w:rsid w:val="005463A9"/>
    <w:rsid w:val="005518D1"/>
    <w:rsid w:val="00551995"/>
    <w:rsid w:val="00551CC5"/>
    <w:rsid w:val="00551CD3"/>
    <w:rsid w:val="00553EB2"/>
    <w:rsid w:val="00554B96"/>
    <w:rsid w:val="0055500E"/>
    <w:rsid w:val="00560534"/>
    <w:rsid w:val="00562F82"/>
    <w:rsid w:val="0056391B"/>
    <w:rsid w:val="005650E2"/>
    <w:rsid w:val="00566CA7"/>
    <w:rsid w:val="0056759A"/>
    <w:rsid w:val="005675C2"/>
    <w:rsid w:val="00567AD7"/>
    <w:rsid w:val="00567B8F"/>
    <w:rsid w:val="00571C35"/>
    <w:rsid w:val="00574162"/>
    <w:rsid w:val="00575B2D"/>
    <w:rsid w:val="00580B65"/>
    <w:rsid w:val="005814AE"/>
    <w:rsid w:val="005833D0"/>
    <w:rsid w:val="00583613"/>
    <w:rsid w:val="00583D8E"/>
    <w:rsid w:val="005846F3"/>
    <w:rsid w:val="0058622F"/>
    <w:rsid w:val="00587019"/>
    <w:rsid w:val="005919CA"/>
    <w:rsid w:val="00592F82"/>
    <w:rsid w:val="00593972"/>
    <w:rsid w:val="005970B0"/>
    <w:rsid w:val="005A00F4"/>
    <w:rsid w:val="005A07C5"/>
    <w:rsid w:val="005A0CCA"/>
    <w:rsid w:val="005A1349"/>
    <w:rsid w:val="005A431D"/>
    <w:rsid w:val="005A5257"/>
    <w:rsid w:val="005A58F8"/>
    <w:rsid w:val="005A5E00"/>
    <w:rsid w:val="005A6932"/>
    <w:rsid w:val="005A6FF2"/>
    <w:rsid w:val="005A726D"/>
    <w:rsid w:val="005B5FDE"/>
    <w:rsid w:val="005B67AC"/>
    <w:rsid w:val="005B6CB0"/>
    <w:rsid w:val="005B79F4"/>
    <w:rsid w:val="005C1C1C"/>
    <w:rsid w:val="005C43F0"/>
    <w:rsid w:val="005C5CFF"/>
    <w:rsid w:val="005C78AF"/>
    <w:rsid w:val="005D11F3"/>
    <w:rsid w:val="005D1293"/>
    <w:rsid w:val="005D1EF6"/>
    <w:rsid w:val="005D27A5"/>
    <w:rsid w:val="005D2FEF"/>
    <w:rsid w:val="005D4357"/>
    <w:rsid w:val="005D43E0"/>
    <w:rsid w:val="005D58A3"/>
    <w:rsid w:val="005D5B42"/>
    <w:rsid w:val="005D5FB7"/>
    <w:rsid w:val="005D634D"/>
    <w:rsid w:val="005D6642"/>
    <w:rsid w:val="005E0C44"/>
    <w:rsid w:val="005E1A41"/>
    <w:rsid w:val="005E1B79"/>
    <w:rsid w:val="005E6076"/>
    <w:rsid w:val="005E7008"/>
    <w:rsid w:val="005F026D"/>
    <w:rsid w:val="005F1B2A"/>
    <w:rsid w:val="005F1E97"/>
    <w:rsid w:val="005F2AEA"/>
    <w:rsid w:val="005F2D0B"/>
    <w:rsid w:val="005F30DA"/>
    <w:rsid w:val="005F3B4E"/>
    <w:rsid w:val="005F43CF"/>
    <w:rsid w:val="005F4B31"/>
    <w:rsid w:val="005F5B04"/>
    <w:rsid w:val="005F6A11"/>
    <w:rsid w:val="006000A8"/>
    <w:rsid w:val="00600C05"/>
    <w:rsid w:val="00605870"/>
    <w:rsid w:val="00610388"/>
    <w:rsid w:val="00610AC7"/>
    <w:rsid w:val="00612CA5"/>
    <w:rsid w:val="006153EC"/>
    <w:rsid w:val="00615C39"/>
    <w:rsid w:val="00616309"/>
    <w:rsid w:val="00617FA9"/>
    <w:rsid w:val="00620042"/>
    <w:rsid w:val="00621A17"/>
    <w:rsid w:val="00622C36"/>
    <w:rsid w:val="006245E3"/>
    <w:rsid w:val="006252B6"/>
    <w:rsid w:val="00625E79"/>
    <w:rsid w:val="00627CC9"/>
    <w:rsid w:val="00627E7B"/>
    <w:rsid w:val="00630542"/>
    <w:rsid w:val="00631394"/>
    <w:rsid w:val="00632E44"/>
    <w:rsid w:val="00634256"/>
    <w:rsid w:val="00634622"/>
    <w:rsid w:val="00635ACC"/>
    <w:rsid w:val="00635FFA"/>
    <w:rsid w:val="00636808"/>
    <w:rsid w:val="00641515"/>
    <w:rsid w:val="00641664"/>
    <w:rsid w:val="00642B21"/>
    <w:rsid w:val="0064459A"/>
    <w:rsid w:val="00644860"/>
    <w:rsid w:val="00644ED7"/>
    <w:rsid w:val="00646AED"/>
    <w:rsid w:val="0065017B"/>
    <w:rsid w:val="00653E41"/>
    <w:rsid w:val="00654C2F"/>
    <w:rsid w:val="00657087"/>
    <w:rsid w:val="00660D16"/>
    <w:rsid w:val="00661068"/>
    <w:rsid w:val="00661988"/>
    <w:rsid w:val="006639DB"/>
    <w:rsid w:val="006648FB"/>
    <w:rsid w:val="00664A5F"/>
    <w:rsid w:val="0066517C"/>
    <w:rsid w:val="00665EC0"/>
    <w:rsid w:val="006661EF"/>
    <w:rsid w:val="0066753B"/>
    <w:rsid w:val="00670388"/>
    <w:rsid w:val="00673471"/>
    <w:rsid w:val="00674488"/>
    <w:rsid w:val="0067553B"/>
    <w:rsid w:val="00675545"/>
    <w:rsid w:val="0067681E"/>
    <w:rsid w:val="00676F12"/>
    <w:rsid w:val="00677AEB"/>
    <w:rsid w:val="00680EF2"/>
    <w:rsid w:val="00680FCC"/>
    <w:rsid w:val="006844A8"/>
    <w:rsid w:val="00684C88"/>
    <w:rsid w:val="006863BD"/>
    <w:rsid w:val="00686869"/>
    <w:rsid w:val="00687A1D"/>
    <w:rsid w:val="00690750"/>
    <w:rsid w:val="006949ED"/>
    <w:rsid w:val="006964FB"/>
    <w:rsid w:val="0069674A"/>
    <w:rsid w:val="00696BEC"/>
    <w:rsid w:val="0069730B"/>
    <w:rsid w:val="00697EA1"/>
    <w:rsid w:val="006A164C"/>
    <w:rsid w:val="006A2646"/>
    <w:rsid w:val="006A42F8"/>
    <w:rsid w:val="006A4C9C"/>
    <w:rsid w:val="006A6530"/>
    <w:rsid w:val="006A665F"/>
    <w:rsid w:val="006A6A49"/>
    <w:rsid w:val="006B081E"/>
    <w:rsid w:val="006B1F80"/>
    <w:rsid w:val="006B3571"/>
    <w:rsid w:val="006B4047"/>
    <w:rsid w:val="006B435A"/>
    <w:rsid w:val="006B4C64"/>
    <w:rsid w:val="006B5BD8"/>
    <w:rsid w:val="006B7E07"/>
    <w:rsid w:val="006C2545"/>
    <w:rsid w:val="006C65F4"/>
    <w:rsid w:val="006C6E3B"/>
    <w:rsid w:val="006C7385"/>
    <w:rsid w:val="006D1FAA"/>
    <w:rsid w:val="006D6B19"/>
    <w:rsid w:val="006D6BD5"/>
    <w:rsid w:val="006E481A"/>
    <w:rsid w:val="006E4C79"/>
    <w:rsid w:val="006E5298"/>
    <w:rsid w:val="006E6446"/>
    <w:rsid w:val="006F16C0"/>
    <w:rsid w:val="006F1811"/>
    <w:rsid w:val="006F24AF"/>
    <w:rsid w:val="006F2B19"/>
    <w:rsid w:val="006F4A78"/>
    <w:rsid w:val="006F734A"/>
    <w:rsid w:val="006F7BEB"/>
    <w:rsid w:val="00700B69"/>
    <w:rsid w:val="00700D83"/>
    <w:rsid w:val="00704136"/>
    <w:rsid w:val="00704852"/>
    <w:rsid w:val="00705EEE"/>
    <w:rsid w:val="007074E9"/>
    <w:rsid w:val="00710C14"/>
    <w:rsid w:val="0071317C"/>
    <w:rsid w:val="00713DA4"/>
    <w:rsid w:val="00714BF1"/>
    <w:rsid w:val="0071728A"/>
    <w:rsid w:val="00717C2C"/>
    <w:rsid w:val="00721383"/>
    <w:rsid w:val="007223CC"/>
    <w:rsid w:val="007235DC"/>
    <w:rsid w:val="00723686"/>
    <w:rsid w:val="0072569E"/>
    <w:rsid w:val="0072574E"/>
    <w:rsid w:val="007267A4"/>
    <w:rsid w:val="00726EF1"/>
    <w:rsid w:val="00730B0A"/>
    <w:rsid w:val="0073158B"/>
    <w:rsid w:val="007333CC"/>
    <w:rsid w:val="0073399A"/>
    <w:rsid w:val="00734561"/>
    <w:rsid w:val="0073470D"/>
    <w:rsid w:val="00734B4E"/>
    <w:rsid w:val="007400D7"/>
    <w:rsid w:val="007402DB"/>
    <w:rsid w:val="00740655"/>
    <w:rsid w:val="007419FC"/>
    <w:rsid w:val="00741B32"/>
    <w:rsid w:val="00741CBF"/>
    <w:rsid w:val="0074435D"/>
    <w:rsid w:val="00745449"/>
    <w:rsid w:val="00745FED"/>
    <w:rsid w:val="00753E3D"/>
    <w:rsid w:val="007603F5"/>
    <w:rsid w:val="00762C26"/>
    <w:rsid w:val="00764AB4"/>
    <w:rsid w:val="00764DB0"/>
    <w:rsid w:val="0076764D"/>
    <w:rsid w:val="0076767E"/>
    <w:rsid w:val="00767C70"/>
    <w:rsid w:val="00770C98"/>
    <w:rsid w:val="00772D3E"/>
    <w:rsid w:val="00772F73"/>
    <w:rsid w:val="0077498C"/>
    <w:rsid w:val="00776E08"/>
    <w:rsid w:val="00776FBF"/>
    <w:rsid w:val="00777C53"/>
    <w:rsid w:val="007809BC"/>
    <w:rsid w:val="00780C72"/>
    <w:rsid w:val="00783D78"/>
    <w:rsid w:val="00784128"/>
    <w:rsid w:val="007849F0"/>
    <w:rsid w:val="00784AF9"/>
    <w:rsid w:val="00786BAA"/>
    <w:rsid w:val="00787BCC"/>
    <w:rsid w:val="00793173"/>
    <w:rsid w:val="007960E0"/>
    <w:rsid w:val="007A18FA"/>
    <w:rsid w:val="007A2A33"/>
    <w:rsid w:val="007A761B"/>
    <w:rsid w:val="007B0165"/>
    <w:rsid w:val="007B0809"/>
    <w:rsid w:val="007B3DB4"/>
    <w:rsid w:val="007B5C89"/>
    <w:rsid w:val="007B6B2B"/>
    <w:rsid w:val="007B7BDB"/>
    <w:rsid w:val="007C1F9B"/>
    <w:rsid w:val="007C1FCC"/>
    <w:rsid w:val="007C21C1"/>
    <w:rsid w:val="007C4FD9"/>
    <w:rsid w:val="007C515D"/>
    <w:rsid w:val="007C6201"/>
    <w:rsid w:val="007C690E"/>
    <w:rsid w:val="007C7036"/>
    <w:rsid w:val="007C744E"/>
    <w:rsid w:val="007C7B07"/>
    <w:rsid w:val="007D0192"/>
    <w:rsid w:val="007D14A6"/>
    <w:rsid w:val="007D23F3"/>
    <w:rsid w:val="007D2FEB"/>
    <w:rsid w:val="007D40A9"/>
    <w:rsid w:val="007D6135"/>
    <w:rsid w:val="007D7495"/>
    <w:rsid w:val="007D7C92"/>
    <w:rsid w:val="007E0230"/>
    <w:rsid w:val="007E05AF"/>
    <w:rsid w:val="007E1154"/>
    <w:rsid w:val="007E3E89"/>
    <w:rsid w:val="007E62FD"/>
    <w:rsid w:val="007E6BA4"/>
    <w:rsid w:val="007F105F"/>
    <w:rsid w:val="007F1210"/>
    <w:rsid w:val="007F12AB"/>
    <w:rsid w:val="007F41F8"/>
    <w:rsid w:val="007F659B"/>
    <w:rsid w:val="007F71EC"/>
    <w:rsid w:val="00802CB6"/>
    <w:rsid w:val="0080454E"/>
    <w:rsid w:val="00804C32"/>
    <w:rsid w:val="00805305"/>
    <w:rsid w:val="00806302"/>
    <w:rsid w:val="008064BA"/>
    <w:rsid w:val="008070B1"/>
    <w:rsid w:val="00807119"/>
    <w:rsid w:val="00810D35"/>
    <w:rsid w:val="00811D9A"/>
    <w:rsid w:val="00821F0A"/>
    <w:rsid w:val="00821FF8"/>
    <w:rsid w:val="0082364A"/>
    <w:rsid w:val="0082483F"/>
    <w:rsid w:val="008279C0"/>
    <w:rsid w:val="00833B61"/>
    <w:rsid w:val="00834233"/>
    <w:rsid w:val="00834F92"/>
    <w:rsid w:val="008369C9"/>
    <w:rsid w:val="0083721E"/>
    <w:rsid w:val="00837A43"/>
    <w:rsid w:val="00840634"/>
    <w:rsid w:val="00840D08"/>
    <w:rsid w:val="0084163F"/>
    <w:rsid w:val="008417C0"/>
    <w:rsid w:val="00841FEA"/>
    <w:rsid w:val="00842865"/>
    <w:rsid w:val="00844426"/>
    <w:rsid w:val="00844D21"/>
    <w:rsid w:val="00853272"/>
    <w:rsid w:val="008533D9"/>
    <w:rsid w:val="0085548E"/>
    <w:rsid w:val="00855BA7"/>
    <w:rsid w:val="008562C6"/>
    <w:rsid w:val="0085651E"/>
    <w:rsid w:val="00856E13"/>
    <w:rsid w:val="00862E6B"/>
    <w:rsid w:val="00863B68"/>
    <w:rsid w:val="0086579E"/>
    <w:rsid w:val="00866D57"/>
    <w:rsid w:val="0087020F"/>
    <w:rsid w:val="008706C6"/>
    <w:rsid w:val="0087116D"/>
    <w:rsid w:val="008723F3"/>
    <w:rsid w:val="008723FF"/>
    <w:rsid w:val="00872711"/>
    <w:rsid w:val="008742D4"/>
    <w:rsid w:val="00874FA1"/>
    <w:rsid w:val="008753FB"/>
    <w:rsid w:val="00875912"/>
    <w:rsid w:val="00877EAA"/>
    <w:rsid w:val="0088003E"/>
    <w:rsid w:val="00881DE6"/>
    <w:rsid w:val="0088234C"/>
    <w:rsid w:val="008837A6"/>
    <w:rsid w:val="00883CDC"/>
    <w:rsid w:val="00884643"/>
    <w:rsid w:val="008849E8"/>
    <w:rsid w:val="0088735B"/>
    <w:rsid w:val="008904F3"/>
    <w:rsid w:val="0089145D"/>
    <w:rsid w:val="00891636"/>
    <w:rsid w:val="008917A5"/>
    <w:rsid w:val="00891E43"/>
    <w:rsid w:val="0089582E"/>
    <w:rsid w:val="00895898"/>
    <w:rsid w:val="00895EF1"/>
    <w:rsid w:val="00896888"/>
    <w:rsid w:val="008A0175"/>
    <w:rsid w:val="008A01A0"/>
    <w:rsid w:val="008A1F45"/>
    <w:rsid w:val="008A4DF2"/>
    <w:rsid w:val="008A6CFE"/>
    <w:rsid w:val="008A71A6"/>
    <w:rsid w:val="008A771D"/>
    <w:rsid w:val="008B3939"/>
    <w:rsid w:val="008B48C5"/>
    <w:rsid w:val="008B5333"/>
    <w:rsid w:val="008B6223"/>
    <w:rsid w:val="008C1681"/>
    <w:rsid w:val="008C45A7"/>
    <w:rsid w:val="008C472E"/>
    <w:rsid w:val="008C6534"/>
    <w:rsid w:val="008C66E0"/>
    <w:rsid w:val="008D0001"/>
    <w:rsid w:val="008D3A3A"/>
    <w:rsid w:val="008D7934"/>
    <w:rsid w:val="008E0FB3"/>
    <w:rsid w:val="008E2D46"/>
    <w:rsid w:val="008E3274"/>
    <w:rsid w:val="008E3339"/>
    <w:rsid w:val="008F00A8"/>
    <w:rsid w:val="008F0310"/>
    <w:rsid w:val="008F0FCD"/>
    <w:rsid w:val="008F20FC"/>
    <w:rsid w:val="008F5FFE"/>
    <w:rsid w:val="008F74A8"/>
    <w:rsid w:val="00900869"/>
    <w:rsid w:val="00900B2A"/>
    <w:rsid w:val="00900BBE"/>
    <w:rsid w:val="009017A1"/>
    <w:rsid w:val="00902FA7"/>
    <w:rsid w:val="0090308E"/>
    <w:rsid w:val="009058B2"/>
    <w:rsid w:val="00905A43"/>
    <w:rsid w:val="009067E7"/>
    <w:rsid w:val="00912C79"/>
    <w:rsid w:val="00914A63"/>
    <w:rsid w:val="00914DA7"/>
    <w:rsid w:val="009162C2"/>
    <w:rsid w:val="00916BCF"/>
    <w:rsid w:val="00917C65"/>
    <w:rsid w:val="00921811"/>
    <w:rsid w:val="00921B8C"/>
    <w:rsid w:val="0092565E"/>
    <w:rsid w:val="0093467C"/>
    <w:rsid w:val="00935386"/>
    <w:rsid w:val="00935F72"/>
    <w:rsid w:val="0093647E"/>
    <w:rsid w:val="00936883"/>
    <w:rsid w:val="00940B22"/>
    <w:rsid w:val="00942123"/>
    <w:rsid w:val="009427E0"/>
    <w:rsid w:val="0094403F"/>
    <w:rsid w:val="00944187"/>
    <w:rsid w:val="0094637D"/>
    <w:rsid w:val="00946F8B"/>
    <w:rsid w:val="0095207B"/>
    <w:rsid w:val="00962045"/>
    <w:rsid w:val="00963626"/>
    <w:rsid w:val="00963D77"/>
    <w:rsid w:val="00964083"/>
    <w:rsid w:val="00964D1C"/>
    <w:rsid w:val="00965F50"/>
    <w:rsid w:val="0096603E"/>
    <w:rsid w:val="00967F1F"/>
    <w:rsid w:val="00974FAB"/>
    <w:rsid w:val="009765C0"/>
    <w:rsid w:val="0097789D"/>
    <w:rsid w:val="009801B0"/>
    <w:rsid w:val="00980654"/>
    <w:rsid w:val="00980E61"/>
    <w:rsid w:val="00984286"/>
    <w:rsid w:val="009845DB"/>
    <w:rsid w:val="00985465"/>
    <w:rsid w:val="0099133A"/>
    <w:rsid w:val="00991428"/>
    <w:rsid w:val="00992676"/>
    <w:rsid w:val="00992ABE"/>
    <w:rsid w:val="009954B2"/>
    <w:rsid w:val="00996691"/>
    <w:rsid w:val="009A1B94"/>
    <w:rsid w:val="009A267E"/>
    <w:rsid w:val="009A2F63"/>
    <w:rsid w:val="009A6610"/>
    <w:rsid w:val="009A79C9"/>
    <w:rsid w:val="009B0723"/>
    <w:rsid w:val="009B07AD"/>
    <w:rsid w:val="009B0883"/>
    <w:rsid w:val="009B151A"/>
    <w:rsid w:val="009B15E2"/>
    <w:rsid w:val="009B3831"/>
    <w:rsid w:val="009B47F3"/>
    <w:rsid w:val="009B4976"/>
    <w:rsid w:val="009C0B8E"/>
    <w:rsid w:val="009C1BC8"/>
    <w:rsid w:val="009C2442"/>
    <w:rsid w:val="009C3CBE"/>
    <w:rsid w:val="009C403D"/>
    <w:rsid w:val="009D0811"/>
    <w:rsid w:val="009D0EE1"/>
    <w:rsid w:val="009D5A76"/>
    <w:rsid w:val="009D5B73"/>
    <w:rsid w:val="009D7B93"/>
    <w:rsid w:val="009E01E7"/>
    <w:rsid w:val="009E0909"/>
    <w:rsid w:val="009E0E31"/>
    <w:rsid w:val="009E2AEB"/>
    <w:rsid w:val="009E2E27"/>
    <w:rsid w:val="009E3B7F"/>
    <w:rsid w:val="009E3C54"/>
    <w:rsid w:val="009E443F"/>
    <w:rsid w:val="009E45DF"/>
    <w:rsid w:val="009E4DE3"/>
    <w:rsid w:val="009E5A59"/>
    <w:rsid w:val="009F275E"/>
    <w:rsid w:val="009F399C"/>
    <w:rsid w:val="009F417C"/>
    <w:rsid w:val="009F5D39"/>
    <w:rsid w:val="009F79B8"/>
    <w:rsid w:val="00A02125"/>
    <w:rsid w:val="00A024E7"/>
    <w:rsid w:val="00A04201"/>
    <w:rsid w:val="00A04726"/>
    <w:rsid w:val="00A047EE"/>
    <w:rsid w:val="00A04D79"/>
    <w:rsid w:val="00A06320"/>
    <w:rsid w:val="00A07F1F"/>
    <w:rsid w:val="00A11319"/>
    <w:rsid w:val="00A17B05"/>
    <w:rsid w:val="00A21447"/>
    <w:rsid w:val="00A2193D"/>
    <w:rsid w:val="00A2274A"/>
    <w:rsid w:val="00A2278D"/>
    <w:rsid w:val="00A235B7"/>
    <w:rsid w:val="00A23620"/>
    <w:rsid w:val="00A23FEE"/>
    <w:rsid w:val="00A25FB1"/>
    <w:rsid w:val="00A27A7A"/>
    <w:rsid w:val="00A3165E"/>
    <w:rsid w:val="00A34ABE"/>
    <w:rsid w:val="00A37967"/>
    <w:rsid w:val="00A37D63"/>
    <w:rsid w:val="00A407EF"/>
    <w:rsid w:val="00A40BA3"/>
    <w:rsid w:val="00A4233B"/>
    <w:rsid w:val="00A43230"/>
    <w:rsid w:val="00A45A54"/>
    <w:rsid w:val="00A46B4C"/>
    <w:rsid w:val="00A5117B"/>
    <w:rsid w:val="00A5119C"/>
    <w:rsid w:val="00A513F6"/>
    <w:rsid w:val="00A53048"/>
    <w:rsid w:val="00A568A1"/>
    <w:rsid w:val="00A56D34"/>
    <w:rsid w:val="00A60074"/>
    <w:rsid w:val="00A63101"/>
    <w:rsid w:val="00A6313C"/>
    <w:rsid w:val="00A6627C"/>
    <w:rsid w:val="00A67795"/>
    <w:rsid w:val="00A67E80"/>
    <w:rsid w:val="00A71019"/>
    <w:rsid w:val="00A740F8"/>
    <w:rsid w:val="00A75D43"/>
    <w:rsid w:val="00A77C98"/>
    <w:rsid w:val="00A800E6"/>
    <w:rsid w:val="00A81029"/>
    <w:rsid w:val="00A81F08"/>
    <w:rsid w:val="00A82B32"/>
    <w:rsid w:val="00A914E1"/>
    <w:rsid w:val="00A94DE7"/>
    <w:rsid w:val="00A94F58"/>
    <w:rsid w:val="00A95463"/>
    <w:rsid w:val="00A96489"/>
    <w:rsid w:val="00AA0280"/>
    <w:rsid w:val="00AA1838"/>
    <w:rsid w:val="00AA19C4"/>
    <w:rsid w:val="00AA2A8B"/>
    <w:rsid w:val="00AA4100"/>
    <w:rsid w:val="00AA7BE3"/>
    <w:rsid w:val="00AB1B65"/>
    <w:rsid w:val="00AB2425"/>
    <w:rsid w:val="00AB32A0"/>
    <w:rsid w:val="00AB685C"/>
    <w:rsid w:val="00AB6C2D"/>
    <w:rsid w:val="00AC08F7"/>
    <w:rsid w:val="00AC180D"/>
    <w:rsid w:val="00AC340D"/>
    <w:rsid w:val="00AC3839"/>
    <w:rsid w:val="00AC4FCA"/>
    <w:rsid w:val="00AC59DE"/>
    <w:rsid w:val="00AC7082"/>
    <w:rsid w:val="00AC70CB"/>
    <w:rsid w:val="00AD04E5"/>
    <w:rsid w:val="00AD4BE8"/>
    <w:rsid w:val="00AE32B4"/>
    <w:rsid w:val="00AF1B98"/>
    <w:rsid w:val="00AF228E"/>
    <w:rsid w:val="00AF7124"/>
    <w:rsid w:val="00AF7715"/>
    <w:rsid w:val="00B008BF"/>
    <w:rsid w:val="00B016A8"/>
    <w:rsid w:val="00B01E81"/>
    <w:rsid w:val="00B01EB5"/>
    <w:rsid w:val="00B03D78"/>
    <w:rsid w:val="00B03FDE"/>
    <w:rsid w:val="00B0719E"/>
    <w:rsid w:val="00B10961"/>
    <w:rsid w:val="00B110CF"/>
    <w:rsid w:val="00B14819"/>
    <w:rsid w:val="00B15699"/>
    <w:rsid w:val="00B15E2F"/>
    <w:rsid w:val="00B176AD"/>
    <w:rsid w:val="00B17AA9"/>
    <w:rsid w:val="00B21C5D"/>
    <w:rsid w:val="00B27E6E"/>
    <w:rsid w:val="00B30E5D"/>
    <w:rsid w:val="00B42D28"/>
    <w:rsid w:val="00B44713"/>
    <w:rsid w:val="00B53420"/>
    <w:rsid w:val="00B546FD"/>
    <w:rsid w:val="00B56103"/>
    <w:rsid w:val="00B63E83"/>
    <w:rsid w:val="00B64929"/>
    <w:rsid w:val="00B726BA"/>
    <w:rsid w:val="00B733DA"/>
    <w:rsid w:val="00B736DF"/>
    <w:rsid w:val="00B743D6"/>
    <w:rsid w:val="00B74FBD"/>
    <w:rsid w:val="00B760A3"/>
    <w:rsid w:val="00B77B19"/>
    <w:rsid w:val="00B77F46"/>
    <w:rsid w:val="00B82578"/>
    <w:rsid w:val="00B82586"/>
    <w:rsid w:val="00B829A3"/>
    <w:rsid w:val="00B83F8B"/>
    <w:rsid w:val="00B849C5"/>
    <w:rsid w:val="00B86AAC"/>
    <w:rsid w:val="00B86DB1"/>
    <w:rsid w:val="00B870F4"/>
    <w:rsid w:val="00B87343"/>
    <w:rsid w:val="00B87869"/>
    <w:rsid w:val="00B92A16"/>
    <w:rsid w:val="00B95128"/>
    <w:rsid w:val="00B9574B"/>
    <w:rsid w:val="00B9639B"/>
    <w:rsid w:val="00BA1A60"/>
    <w:rsid w:val="00BA1EC4"/>
    <w:rsid w:val="00BA409E"/>
    <w:rsid w:val="00BA74EF"/>
    <w:rsid w:val="00BB0F2B"/>
    <w:rsid w:val="00BB4EB0"/>
    <w:rsid w:val="00BB7842"/>
    <w:rsid w:val="00BC0366"/>
    <w:rsid w:val="00BC0627"/>
    <w:rsid w:val="00BC3342"/>
    <w:rsid w:val="00BC3DDF"/>
    <w:rsid w:val="00BC5AEB"/>
    <w:rsid w:val="00BC63AF"/>
    <w:rsid w:val="00BC6D51"/>
    <w:rsid w:val="00BD2B58"/>
    <w:rsid w:val="00BD340F"/>
    <w:rsid w:val="00BD4A58"/>
    <w:rsid w:val="00BD5784"/>
    <w:rsid w:val="00BD65BD"/>
    <w:rsid w:val="00BD7337"/>
    <w:rsid w:val="00BD7FBE"/>
    <w:rsid w:val="00BE01E9"/>
    <w:rsid w:val="00BE09ED"/>
    <w:rsid w:val="00BE201D"/>
    <w:rsid w:val="00BE2086"/>
    <w:rsid w:val="00BE44F2"/>
    <w:rsid w:val="00BE4942"/>
    <w:rsid w:val="00BE4FF3"/>
    <w:rsid w:val="00BF0003"/>
    <w:rsid w:val="00BF1B3E"/>
    <w:rsid w:val="00BF2174"/>
    <w:rsid w:val="00BF50F7"/>
    <w:rsid w:val="00BF5ED2"/>
    <w:rsid w:val="00BF6B84"/>
    <w:rsid w:val="00BF6CF8"/>
    <w:rsid w:val="00C02671"/>
    <w:rsid w:val="00C0286F"/>
    <w:rsid w:val="00C02F29"/>
    <w:rsid w:val="00C03E2E"/>
    <w:rsid w:val="00C05A9F"/>
    <w:rsid w:val="00C10360"/>
    <w:rsid w:val="00C15D31"/>
    <w:rsid w:val="00C170E8"/>
    <w:rsid w:val="00C20AFE"/>
    <w:rsid w:val="00C20CBB"/>
    <w:rsid w:val="00C214C5"/>
    <w:rsid w:val="00C22A25"/>
    <w:rsid w:val="00C23F44"/>
    <w:rsid w:val="00C24FAB"/>
    <w:rsid w:val="00C2684C"/>
    <w:rsid w:val="00C27894"/>
    <w:rsid w:val="00C31029"/>
    <w:rsid w:val="00C323DF"/>
    <w:rsid w:val="00C32407"/>
    <w:rsid w:val="00C32BC9"/>
    <w:rsid w:val="00C32CF3"/>
    <w:rsid w:val="00C33350"/>
    <w:rsid w:val="00C34233"/>
    <w:rsid w:val="00C354D5"/>
    <w:rsid w:val="00C35671"/>
    <w:rsid w:val="00C357C0"/>
    <w:rsid w:val="00C35B77"/>
    <w:rsid w:val="00C35FCF"/>
    <w:rsid w:val="00C362AA"/>
    <w:rsid w:val="00C376EB"/>
    <w:rsid w:val="00C37C9F"/>
    <w:rsid w:val="00C41401"/>
    <w:rsid w:val="00C4149E"/>
    <w:rsid w:val="00C41774"/>
    <w:rsid w:val="00C42639"/>
    <w:rsid w:val="00C42B1F"/>
    <w:rsid w:val="00C452BC"/>
    <w:rsid w:val="00C46A92"/>
    <w:rsid w:val="00C46EC1"/>
    <w:rsid w:val="00C47CBF"/>
    <w:rsid w:val="00C50B31"/>
    <w:rsid w:val="00C51A35"/>
    <w:rsid w:val="00C51EA5"/>
    <w:rsid w:val="00C52796"/>
    <w:rsid w:val="00C53E2C"/>
    <w:rsid w:val="00C545C2"/>
    <w:rsid w:val="00C54BFF"/>
    <w:rsid w:val="00C550C8"/>
    <w:rsid w:val="00C5691F"/>
    <w:rsid w:val="00C56B61"/>
    <w:rsid w:val="00C606C3"/>
    <w:rsid w:val="00C620F4"/>
    <w:rsid w:val="00C6308E"/>
    <w:rsid w:val="00C637DC"/>
    <w:rsid w:val="00C63EE6"/>
    <w:rsid w:val="00C648A8"/>
    <w:rsid w:val="00C64DB8"/>
    <w:rsid w:val="00C651D6"/>
    <w:rsid w:val="00C6565D"/>
    <w:rsid w:val="00C71312"/>
    <w:rsid w:val="00C72848"/>
    <w:rsid w:val="00C73B97"/>
    <w:rsid w:val="00C768F4"/>
    <w:rsid w:val="00C7736C"/>
    <w:rsid w:val="00C82D87"/>
    <w:rsid w:val="00C8695A"/>
    <w:rsid w:val="00C8712A"/>
    <w:rsid w:val="00C87E0A"/>
    <w:rsid w:val="00C87E6A"/>
    <w:rsid w:val="00C902C8"/>
    <w:rsid w:val="00C919D1"/>
    <w:rsid w:val="00C92469"/>
    <w:rsid w:val="00C92A50"/>
    <w:rsid w:val="00C963D3"/>
    <w:rsid w:val="00CA365B"/>
    <w:rsid w:val="00CA403E"/>
    <w:rsid w:val="00CA5F31"/>
    <w:rsid w:val="00CA7A7A"/>
    <w:rsid w:val="00CB1983"/>
    <w:rsid w:val="00CB2BFA"/>
    <w:rsid w:val="00CB2CBB"/>
    <w:rsid w:val="00CB32F7"/>
    <w:rsid w:val="00CB44EE"/>
    <w:rsid w:val="00CB4711"/>
    <w:rsid w:val="00CB6578"/>
    <w:rsid w:val="00CB7CAC"/>
    <w:rsid w:val="00CC469D"/>
    <w:rsid w:val="00CC4818"/>
    <w:rsid w:val="00CC4D16"/>
    <w:rsid w:val="00CC5335"/>
    <w:rsid w:val="00CC5BA4"/>
    <w:rsid w:val="00CC6C20"/>
    <w:rsid w:val="00CD32EF"/>
    <w:rsid w:val="00CD400B"/>
    <w:rsid w:val="00CD4998"/>
    <w:rsid w:val="00CD5632"/>
    <w:rsid w:val="00CD5D73"/>
    <w:rsid w:val="00CE0ECD"/>
    <w:rsid w:val="00CE1035"/>
    <w:rsid w:val="00CE62DC"/>
    <w:rsid w:val="00CE6574"/>
    <w:rsid w:val="00CE6E50"/>
    <w:rsid w:val="00CF12B2"/>
    <w:rsid w:val="00CF2819"/>
    <w:rsid w:val="00CF3308"/>
    <w:rsid w:val="00CF399C"/>
    <w:rsid w:val="00CF4C01"/>
    <w:rsid w:val="00CF4F9D"/>
    <w:rsid w:val="00CF6515"/>
    <w:rsid w:val="00CF705E"/>
    <w:rsid w:val="00CF70DC"/>
    <w:rsid w:val="00D00F0A"/>
    <w:rsid w:val="00D0241E"/>
    <w:rsid w:val="00D03AE0"/>
    <w:rsid w:val="00D041E0"/>
    <w:rsid w:val="00D04AFE"/>
    <w:rsid w:val="00D04FB3"/>
    <w:rsid w:val="00D0502B"/>
    <w:rsid w:val="00D07A82"/>
    <w:rsid w:val="00D10AC0"/>
    <w:rsid w:val="00D115F8"/>
    <w:rsid w:val="00D11729"/>
    <w:rsid w:val="00D13120"/>
    <w:rsid w:val="00D14336"/>
    <w:rsid w:val="00D148DC"/>
    <w:rsid w:val="00D15B14"/>
    <w:rsid w:val="00D17FDC"/>
    <w:rsid w:val="00D21021"/>
    <w:rsid w:val="00D210CF"/>
    <w:rsid w:val="00D2135E"/>
    <w:rsid w:val="00D21D8C"/>
    <w:rsid w:val="00D221F8"/>
    <w:rsid w:val="00D22871"/>
    <w:rsid w:val="00D2621C"/>
    <w:rsid w:val="00D274A0"/>
    <w:rsid w:val="00D300D8"/>
    <w:rsid w:val="00D316F2"/>
    <w:rsid w:val="00D32526"/>
    <w:rsid w:val="00D34584"/>
    <w:rsid w:val="00D34830"/>
    <w:rsid w:val="00D34992"/>
    <w:rsid w:val="00D34E95"/>
    <w:rsid w:val="00D36606"/>
    <w:rsid w:val="00D4228F"/>
    <w:rsid w:val="00D42AA7"/>
    <w:rsid w:val="00D44099"/>
    <w:rsid w:val="00D44EDA"/>
    <w:rsid w:val="00D47F24"/>
    <w:rsid w:val="00D50A6E"/>
    <w:rsid w:val="00D5104A"/>
    <w:rsid w:val="00D52B74"/>
    <w:rsid w:val="00D53719"/>
    <w:rsid w:val="00D5522B"/>
    <w:rsid w:val="00D56162"/>
    <w:rsid w:val="00D61250"/>
    <w:rsid w:val="00D61CC1"/>
    <w:rsid w:val="00D6273C"/>
    <w:rsid w:val="00D62902"/>
    <w:rsid w:val="00D631C1"/>
    <w:rsid w:val="00D63EFD"/>
    <w:rsid w:val="00D64CF6"/>
    <w:rsid w:val="00D65246"/>
    <w:rsid w:val="00D7211F"/>
    <w:rsid w:val="00D7456A"/>
    <w:rsid w:val="00D748C6"/>
    <w:rsid w:val="00D74A26"/>
    <w:rsid w:val="00D77789"/>
    <w:rsid w:val="00D82750"/>
    <w:rsid w:val="00D82F6F"/>
    <w:rsid w:val="00D84442"/>
    <w:rsid w:val="00D845A6"/>
    <w:rsid w:val="00D84752"/>
    <w:rsid w:val="00D85559"/>
    <w:rsid w:val="00D85AF6"/>
    <w:rsid w:val="00D861B4"/>
    <w:rsid w:val="00D8620D"/>
    <w:rsid w:val="00D86989"/>
    <w:rsid w:val="00D86B3B"/>
    <w:rsid w:val="00D8748A"/>
    <w:rsid w:val="00D90781"/>
    <w:rsid w:val="00D93196"/>
    <w:rsid w:val="00D95001"/>
    <w:rsid w:val="00D9565D"/>
    <w:rsid w:val="00D963B6"/>
    <w:rsid w:val="00DA017C"/>
    <w:rsid w:val="00DA0DC0"/>
    <w:rsid w:val="00DA1D45"/>
    <w:rsid w:val="00DA3146"/>
    <w:rsid w:val="00DA39B4"/>
    <w:rsid w:val="00DA7385"/>
    <w:rsid w:val="00DB09F7"/>
    <w:rsid w:val="00DB243C"/>
    <w:rsid w:val="00DB482A"/>
    <w:rsid w:val="00DB50FB"/>
    <w:rsid w:val="00DB56F2"/>
    <w:rsid w:val="00DB5AEF"/>
    <w:rsid w:val="00DB6EF5"/>
    <w:rsid w:val="00DB7EA2"/>
    <w:rsid w:val="00DC0618"/>
    <w:rsid w:val="00DC0739"/>
    <w:rsid w:val="00DC3089"/>
    <w:rsid w:val="00DC359F"/>
    <w:rsid w:val="00DC4420"/>
    <w:rsid w:val="00DC73DF"/>
    <w:rsid w:val="00DC7D72"/>
    <w:rsid w:val="00DD0802"/>
    <w:rsid w:val="00DD2528"/>
    <w:rsid w:val="00DD2E11"/>
    <w:rsid w:val="00DD4C48"/>
    <w:rsid w:val="00DD78F7"/>
    <w:rsid w:val="00DD7A96"/>
    <w:rsid w:val="00DE03AF"/>
    <w:rsid w:val="00DE121C"/>
    <w:rsid w:val="00DE276F"/>
    <w:rsid w:val="00DE5357"/>
    <w:rsid w:val="00DE6633"/>
    <w:rsid w:val="00DE7E9B"/>
    <w:rsid w:val="00DF073F"/>
    <w:rsid w:val="00DF158F"/>
    <w:rsid w:val="00DF41D9"/>
    <w:rsid w:val="00DF5F7C"/>
    <w:rsid w:val="00DF75F8"/>
    <w:rsid w:val="00DF7A3A"/>
    <w:rsid w:val="00E00C00"/>
    <w:rsid w:val="00E01803"/>
    <w:rsid w:val="00E07C5A"/>
    <w:rsid w:val="00E11EC1"/>
    <w:rsid w:val="00E11FBB"/>
    <w:rsid w:val="00E157AD"/>
    <w:rsid w:val="00E15ACE"/>
    <w:rsid w:val="00E15BA9"/>
    <w:rsid w:val="00E15D31"/>
    <w:rsid w:val="00E175DA"/>
    <w:rsid w:val="00E239B8"/>
    <w:rsid w:val="00E26E10"/>
    <w:rsid w:val="00E26E19"/>
    <w:rsid w:val="00E30E60"/>
    <w:rsid w:val="00E31DF3"/>
    <w:rsid w:val="00E3328D"/>
    <w:rsid w:val="00E34764"/>
    <w:rsid w:val="00E35EFF"/>
    <w:rsid w:val="00E421C6"/>
    <w:rsid w:val="00E42550"/>
    <w:rsid w:val="00E450A4"/>
    <w:rsid w:val="00E506BE"/>
    <w:rsid w:val="00E5091F"/>
    <w:rsid w:val="00E510DD"/>
    <w:rsid w:val="00E5163B"/>
    <w:rsid w:val="00E53993"/>
    <w:rsid w:val="00E55547"/>
    <w:rsid w:val="00E557CF"/>
    <w:rsid w:val="00E56BD9"/>
    <w:rsid w:val="00E60583"/>
    <w:rsid w:val="00E60F34"/>
    <w:rsid w:val="00E61DA7"/>
    <w:rsid w:val="00E6302B"/>
    <w:rsid w:val="00E6452F"/>
    <w:rsid w:val="00E64F45"/>
    <w:rsid w:val="00E661F5"/>
    <w:rsid w:val="00E66C87"/>
    <w:rsid w:val="00E6742D"/>
    <w:rsid w:val="00E675E9"/>
    <w:rsid w:val="00E7066D"/>
    <w:rsid w:val="00E71CB0"/>
    <w:rsid w:val="00E74168"/>
    <w:rsid w:val="00E75E49"/>
    <w:rsid w:val="00E7662C"/>
    <w:rsid w:val="00E76893"/>
    <w:rsid w:val="00E76AD8"/>
    <w:rsid w:val="00E77C3D"/>
    <w:rsid w:val="00E874F6"/>
    <w:rsid w:val="00E87B30"/>
    <w:rsid w:val="00E90991"/>
    <w:rsid w:val="00E909F0"/>
    <w:rsid w:val="00E90BC3"/>
    <w:rsid w:val="00E90D47"/>
    <w:rsid w:val="00E91BE5"/>
    <w:rsid w:val="00E9251E"/>
    <w:rsid w:val="00E92F65"/>
    <w:rsid w:val="00E935A5"/>
    <w:rsid w:val="00E93993"/>
    <w:rsid w:val="00E9597C"/>
    <w:rsid w:val="00E963FB"/>
    <w:rsid w:val="00E96F3B"/>
    <w:rsid w:val="00E9715C"/>
    <w:rsid w:val="00EA0913"/>
    <w:rsid w:val="00EA2C32"/>
    <w:rsid w:val="00EA4B5C"/>
    <w:rsid w:val="00EA5B00"/>
    <w:rsid w:val="00EA78AC"/>
    <w:rsid w:val="00EB146B"/>
    <w:rsid w:val="00EB15FB"/>
    <w:rsid w:val="00EB1E13"/>
    <w:rsid w:val="00EB45AC"/>
    <w:rsid w:val="00EB4896"/>
    <w:rsid w:val="00EC0C9F"/>
    <w:rsid w:val="00EC2BA3"/>
    <w:rsid w:val="00EC441F"/>
    <w:rsid w:val="00EC4755"/>
    <w:rsid w:val="00EC48D0"/>
    <w:rsid w:val="00EC4FC7"/>
    <w:rsid w:val="00EC61AD"/>
    <w:rsid w:val="00EC6918"/>
    <w:rsid w:val="00EC6B58"/>
    <w:rsid w:val="00EC6BB3"/>
    <w:rsid w:val="00ED0181"/>
    <w:rsid w:val="00ED0BC4"/>
    <w:rsid w:val="00ED28E6"/>
    <w:rsid w:val="00ED2C91"/>
    <w:rsid w:val="00ED447D"/>
    <w:rsid w:val="00ED738F"/>
    <w:rsid w:val="00ED74BC"/>
    <w:rsid w:val="00ED7BF3"/>
    <w:rsid w:val="00EE05AF"/>
    <w:rsid w:val="00EE4971"/>
    <w:rsid w:val="00EE4DB3"/>
    <w:rsid w:val="00EE6D89"/>
    <w:rsid w:val="00EF090E"/>
    <w:rsid w:val="00EF2642"/>
    <w:rsid w:val="00EF35F3"/>
    <w:rsid w:val="00EF37CB"/>
    <w:rsid w:val="00EF4E71"/>
    <w:rsid w:val="00EF5572"/>
    <w:rsid w:val="00EF76D7"/>
    <w:rsid w:val="00EF7F0E"/>
    <w:rsid w:val="00F0266D"/>
    <w:rsid w:val="00F033DA"/>
    <w:rsid w:val="00F036DC"/>
    <w:rsid w:val="00F06F70"/>
    <w:rsid w:val="00F074E6"/>
    <w:rsid w:val="00F07722"/>
    <w:rsid w:val="00F112A2"/>
    <w:rsid w:val="00F11DD6"/>
    <w:rsid w:val="00F12A81"/>
    <w:rsid w:val="00F13691"/>
    <w:rsid w:val="00F137B3"/>
    <w:rsid w:val="00F13FB1"/>
    <w:rsid w:val="00F1538F"/>
    <w:rsid w:val="00F21727"/>
    <w:rsid w:val="00F220BD"/>
    <w:rsid w:val="00F25C82"/>
    <w:rsid w:val="00F27AA9"/>
    <w:rsid w:val="00F27CD8"/>
    <w:rsid w:val="00F30351"/>
    <w:rsid w:val="00F3323E"/>
    <w:rsid w:val="00F33E77"/>
    <w:rsid w:val="00F341F4"/>
    <w:rsid w:val="00F34F9D"/>
    <w:rsid w:val="00F35CCE"/>
    <w:rsid w:val="00F418CA"/>
    <w:rsid w:val="00F4197E"/>
    <w:rsid w:val="00F44561"/>
    <w:rsid w:val="00F44CFB"/>
    <w:rsid w:val="00F45E9E"/>
    <w:rsid w:val="00F45FD2"/>
    <w:rsid w:val="00F53CC6"/>
    <w:rsid w:val="00F5524B"/>
    <w:rsid w:val="00F60538"/>
    <w:rsid w:val="00F6092B"/>
    <w:rsid w:val="00F6195A"/>
    <w:rsid w:val="00F61DD2"/>
    <w:rsid w:val="00F623CD"/>
    <w:rsid w:val="00F6292F"/>
    <w:rsid w:val="00F63187"/>
    <w:rsid w:val="00F63F6D"/>
    <w:rsid w:val="00F64885"/>
    <w:rsid w:val="00F66AFF"/>
    <w:rsid w:val="00F7107B"/>
    <w:rsid w:val="00F71246"/>
    <w:rsid w:val="00F71433"/>
    <w:rsid w:val="00F73A9F"/>
    <w:rsid w:val="00F821E6"/>
    <w:rsid w:val="00F92140"/>
    <w:rsid w:val="00F94C96"/>
    <w:rsid w:val="00F97C5B"/>
    <w:rsid w:val="00FA16CF"/>
    <w:rsid w:val="00FA3D50"/>
    <w:rsid w:val="00FA4539"/>
    <w:rsid w:val="00FB14AE"/>
    <w:rsid w:val="00FB2838"/>
    <w:rsid w:val="00FB4010"/>
    <w:rsid w:val="00FB5DDE"/>
    <w:rsid w:val="00FB7FBD"/>
    <w:rsid w:val="00FC11E3"/>
    <w:rsid w:val="00FC374A"/>
    <w:rsid w:val="00FC3CC6"/>
    <w:rsid w:val="00FC43EC"/>
    <w:rsid w:val="00FC56DE"/>
    <w:rsid w:val="00FC5C59"/>
    <w:rsid w:val="00FC6022"/>
    <w:rsid w:val="00FC65CD"/>
    <w:rsid w:val="00FC702E"/>
    <w:rsid w:val="00FC783F"/>
    <w:rsid w:val="00FC7AC7"/>
    <w:rsid w:val="00FC7B47"/>
    <w:rsid w:val="00FD035C"/>
    <w:rsid w:val="00FD1A35"/>
    <w:rsid w:val="00FD1DF6"/>
    <w:rsid w:val="00FD2EA4"/>
    <w:rsid w:val="00FD2EFE"/>
    <w:rsid w:val="00FD36C5"/>
    <w:rsid w:val="00FD6310"/>
    <w:rsid w:val="00FD7C7B"/>
    <w:rsid w:val="00FE1763"/>
    <w:rsid w:val="00FE1D12"/>
    <w:rsid w:val="00FE1DCB"/>
    <w:rsid w:val="00FE2122"/>
    <w:rsid w:val="00FE2A86"/>
    <w:rsid w:val="00FE2DE2"/>
    <w:rsid w:val="00FE45A4"/>
    <w:rsid w:val="00FE5DB8"/>
    <w:rsid w:val="00FE7777"/>
    <w:rsid w:val="00FE77CF"/>
    <w:rsid w:val="00FF07CE"/>
    <w:rsid w:val="00FF0AAB"/>
    <w:rsid w:val="00FF296F"/>
    <w:rsid w:val="00FF34DE"/>
    <w:rsid w:val="00FF4EB0"/>
    <w:rsid w:val="00FF5E23"/>
    <w:rsid w:val="00FF60C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UnresolvedMention">
    <w:name w:val="Unresolved Mention"/>
    <w:basedOn w:val="DefaultParagraphFont"/>
    <w:uiPriority w:val="99"/>
    <w:semiHidden/>
    <w:unhideWhenUsed/>
    <w:rsid w:val="0018534C"/>
    <w:rPr>
      <w:color w:val="605E5C"/>
      <w:shd w:val="clear" w:color="auto" w:fill="E1DFDD"/>
    </w:rPr>
  </w:style>
  <w:style w:type="character" w:styleId="Emphasis">
    <w:name w:val="Emphasis"/>
    <w:basedOn w:val="DefaultParagraphFont"/>
    <w:uiPriority w:val="20"/>
    <w:qFormat/>
    <w:rsid w:val="00F25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58">
      <w:bodyDiv w:val="1"/>
      <w:marLeft w:val="0"/>
      <w:marRight w:val="0"/>
      <w:marTop w:val="0"/>
      <w:marBottom w:val="0"/>
      <w:divBdr>
        <w:top w:val="none" w:sz="0" w:space="0" w:color="auto"/>
        <w:left w:val="none" w:sz="0" w:space="0" w:color="auto"/>
        <w:bottom w:val="none" w:sz="0" w:space="0" w:color="auto"/>
        <w:right w:val="none" w:sz="0" w:space="0" w:color="auto"/>
      </w:divBdr>
    </w:div>
    <w:div w:id="102580738">
      <w:bodyDiv w:val="1"/>
      <w:marLeft w:val="0"/>
      <w:marRight w:val="0"/>
      <w:marTop w:val="0"/>
      <w:marBottom w:val="0"/>
      <w:divBdr>
        <w:top w:val="none" w:sz="0" w:space="0" w:color="auto"/>
        <w:left w:val="none" w:sz="0" w:space="0" w:color="auto"/>
        <w:bottom w:val="none" w:sz="0" w:space="0" w:color="auto"/>
        <w:right w:val="none" w:sz="0" w:space="0" w:color="auto"/>
      </w:divBdr>
    </w:div>
    <w:div w:id="148833372">
      <w:bodyDiv w:val="1"/>
      <w:marLeft w:val="0"/>
      <w:marRight w:val="0"/>
      <w:marTop w:val="0"/>
      <w:marBottom w:val="0"/>
      <w:divBdr>
        <w:top w:val="none" w:sz="0" w:space="0" w:color="auto"/>
        <w:left w:val="none" w:sz="0" w:space="0" w:color="auto"/>
        <w:bottom w:val="none" w:sz="0" w:space="0" w:color="auto"/>
        <w:right w:val="none" w:sz="0" w:space="0" w:color="auto"/>
      </w:divBdr>
      <w:divsChild>
        <w:div w:id="693918211">
          <w:marLeft w:val="240"/>
          <w:marRight w:val="0"/>
          <w:marTop w:val="60"/>
          <w:marBottom w:val="60"/>
          <w:divBdr>
            <w:top w:val="none" w:sz="0" w:space="0" w:color="auto"/>
            <w:left w:val="none" w:sz="0" w:space="0" w:color="auto"/>
            <w:bottom w:val="none" w:sz="0" w:space="0" w:color="auto"/>
            <w:right w:val="none" w:sz="0" w:space="0" w:color="auto"/>
          </w:divBdr>
          <w:divsChild>
            <w:div w:id="770514423">
              <w:marLeft w:val="0"/>
              <w:marRight w:val="0"/>
              <w:marTop w:val="0"/>
              <w:marBottom w:val="0"/>
              <w:divBdr>
                <w:top w:val="none" w:sz="0" w:space="0" w:color="auto"/>
                <w:left w:val="none" w:sz="0" w:space="0" w:color="auto"/>
                <w:bottom w:val="none" w:sz="0" w:space="0" w:color="auto"/>
                <w:right w:val="none" w:sz="0" w:space="0" w:color="auto"/>
              </w:divBdr>
            </w:div>
          </w:divsChild>
        </w:div>
        <w:div w:id="138421664">
          <w:marLeft w:val="240"/>
          <w:marRight w:val="0"/>
          <w:marTop w:val="60"/>
          <w:marBottom w:val="60"/>
          <w:divBdr>
            <w:top w:val="none" w:sz="0" w:space="0" w:color="auto"/>
            <w:left w:val="none" w:sz="0" w:space="0" w:color="auto"/>
            <w:bottom w:val="none" w:sz="0" w:space="0" w:color="auto"/>
            <w:right w:val="none" w:sz="0" w:space="0" w:color="auto"/>
          </w:divBdr>
          <w:divsChild>
            <w:div w:id="817187700">
              <w:marLeft w:val="240"/>
              <w:marRight w:val="0"/>
              <w:marTop w:val="60"/>
              <w:marBottom w:val="60"/>
              <w:divBdr>
                <w:top w:val="none" w:sz="0" w:space="0" w:color="auto"/>
                <w:left w:val="none" w:sz="0" w:space="0" w:color="auto"/>
                <w:bottom w:val="none" w:sz="0" w:space="0" w:color="auto"/>
                <w:right w:val="none" w:sz="0" w:space="0" w:color="auto"/>
              </w:divBdr>
              <w:divsChild>
                <w:div w:id="1360276778">
                  <w:marLeft w:val="0"/>
                  <w:marRight w:val="0"/>
                  <w:marTop w:val="0"/>
                  <w:marBottom w:val="0"/>
                  <w:divBdr>
                    <w:top w:val="none" w:sz="0" w:space="0" w:color="auto"/>
                    <w:left w:val="none" w:sz="0" w:space="0" w:color="auto"/>
                    <w:bottom w:val="none" w:sz="0" w:space="0" w:color="auto"/>
                    <w:right w:val="none" w:sz="0" w:space="0" w:color="auto"/>
                  </w:divBdr>
                </w:div>
              </w:divsChild>
            </w:div>
            <w:div w:id="1447769442">
              <w:marLeft w:val="240"/>
              <w:marRight w:val="0"/>
              <w:marTop w:val="60"/>
              <w:marBottom w:val="60"/>
              <w:divBdr>
                <w:top w:val="none" w:sz="0" w:space="0" w:color="auto"/>
                <w:left w:val="none" w:sz="0" w:space="0" w:color="auto"/>
                <w:bottom w:val="none" w:sz="0" w:space="0" w:color="auto"/>
                <w:right w:val="none" w:sz="0" w:space="0" w:color="auto"/>
              </w:divBdr>
              <w:divsChild>
                <w:div w:id="11961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71179">
      <w:bodyDiv w:val="1"/>
      <w:marLeft w:val="0"/>
      <w:marRight w:val="0"/>
      <w:marTop w:val="0"/>
      <w:marBottom w:val="0"/>
      <w:divBdr>
        <w:top w:val="none" w:sz="0" w:space="0" w:color="auto"/>
        <w:left w:val="none" w:sz="0" w:space="0" w:color="auto"/>
        <w:bottom w:val="none" w:sz="0" w:space="0" w:color="auto"/>
        <w:right w:val="none" w:sz="0" w:space="0" w:color="auto"/>
      </w:divBdr>
      <w:divsChild>
        <w:div w:id="492767467">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7931119">
      <w:bodyDiv w:val="1"/>
      <w:marLeft w:val="0"/>
      <w:marRight w:val="0"/>
      <w:marTop w:val="0"/>
      <w:marBottom w:val="0"/>
      <w:divBdr>
        <w:top w:val="none" w:sz="0" w:space="0" w:color="auto"/>
        <w:left w:val="none" w:sz="0" w:space="0" w:color="auto"/>
        <w:bottom w:val="none" w:sz="0" w:space="0" w:color="auto"/>
        <w:right w:val="none" w:sz="0" w:space="0" w:color="auto"/>
      </w:divBdr>
    </w:div>
    <w:div w:id="639845301">
      <w:bodyDiv w:val="1"/>
      <w:marLeft w:val="0"/>
      <w:marRight w:val="0"/>
      <w:marTop w:val="0"/>
      <w:marBottom w:val="0"/>
      <w:divBdr>
        <w:top w:val="none" w:sz="0" w:space="0" w:color="auto"/>
        <w:left w:val="none" w:sz="0" w:space="0" w:color="auto"/>
        <w:bottom w:val="none" w:sz="0" w:space="0" w:color="auto"/>
        <w:right w:val="none" w:sz="0" w:space="0" w:color="auto"/>
      </w:divBdr>
    </w:div>
    <w:div w:id="697775262">
      <w:bodyDiv w:val="1"/>
      <w:marLeft w:val="0"/>
      <w:marRight w:val="0"/>
      <w:marTop w:val="0"/>
      <w:marBottom w:val="0"/>
      <w:divBdr>
        <w:top w:val="none" w:sz="0" w:space="0" w:color="auto"/>
        <w:left w:val="none" w:sz="0" w:space="0" w:color="auto"/>
        <w:bottom w:val="none" w:sz="0" w:space="0" w:color="auto"/>
        <w:right w:val="none" w:sz="0" w:space="0" w:color="auto"/>
      </w:divBdr>
    </w:div>
    <w:div w:id="717168096">
      <w:bodyDiv w:val="1"/>
      <w:marLeft w:val="0"/>
      <w:marRight w:val="0"/>
      <w:marTop w:val="0"/>
      <w:marBottom w:val="0"/>
      <w:divBdr>
        <w:top w:val="none" w:sz="0" w:space="0" w:color="auto"/>
        <w:left w:val="none" w:sz="0" w:space="0" w:color="auto"/>
        <w:bottom w:val="none" w:sz="0" w:space="0" w:color="auto"/>
        <w:right w:val="none" w:sz="0" w:space="0" w:color="auto"/>
      </w:divBdr>
    </w:div>
    <w:div w:id="788277296">
      <w:bodyDiv w:val="1"/>
      <w:marLeft w:val="0"/>
      <w:marRight w:val="0"/>
      <w:marTop w:val="0"/>
      <w:marBottom w:val="0"/>
      <w:divBdr>
        <w:top w:val="none" w:sz="0" w:space="0" w:color="auto"/>
        <w:left w:val="none" w:sz="0" w:space="0" w:color="auto"/>
        <w:bottom w:val="none" w:sz="0" w:space="0" w:color="auto"/>
        <w:right w:val="none" w:sz="0" w:space="0" w:color="auto"/>
      </w:divBdr>
      <w:divsChild>
        <w:div w:id="2136942828">
          <w:marLeft w:val="0"/>
          <w:marRight w:val="0"/>
          <w:marTop w:val="0"/>
          <w:marBottom w:val="0"/>
          <w:divBdr>
            <w:top w:val="none" w:sz="0" w:space="0" w:color="auto"/>
            <w:left w:val="none" w:sz="0" w:space="0" w:color="auto"/>
            <w:bottom w:val="none" w:sz="0" w:space="0" w:color="auto"/>
            <w:right w:val="none" w:sz="0" w:space="0" w:color="auto"/>
          </w:divBdr>
        </w:div>
        <w:div w:id="1749880248">
          <w:marLeft w:val="0"/>
          <w:marRight w:val="0"/>
          <w:marTop w:val="0"/>
          <w:marBottom w:val="0"/>
          <w:divBdr>
            <w:top w:val="none" w:sz="0" w:space="0" w:color="auto"/>
            <w:left w:val="none" w:sz="0" w:space="0" w:color="auto"/>
            <w:bottom w:val="none" w:sz="0" w:space="0" w:color="auto"/>
            <w:right w:val="none" w:sz="0" w:space="0" w:color="auto"/>
          </w:divBdr>
        </w:div>
        <w:div w:id="1359743419">
          <w:marLeft w:val="0"/>
          <w:marRight w:val="0"/>
          <w:marTop w:val="0"/>
          <w:marBottom w:val="0"/>
          <w:divBdr>
            <w:top w:val="none" w:sz="0" w:space="0" w:color="auto"/>
            <w:left w:val="none" w:sz="0" w:space="0" w:color="auto"/>
            <w:bottom w:val="none" w:sz="0" w:space="0" w:color="auto"/>
            <w:right w:val="none" w:sz="0" w:space="0" w:color="auto"/>
          </w:divBdr>
        </w:div>
        <w:div w:id="1199857361">
          <w:marLeft w:val="0"/>
          <w:marRight w:val="0"/>
          <w:marTop w:val="0"/>
          <w:marBottom w:val="0"/>
          <w:divBdr>
            <w:top w:val="none" w:sz="0" w:space="0" w:color="auto"/>
            <w:left w:val="none" w:sz="0" w:space="0" w:color="auto"/>
            <w:bottom w:val="none" w:sz="0" w:space="0" w:color="auto"/>
            <w:right w:val="none" w:sz="0" w:space="0" w:color="auto"/>
          </w:divBdr>
        </w:div>
        <w:div w:id="595211656">
          <w:marLeft w:val="0"/>
          <w:marRight w:val="0"/>
          <w:marTop w:val="0"/>
          <w:marBottom w:val="0"/>
          <w:divBdr>
            <w:top w:val="none" w:sz="0" w:space="0" w:color="auto"/>
            <w:left w:val="none" w:sz="0" w:space="0" w:color="auto"/>
            <w:bottom w:val="none" w:sz="0" w:space="0" w:color="auto"/>
            <w:right w:val="none" w:sz="0" w:space="0" w:color="auto"/>
          </w:divBdr>
        </w:div>
        <w:div w:id="893810344">
          <w:marLeft w:val="0"/>
          <w:marRight w:val="0"/>
          <w:marTop w:val="0"/>
          <w:marBottom w:val="0"/>
          <w:divBdr>
            <w:top w:val="none" w:sz="0" w:space="0" w:color="auto"/>
            <w:left w:val="none" w:sz="0" w:space="0" w:color="auto"/>
            <w:bottom w:val="none" w:sz="0" w:space="0" w:color="auto"/>
            <w:right w:val="none" w:sz="0" w:space="0" w:color="auto"/>
          </w:divBdr>
        </w:div>
        <w:div w:id="645622613">
          <w:marLeft w:val="0"/>
          <w:marRight w:val="0"/>
          <w:marTop w:val="0"/>
          <w:marBottom w:val="0"/>
          <w:divBdr>
            <w:top w:val="none" w:sz="0" w:space="0" w:color="auto"/>
            <w:left w:val="none" w:sz="0" w:space="0" w:color="auto"/>
            <w:bottom w:val="none" w:sz="0" w:space="0" w:color="auto"/>
            <w:right w:val="none" w:sz="0" w:space="0" w:color="auto"/>
          </w:divBdr>
        </w:div>
        <w:div w:id="1037315792">
          <w:marLeft w:val="0"/>
          <w:marRight w:val="0"/>
          <w:marTop w:val="0"/>
          <w:marBottom w:val="0"/>
          <w:divBdr>
            <w:top w:val="none" w:sz="0" w:space="0" w:color="auto"/>
            <w:left w:val="none" w:sz="0" w:space="0" w:color="auto"/>
            <w:bottom w:val="none" w:sz="0" w:space="0" w:color="auto"/>
            <w:right w:val="none" w:sz="0" w:space="0" w:color="auto"/>
          </w:divBdr>
        </w:div>
        <w:div w:id="1725376049">
          <w:marLeft w:val="0"/>
          <w:marRight w:val="0"/>
          <w:marTop w:val="0"/>
          <w:marBottom w:val="0"/>
          <w:divBdr>
            <w:top w:val="none" w:sz="0" w:space="0" w:color="auto"/>
            <w:left w:val="none" w:sz="0" w:space="0" w:color="auto"/>
            <w:bottom w:val="none" w:sz="0" w:space="0" w:color="auto"/>
            <w:right w:val="none" w:sz="0" w:space="0" w:color="auto"/>
          </w:divBdr>
        </w:div>
        <w:div w:id="656762069">
          <w:marLeft w:val="0"/>
          <w:marRight w:val="0"/>
          <w:marTop w:val="0"/>
          <w:marBottom w:val="0"/>
          <w:divBdr>
            <w:top w:val="none" w:sz="0" w:space="0" w:color="auto"/>
            <w:left w:val="none" w:sz="0" w:space="0" w:color="auto"/>
            <w:bottom w:val="none" w:sz="0" w:space="0" w:color="auto"/>
            <w:right w:val="none" w:sz="0" w:space="0" w:color="auto"/>
          </w:divBdr>
        </w:div>
        <w:div w:id="1769931510">
          <w:marLeft w:val="0"/>
          <w:marRight w:val="0"/>
          <w:marTop w:val="0"/>
          <w:marBottom w:val="0"/>
          <w:divBdr>
            <w:top w:val="none" w:sz="0" w:space="0" w:color="auto"/>
            <w:left w:val="none" w:sz="0" w:space="0" w:color="auto"/>
            <w:bottom w:val="none" w:sz="0" w:space="0" w:color="auto"/>
            <w:right w:val="none" w:sz="0" w:space="0" w:color="auto"/>
          </w:divBdr>
        </w:div>
        <w:div w:id="478813280">
          <w:marLeft w:val="0"/>
          <w:marRight w:val="0"/>
          <w:marTop w:val="0"/>
          <w:marBottom w:val="0"/>
          <w:divBdr>
            <w:top w:val="none" w:sz="0" w:space="0" w:color="auto"/>
            <w:left w:val="none" w:sz="0" w:space="0" w:color="auto"/>
            <w:bottom w:val="none" w:sz="0" w:space="0" w:color="auto"/>
            <w:right w:val="none" w:sz="0" w:space="0" w:color="auto"/>
          </w:divBdr>
        </w:div>
        <w:div w:id="397292529">
          <w:marLeft w:val="0"/>
          <w:marRight w:val="0"/>
          <w:marTop w:val="0"/>
          <w:marBottom w:val="0"/>
          <w:divBdr>
            <w:top w:val="none" w:sz="0" w:space="0" w:color="auto"/>
            <w:left w:val="none" w:sz="0" w:space="0" w:color="auto"/>
            <w:bottom w:val="none" w:sz="0" w:space="0" w:color="auto"/>
            <w:right w:val="none" w:sz="0" w:space="0" w:color="auto"/>
          </w:divBdr>
        </w:div>
      </w:divsChild>
    </w:div>
    <w:div w:id="788427425">
      <w:bodyDiv w:val="1"/>
      <w:marLeft w:val="0"/>
      <w:marRight w:val="0"/>
      <w:marTop w:val="0"/>
      <w:marBottom w:val="0"/>
      <w:divBdr>
        <w:top w:val="none" w:sz="0" w:space="0" w:color="auto"/>
        <w:left w:val="none" w:sz="0" w:space="0" w:color="auto"/>
        <w:bottom w:val="none" w:sz="0" w:space="0" w:color="auto"/>
        <w:right w:val="none" w:sz="0" w:space="0" w:color="auto"/>
      </w:divBdr>
      <w:divsChild>
        <w:div w:id="488912453">
          <w:marLeft w:val="0"/>
          <w:marRight w:val="0"/>
          <w:marTop w:val="0"/>
          <w:marBottom w:val="0"/>
          <w:divBdr>
            <w:top w:val="none" w:sz="0" w:space="0" w:color="auto"/>
            <w:left w:val="none" w:sz="0" w:space="0" w:color="auto"/>
            <w:bottom w:val="none" w:sz="0" w:space="0" w:color="auto"/>
            <w:right w:val="none" w:sz="0" w:space="0" w:color="auto"/>
          </w:divBdr>
        </w:div>
        <w:div w:id="2088531551">
          <w:marLeft w:val="0"/>
          <w:marRight w:val="0"/>
          <w:marTop w:val="0"/>
          <w:marBottom w:val="0"/>
          <w:divBdr>
            <w:top w:val="none" w:sz="0" w:space="0" w:color="auto"/>
            <w:left w:val="none" w:sz="0" w:space="0" w:color="auto"/>
            <w:bottom w:val="none" w:sz="0" w:space="0" w:color="auto"/>
            <w:right w:val="none" w:sz="0" w:space="0" w:color="auto"/>
          </w:divBdr>
        </w:div>
        <w:div w:id="1280533314">
          <w:marLeft w:val="0"/>
          <w:marRight w:val="0"/>
          <w:marTop w:val="0"/>
          <w:marBottom w:val="0"/>
          <w:divBdr>
            <w:top w:val="none" w:sz="0" w:space="0" w:color="auto"/>
            <w:left w:val="none" w:sz="0" w:space="0" w:color="auto"/>
            <w:bottom w:val="none" w:sz="0" w:space="0" w:color="auto"/>
            <w:right w:val="none" w:sz="0" w:space="0" w:color="auto"/>
          </w:divBdr>
        </w:div>
        <w:div w:id="2003654083">
          <w:marLeft w:val="0"/>
          <w:marRight w:val="0"/>
          <w:marTop w:val="0"/>
          <w:marBottom w:val="0"/>
          <w:divBdr>
            <w:top w:val="none" w:sz="0" w:space="0" w:color="auto"/>
            <w:left w:val="none" w:sz="0" w:space="0" w:color="auto"/>
            <w:bottom w:val="none" w:sz="0" w:space="0" w:color="auto"/>
            <w:right w:val="none" w:sz="0" w:space="0" w:color="auto"/>
          </w:divBdr>
        </w:div>
        <w:div w:id="1168473874">
          <w:marLeft w:val="0"/>
          <w:marRight w:val="0"/>
          <w:marTop w:val="0"/>
          <w:marBottom w:val="0"/>
          <w:divBdr>
            <w:top w:val="none" w:sz="0" w:space="0" w:color="auto"/>
            <w:left w:val="none" w:sz="0" w:space="0" w:color="auto"/>
            <w:bottom w:val="none" w:sz="0" w:space="0" w:color="auto"/>
            <w:right w:val="none" w:sz="0" w:space="0" w:color="auto"/>
          </w:divBdr>
        </w:div>
        <w:div w:id="346760336">
          <w:marLeft w:val="0"/>
          <w:marRight w:val="0"/>
          <w:marTop w:val="0"/>
          <w:marBottom w:val="0"/>
          <w:divBdr>
            <w:top w:val="none" w:sz="0" w:space="0" w:color="auto"/>
            <w:left w:val="none" w:sz="0" w:space="0" w:color="auto"/>
            <w:bottom w:val="none" w:sz="0" w:space="0" w:color="auto"/>
            <w:right w:val="none" w:sz="0" w:space="0" w:color="auto"/>
          </w:divBdr>
        </w:div>
        <w:div w:id="897320107">
          <w:marLeft w:val="0"/>
          <w:marRight w:val="0"/>
          <w:marTop w:val="0"/>
          <w:marBottom w:val="0"/>
          <w:divBdr>
            <w:top w:val="none" w:sz="0" w:space="0" w:color="auto"/>
            <w:left w:val="none" w:sz="0" w:space="0" w:color="auto"/>
            <w:bottom w:val="none" w:sz="0" w:space="0" w:color="auto"/>
            <w:right w:val="none" w:sz="0" w:space="0" w:color="auto"/>
          </w:divBdr>
        </w:div>
        <w:div w:id="353000051">
          <w:marLeft w:val="0"/>
          <w:marRight w:val="0"/>
          <w:marTop w:val="0"/>
          <w:marBottom w:val="0"/>
          <w:divBdr>
            <w:top w:val="none" w:sz="0" w:space="0" w:color="auto"/>
            <w:left w:val="none" w:sz="0" w:space="0" w:color="auto"/>
            <w:bottom w:val="none" w:sz="0" w:space="0" w:color="auto"/>
            <w:right w:val="none" w:sz="0" w:space="0" w:color="auto"/>
          </w:divBdr>
        </w:div>
        <w:div w:id="156041998">
          <w:marLeft w:val="0"/>
          <w:marRight w:val="0"/>
          <w:marTop w:val="0"/>
          <w:marBottom w:val="0"/>
          <w:divBdr>
            <w:top w:val="none" w:sz="0" w:space="0" w:color="auto"/>
            <w:left w:val="none" w:sz="0" w:space="0" w:color="auto"/>
            <w:bottom w:val="none" w:sz="0" w:space="0" w:color="auto"/>
            <w:right w:val="none" w:sz="0" w:space="0" w:color="auto"/>
          </w:divBdr>
        </w:div>
      </w:divsChild>
    </w:div>
    <w:div w:id="829249393">
      <w:bodyDiv w:val="1"/>
      <w:marLeft w:val="0"/>
      <w:marRight w:val="0"/>
      <w:marTop w:val="0"/>
      <w:marBottom w:val="0"/>
      <w:divBdr>
        <w:top w:val="none" w:sz="0" w:space="0" w:color="auto"/>
        <w:left w:val="none" w:sz="0" w:space="0" w:color="auto"/>
        <w:bottom w:val="none" w:sz="0" w:space="0" w:color="auto"/>
        <w:right w:val="none" w:sz="0" w:space="0" w:color="auto"/>
      </w:divBdr>
      <w:divsChild>
        <w:div w:id="263612685">
          <w:marLeft w:val="240"/>
          <w:marRight w:val="0"/>
          <w:marTop w:val="60"/>
          <w:marBottom w:val="60"/>
          <w:divBdr>
            <w:top w:val="none" w:sz="0" w:space="0" w:color="auto"/>
            <w:left w:val="none" w:sz="0" w:space="0" w:color="auto"/>
            <w:bottom w:val="none" w:sz="0" w:space="0" w:color="auto"/>
            <w:right w:val="none" w:sz="0" w:space="0" w:color="auto"/>
          </w:divBdr>
          <w:divsChild>
            <w:div w:id="1821652486">
              <w:marLeft w:val="240"/>
              <w:marRight w:val="0"/>
              <w:marTop w:val="60"/>
              <w:marBottom w:val="60"/>
              <w:divBdr>
                <w:top w:val="none" w:sz="0" w:space="0" w:color="auto"/>
                <w:left w:val="none" w:sz="0" w:space="0" w:color="auto"/>
                <w:bottom w:val="none" w:sz="0" w:space="0" w:color="auto"/>
                <w:right w:val="none" w:sz="0" w:space="0" w:color="auto"/>
              </w:divBdr>
              <w:divsChild>
                <w:div w:id="1320111679">
                  <w:marLeft w:val="0"/>
                  <w:marRight w:val="0"/>
                  <w:marTop w:val="0"/>
                  <w:marBottom w:val="0"/>
                  <w:divBdr>
                    <w:top w:val="none" w:sz="0" w:space="0" w:color="auto"/>
                    <w:left w:val="none" w:sz="0" w:space="0" w:color="auto"/>
                    <w:bottom w:val="none" w:sz="0" w:space="0" w:color="auto"/>
                    <w:right w:val="none" w:sz="0" w:space="0" w:color="auto"/>
                  </w:divBdr>
                </w:div>
              </w:divsChild>
            </w:div>
            <w:div w:id="1083992089">
              <w:marLeft w:val="240"/>
              <w:marRight w:val="0"/>
              <w:marTop w:val="60"/>
              <w:marBottom w:val="60"/>
              <w:divBdr>
                <w:top w:val="none" w:sz="0" w:space="0" w:color="auto"/>
                <w:left w:val="none" w:sz="0" w:space="0" w:color="auto"/>
                <w:bottom w:val="none" w:sz="0" w:space="0" w:color="auto"/>
                <w:right w:val="none" w:sz="0" w:space="0" w:color="auto"/>
              </w:divBdr>
              <w:divsChild>
                <w:div w:id="467820829">
                  <w:marLeft w:val="0"/>
                  <w:marRight w:val="0"/>
                  <w:marTop w:val="0"/>
                  <w:marBottom w:val="0"/>
                  <w:divBdr>
                    <w:top w:val="none" w:sz="0" w:space="0" w:color="auto"/>
                    <w:left w:val="none" w:sz="0" w:space="0" w:color="auto"/>
                    <w:bottom w:val="none" w:sz="0" w:space="0" w:color="auto"/>
                    <w:right w:val="none" w:sz="0" w:space="0" w:color="auto"/>
                  </w:divBdr>
                </w:div>
              </w:divsChild>
            </w:div>
            <w:div w:id="1955791072">
              <w:marLeft w:val="240"/>
              <w:marRight w:val="0"/>
              <w:marTop w:val="60"/>
              <w:marBottom w:val="60"/>
              <w:divBdr>
                <w:top w:val="none" w:sz="0" w:space="0" w:color="auto"/>
                <w:left w:val="none" w:sz="0" w:space="0" w:color="auto"/>
                <w:bottom w:val="none" w:sz="0" w:space="0" w:color="auto"/>
                <w:right w:val="none" w:sz="0" w:space="0" w:color="auto"/>
              </w:divBdr>
              <w:divsChild>
                <w:div w:id="6264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5625329">
      <w:bodyDiv w:val="1"/>
      <w:marLeft w:val="0"/>
      <w:marRight w:val="0"/>
      <w:marTop w:val="0"/>
      <w:marBottom w:val="0"/>
      <w:divBdr>
        <w:top w:val="none" w:sz="0" w:space="0" w:color="auto"/>
        <w:left w:val="none" w:sz="0" w:space="0" w:color="auto"/>
        <w:bottom w:val="none" w:sz="0" w:space="0" w:color="auto"/>
        <w:right w:val="none" w:sz="0" w:space="0" w:color="auto"/>
      </w:divBdr>
    </w:div>
    <w:div w:id="1081409840">
      <w:bodyDiv w:val="1"/>
      <w:marLeft w:val="0"/>
      <w:marRight w:val="0"/>
      <w:marTop w:val="0"/>
      <w:marBottom w:val="0"/>
      <w:divBdr>
        <w:top w:val="none" w:sz="0" w:space="0" w:color="auto"/>
        <w:left w:val="none" w:sz="0" w:space="0" w:color="auto"/>
        <w:bottom w:val="none" w:sz="0" w:space="0" w:color="auto"/>
        <w:right w:val="none" w:sz="0" w:space="0" w:color="auto"/>
      </w:divBdr>
      <w:divsChild>
        <w:div w:id="731198604">
          <w:marLeft w:val="0"/>
          <w:marRight w:val="0"/>
          <w:marTop w:val="0"/>
          <w:marBottom w:val="0"/>
          <w:divBdr>
            <w:top w:val="none" w:sz="0" w:space="0" w:color="auto"/>
            <w:left w:val="none" w:sz="0" w:space="0" w:color="auto"/>
            <w:bottom w:val="none" w:sz="0" w:space="0" w:color="auto"/>
            <w:right w:val="none" w:sz="0" w:space="0" w:color="auto"/>
          </w:divBdr>
        </w:div>
        <w:div w:id="1872910918">
          <w:marLeft w:val="0"/>
          <w:marRight w:val="0"/>
          <w:marTop w:val="0"/>
          <w:marBottom w:val="0"/>
          <w:divBdr>
            <w:top w:val="none" w:sz="0" w:space="0" w:color="auto"/>
            <w:left w:val="none" w:sz="0" w:space="0" w:color="auto"/>
            <w:bottom w:val="none" w:sz="0" w:space="0" w:color="auto"/>
            <w:right w:val="none" w:sz="0" w:space="0" w:color="auto"/>
          </w:divBdr>
        </w:div>
        <w:div w:id="1104881531">
          <w:marLeft w:val="0"/>
          <w:marRight w:val="0"/>
          <w:marTop w:val="0"/>
          <w:marBottom w:val="0"/>
          <w:divBdr>
            <w:top w:val="none" w:sz="0" w:space="0" w:color="auto"/>
            <w:left w:val="none" w:sz="0" w:space="0" w:color="auto"/>
            <w:bottom w:val="none" w:sz="0" w:space="0" w:color="auto"/>
            <w:right w:val="none" w:sz="0" w:space="0" w:color="auto"/>
          </w:divBdr>
        </w:div>
        <w:div w:id="734544932">
          <w:marLeft w:val="0"/>
          <w:marRight w:val="0"/>
          <w:marTop w:val="0"/>
          <w:marBottom w:val="0"/>
          <w:divBdr>
            <w:top w:val="none" w:sz="0" w:space="0" w:color="auto"/>
            <w:left w:val="none" w:sz="0" w:space="0" w:color="auto"/>
            <w:bottom w:val="none" w:sz="0" w:space="0" w:color="auto"/>
            <w:right w:val="none" w:sz="0" w:space="0" w:color="auto"/>
          </w:divBdr>
        </w:div>
        <w:div w:id="90008835">
          <w:marLeft w:val="0"/>
          <w:marRight w:val="0"/>
          <w:marTop w:val="0"/>
          <w:marBottom w:val="0"/>
          <w:divBdr>
            <w:top w:val="none" w:sz="0" w:space="0" w:color="auto"/>
            <w:left w:val="none" w:sz="0" w:space="0" w:color="auto"/>
            <w:bottom w:val="none" w:sz="0" w:space="0" w:color="auto"/>
            <w:right w:val="none" w:sz="0" w:space="0" w:color="auto"/>
          </w:divBdr>
          <w:divsChild>
            <w:div w:id="913011341">
              <w:marLeft w:val="0"/>
              <w:marRight w:val="0"/>
              <w:marTop w:val="0"/>
              <w:marBottom w:val="0"/>
              <w:divBdr>
                <w:top w:val="none" w:sz="0" w:space="0" w:color="auto"/>
                <w:left w:val="none" w:sz="0" w:space="0" w:color="auto"/>
                <w:bottom w:val="none" w:sz="0" w:space="0" w:color="auto"/>
                <w:right w:val="none" w:sz="0" w:space="0" w:color="auto"/>
              </w:divBdr>
            </w:div>
            <w:div w:id="636833781">
              <w:marLeft w:val="0"/>
              <w:marRight w:val="0"/>
              <w:marTop w:val="0"/>
              <w:marBottom w:val="0"/>
              <w:divBdr>
                <w:top w:val="none" w:sz="0" w:space="0" w:color="auto"/>
                <w:left w:val="none" w:sz="0" w:space="0" w:color="auto"/>
                <w:bottom w:val="none" w:sz="0" w:space="0" w:color="auto"/>
                <w:right w:val="none" w:sz="0" w:space="0" w:color="auto"/>
              </w:divBdr>
            </w:div>
            <w:div w:id="463354216">
              <w:marLeft w:val="0"/>
              <w:marRight w:val="0"/>
              <w:marTop w:val="0"/>
              <w:marBottom w:val="0"/>
              <w:divBdr>
                <w:top w:val="none" w:sz="0" w:space="0" w:color="auto"/>
                <w:left w:val="none" w:sz="0" w:space="0" w:color="auto"/>
                <w:bottom w:val="none" w:sz="0" w:space="0" w:color="auto"/>
                <w:right w:val="none" w:sz="0" w:space="0" w:color="auto"/>
              </w:divBdr>
            </w:div>
            <w:div w:id="1458182233">
              <w:marLeft w:val="0"/>
              <w:marRight w:val="0"/>
              <w:marTop w:val="0"/>
              <w:marBottom w:val="0"/>
              <w:divBdr>
                <w:top w:val="none" w:sz="0" w:space="0" w:color="auto"/>
                <w:left w:val="none" w:sz="0" w:space="0" w:color="auto"/>
                <w:bottom w:val="none" w:sz="0" w:space="0" w:color="auto"/>
                <w:right w:val="none" w:sz="0" w:space="0" w:color="auto"/>
              </w:divBdr>
            </w:div>
            <w:div w:id="1073350826">
              <w:marLeft w:val="0"/>
              <w:marRight w:val="0"/>
              <w:marTop w:val="0"/>
              <w:marBottom w:val="0"/>
              <w:divBdr>
                <w:top w:val="none" w:sz="0" w:space="0" w:color="auto"/>
                <w:left w:val="none" w:sz="0" w:space="0" w:color="auto"/>
                <w:bottom w:val="none" w:sz="0" w:space="0" w:color="auto"/>
                <w:right w:val="none" w:sz="0" w:space="0" w:color="auto"/>
              </w:divBdr>
              <w:divsChild>
                <w:div w:id="521435983">
                  <w:marLeft w:val="0"/>
                  <w:marRight w:val="0"/>
                  <w:marTop w:val="0"/>
                  <w:marBottom w:val="0"/>
                  <w:divBdr>
                    <w:top w:val="none" w:sz="0" w:space="0" w:color="auto"/>
                    <w:left w:val="none" w:sz="0" w:space="0" w:color="auto"/>
                    <w:bottom w:val="none" w:sz="0" w:space="0" w:color="auto"/>
                    <w:right w:val="none" w:sz="0" w:space="0" w:color="auto"/>
                  </w:divBdr>
                </w:div>
              </w:divsChild>
            </w:div>
            <w:div w:id="1605726161">
              <w:marLeft w:val="0"/>
              <w:marRight w:val="0"/>
              <w:marTop w:val="0"/>
              <w:marBottom w:val="0"/>
              <w:divBdr>
                <w:top w:val="none" w:sz="0" w:space="0" w:color="auto"/>
                <w:left w:val="none" w:sz="0" w:space="0" w:color="auto"/>
                <w:bottom w:val="none" w:sz="0" w:space="0" w:color="auto"/>
                <w:right w:val="none" w:sz="0" w:space="0" w:color="auto"/>
              </w:divBdr>
            </w:div>
            <w:div w:id="482626330">
              <w:marLeft w:val="0"/>
              <w:marRight w:val="0"/>
              <w:marTop w:val="0"/>
              <w:marBottom w:val="0"/>
              <w:divBdr>
                <w:top w:val="none" w:sz="0" w:space="0" w:color="auto"/>
                <w:left w:val="none" w:sz="0" w:space="0" w:color="auto"/>
                <w:bottom w:val="none" w:sz="0" w:space="0" w:color="auto"/>
                <w:right w:val="none" w:sz="0" w:space="0" w:color="auto"/>
              </w:divBdr>
              <w:divsChild>
                <w:div w:id="1493449746">
                  <w:marLeft w:val="0"/>
                  <w:marRight w:val="0"/>
                  <w:marTop w:val="0"/>
                  <w:marBottom w:val="0"/>
                  <w:divBdr>
                    <w:top w:val="none" w:sz="0" w:space="0" w:color="auto"/>
                    <w:left w:val="none" w:sz="0" w:space="0" w:color="auto"/>
                    <w:bottom w:val="none" w:sz="0" w:space="0" w:color="auto"/>
                    <w:right w:val="none" w:sz="0" w:space="0" w:color="auto"/>
                  </w:divBdr>
                </w:div>
              </w:divsChild>
            </w:div>
            <w:div w:id="966083442">
              <w:marLeft w:val="0"/>
              <w:marRight w:val="0"/>
              <w:marTop w:val="0"/>
              <w:marBottom w:val="0"/>
              <w:divBdr>
                <w:top w:val="none" w:sz="0" w:space="0" w:color="auto"/>
                <w:left w:val="none" w:sz="0" w:space="0" w:color="auto"/>
                <w:bottom w:val="none" w:sz="0" w:space="0" w:color="auto"/>
                <w:right w:val="none" w:sz="0" w:space="0" w:color="auto"/>
              </w:divBdr>
            </w:div>
            <w:div w:id="2784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558">
      <w:bodyDiv w:val="1"/>
      <w:marLeft w:val="0"/>
      <w:marRight w:val="0"/>
      <w:marTop w:val="0"/>
      <w:marBottom w:val="0"/>
      <w:divBdr>
        <w:top w:val="none" w:sz="0" w:space="0" w:color="auto"/>
        <w:left w:val="none" w:sz="0" w:space="0" w:color="auto"/>
        <w:bottom w:val="none" w:sz="0" w:space="0" w:color="auto"/>
        <w:right w:val="none" w:sz="0" w:space="0" w:color="auto"/>
      </w:divBdr>
      <w:divsChild>
        <w:div w:id="1455901698">
          <w:marLeft w:val="0"/>
          <w:marRight w:val="0"/>
          <w:marTop w:val="0"/>
          <w:marBottom w:val="0"/>
          <w:divBdr>
            <w:top w:val="none" w:sz="0" w:space="0" w:color="auto"/>
            <w:left w:val="none" w:sz="0" w:space="0" w:color="auto"/>
            <w:bottom w:val="none" w:sz="0" w:space="0" w:color="auto"/>
            <w:right w:val="none" w:sz="0" w:space="0" w:color="auto"/>
          </w:divBdr>
        </w:div>
        <w:div w:id="33506201">
          <w:marLeft w:val="0"/>
          <w:marRight w:val="0"/>
          <w:marTop w:val="0"/>
          <w:marBottom w:val="0"/>
          <w:divBdr>
            <w:top w:val="none" w:sz="0" w:space="0" w:color="auto"/>
            <w:left w:val="none" w:sz="0" w:space="0" w:color="auto"/>
            <w:bottom w:val="none" w:sz="0" w:space="0" w:color="auto"/>
            <w:right w:val="none" w:sz="0" w:space="0" w:color="auto"/>
          </w:divBdr>
        </w:div>
        <w:div w:id="1910722448">
          <w:marLeft w:val="0"/>
          <w:marRight w:val="0"/>
          <w:marTop w:val="0"/>
          <w:marBottom w:val="0"/>
          <w:divBdr>
            <w:top w:val="none" w:sz="0" w:space="0" w:color="auto"/>
            <w:left w:val="none" w:sz="0" w:space="0" w:color="auto"/>
            <w:bottom w:val="none" w:sz="0" w:space="0" w:color="auto"/>
            <w:right w:val="none" w:sz="0" w:space="0" w:color="auto"/>
          </w:divBdr>
        </w:div>
        <w:div w:id="1682244943">
          <w:marLeft w:val="0"/>
          <w:marRight w:val="0"/>
          <w:marTop w:val="0"/>
          <w:marBottom w:val="0"/>
          <w:divBdr>
            <w:top w:val="none" w:sz="0" w:space="0" w:color="auto"/>
            <w:left w:val="none" w:sz="0" w:space="0" w:color="auto"/>
            <w:bottom w:val="none" w:sz="0" w:space="0" w:color="auto"/>
            <w:right w:val="none" w:sz="0" w:space="0" w:color="auto"/>
          </w:divBdr>
        </w:div>
        <w:div w:id="1380280656">
          <w:marLeft w:val="0"/>
          <w:marRight w:val="0"/>
          <w:marTop w:val="0"/>
          <w:marBottom w:val="0"/>
          <w:divBdr>
            <w:top w:val="none" w:sz="0" w:space="0" w:color="auto"/>
            <w:left w:val="none" w:sz="0" w:space="0" w:color="auto"/>
            <w:bottom w:val="none" w:sz="0" w:space="0" w:color="auto"/>
            <w:right w:val="none" w:sz="0" w:space="0" w:color="auto"/>
          </w:divBdr>
          <w:divsChild>
            <w:div w:id="948774973">
              <w:marLeft w:val="0"/>
              <w:marRight w:val="0"/>
              <w:marTop w:val="0"/>
              <w:marBottom w:val="0"/>
              <w:divBdr>
                <w:top w:val="none" w:sz="0" w:space="0" w:color="auto"/>
                <w:left w:val="none" w:sz="0" w:space="0" w:color="auto"/>
                <w:bottom w:val="none" w:sz="0" w:space="0" w:color="auto"/>
                <w:right w:val="none" w:sz="0" w:space="0" w:color="auto"/>
              </w:divBdr>
            </w:div>
          </w:divsChild>
        </w:div>
        <w:div w:id="1048918993">
          <w:marLeft w:val="0"/>
          <w:marRight w:val="0"/>
          <w:marTop w:val="0"/>
          <w:marBottom w:val="0"/>
          <w:divBdr>
            <w:top w:val="none" w:sz="0" w:space="0" w:color="auto"/>
            <w:left w:val="none" w:sz="0" w:space="0" w:color="auto"/>
            <w:bottom w:val="none" w:sz="0" w:space="0" w:color="auto"/>
            <w:right w:val="none" w:sz="0" w:space="0" w:color="auto"/>
          </w:divBdr>
        </w:div>
        <w:div w:id="1385252968">
          <w:marLeft w:val="0"/>
          <w:marRight w:val="0"/>
          <w:marTop w:val="0"/>
          <w:marBottom w:val="0"/>
          <w:divBdr>
            <w:top w:val="none" w:sz="0" w:space="0" w:color="auto"/>
            <w:left w:val="none" w:sz="0" w:space="0" w:color="auto"/>
            <w:bottom w:val="none" w:sz="0" w:space="0" w:color="auto"/>
            <w:right w:val="none" w:sz="0" w:space="0" w:color="auto"/>
          </w:divBdr>
        </w:div>
        <w:div w:id="1461607735">
          <w:marLeft w:val="0"/>
          <w:marRight w:val="0"/>
          <w:marTop w:val="0"/>
          <w:marBottom w:val="0"/>
          <w:divBdr>
            <w:top w:val="none" w:sz="0" w:space="0" w:color="auto"/>
            <w:left w:val="none" w:sz="0" w:space="0" w:color="auto"/>
            <w:bottom w:val="none" w:sz="0" w:space="0" w:color="auto"/>
            <w:right w:val="none" w:sz="0" w:space="0" w:color="auto"/>
          </w:divBdr>
        </w:div>
        <w:div w:id="901211886">
          <w:marLeft w:val="0"/>
          <w:marRight w:val="0"/>
          <w:marTop w:val="0"/>
          <w:marBottom w:val="0"/>
          <w:divBdr>
            <w:top w:val="none" w:sz="0" w:space="0" w:color="auto"/>
            <w:left w:val="none" w:sz="0" w:space="0" w:color="auto"/>
            <w:bottom w:val="none" w:sz="0" w:space="0" w:color="auto"/>
            <w:right w:val="none" w:sz="0" w:space="0" w:color="auto"/>
          </w:divBdr>
        </w:div>
        <w:div w:id="1248422958">
          <w:marLeft w:val="0"/>
          <w:marRight w:val="0"/>
          <w:marTop w:val="0"/>
          <w:marBottom w:val="0"/>
          <w:divBdr>
            <w:top w:val="none" w:sz="0" w:space="0" w:color="auto"/>
            <w:left w:val="none" w:sz="0" w:space="0" w:color="auto"/>
            <w:bottom w:val="none" w:sz="0" w:space="0" w:color="auto"/>
            <w:right w:val="none" w:sz="0" w:space="0" w:color="auto"/>
          </w:divBdr>
          <w:divsChild>
            <w:div w:id="1854607060">
              <w:marLeft w:val="0"/>
              <w:marRight w:val="0"/>
              <w:marTop w:val="0"/>
              <w:marBottom w:val="0"/>
              <w:divBdr>
                <w:top w:val="none" w:sz="0" w:space="0" w:color="auto"/>
                <w:left w:val="none" w:sz="0" w:space="0" w:color="auto"/>
                <w:bottom w:val="none" w:sz="0" w:space="0" w:color="auto"/>
                <w:right w:val="none" w:sz="0" w:space="0" w:color="auto"/>
              </w:divBdr>
            </w:div>
            <w:div w:id="1574049355">
              <w:marLeft w:val="0"/>
              <w:marRight w:val="0"/>
              <w:marTop w:val="0"/>
              <w:marBottom w:val="0"/>
              <w:divBdr>
                <w:top w:val="none" w:sz="0" w:space="0" w:color="auto"/>
                <w:left w:val="none" w:sz="0" w:space="0" w:color="auto"/>
                <w:bottom w:val="none" w:sz="0" w:space="0" w:color="auto"/>
                <w:right w:val="none" w:sz="0" w:space="0" w:color="auto"/>
              </w:divBdr>
            </w:div>
            <w:div w:id="970593337">
              <w:marLeft w:val="0"/>
              <w:marRight w:val="0"/>
              <w:marTop w:val="0"/>
              <w:marBottom w:val="0"/>
              <w:divBdr>
                <w:top w:val="none" w:sz="0" w:space="0" w:color="auto"/>
                <w:left w:val="none" w:sz="0" w:space="0" w:color="auto"/>
                <w:bottom w:val="none" w:sz="0" w:space="0" w:color="auto"/>
                <w:right w:val="none" w:sz="0" w:space="0" w:color="auto"/>
              </w:divBdr>
            </w:div>
            <w:div w:id="1733769519">
              <w:marLeft w:val="0"/>
              <w:marRight w:val="0"/>
              <w:marTop w:val="0"/>
              <w:marBottom w:val="0"/>
              <w:divBdr>
                <w:top w:val="none" w:sz="0" w:space="0" w:color="auto"/>
                <w:left w:val="none" w:sz="0" w:space="0" w:color="auto"/>
                <w:bottom w:val="none" w:sz="0" w:space="0" w:color="auto"/>
                <w:right w:val="none" w:sz="0" w:space="0" w:color="auto"/>
              </w:divBdr>
            </w:div>
            <w:div w:id="1294291396">
              <w:marLeft w:val="0"/>
              <w:marRight w:val="0"/>
              <w:marTop w:val="0"/>
              <w:marBottom w:val="0"/>
              <w:divBdr>
                <w:top w:val="none" w:sz="0" w:space="0" w:color="auto"/>
                <w:left w:val="none" w:sz="0" w:space="0" w:color="auto"/>
                <w:bottom w:val="none" w:sz="0" w:space="0" w:color="auto"/>
                <w:right w:val="none" w:sz="0" w:space="0" w:color="auto"/>
              </w:divBdr>
            </w:div>
            <w:div w:id="1692562648">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1128738299">
              <w:marLeft w:val="0"/>
              <w:marRight w:val="0"/>
              <w:marTop w:val="0"/>
              <w:marBottom w:val="0"/>
              <w:divBdr>
                <w:top w:val="none" w:sz="0" w:space="0" w:color="auto"/>
                <w:left w:val="none" w:sz="0" w:space="0" w:color="auto"/>
                <w:bottom w:val="none" w:sz="0" w:space="0" w:color="auto"/>
                <w:right w:val="none" w:sz="0" w:space="0" w:color="auto"/>
              </w:divBdr>
            </w:div>
            <w:div w:id="2142112241">
              <w:marLeft w:val="0"/>
              <w:marRight w:val="0"/>
              <w:marTop w:val="0"/>
              <w:marBottom w:val="0"/>
              <w:divBdr>
                <w:top w:val="none" w:sz="0" w:space="0" w:color="auto"/>
                <w:left w:val="none" w:sz="0" w:space="0" w:color="auto"/>
                <w:bottom w:val="none" w:sz="0" w:space="0" w:color="auto"/>
                <w:right w:val="none" w:sz="0" w:space="0" w:color="auto"/>
              </w:divBdr>
            </w:div>
            <w:div w:id="438647013">
              <w:marLeft w:val="0"/>
              <w:marRight w:val="0"/>
              <w:marTop w:val="0"/>
              <w:marBottom w:val="0"/>
              <w:divBdr>
                <w:top w:val="none" w:sz="0" w:space="0" w:color="auto"/>
                <w:left w:val="none" w:sz="0" w:space="0" w:color="auto"/>
                <w:bottom w:val="none" w:sz="0" w:space="0" w:color="auto"/>
                <w:right w:val="none" w:sz="0" w:space="0" w:color="auto"/>
              </w:divBdr>
              <w:divsChild>
                <w:div w:id="1663658787">
                  <w:marLeft w:val="0"/>
                  <w:marRight w:val="0"/>
                  <w:marTop w:val="0"/>
                  <w:marBottom w:val="0"/>
                  <w:divBdr>
                    <w:top w:val="none" w:sz="0" w:space="0" w:color="auto"/>
                    <w:left w:val="none" w:sz="0" w:space="0" w:color="auto"/>
                    <w:bottom w:val="none" w:sz="0" w:space="0" w:color="auto"/>
                    <w:right w:val="none" w:sz="0" w:space="0" w:color="auto"/>
                  </w:divBdr>
                </w:div>
                <w:div w:id="1452359380">
                  <w:marLeft w:val="0"/>
                  <w:marRight w:val="0"/>
                  <w:marTop w:val="0"/>
                  <w:marBottom w:val="0"/>
                  <w:divBdr>
                    <w:top w:val="none" w:sz="0" w:space="0" w:color="auto"/>
                    <w:left w:val="none" w:sz="0" w:space="0" w:color="auto"/>
                    <w:bottom w:val="none" w:sz="0" w:space="0" w:color="auto"/>
                    <w:right w:val="none" w:sz="0" w:space="0" w:color="auto"/>
                  </w:divBdr>
                </w:div>
                <w:div w:id="1748188336">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293753886">
                  <w:marLeft w:val="0"/>
                  <w:marRight w:val="0"/>
                  <w:marTop w:val="0"/>
                  <w:marBottom w:val="0"/>
                  <w:divBdr>
                    <w:top w:val="none" w:sz="0" w:space="0" w:color="auto"/>
                    <w:left w:val="none" w:sz="0" w:space="0" w:color="auto"/>
                    <w:bottom w:val="none" w:sz="0" w:space="0" w:color="auto"/>
                    <w:right w:val="none" w:sz="0" w:space="0" w:color="auto"/>
                  </w:divBdr>
                </w:div>
                <w:div w:id="2077245332">
                  <w:marLeft w:val="0"/>
                  <w:marRight w:val="0"/>
                  <w:marTop w:val="0"/>
                  <w:marBottom w:val="0"/>
                  <w:divBdr>
                    <w:top w:val="none" w:sz="0" w:space="0" w:color="auto"/>
                    <w:left w:val="none" w:sz="0" w:space="0" w:color="auto"/>
                    <w:bottom w:val="none" w:sz="0" w:space="0" w:color="auto"/>
                    <w:right w:val="none" w:sz="0" w:space="0" w:color="auto"/>
                  </w:divBdr>
                </w:div>
                <w:div w:id="1049912275">
                  <w:marLeft w:val="0"/>
                  <w:marRight w:val="0"/>
                  <w:marTop w:val="0"/>
                  <w:marBottom w:val="0"/>
                  <w:divBdr>
                    <w:top w:val="none" w:sz="0" w:space="0" w:color="auto"/>
                    <w:left w:val="none" w:sz="0" w:space="0" w:color="auto"/>
                    <w:bottom w:val="none" w:sz="0" w:space="0" w:color="auto"/>
                    <w:right w:val="none" w:sz="0" w:space="0" w:color="auto"/>
                  </w:divBdr>
                </w:div>
                <w:div w:id="1275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8534">
          <w:marLeft w:val="240"/>
          <w:marRight w:val="0"/>
          <w:marTop w:val="60"/>
          <w:marBottom w:val="60"/>
          <w:divBdr>
            <w:top w:val="none" w:sz="0" w:space="0" w:color="auto"/>
            <w:left w:val="none" w:sz="0" w:space="0" w:color="auto"/>
            <w:bottom w:val="none" w:sz="0" w:space="0" w:color="auto"/>
            <w:right w:val="none" w:sz="0" w:space="0" w:color="auto"/>
          </w:divBdr>
          <w:divsChild>
            <w:div w:id="242182680">
              <w:marLeft w:val="0"/>
              <w:marRight w:val="0"/>
              <w:marTop w:val="0"/>
              <w:marBottom w:val="0"/>
              <w:divBdr>
                <w:top w:val="none" w:sz="0" w:space="0" w:color="auto"/>
                <w:left w:val="none" w:sz="0" w:space="0" w:color="auto"/>
                <w:bottom w:val="none" w:sz="0" w:space="0" w:color="auto"/>
                <w:right w:val="none" w:sz="0" w:space="0" w:color="auto"/>
              </w:divBdr>
            </w:div>
          </w:divsChild>
        </w:div>
        <w:div w:id="1202327672">
          <w:marLeft w:val="240"/>
          <w:marRight w:val="0"/>
          <w:marTop w:val="60"/>
          <w:marBottom w:val="60"/>
          <w:divBdr>
            <w:top w:val="none" w:sz="0" w:space="0" w:color="auto"/>
            <w:left w:val="none" w:sz="0" w:space="0" w:color="auto"/>
            <w:bottom w:val="none" w:sz="0" w:space="0" w:color="auto"/>
            <w:right w:val="none" w:sz="0" w:space="0" w:color="auto"/>
          </w:divBdr>
          <w:divsChild>
            <w:div w:id="1349330414">
              <w:marLeft w:val="240"/>
              <w:marRight w:val="0"/>
              <w:marTop w:val="60"/>
              <w:marBottom w:val="60"/>
              <w:divBdr>
                <w:top w:val="none" w:sz="0" w:space="0" w:color="auto"/>
                <w:left w:val="none" w:sz="0" w:space="0" w:color="auto"/>
                <w:bottom w:val="none" w:sz="0" w:space="0" w:color="auto"/>
                <w:right w:val="none" w:sz="0" w:space="0" w:color="auto"/>
              </w:divBdr>
              <w:divsChild>
                <w:div w:id="1565219211">
                  <w:marLeft w:val="0"/>
                  <w:marRight w:val="0"/>
                  <w:marTop w:val="0"/>
                  <w:marBottom w:val="0"/>
                  <w:divBdr>
                    <w:top w:val="none" w:sz="0" w:space="0" w:color="auto"/>
                    <w:left w:val="none" w:sz="0" w:space="0" w:color="auto"/>
                    <w:bottom w:val="none" w:sz="0" w:space="0" w:color="auto"/>
                    <w:right w:val="none" w:sz="0" w:space="0" w:color="auto"/>
                  </w:divBdr>
                </w:div>
              </w:divsChild>
            </w:div>
            <w:div w:id="1970279737">
              <w:marLeft w:val="240"/>
              <w:marRight w:val="0"/>
              <w:marTop w:val="60"/>
              <w:marBottom w:val="60"/>
              <w:divBdr>
                <w:top w:val="none" w:sz="0" w:space="0" w:color="auto"/>
                <w:left w:val="none" w:sz="0" w:space="0" w:color="auto"/>
                <w:bottom w:val="none" w:sz="0" w:space="0" w:color="auto"/>
                <w:right w:val="none" w:sz="0" w:space="0" w:color="auto"/>
              </w:divBdr>
              <w:divsChild>
                <w:div w:id="4697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3166">
      <w:bodyDiv w:val="1"/>
      <w:marLeft w:val="0"/>
      <w:marRight w:val="0"/>
      <w:marTop w:val="0"/>
      <w:marBottom w:val="0"/>
      <w:divBdr>
        <w:top w:val="none" w:sz="0" w:space="0" w:color="auto"/>
        <w:left w:val="none" w:sz="0" w:space="0" w:color="auto"/>
        <w:bottom w:val="none" w:sz="0" w:space="0" w:color="auto"/>
        <w:right w:val="none" w:sz="0" w:space="0" w:color="auto"/>
      </w:divBdr>
      <w:divsChild>
        <w:div w:id="668145123">
          <w:marLeft w:val="0"/>
          <w:marRight w:val="0"/>
          <w:marTop w:val="0"/>
          <w:marBottom w:val="0"/>
          <w:divBdr>
            <w:top w:val="none" w:sz="0" w:space="0" w:color="auto"/>
            <w:left w:val="none" w:sz="0" w:space="0" w:color="auto"/>
            <w:bottom w:val="none" w:sz="0" w:space="0" w:color="auto"/>
            <w:right w:val="none" w:sz="0" w:space="0" w:color="auto"/>
          </w:divBdr>
        </w:div>
        <w:div w:id="1187405360">
          <w:marLeft w:val="0"/>
          <w:marRight w:val="0"/>
          <w:marTop w:val="0"/>
          <w:marBottom w:val="0"/>
          <w:divBdr>
            <w:top w:val="none" w:sz="0" w:space="0" w:color="auto"/>
            <w:left w:val="none" w:sz="0" w:space="0" w:color="auto"/>
            <w:bottom w:val="none" w:sz="0" w:space="0" w:color="auto"/>
            <w:right w:val="none" w:sz="0" w:space="0" w:color="auto"/>
          </w:divBdr>
        </w:div>
        <w:div w:id="1978295313">
          <w:marLeft w:val="0"/>
          <w:marRight w:val="0"/>
          <w:marTop w:val="0"/>
          <w:marBottom w:val="0"/>
          <w:divBdr>
            <w:top w:val="none" w:sz="0" w:space="0" w:color="auto"/>
            <w:left w:val="none" w:sz="0" w:space="0" w:color="auto"/>
            <w:bottom w:val="none" w:sz="0" w:space="0" w:color="auto"/>
            <w:right w:val="none" w:sz="0" w:space="0" w:color="auto"/>
          </w:divBdr>
        </w:div>
        <w:div w:id="283580711">
          <w:marLeft w:val="0"/>
          <w:marRight w:val="0"/>
          <w:marTop w:val="0"/>
          <w:marBottom w:val="0"/>
          <w:divBdr>
            <w:top w:val="none" w:sz="0" w:space="0" w:color="auto"/>
            <w:left w:val="none" w:sz="0" w:space="0" w:color="auto"/>
            <w:bottom w:val="none" w:sz="0" w:space="0" w:color="auto"/>
            <w:right w:val="none" w:sz="0" w:space="0" w:color="auto"/>
          </w:divBdr>
        </w:div>
        <w:div w:id="193664622">
          <w:marLeft w:val="0"/>
          <w:marRight w:val="0"/>
          <w:marTop w:val="0"/>
          <w:marBottom w:val="0"/>
          <w:divBdr>
            <w:top w:val="none" w:sz="0" w:space="0" w:color="auto"/>
            <w:left w:val="none" w:sz="0" w:space="0" w:color="auto"/>
            <w:bottom w:val="none" w:sz="0" w:space="0" w:color="auto"/>
            <w:right w:val="none" w:sz="0" w:space="0" w:color="auto"/>
          </w:divBdr>
        </w:div>
        <w:div w:id="28529291">
          <w:marLeft w:val="0"/>
          <w:marRight w:val="0"/>
          <w:marTop w:val="0"/>
          <w:marBottom w:val="0"/>
          <w:divBdr>
            <w:top w:val="none" w:sz="0" w:space="0" w:color="auto"/>
            <w:left w:val="none" w:sz="0" w:space="0" w:color="auto"/>
            <w:bottom w:val="none" w:sz="0" w:space="0" w:color="auto"/>
            <w:right w:val="none" w:sz="0" w:space="0" w:color="auto"/>
          </w:divBdr>
        </w:div>
        <w:div w:id="867530365">
          <w:marLeft w:val="0"/>
          <w:marRight w:val="0"/>
          <w:marTop w:val="0"/>
          <w:marBottom w:val="0"/>
          <w:divBdr>
            <w:top w:val="none" w:sz="0" w:space="0" w:color="auto"/>
            <w:left w:val="none" w:sz="0" w:space="0" w:color="auto"/>
            <w:bottom w:val="none" w:sz="0" w:space="0" w:color="auto"/>
            <w:right w:val="none" w:sz="0" w:space="0" w:color="auto"/>
          </w:divBdr>
        </w:div>
      </w:divsChild>
    </w:div>
    <w:div w:id="1330594303">
      <w:bodyDiv w:val="1"/>
      <w:marLeft w:val="0"/>
      <w:marRight w:val="0"/>
      <w:marTop w:val="0"/>
      <w:marBottom w:val="0"/>
      <w:divBdr>
        <w:top w:val="none" w:sz="0" w:space="0" w:color="auto"/>
        <w:left w:val="none" w:sz="0" w:space="0" w:color="auto"/>
        <w:bottom w:val="none" w:sz="0" w:space="0" w:color="auto"/>
        <w:right w:val="none" w:sz="0" w:space="0" w:color="auto"/>
      </w:divBdr>
      <w:divsChild>
        <w:div w:id="376972828">
          <w:marLeft w:val="0"/>
          <w:marRight w:val="0"/>
          <w:marTop w:val="0"/>
          <w:marBottom w:val="0"/>
          <w:divBdr>
            <w:top w:val="none" w:sz="0" w:space="0" w:color="auto"/>
            <w:left w:val="none" w:sz="0" w:space="0" w:color="auto"/>
            <w:bottom w:val="none" w:sz="0" w:space="0" w:color="auto"/>
            <w:right w:val="none" w:sz="0" w:space="0" w:color="auto"/>
          </w:divBdr>
        </w:div>
        <w:div w:id="279148168">
          <w:marLeft w:val="0"/>
          <w:marRight w:val="0"/>
          <w:marTop w:val="0"/>
          <w:marBottom w:val="0"/>
          <w:divBdr>
            <w:top w:val="none" w:sz="0" w:space="0" w:color="auto"/>
            <w:left w:val="none" w:sz="0" w:space="0" w:color="auto"/>
            <w:bottom w:val="none" w:sz="0" w:space="0" w:color="auto"/>
            <w:right w:val="none" w:sz="0" w:space="0" w:color="auto"/>
          </w:divBdr>
        </w:div>
        <w:div w:id="1806193971">
          <w:marLeft w:val="0"/>
          <w:marRight w:val="0"/>
          <w:marTop w:val="0"/>
          <w:marBottom w:val="0"/>
          <w:divBdr>
            <w:top w:val="none" w:sz="0" w:space="0" w:color="auto"/>
            <w:left w:val="none" w:sz="0" w:space="0" w:color="auto"/>
            <w:bottom w:val="none" w:sz="0" w:space="0" w:color="auto"/>
            <w:right w:val="none" w:sz="0" w:space="0" w:color="auto"/>
          </w:divBdr>
        </w:div>
      </w:divsChild>
    </w:div>
    <w:div w:id="1547838435">
      <w:bodyDiv w:val="1"/>
      <w:marLeft w:val="0"/>
      <w:marRight w:val="0"/>
      <w:marTop w:val="0"/>
      <w:marBottom w:val="0"/>
      <w:divBdr>
        <w:top w:val="none" w:sz="0" w:space="0" w:color="auto"/>
        <w:left w:val="none" w:sz="0" w:space="0" w:color="auto"/>
        <w:bottom w:val="none" w:sz="0" w:space="0" w:color="auto"/>
        <w:right w:val="none" w:sz="0" w:space="0" w:color="auto"/>
      </w:divBdr>
      <w:divsChild>
        <w:div w:id="2012369738">
          <w:marLeft w:val="0"/>
          <w:marRight w:val="0"/>
          <w:marTop w:val="0"/>
          <w:marBottom w:val="0"/>
          <w:divBdr>
            <w:top w:val="none" w:sz="0" w:space="0" w:color="auto"/>
            <w:left w:val="none" w:sz="0" w:space="0" w:color="auto"/>
            <w:bottom w:val="none" w:sz="0" w:space="0" w:color="auto"/>
            <w:right w:val="none" w:sz="0" w:space="0" w:color="auto"/>
          </w:divBdr>
        </w:div>
      </w:divsChild>
    </w:div>
    <w:div w:id="1610165379">
      <w:bodyDiv w:val="1"/>
      <w:marLeft w:val="0"/>
      <w:marRight w:val="0"/>
      <w:marTop w:val="0"/>
      <w:marBottom w:val="0"/>
      <w:divBdr>
        <w:top w:val="none" w:sz="0" w:space="0" w:color="auto"/>
        <w:left w:val="none" w:sz="0" w:space="0" w:color="auto"/>
        <w:bottom w:val="none" w:sz="0" w:space="0" w:color="auto"/>
        <w:right w:val="none" w:sz="0" w:space="0" w:color="auto"/>
      </w:divBdr>
      <w:divsChild>
        <w:div w:id="1906524354">
          <w:marLeft w:val="0"/>
          <w:marRight w:val="0"/>
          <w:marTop w:val="0"/>
          <w:marBottom w:val="0"/>
          <w:divBdr>
            <w:top w:val="none" w:sz="0" w:space="0" w:color="auto"/>
            <w:left w:val="none" w:sz="0" w:space="0" w:color="auto"/>
            <w:bottom w:val="none" w:sz="0" w:space="0" w:color="auto"/>
            <w:right w:val="none" w:sz="0" w:space="0" w:color="auto"/>
          </w:divBdr>
          <w:divsChild>
            <w:div w:id="1738282932">
              <w:marLeft w:val="0"/>
              <w:marRight w:val="0"/>
              <w:marTop w:val="0"/>
              <w:marBottom w:val="0"/>
              <w:divBdr>
                <w:top w:val="none" w:sz="0" w:space="0" w:color="auto"/>
                <w:left w:val="none" w:sz="0" w:space="0" w:color="auto"/>
                <w:bottom w:val="none" w:sz="0" w:space="0" w:color="auto"/>
                <w:right w:val="none" w:sz="0" w:space="0" w:color="auto"/>
              </w:divBdr>
              <w:divsChild>
                <w:div w:id="410740038">
                  <w:marLeft w:val="0"/>
                  <w:marRight w:val="0"/>
                  <w:marTop w:val="0"/>
                  <w:marBottom w:val="0"/>
                  <w:divBdr>
                    <w:top w:val="none" w:sz="0" w:space="0" w:color="auto"/>
                    <w:left w:val="none" w:sz="0" w:space="0" w:color="auto"/>
                    <w:bottom w:val="none" w:sz="0" w:space="0" w:color="auto"/>
                    <w:right w:val="none" w:sz="0" w:space="0" w:color="auto"/>
                  </w:divBdr>
                  <w:divsChild>
                    <w:div w:id="1977489844">
                      <w:marLeft w:val="0"/>
                      <w:marRight w:val="0"/>
                      <w:marTop w:val="0"/>
                      <w:marBottom w:val="0"/>
                      <w:divBdr>
                        <w:top w:val="none" w:sz="0" w:space="0" w:color="auto"/>
                        <w:left w:val="none" w:sz="0" w:space="0" w:color="auto"/>
                        <w:bottom w:val="none" w:sz="0" w:space="0" w:color="auto"/>
                        <w:right w:val="none" w:sz="0" w:space="0" w:color="auto"/>
                      </w:divBdr>
                      <w:divsChild>
                        <w:div w:id="1691643481">
                          <w:marLeft w:val="0"/>
                          <w:marRight w:val="0"/>
                          <w:marTop w:val="0"/>
                          <w:marBottom w:val="0"/>
                          <w:divBdr>
                            <w:top w:val="none" w:sz="0" w:space="0" w:color="auto"/>
                            <w:left w:val="none" w:sz="0" w:space="0" w:color="auto"/>
                            <w:bottom w:val="none" w:sz="0" w:space="0" w:color="auto"/>
                            <w:right w:val="none" w:sz="0" w:space="0" w:color="auto"/>
                          </w:divBdr>
                          <w:divsChild>
                            <w:div w:id="1364549941">
                              <w:marLeft w:val="0"/>
                              <w:marRight w:val="0"/>
                              <w:marTop w:val="0"/>
                              <w:marBottom w:val="0"/>
                              <w:divBdr>
                                <w:top w:val="none" w:sz="0" w:space="0" w:color="auto"/>
                                <w:left w:val="none" w:sz="0" w:space="0" w:color="auto"/>
                                <w:bottom w:val="none" w:sz="0" w:space="0" w:color="auto"/>
                                <w:right w:val="none" w:sz="0" w:space="0" w:color="auto"/>
                              </w:divBdr>
                              <w:divsChild>
                                <w:div w:id="2097048088">
                                  <w:marLeft w:val="0"/>
                                  <w:marRight w:val="0"/>
                                  <w:marTop w:val="0"/>
                                  <w:marBottom w:val="0"/>
                                  <w:divBdr>
                                    <w:top w:val="none" w:sz="0" w:space="0" w:color="auto"/>
                                    <w:left w:val="none" w:sz="0" w:space="0" w:color="auto"/>
                                    <w:bottom w:val="none" w:sz="0" w:space="0" w:color="auto"/>
                                    <w:right w:val="none" w:sz="0" w:space="0" w:color="auto"/>
                                  </w:divBdr>
                                  <w:divsChild>
                                    <w:div w:id="245307370">
                                      <w:marLeft w:val="0"/>
                                      <w:marRight w:val="0"/>
                                      <w:marTop w:val="0"/>
                                      <w:marBottom w:val="0"/>
                                      <w:divBdr>
                                        <w:top w:val="none" w:sz="0" w:space="0" w:color="auto"/>
                                        <w:left w:val="none" w:sz="0" w:space="0" w:color="auto"/>
                                        <w:bottom w:val="none" w:sz="0" w:space="0" w:color="auto"/>
                                        <w:right w:val="none" w:sz="0" w:space="0" w:color="auto"/>
                                      </w:divBdr>
                                      <w:divsChild>
                                        <w:div w:id="45880358">
                                          <w:marLeft w:val="0"/>
                                          <w:marRight w:val="0"/>
                                          <w:marTop w:val="0"/>
                                          <w:marBottom w:val="0"/>
                                          <w:divBdr>
                                            <w:top w:val="none" w:sz="0" w:space="0" w:color="auto"/>
                                            <w:left w:val="none" w:sz="0" w:space="0" w:color="auto"/>
                                            <w:bottom w:val="none" w:sz="0" w:space="0" w:color="auto"/>
                                            <w:right w:val="none" w:sz="0" w:space="0" w:color="auto"/>
                                          </w:divBdr>
                                          <w:divsChild>
                                            <w:div w:id="366024355">
                                              <w:marLeft w:val="0"/>
                                              <w:marRight w:val="0"/>
                                              <w:marTop w:val="0"/>
                                              <w:marBottom w:val="0"/>
                                              <w:divBdr>
                                                <w:top w:val="none" w:sz="0" w:space="0" w:color="auto"/>
                                                <w:left w:val="none" w:sz="0" w:space="0" w:color="auto"/>
                                                <w:bottom w:val="none" w:sz="0" w:space="0" w:color="auto"/>
                                                <w:right w:val="none" w:sz="0" w:space="0" w:color="auto"/>
                                              </w:divBdr>
                                              <w:divsChild>
                                                <w:div w:id="551498095">
                                                  <w:marLeft w:val="0"/>
                                                  <w:marRight w:val="0"/>
                                                  <w:marTop w:val="0"/>
                                                  <w:marBottom w:val="0"/>
                                                  <w:divBdr>
                                                    <w:top w:val="none" w:sz="0" w:space="0" w:color="auto"/>
                                                    <w:left w:val="none" w:sz="0" w:space="0" w:color="auto"/>
                                                    <w:bottom w:val="none" w:sz="0" w:space="0" w:color="auto"/>
                                                    <w:right w:val="none" w:sz="0" w:space="0" w:color="auto"/>
                                                  </w:divBdr>
                                                  <w:divsChild>
                                                    <w:div w:id="2020112380">
                                                      <w:marLeft w:val="0"/>
                                                      <w:marRight w:val="0"/>
                                                      <w:marTop w:val="0"/>
                                                      <w:marBottom w:val="0"/>
                                                      <w:divBdr>
                                                        <w:top w:val="none" w:sz="0" w:space="0" w:color="auto"/>
                                                        <w:left w:val="none" w:sz="0" w:space="0" w:color="auto"/>
                                                        <w:bottom w:val="none" w:sz="0" w:space="0" w:color="auto"/>
                                                        <w:right w:val="none" w:sz="0" w:space="0" w:color="auto"/>
                                                      </w:divBdr>
                                                      <w:divsChild>
                                                        <w:div w:id="1710380111">
                                                          <w:marLeft w:val="0"/>
                                                          <w:marRight w:val="0"/>
                                                          <w:marTop w:val="0"/>
                                                          <w:marBottom w:val="0"/>
                                                          <w:divBdr>
                                                            <w:top w:val="none" w:sz="0" w:space="0" w:color="auto"/>
                                                            <w:left w:val="none" w:sz="0" w:space="0" w:color="auto"/>
                                                            <w:bottom w:val="none" w:sz="0" w:space="0" w:color="auto"/>
                                                            <w:right w:val="none" w:sz="0" w:space="0" w:color="auto"/>
                                                          </w:divBdr>
                                                          <w:divsChild>
                                                            <w:div w:id="184946865">
                                                              <w:marLeft w:val="0"/>
                                                              <w:marRight w:val="0"/>
                                                              <w:marTop w:val="0"/>
                                                              <w:marBottom w:val="0"/>
                                                              <w:divBdr>
                                                                <w:top w:val="none" w:sz="0" w:space="0" w:color="auto"/>
                                                                <w:left w:val="none" w:sz="0" w:space="0" w:color="auto"/>
                                                                <w:bottom w:val="none" w:sz="0" w:space="0" w:color="auto"/>
                                                                <w:right w:val="none" w:sz="0" w:space="0" w:color="auto"/>
                                                              </w:divBdr>
                                                              <w:divsChild>
                                                                <w:div w:id="754788131">
                                                                  <w:marLeft w:val="0"/>
                                                                  <w:marRight w:val="0"/>
                                                                  <w:marTop w:val="0"/>
                                                                  <w:marBottom w:val="0"/>
                                                                  <w:divBdr>
                                                                    <w:top w:val="none" w:sz="0" w:space="0" w:color="auto"/>
                                                                    <w:left w:val="none" w:sz="0" w:space="0" w:color="auto"/>
                                                                    <w:bottom w:val="none" w:sz="0" w:space="0" w:color="auto"/>
                                                                    <w:right w:val="none" w:sz="0" w:space="0" w:color="auto"/>
                                                                  </w:divBdr>
                                                                  <w:divsChild>
                                                                    <w:div w:id="242764896">
                                                                      <w:marLeft w:val="0"/>
                                                                      <w:marRight w:val="0"/>
                                                                      <w:marTop w:val="0"/>
                                                                      <w:marBottom w:val="0"/>
                                                                      <w:divBdr>
                                                                        <w:top w:val="none" w:sz="0" w:space="0" w:color="auto"/>
                                                                        <w:left w:val="none" w:sz="0" w:space="0" w:color="auto"/>
                                                                        <w:bottom w:val="none" w:sz="0" w:space="0" w:color="auto"/>
                                                                        <w:right w:val="none" w:sz="0" w:space="0" w:color="auto"/>
                                                                      </w:divBdr>
                                                                      <w:divsChild>
                                                                        <w:div w:id="1409232533">
                                                                          <w:marLeft w:val="0"/>
                                                                          <w:marRight w:val="0"/>
                                                                          <w:marTop w:val="0"/>
                                                                          <w:marBottom w:val="0"/>
                                                                          <w:divBdr>
                                                                            <w:top w:val="none" w:sz="0" w:space="0" w:color="auto"/>
                                                                            <w:left w:val="none" w:sz="0" w:space="0" w:color="auto"/>
                                                                            <w:bottom w:val="none" w:sz="0" w:space="0" w:color="auto"/>
                                                                            <w:right w:val="none" w:sz="0" w:space="0" w:color="auto"/>
                                                                          </w:divBdr>
                                                                          <w:divsChild>
                                                                            <w:div w:id="18700525">
                                                                              <w:marLeft w:val="0"/>
                                                                              <w:marRight w:val="0"/>
                                                                              <w:marTop w:val="0"/>
                                                                              <w:marBottom w:val="0"/>
                                                                              <w:divBdr>
                                                                                <w:top w:val="none" w:sz="0" w:space="0" w:color="auto"/>
                                                                                <w:left w:val="none" w:sz="0" w:space="0" w:color="auto"/>
                                                                                <w:bottom w:val="none" w:sz="0" w:space="0" w:color="auto"/>
                                                                                <w:right w:val="none" w:sz="0" w:space="0" w:color="auto"/>
                                                                              </w:divBdr>
                                                                            </w:div>
                                                                            <w:div w:id="449518898">
                                                                              <w:marLeft w:val="0"/>
                                                                              <w:marRight w:val="0"/>
                                                                              <w:marTop w:val="0"/>
                                                                              <w:marBottom w:val="0"/>
                                                                              <w:divBdr>
                                                                                <w:top w:val="none" w:sz="0" w:space="0" w:color="auto"/>
                                                                                <w:left w:val="none" w:sz="0" w:space="0" w:color="auto"/>
                                                                                <w:bottom w:val="none" w:sz="0" w:space="0" w:color="auto"/>
                                                                                <w:right w:val="none" w:sz="0" w:space="0" w:color="auto"/>
                                                                              </w:divBdr>
                                                                            </w:div>
                                                                            <w:div w:id="439833989">
                                                                              <w:marLeft w:val="0"/>
                                                                              <w:marRight w:val="0"/>
                                                                              <w:marTop w:val="0"/>
                                                                              <w:marBottom w:val="0"/>
                                                                              <w:divBdr>
                                                                                <w:top w:val="none" w:sz="0" w:space="0" w:color="auto"/>
                                                                                <w:left w:val="none" w:sz="0" w:space="0" w:color="auto"/>
                                                                                <w:bottom w:val="none" w:sz="0" w:space="0" w:color="auto"/>
                                                                                <w:right w:val="none" w:sz="0" w:space="0" w:color="auto"/>
                                                                              </w:divBdr>
                                                                            </w:div>
                                                                            <w:div w:id="1932086218">
                                                                              <w:marLeft w:val="0"/>
                                                                              <w:marRight w:val="0"/>
                                                                              <w:marTop w:val="0"/>
                                                                              <w:marBottom w:val="0"/>
                                                                              <w:divBdr>
                                                                                <w:top w:val="none" w:sz="0" w:space="0" w:color="auto"/>
                                                                                <w:left w:val="none" w:sz="0" w:space="0" w:color="auto"/>
                                                                                <w:bottom w:val="none" w:sz="0" w:space="0" w:color="auto"/>
                                                                                <w:right w:val="none" w:sz="0" w:space="0" w:color="auto"/>
                                                                              </w:divBdr>
                                                                            </w:div>
                                                                            <w:div w:id="720443518">
                                                                              <w:marLeft w:val="0"/>
                                                                              <w:marRight w:val="0"/>
                                                                              <w:marTop w:val="0"/>
                                                                              <w:marBottom w:val="0"/>
                                                                              <w:divBdr>
                                                                                <w:top w:val="none" w:sz="0" w:space="0" w:color="auto"/>
                                                                                <w:left w:val="none" w:sz="0" w:space="0" w:color="auto"/>
                                                                                <w:bottom w:val="none" w:sz="0" w:space="0" w:color="auto"/>
                                                                                <w:right w:val="none" w:sz="0" w:space="0" w:color="auto"/>
                                                                              </w:divBdr>
                                                                            </w:div>
                                                                            <w:div w:id="877156946">
                                                                              <w:marLeft w:val="0"/>
                                                                              <w:marRight w:val="0"/>
                                                                              <w:marTop w:val="0"/>
                                                                              <w:marBottom w:val="0"/>
                                                                              <w:divBdr>
                                                                                <w:top w:val="none" w:sz="0" w:space="0" w:color="auto"/>
                                                                                <w:left w:val="none" w:sz="0" w:space="0" w:color="auto"/>
                                                                                <w:bottom w:val="none" w:sz="0" w:space="0" w:color="auto"/>
                                                                                <w:right w:val="none" w:sz="0" w:space="0" w:color="auto"/>
                                                                              </w:divBdr>
                                                                            </w:div>
                                                                            <w:div w:id="387192709">
                                                                              <w:marLeft w:val="0"/>
                                                                              <w:marRight w:val="0"/>
                                                                              <w:marTop w:val="0"/>
                                                                              <w:marBottom w:val="0"/>
                                                                              <w:divBdr>
                                                                                <w:top w:val="none" w:sz="0" w:space="0" w:color="auto"/>
                                                                                <w:left w:val="none" w:sz="0" w:space="0" w:color="auto"/>
                                                                                <w:bottom w:val="none" w:sz="0" w:space="0" w:color="auto"/>
                                                                                <w:right w:val="none" w:sz="0" w:space="0" w:color="auto"/>
                                                                              </w:divBdr>
                                                                            </w:div>
                                                                            <w:div w:id="1547638317">
                                                                              <w:marLeft w:val="0"/>
                                                                              <w:marRight w:val="0"/>
                                                                              <w:marTop w:val="0"/>
                                                                              <w:marBottom w:val="0"/>
                                                                              <w:divBdr>
                                                                                <w:top w:val="none" w:sz="0" w:space="0" w:color="auto"/>
                                                                                <w:left w:val="none" w:sz="0" w:space="0" w:color="auto"/>
                                                                                <w:bottom w:val="none" w:sz="0" w:space="0" w:color="auto"/>
                                                                                <w:right w:val="none" w:sz="0" w:space="0" w:color="auto"/>
                                                                              </w:divBdr>
                                                                            </w:div>
                                                                            <w:div w:id="1045836230">
                                                                              <w:marLeft w:val="0"/>
                                                                              <w:marRight w:val="0"/>
                                                                              <w:marTop w:val="0"/>
                                                                              <w:marBottom w:val="0"/>
                                                                              <w:divBdr>
                                                                                <w:top w:val="none" w:sz="0" w:space="0" w:color="auto"/>
                                                                                <w:left w:val="none" w:sz="0" w:space="0" w:color="auto"/>
                                                                                <w:bottom w:val="none" w:sz="0" w:space="0" w:color="auto"/>
                                                                                <w:right w:val="none" w:sz="0" w:space="0" w:color="auto"/>
                                                                              </w:divBdr>
                                                                            </w:div>
                                                                            <w:div w:id="369038486">
                                                                              <w:marLeft w:val="0"/>
                                                                              <w:marRight w:val="0"/>
                                                                              <w:marTop w:val="0"/>
                                                                              <w:marBottom w:val="0"/>
                                                                              <w:divBdr>
                                                                                <w:top w:val="none" w:sz="0" w:space="0" w:color="auto"/>
                                                                                <w:left w:val="none" w:sz="0" w:space="0" w:color="auto"/>
                                                                                <w:bottom w:val="none" w:sz="0" w:space="0" w:color="auto"/>
                                                                                <w:right w:val="none" w:sz="0" w:space="0" w:color="auto"/>
                                                                              </w:divBdr>
                                                                            </w:div>
                                                                            <w:div w:id="1324772405">
                                                                              <w:marLeft w:val="0"/>
                                                                              <w:marRight w:val="0"/>
                                                                              <w:marTop w:val="0"/>
                                                                              <w:marBottom w:val="0"/>
                                                                              <w:divBdr>
                                                                                <w:top w:val="none" w:sz="0" w:space="0" w:color="auto"/>
                                                                                <w:left w:val="none" w:sz="0" w:space="0" w:color="auto"/>
                                                                                <w:bottom w:val="none" w:sz="0" w:space="0" w:color="auto"/>
                                                                                <w:right w:val="none" w:sz="0" w:space="0" w:color="auto"/>
                                                                              </w:divBdr>
                                                                            </w:div>
                                                                            <w:div w:id="1209144471">
                                                                              <w:marLeft w:val="0"/>
                                                                              <w:marRight w:val="0"/>
                                                                              <w:marTop w:val="0"/>
                                                                              <w:marBottom w:val="0"/>
                                                                              <w:divBdr>
                                                                                <w:top w:val="none" w:sz="0" w:space="0" w:color="auto"/>
                                                                                <w:left w:val="none" w:sz="0" w:space="0" w:color="auto"/>
                                                                                <w:bottom w:val="none" w:sz="0" w:space="0" w:color="auto"/>
                                                                                <w:right w:val="none" w:sz="0" w:space="0" w:color="auto"/>
                                                                              </w:divBdr>
                                                                            </w:div>
                                                                            <w:div w:id="1842233367">
                                                                              <w:marLeft w:val="0"/>
                                                                              <w:marRight w:val="0"/>
                                                                              <w:marTop w:val="0"/>
                                                                              <w:marBottom w:val="0"/>
                                                                              <w:divBdr>
                                                                                <w:top w:val="none" w:sz="0" w:space="0" w:color="auto"/>
                                                                                <w:left w:val="none" w:sz="0" w:space="0" w:color="auto"/>
                                                                                <w:bottom w:val="none" w:sz="0" w:space="0" w:color="auto"/>
                                                                                <w:right w:val="none" w:sz="0" w:space="0" w:color="auto"/>
                                                                              </w:divBdr>
                                                                            </w:div>
                                                                            <w:div w:id="1116172808">
                                                                              <w:marLeft w:val="0"/>
                                                                              <w:marRight w:val="0"/>
                                                                              <w:marTop w:val="0"/>
                                                                              <w:marBottom w:val="0"/>
                                                                              <w:divBdr>
                                                                                <w:top w:val="none" w:sz="0" w:space="0" w:color="auto"/>
                                                                                <w:left w:val="none" w:sz="0" w:space="0" w:color="auto"/>
                                                                                <w:bottom w:val="none" w:sz="0" w:space="0" w:color="auto"/>
                                                                                <w:right w:val="none" w:sz="0" w:space="0" w:color="auto"/>
                                                                              </w:divBdr>
                                                                            </w:div>
                                                                            <w:div w:id="1249541445">
                                                                              <w:marLeft w:val="0"/>
                                                                              <w:marRight w:val="0"/>
                                                                              <w:marTop w:val="0"/>
                                                                              <w:marBottom w:val="0"/>
                                                                              <w:divBdr>
                                                                                <w:top w:val="none" w:sz="0" w:space="0" w:color="auto"/>
                                                                                <w:left w:val="none" w:sz="0" w:space="0" w:color="auto"/>
                                                                                <w:bottom w:val="none" w:sz="0" w:space="0" w:color="auto"/>
                                                                                <w:right w:val="none" w:sz="0" w:space="0" w:color="auto"/>
                                                                              </w:divBdr>
                                                                            </w:div>
                                                                            <w:div w:id="1788893009">
                                                                              <w:marLeft w:val="0"/>
                                                                              <w:marRight w:val="0"/>
                                                                              <w:marTop w:val="0"/>
                                                                              <w:marBottom w:val="0"/>
                                                                              <w:divBdr>
                                                                                <w:top w:val="none" w:sz="0" w:space="0" w:color="auto"/>
                                                                                <w:left w:val="none" w:sz="0" w:space="0" w:color="auto"/>
                                                                                <w:bottom w:val="none" w:sz="0" w:space="0" w:color="auto"/>
                                                                                <w:right w:val="none" w:sz="0" w:space="0" w:color="auto"/>
                                                                              </w:divBdr>
                                                                            </w:div>
                                                                            <w:div w:id="1437216024">
                                                                              <w:marLeft w:val="0"/>
                                                                              <w:marRight w:val="0"/>
                                                                              <w:marTop w:val="0"/>
                                                                              <w:marBottom w:val="0"/>
                                                                              <w:divBdr>
                                                                                <w:top w:val="none" w:sz="0" w:space="0" w:color="auto"/>
                                                                                <w:left w:val="none" w:sz="0" w:space="0" w:color="auto"/>
                                                                                <w:bottom w:val="none" w:sz="0" w:space="0" w:color="auto"/>
                                                                                <w:right w:val="none" w:sz="0" w:space="0" w:color="auto"/>
                                                                              </w:divBdr>
                                                                            </w:div>
                                                                            <w:div w:id="99684270">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584146387">
                                                                              <w:marLeft w:val="0"/>
                                                                              <w:marRight w:val="0"/>
                                                                              <w:marTop w:val="0"/>
                                                                              <w:marBottom w:val="0"/>
                                                                              <w:divBdr>
                                                                                <w:top w:val="none" w:sz="0" w:space="0" w:color="auto"/>
                                                                                <w:left w:val="none" w:sz="0" w:space="0" w:color="auto"/>
                                                                                <w:bottom w:val="none" w:sz="0" w:space="0" w:color="auto"/>
                                                                                <w:right w:val="none" w:sz="0" w:space="0" w:color="auto"/>
                                                                              </w:divBdr>
                                                                            </w:div>
                                                                            <w:div w:id="311914045">
                                                                              <w:marLeft w:val="0"/>
                                                                              <w:marRight w:val="0"/>
                                                                              <w:marTop w:val="0"/>
                                                                              <w:marBottom w:val="0"/>
                                                                              <w:divBdr>
                                                                                <w:top w:val="none" w:sz="0" w:space="0" w:color="auto"/>
                                                                                <w:left w:val="none" w:sz="0" w:space="0" w:color="auto"/>
                                                                                <w:bottom w:val="none" w:sz="0" w:space="0" w:color="auto"/>
                                                                                <w:right w:val="none" w:sz="0" w:space="0" w:color="auto"/>
                                                                              </w:divBdr>
                                                                            </w:div>
                                                                            <w:div w:id="1085960697">
                                                                              <w:marLeft w:val="0"/>
                                                                              <w:marRight w:val="0"/>
                                                                              <w:marTop w:val="0"/>
                                                                              <w:marBottom w:val="0"/>
                                                                              <w:divBdr>
                                                                                <w:top w:val="none" w:sz="0" w:space="0" w:color="auto"/>
                                                                                <w:left w:val="none" w:sz="0" w:space="0" w:color="auto"/>
                                                                                <w:bottom w:val="none" w:sz="0" w:space="0" w:color="auto"/>
                                                                                <w:right w:val="none" w:sz="0" w:space="0" w:color="auto"/>
                                                                              </w:divBdr>
                                                                            </w:div>
                                                                            <w:div w:id="365526836">
                                                                              <w:marLeft w:val="0"/>
                                                                              <w:marRight w:val="0"/>
                                                                              <w:marTop w:val="0"/>
                                                                              <w:marBottom w:val="0"/>
                                                                              <w:divBdr>
                                                                                <w:top w:val="none" w:sz="0" w:space="0" w:color="auto"/>
                                                                                <w:left w:val="none" w:sz="0" w:space="0" w:color="auto"/>
                                                                                <w:bottom w:val="none" w:sz="0" w:space="0" w:color="auto"/>
                                                                                <w:right w:val="none" w:sz="0" w:space="0" w:color="auto"/>
                                                                              </w:divBdr>
                                                                            </w:div>
                                                                            <w:div w:id="3288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960954">
      <w:bodyDiv w:val="1"/>
      <w:marLeft w:val="0"/>
      <w:marRight w:val="0"/>
      <w:marTop w:val="0"/>
      <w:marBottom w:val="0"/>
      <w:divBdr>
        <w:top w:val="none" w:sz="0" w:space="0" w:color="auto"/>
        <w:left w:val="none" w:sz="0" w:space="0" w:color="auto"/>
        <w:bottom w:val="none" w:sz="0" w:space="0" w:color="auto"/>
        <w:right w:val="none" w:sz="0" w:space="0" w:color="auto"/>
      </w:divBdr>
      <w:divsChild>
        <w:div w:id="1057507990">
          <w:marLeft w:val="0"/>
          <w:marRight w:val="0"/>
          <w:marTop w:val="0"/>
          <w:marBottom w:val="0"/>
          <w:divBdr>
            <w:top w:val="none" w:sz="0" w:space="0" w:color="auto"/>
            <w:left w:val="none" w:sz="0" w:space="0" w:color="auto"/>
            <w:bottom w:val="none" w:sz="0" w:space="0" w:color="auto"/>
            <w:right w:val="none" w:sz="0" w:space="0" w:color="auto"/>
          </w:divBdr>
          <w:divsChild>
            <w:div w:id="614410935">
              <w:marLeft w:val="0"/>
              <w:marRight w:val="0"/>
              <w:marTop w:val="0"/>
              <w:marBottom w:val="0"/>
              <w:divBdr>
                <w:top w:val="none" w:sz="0" w:space="0" w:color="auto"/>
                <w:left w:val="none" w:sz="0" w:space="0" w:color="auto"/>
                <w:bottom w:val="none" w:sz="0" w:space="0" w:color="auto"/>
                <w:right w:val="none" w:sz="0" w:space="0" w:color="auto"/>
              </w:divBdr>
              <w:divsChild>
                <w:div w:id="533737640">
                  <w:marLeft w:val="0"/>
                  <w:marRight w:val="0"/>
                  <w:marTop w:val="0"/>
                  <w:marBottom w:val="0"/>
                  <w:divBdr>
                    <w:top w:val="none" w:sz="0" w:space="0" w:color="auto"/>
                    <w:left w:val="none" w:sz="0" w:space="0" w:color="auto"/>
                    <w:bottom w:val="none" w:sz="0" w:space="0" w:color="auto"/>
                    <w:right w:val="none" w:sz="0" w:space="0" w:color="auto"/>
                  </w:divBdr>
                  <w:divsChild>
                    <w:div w:id="1396855221">
                      <w:marLeft w:val="0"/>
                      <w:marRight w:val="0"/>
                      <w:marTop w:val="0"/>
                      <w:marBottom w:val="0"/>
                      <w:divBdr>
                        <w:top w:val="none" w:sz="0" w:space="0" w:color="auto"/>
                        <w:left w:val="none" w:sz="0" w:space="0" w:color="auto"/>
                        <w:bottom w:val="none" w:sz="0" w:space="0" w:color="auto"/>
                        <w:right w:val="none" w:sz="0" w:space="0" w:color="auto"/>
                      </w:divBdr>
                      <w:divsChild>
                        <w:div w:id="519516422">
                          <w:marLeft w:val="0"/>
                          <w:marRight w:val="0"/>
                          <w:marTop w:val="0"/>
                          <w:marBottom w:val="0"/>
                          <w:divBdr>
                            <w:top w:val="none" w:sz="0" w:space="0" w:color="auto"/>
                            <w:left w:val="none" w:sz="0" w:space="0" w:color="auto"/>
                            <w:bottom w:val="none" w:sz="0" w:space="0" w:color="auto"/>
                            <w:right w:val="none" w:sz="0" w:space="0" w:color="auto"/>
                          </w:divBdr>
                          <w:divsChild>
                            <w:div w:id="844782155">
                              <w:marLeft w:val="0"/>
                              <w:marRight w:val="0"/>
                              <w:marTop w:val="0"/>
                              <w:marBottom w:val="0"/>
                              <w:divBdr>
                                <w:top w:val="none" w:sz="0" w:space="0" w:color="auto"/>
                                <w:left w:val="none" w:sz="0" w:space="0" w:color="auto"/>
                                <w:bottom w:val="none" w:sz="0" w:space="0" w:color="auto"/>
                                <w:right w:val="none" w:sz="0" w:space="0" w:color="auto"/>
                              </w:divBdr>
                              <w:divsChild>
                                <w:div w:id="2021545748">
                                  <w:marLeft w:val="0"/>
                                  <w:marRight w:val="0"/>
                                  <w:marTop w:val="0"/>
                                  <w:marBottom w:val="0"/>
                                  <w:divBdr>
                                    <w:top w:val="none" w:sz="0" w:space="0" w:color="auto"/>
                                    <w:left w:val="none" w:sz="0" w:space="0" w:color="auto"/>
                                    <w:bottom w:val="none" w:sz="0" w:space="0" w:color="auto"/>
                                    <w:right w:val="none" w:sz="0" w:space="0" w:color="auto"/>
                                  </w:divBdr>
                                  <w:divsChild>
                                    <w:div w:id="653686295">
                                      <w:marLeft w:val="0"/>
                                      <w:marRight w:val="0"/>
                                      <w:marTop w:val="0"/>
                                      <w:marBottom w:val="0"/>
                                      <w:divBdr>
                                        <w:top w:val="none" w:sz="0" w:space="0" w:color="auto"/>
                                        <w:left w:val="none" w:sz="0" w:space="0" w:color="auto"/>
                                        <w:bottom w:val="none" w:sz="0" w:space="0" w:color="auto"/>
                                        <w:right w:val="none" w:sz="0" w:space="0" w:color="auto"/>
                                      </w:divBdr>
                                      <w:divsChild>
                                        <w:div w:id="762578412">
                                          <w:marLeft w:val="0"/>
                                          <w:marRight w:val="0"/>
                                          <w:marTop w:val="0"/>
                                          <w:marBottom w:val="0"/>
                                          <w:divBdr>
                                            <w:top w:val="none" w:sz="0" w:space="0" w:color="auto"/>
                                            <w:left w:val="none" w:sz="0" w:space="0" w:color="auto"/>
                                            <w:bottom w:val="none" w:sz="0" w:space="0" w:color="auto"/>
                                            <w:right w:val="none" w:sz="0" w:space="0" w:color="auto"/>
                                          </w:divBdr>
                                          <w:divsChild>
                                            <w:div w:id="1430152624">
                                              <w:marLeft w:val="0"/>
                                              <w:marRight w:val="0"/>
                                              <w:marTop w:val="0"/>
                                              <w:marBottom w:val="0"/>
                                              <w:divBdr>
                                                <w:top w:val="none" w:sz="0" w:space="0" w:color="auto"/>
                                                <w:left w:val="none" w:sz="0" w:space="0" w:color="auto"/>
                                                <w:bottom w:val="none" w:sz="0" w:space="0" w:color="auto"/>
                                                <w:right w:val="none" w:sz="0" w:space="0" w:color="auto"/>
                                              </w:divBdr>
                                              <w:divsChild>
                                                <w:div w:id="424686781">
                                                  <w:marLeft w:val="0"/>
                                                  <w:marRight w:val="0"/>
                                                  <w:marTop w:val="0"/>
                                                  <w:marBottom w:val="0"/>
                                                  <w:divBdr>
                                                    <w:top w:val="none" w:sz="0" w:space="0" w:color="auto"/>
                                                    <w:left w:val="none" w:sz="0" w:space="0" w:color="auto"/>
                                                    <w:bottom w:val="none" w:sz="0" w:space="0" w:color="auto"/>
                                                    <w:right w:val="none" w:sz="0" w:space="0" w:color="auto"/>
                                                  </w:divBdr>
                                                  <w:divsChild>
                                                    <w:div w:id="1197809703">
                                                      <w:marLeft w:val="0"/>
                                                      <w:marRight w:val="0"/>
                                                      <w:marTop w:val="0"/>
                                                      <w:marBottom w:val="0"/>
                                                      <w:divBdr>
                                                        <w:top w:val="none" w:sz="0" w:space="0" w:color="auto"/>
                                                        <w:left w:val="none" w:sz="0" w:space="0" w:color="auto"/>
                                                        <w:bottom w:val="none" w:sz="0" w:space="0" w:color="auto"/>
                                                        <w:right w:val="none" w:sz="0" w:space="0" w:color="auto"/>
                                                      </w:divBdr>
                                                      <w:divsChild>
                                                        <w:div w:id="389964415">
                                                          <w:marLeft w:val="0"/>
                                                          <w:marRight w:val="0"/>
                                                          <w:marTop w:val="0"/>
                                                          <w:marBottom w:val="0"/>
                                                          <w:divBdr>
                                                            <w:top w:val="none" w:sz="0" w:space="0" w:color="auto"/>
                                                            <w:left w:val="none" w:sz="0" w:space="0" w:color="auto"/>
                                                            <w:bottom w:val="none" w:sz="0" w:space="0" w:color="auto"/>
                                                            <w:right w:val="none" w:sz="0" w:space="0" w:color="auto"/>
                                                          </w:divBdr>
                                                          <w:divsChild>
                                                            <w:div w:id="1156145379">
                                                              <w:marLeft w:val="0"/>
                                                              <w:marRight w:val="0"/>
                                                              <w:marTop w:val="0"/>
                                                              <w:marBottom w:val="0"/>
                                                              <w:divBdr>
                                                                <w:top w:val="none" w:sz="0" w:space="0" w:color="auto"/>
                                                                <w:left w:val="none" w:sz="0" w:space="0" w:color="auto"/>
                                                                <w:bottom w:val="none" w:sz="0" w:space="0" w:color="auto"/>
                                                                <w:right w:val="none" w:sz="0" w:space="0" w:color="auto"/>
                                                              </w:divBdr>
                                                              <w:divsChild>
                                                                <w:div w:id="1954052126">
                                                                  <w:marLeft w:val="0"/>
                                                                  <w:marRight w:val="0"/>
                                                                  <w:marTop w:val="0"/>
                                                                  <w:marBottom w:val="0"/>
                                                                  <w:divBdr>
                                                                    <w:top w:val="none" w:sz="0" w:space="0" w:color="auto"/>
                                                                    <w:left w:val="none" w:sz="0" w:space="0" w:color="auto"/>
                                                                    <w:bottom w:val="none" w:sz="0" w:space="0" w:color="auto"/>
                                                                    <w:right w:val="none" w:sz="0" w:space="0" w:color="auto"/>
                                                                  </w:divBdr>
                                                                  <w:divsChild>
                                                                    <w:div w:id="1380591011">
                                                                      <w:marLeft w:val="0"/>
                                                                      <w:marRight w:val="0"/>
                                                                      <w:marTop w:val="0"/>
                                                                      <w:marBottom w:val="0"/>
                                                                      <w:divBdr>
                                                                        <w:top w:val="none" w:sz="0" w:space="0" w:color="auto"/>
                                                                        <w:left w:val="none" w:sz="0" w:space="0" w:color="auto"/>
                                                                        <w:bottom w:val="none" w:sz="0" w:space="0" w:color="auto"/>
                                                                        <w:right w:val="none" w:sz="0" w:space="0" w:color="auto"/>
                                                                      </w:divBdr>
                                                                      <w:divsChild>
                                                                        <w:div w:id="226889618">
                                                                          <w:marLeft w:val="0"/>
                                                                          <w:marRight w:val="0"/>
                                                                          <w:marTop w:val="0"/>
                                                                          <w:marBottom w:val="0"/>
                                                                          <w:divBdr>
                                                                            <w:top w:val="none" w:sz="0" w:space="0" w:color="auto"/>
                                                                            <w:left w:val="none" w:sz="0" w:space="0" w:color="auto"/>
                                                                            <w:bottom w:val="none" w:sz="0" w:space="0" w:color="auto"/>
                                                                            <w:right w:val="none" w:sz="0" w:space="0" w:color="auto"/>
                                                                          </w:divBdr>
                                                                          <w:divsChild>
                                                                            <w:div w:id="394164849">
                                                                              <w:marLeft w:val="0"/>
                                                                              <w:marRight w:val="0"/>
                                                                              <w:marTop w:val="0"/>
                                                                              <w:marBottom w:val="0"/>
                                                                              <w:divBdr>
                                                                                <w:top w:val="none" w:sz="0" w:space="0" w:color="auto"/>
                                                                                <w:left w:val="none" w:sz="0" w:space="0" w:color="auto"/>
                                                                                <w:bottom w:val="none" w:sz="0" w:space="0" w:color="auto"/>
                                                                                <w:right w:val="none" w:sz="0" w:space="0" w:color="auto"/>
                                                                              </w:divBdr>
                                                                            </w:div>
                                                                            <w:div w:id="2114668514">
                                                                              <w:marLeft w:val="0"/>
                                                                              <w:marRight w:val="0"/>
                                                                              <w:marTop w:val="0"/>
                                                                              <w:marBottom w:val="0"/>
                                                                              <w:divBdr>
                                                                                <w:top w:val="none" w:sz="0" w:space="0" w:color="auto"/>
                                                                                <w:left w:val="none" w:sz="0" w:space="0" w:color="auto"/>
                                                                                <w:bottom w:val="none" w:sz="0" w:space="0" w:color="auto"/>
                                                                                <w:right w:val="none" w:sz="0" w:space="0" w:color="auto"/>
                                                                              </w:divBdr>
                                                                            </w:div>
                                                                            <w:div w:id="1158040553">
                                                                              <w:marLeft w:val="0"/>
                                                                              <w:marRight w:val="0"/>
                                                                              <w:marTop w:val="0"/>
                                                                              <w:marBottom w:val="0"/>
                                                                              <w:divBdr>
                                                                                <w:top w:val="none" w:sz="0" w:space="0" w:color="auto"/>
                                                                                <w:left w:val="none" w:sz="0" w:space="0" w:color="auto"/>
                                                                                <w:bottom w:val="none" w:sz="0" w:space="0" w:color="auto"/>
                                                                                <w:right w:val="none" w:sz="0" w:space="0" w:color="auto"/>
                                                                              </w:divBdr>
                                                                            </w:div>
                                                                            <w:div w:id="908467831">
                                                                              <w:marLeft w:val="0"/>
                                                                              <w:marRight w:val="0"/>
                                                                              <w:marTop w:val="0"/>
                                                                              <w:marBottom w:val="0"/>
                                                                              <w:divBdr>
                                                                                <w:top w:val="none" w:sz="0" w:space="0" w:color="auto"/>
                                                                                <w:left w:val="none" w:sz="0" w:space="0" w:color="auto"/>
                                                                                <w:bottom w:val="none" w:sz="0" w:space="0" w:color="auto"/>
                                                                                <w:right w:val="none" w:sz="0" w:space="0" w:color="auto"/>
                                                                              </w:divBdr>
                                                                            </w:div>
                                                                            <w:div w:id="1542402033">
                                                                              <w:marLeft w:val="0"/>
                                                                              <w:marRight w:val="0"/>
                                                                              <w:marTop w:val="0"/>
                                                                              <w:marBottom w:val="0"/>
                                                                              <w:divBdr>
                                                                                <w:top w:val="none" w:sz="0" w:space="0" w:color="auto"/>
                                                                                <w:left w:val="none" w:sz="0" w:space="0" w:color="auto"/>
                                                                                <w:bottom w:val="none" w:sz="0" w:space="0" w:color="auto"/>
                                                                                <w:right w:val="none" w:sz="0" w:space="0" w:color="auto"/>
                                                                              </w:divBdr>
                                                                            </w:div>
                                                                            <w:div w:id="1081832349">
                                                                              <w:marLeft w:val="0"/>
                                                                              <w:marRight w:val="0"/>
                                                                              <w:marTop w:val="0"/>
                                                                              <w:marBottom w:val="0"/>
                                                                              <w:divBdr>
                                                                                <w:top w:val="none" w:sz="0" w:space="0" w:color="auto"/>
                                                                                <w:left w:val="none" w:sz="0" w:space="0" w:color="auto"/>
                                                                                <w:bottom w:val="none" w:sz="0" w:space="0" w:color="auto"/>
                                                                                <w:right w:val="none" w:sz="0" w:space="0" w:color="auto"/>
                                                                              </w:divBdr>
                                                                            </w:div>
                                                                            <w:div w:id="2012223241">
                                                                              <w:marLeft w:val="0"/>
                                                                              <w:marRight w:val="0"/>
                                                                              <w:marTop w:val="0"/>
                                                                              <w:marBottom w:val="0"/>
                                                                              <w:divBdr>
                                                                                <w:top w:val="none" w:sz="0" w:space="0" w:color="auto"/>
                                                                                <w:left w:val="none" w:sz="0" w:space="0" w:color="auto"/>
                                                                                <w:bottom w:val="none" w:sz="0" w:space="0" w:color="auto"/>
                                                                                <w:right w:val="none" w:sz="0" w:space="0" w:color="auto"/>
                                                                              </w:divBdr>
                                                                            </w:div>
                                                                            <w:div w:id="1046832424">
                                                                              <w:marLeft w:val="0"/>
                                                                              <w:marRight w:val="0"/>
                                                                              <w:marTop w:val="0"/>
                                                                              <w:marBottom w:val="0"/>
                                                                              <w:divBdr>
                                                                                <w:top w:val="none" w:sz="0" w:space="0" w:color="auto"/>
                                                                                <w:left w:val="none" w:sz="0" w:space="0" w:color="auto"/>
                                                                                <w:bottom w:val="none" w:sz="0" w:space="0" w:color="auto"/>
                                                                                <w:right w:val="none" w:sz="0" w:space="0" w:color="auto"/>
                                                                              </w:divBdr>
                                                                            </w:div>
                                                                            <w:div w:id="1474712319">
                                                                              <w:marLeft w:val="0"/>
                                                                              <w:marRight w:val="0"/>
                                                                              <w:marTop w:val="0"/>
                                                                              <w:marBottom w:val="0"/>
                                                                              <w:divBdr>
                                                                                <w:top w:val="none" w:sz="0" w:space="0" w:color="auto"/>
                                                                                <w:left w:val="none" w:sz="0" w:space="0" w:color="auto"/>
                                                                                <w:bottom w:val="none" w:sz="0" w:space="0" w:color="auto"/>
                                                                                <w:right w:val="none" w:sz="0" w:space="0" w:color="auto"/>
                                                                              </w:divBdr>
                                                                            </w:div>
                                                                            <w:div w:id="633486722">
                                                                              <w:marLeft w:val="0"/>
                                                                              <w:marRight w:val="0"/>
                                                                              <w:marTop w:val="0"/>
                                                                              <w:marBottom w:val="0"/>
                                                                              <w:divBdr>
                                                                                <w:top w:val="none" w:sz="0" w:space="0" w:color="auto"/>
                                                                                <w:left w:val="none" w:sz="0" w:space="0" w:color="auto"/>
                                                                                <w:bottom w:val="none" w:sz="0" w:space="0" w:color="auto"/>
                                                                                <w:right w:val="none" w:sz="0" w:space="0" w:color="auto"/>
                                                                              </w:divBdr>
                                                                            </w:div>
                                                                            <w:div w:id="806168117">
                                                                              <w:marLeft w:val="0"/>
                                                                              <w:marRight w:val="0"/>
                                                                              <w:marTop w:val="0"/>
                                                                              <w:marBottom w:val="0"/>
                                                                              <w:divBdr>
                                                                                <w:top w:val="none" w:sz="0" w:space="0" w:color="auto"/>
                                                                                <w:left w:val="none" w:sz="0" w:space="0" w:color="auto"/>
                                                                                <w:bottom w:val="none" w:sz="0" w:space="0" w:color="auto"/>
                                                                                <w:right w:val="none" w:sz="0" w:space="0" w:color="auto"/>
                                                                              </w:divBdr>
                                                                            </w:div>
                                                                            <w:div w:id="1176190921">
                                                                              <w:marLeft w:val="0"/>
                                                                              <w:marRight w:val="0"/>
                                                                              <w:marTop w:val="0"/>
                                                                              <w:marBottom w:val="0"/>
                                                                              <w:divBdr>
                                                                                <w:top w:val="none" w:sz="0" w:space="0" w:color="auto"/>
                                                                                <w:left w:val="none" w:sz="0" w:space="0" w:color="auto"/>
                                                                                <w:bottom w:val="none" w:sz="0" w:space="0" w:color="auto"/>
                                                                                <w:right w:val="none" w:sz="0" w:space="0" w:color="auto"/>
                                                                              </w:divBdr>
                                                                            </w:div>
                                                                            <w:div w:id="682904695">
                                                                              <w:marLeft w:val="0"/>
                                                                              <w:marRight w:val="0"/>
                                                                              <w:marTop w:val="0"/>
                                                                              <w:marBottom w:val="0"/>
                                                                              <w:divBdr>
                                                                                <w:top w:val="none" w:sz="0" w:space="0" w:color="auto"/>
                                                                                <w:left w:val="none" w:sz="0" w:space="0" w:color="auto"/>
                                                                                <w:bottom w:val="none" w:sz="0" w:space="0" w:color="auto"/>
                                                                                <w:right w:val="none" w:sz="0" w:space="0" w:color="auto"/>
                                                                              </w:divBdr>
                                                                            </w:div>
                                                                            <w:div w:id="5406047">
                                                                              <w:marLeft w:val="0"/>
                                                                              <w:marRight w:val="0"/>
                                                                              <w:marTop w:val="0"/>
                                                                              <w:marBottom w:val="0"/>
                                                                              <w:divBdr>
                                                                                <w:top w:val="none" w:sz="0" w:space="0" w:color="auto"/>
                                                                                <w:left w:val="none" w:sz="0" w:space="0" w:color="auto"/>
                                                                                <w:bottom w:val="none" w:sz="0" w:space="0" w:color="auto"/>
                                                                                <w:right w:val="none" w:sz="0" w:space="0" w:color="auto"/>
                                                                              </w:divBdr>
                                                                            </w:div>
                                                                            <w:div w:id="1409305020">
                                                                              <w:marLeft w:val="0"/>
                                                                              <w:marRight w:val="0"/>
                                                                              <w:marTop w:val="0"/>
                                                                              <w:marBottom w:val="0"/>
                                                                              <w:divBdr>
                                                                                <w:top w:val="none" w:sz="0" w:space="0" w:color="auto"/>
                                                                                <w:left w:val="none" w:sz="0" w:space="0" w:color="auto"/>
                                                                                <w:bottom w:val="none" w:sz="0" w:space="0" w:color="auto"/>
                                                                                <w:right w:val="none" w:sz="0" w:space="0" w:color="auto"/>
                                                                              </w:divBdr>
                                                                            </w:div>
                                                                            <w:div w:id="1246303261">
                                                                              <w:marLeft w:val="0"/>
                                                                              <w:marRight w:val="0"/>
                                                                              <w:marTop w:val="0"/>
                                                                              <w:marBottom w:val="0"/>
                                                                              <w:divBdr>
                                                                                <w:top w:val="none" w:sz="0" w:space="0" w:color="auto"/>
                                                                                <w:left w:val="none" w:sz="0" w:space="0" w:color="auto"/>
                                                                                <w:bottom w:val="none" w:sz="0" w:space="0" w:color="auto"/>
                                                                                <w:right w:val="none" w:sz="0" w:space="0" w:color="auto"/>
                                                                              </w:divBdr>
                                                                            </w:div>
                                                                            <w:div w:id="983584925">
                                                                              <w:marLeft w:val="0"/>
                                                                              <w:marRight w:val="0"/>
                                                                              <w:marTop w:val="0"/>
                                                                              <w:marBottom w:val="0"/>
                                                                              <w:divBdr>
                                                                                <w:top w:val="none" w:sz="0" w:space="0" w:color="auto"/>
                                                                                <w:left w:val="none" w:sz="0" w:space="0" w:color="auto"/>
                                                                                <w:bottom w:val="none" w:sz="0" w:space="0" w:color="auto"/>
                                                                                <w:right w:val="none" w:sz="0" w:space="0" w:color="auto"/>
                                                                              </w:divBdr>
                                                                            </w:div>
                                                                            <w:div w:id="1193689190">
                                                                              <w:marLeft w:val="0"/>
                                                                              <w:marRight w:val="0"/>
                                                                              <w:marTop w:val="0"/>
                                                                              <w:marBottom w:val="0"/>
                                                                              <w:divBdr>
                                                                                <w:top w:val="none" w:sz="0" w:space="0" w:color="auto"/>
                                                                                <w:left w:val="none" w:sz="0" w:space="0" w:color="auto"/>
                                                                                <w:bottom w:val="none" w:sz="0" w:space="0" w:color="auto"/>
                                                                                <w:right w:val="none" w:sz="0" w:space="0" w:color="auto"/>
                                                                              </w:divBdr>
                                                                            </w:div>
                                                                            <w:div w:id="346446417">
                                                                              <w:marLeft w:val="0"/>
                                                                              <w:marRight w:val="0"/>
                                                                              <w:marTop w:val="0"/>
                                                                              <w:marBottom w:val="0"/>
                                                                              <w:divBdr>
                                                                                <w:top w:val="none" w:sz="0" w:space="0" w:color="auto"/>
                                                                                <w:left w:val="none" w:sz="0" w:space="0" w:color="auto"/>
                                                                                <w:bottom w:val="none" w:sz="0" w:space="0" w:color="auto"/>
                                                                                <w:right w:val="none" w:sz="0" w:space="0" w:color="auto"/>
                                                                              </w:divBdr>
                                                                            </w:div>
                                                                            <w:div w:id="2072536768">
                                                                              <w:marLeft w:val="0"/>
                                                                              <w:marRight w:val="0"/>
                                                                              <w:marTop w:val="0"/>
                                                                              <w:marBottom w:val="0"/>
                                                                              <w:divBdr>
                                                                                <w:top w:val="none" w:sz="0" w:space="0" w:color="auto"/>
                                                                                <w:left w:val="none" w:sz="0" w:space="0" w:color="auto"/>
                                                                                <w:bottom w:val="none" w:sz="0" w:space="0" w:color="auto"/>
                                                                                <w:right w:val="none" w:sz="0" w:space="0" w:color="auto"/>
                                                                              </w:divBdr>
                                                                            </w:div>
                                                                            <w:div w:id="2022003446">
                                                                              <w:marLeft w:val="0"/>
                                                                              <w:marRight w:val="0"/>
                                                                              <w:marTop w:val="0"/>
                                                                              <w:marBottom w:val="0"/>
                                                                              <w:divBdr>
                                                                                <w:top w:val="none" w:sz="0" w:space="0" w:color="auto"/>
                                                                                <w:left w:val="none" w:sz="0" w:space="0" w:color="auto"/>
                                                                                <w:bottom w:val="none" w:sz="0" w:space="0" w:color="auto"/>
                                                                                <w:right w:val="none" w:sz="0" w:space="0" w:color="auto"/>
                                                                              </w:divBdr>
                                                                            </w:div>
                                                                            <w:div w:id="1503742067">
                                                                              <w:marLeft w:val="0"/>
                                                                              <w:marRight w:val="0"/>
                                                                              <w:marTop w:val="0"/>
                                                                              <w:marBottom w:val="0"/>
                                                                              <w:divBdr>
                                                                                <w:top w:val="none" w:sz="0" w:space="0" w:color="auto"/>
                                                                                <w:left w:val="none" w:sz="0" w:space="0" w:color="auto"/>
                                                                                <w:bottom w:val="none" w:sz="0" w:space="0" w:color="auto"/>
                                                                                <w:right w:val="none" w:sz="0" w:space="0" w:color="auto"/>
                                                                              </w:divBdr>
                                                                            </w:div>
                                                                            <w:div w:id="130444151">
                                                                              <w:marLeft w:val="0"/>
                                                                              <w:marRight w:val="0"/>
                                                                              <w:marTop w:val="0"/>
                                                                              <w:marBottom w:val="0"/>
                                                                              <w:divBdr>
                                                                                <w:top w:val="none" w:sz="0" w:space="0" w:color="auto"/>
                                                                                <w:left w:val="none" w:sz="0" w:space="0" w:color="auto"/>
                                                                                <w:bottom w:val="none" w:sz="0" w:space="0" w:color="auto"/>
                                                                                <w:right w:val="none" w:sz="0" w:space="0" w:color="auto"/>
                                                                              </w:divBdr>
                                                                            </w:div>
                                                                            <w:div w:id="1772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540139">
      <w:bodyDiv w:val="1"/>
      <w:marLeft w:val="0"/>
      <w:marRight w:val="0"/>
      <w:marTop w:val="0"/>
      <w:marBottom w:val="0"/>
      <w:divBdr>
        <w:top w:val="none" w:sz="0" w:space="0" w:color="auto"/>
        <w:left w:val="none" w:sz="0" w:space="0" w:color="auto"/>
        <w:bottom w:val="none" w:sz="0" w:space="0" w:color="auto"/>
        <w:right w:val="none" w:sz="0" w:space="0" w:color="auto"/>
      </w:divBdr>
      <w:divsChild>
        <w:div w:id="737938379">
          <w:marLeft w:val="240"/>
          <w:marRight w:val="0"/>
          <w:marTop w:val="60"/>
          <w:marBottom w:val="60"/>
          <w:divBdr>
            <w:top w:val="none" w:sz="0" w:space="0" w:color="auto"/>
            <w:left w:val="none" w:sz="0" w:space="0" w:color="auto"/>
            <w:bottom w:val="none" w:sz="0" w:space="0" w:color="auto"/>
            <w:right w:val="none" w:sz="0" w:space="0" w:color="auto"/>
          </w:divBdr>
          <w:divsChild>
            <w:div w:id="1051197861">
              <w:marLeft w:val="0"/>
              <w:marRight w:val="0"/>
              <w:marTop w:val="0"/>
              <w:marBottom w:val="0"/>
              <w:divBdr>
                <w:top w:val="none" w:sz="0" w:space="0" w:color="auto"/>
                <w:left w:val="none" w:sz="0" w:space="0" w:color="auto"/>
                <w:bottom w:val="none" w:sz="0" w:space="0" w:color="auto"/>
                <w:right w:val="none" w:sz="0" w:space="0" w:color="auto"/>
              </w:divBdr>
            </w:div>
          </w:divsChild>
        </w:div>
        <w:div w:id="763770409">
          <w:marLeft w:val="240"/>
          <w:marRight w:val="0"/>
          <w:marTop w:val="60"/>
          <w:marBottom w:val="60"/>
          <w:divBdr>
            <w:top w:val="none" w:sz="0" w:space="0" w:color="auto"/>
            <w:left w:val="none" w:sz="0" w:space="0" w:color="auto"/>
            <w:bottom w:val="none" w:sz="0" w:space="0" w:color="auto"/>
            <w:right w:val="none" w:sz="0" w:space="0" w:color="auto"/>
          </w:divBdr>
          <w:divsChild>
            <w:div w:id="1131241596">
              <w:marLeft w:val="240"/>
              <w:marRight w:val="0"/>
              <w:marTop w:val="60"/>
              <w:marBottom w:val="60"/>
              <w:divBdr>
                <w:top w:val="none" w:sz="0" w:space="0" w:color="auto"/>
                <w:left w:val="none" w:sz="0" w:space="0" w:color="auto"/>
                <w:bottom w:val="none" w:sz="0" w:space="0" w:color="auto"/>
                <w:right w:val="none" w:sz="0" w:space="0" w:color="auto"/>
              </w:divBdr>
              <w:divsChild>
                <w:div w:id="1797479882">
                  <w:marLeft w:val="0"/>
                  <w:marRight w:val="0"/>
                  <w:marTop w:val="0"/>
                  <w:marBottom w:val="0"/>
                  <w:divBdr>
                    <w:top w:val="none" w:sz="0" w:space="0" w:color="auto"/>
                    <w:left w:val="none" w:sz="0" w:space="0" w:color="auto"/>
                    <w:bottom w:val="none" w:sz="0" w:space="0" w:color="auto"/>
                    <w:right w:val="none" w:sz="0" w:space="0" w:color="auto"/>
                  </w:divBdr>
                </w:div>
              </w:divsChild>
            </w:div>
            <w:div w:id="982271516">
              <w:marLeft w:val="240"/>
              <w:marRight w:val="0"/>
              <w:marTop w:val="60"/>
              <w:marBottom w:val="60"/>
              <w:divBdr>
                <w:top w:val="none" w:sz="0" w:space="0" w:color="auto"/>
                <w:left w:val="none" w:sz="0" w:space="0" w:color="auto"/>
                <w:bottom w:val="none" w:sz="0" w:space="0" w:color="auto"/>
                <w:right w:val="none" w:sz="0" w:space="0" w:color="auto"/>
              </w:divBdr>
              <w:divsChild>
                <w:div w:id="413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4940">
      <w:bodyDiv w:val="1"/>
      <w:marLeft w:val="0"/>
      <w:marRight w:val="0"/>
      <w:marTop w:val="0"/>
      <w:marBottom w:val="0"/>
      <w:divBdr>
        <w:top w:val="none" w:sz="0" w:space="0" w:color="auto"/>
        <w:left w:val="none" w:sz="0" w:space="0" w:color="auto"/>
        <w:bottom w:val="none" w:sz="0" w:space="0" w:color="auto"/>
        <w:right w:val="none" w:sz="0" w:space="0" w:color="auto"/>
      </w:divBdr>
    </w:div>
    <w:div w:id="1921868370">
      <w:bodyDiv w:val="1"/>
      <w:marLeft w:val="0"/>
      <w:marRight w:val="0"/>
      <w:marTop w:val="0"/>
      <w:marBottom w:val="0"/>
      <w:divBdr>
        <w:top w:val="none" w:sz="0" w:space="0" w:color="auto"/>
        <w:left w:val="none" w:sz="0" w:space="0" w:color="auto"/>
        <w:bottom w:val="none" w:sz="0" w:space="0" w:color="auto"/>
        <w:right w:val="none" w:sz="0" w:space="0" w:color="auto"/>
      </w:divBdr>
      <w:divsChild>
        <w:div w:id="630938980">
          <w:marLeft w:val="240"/>
          <w:marRight w:val="0"/>
          <w:marTop w:val="60"/>
          <w:marBottom w:val="60"/>
          <w:divBdr>
            <w:top w:val="none" w:sz="0" w:space="0" w:color="auto"/>
            <w:left w:val="none" w:sz="0" w:space="0" w:color="auto"/>
            <w:bottom w:val="none" w:sz="0" w:space="0" w:color="auto"/>
            <w:right w:val="none" w:sz="0" w:space="0" w:color="auto"/>
          </w:divBdr>
          <w:divsChild>
            <w:div w:id="603074961">
              <w:marLeft w:val="0"/>
              <w:marRight w:val="0"/>
              <w:marTop w:val="0"/>
              <w:marBottom w:val="0"/>
              <w:divBdr>
                <w:top w:val="none" w:sz="0" w:space="0" w:color="auto"/>
                <w:left w:val="none" w:sz="0" w:space="0" w:color="auto"/>
                <w:bottom w:val="none" w:sz="0" w:space="0" w:color="auto"/>
                <w:right w:val="none" w:sz="0" w:space="0" w:color="auto"/>
              </w:divBdr>
            </w:div>
          </w:divsChild>
        </w:div>
        <w:div w:id="1465805534">
          <w:marLeft w:val="240"/>
          <w:marRight w:val="0"/>
          <w:marTop w:val="60"/>
          <w:marBottom w:val="60"/>
          <w:divBdr>
            <w:top w:val="none" w:sz="0" w:space="0" w:color="auto"/>
            <w:left w:val="none" w:sz="0" w:space="0" w:color="auto"/>
            <w:bottom w:val="none" w:sz="0" w:space="0" w:color="auto"/>
            <w:right w:val="none" w:sz="0" w:space="0" w:color="auto"/>
          </w:divBdr>
          <w:divsChild>
            <w:div w:id="676271975">
              <w:marLeft w:val="240"/>
              <w:marRight w:val="0"/>
              <w:marTop w:val="60"/>
              <w:marBottom w:val="60"/>
              <w:divBdr>
                <w:top w:val="none" w:sz="0" w:space="0" w:color="auto"/>
                <w:left w:val="none" w:sz="0" w:space="0" w:color="auto"/>
                <w:bottom w:val="none" w:sz="0" w:space="0" w:color="auto"/>
                <w:right w:val="none" w:sz="0" w:space="0" w:color="auto"/>
              </w:divBdr>
              <w:divsChild>
                <w:div w:id="1708992906">
                  <w:marLeft w:val="0"/>
                  <w:marRight w:val="0"/>
                  <w:marTop w:val="0"/>
                  <w:marBottom w:val="0"/>
                  <w:divBdr>
                    <w:top w:val="none" w:sz="0" w:space="0" w:color="auto"/>
                    <w:left w:val="none" w:sz="0" w:space="0" w:color="auto"/>
                    <w:bottom w:val="none" w:sz="0" w:space="0" w:color="auto"/>
                    <w:right w:val="none" w:sz="0" w:space="0" w:color="auto"/>
                  </w:divBdr>
                </w:div>
              </w:divsChild>
            </w:div>
            <w:div w:id="379284563">
              <w:marLeft w:val="240"/>
              <w:marRight w:val="0"/>
              <w:marTop w:val="60"/>
              <w:marBottom w:val="60"/>
              <w:divBdr>
                <w:top w:val="none" w:sz="0" w:space="0" w:color="auto"/>
                <w:left w:val="none" w:sz="0" w:space="0" w:color="auto"/>
                <w:bottom w:val="none" w:sz="0" w:space="0" w:color="auto"/>
                <w:right w:val="none" w:sz="0" w:space="0" w:color="auto"/>
              </w:divBdr>
              <w:divsChild>
                <w:div w:id="12523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86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forbes.com/advisor/business/incorporating-in-delaware/" TargetMode="External"/><Relationship Id="rId18" Type="http://schemas.openxmlformats.org/officeDocument/2006/relationships/hyperlink" Target="https://corpgov.law.harvard.edu/2020/04/15/director-fiduciary-duty-in-insolvency/" TargetMode="External"/><Relationship Id="rId26" Type="http://schemas.openxmlformats.org/officeDocument/2006/relationships/hyperlink" Target="https://www.pbwt.com/bankruptcy-update-blog/what-to-do-if-your-tenant-is-bankrupt" TargetMode="External"/><Relationship Id="rId3" Type="http://schemas.openxmlformats.org/officeDocument/2006/relationships/hyperlink" Target="https://www.jonesday.com/en/insights/2022/12/unimpaired-unsecured-creditors-in-solventdebtor-chapter-11-case-entitled-to-postpetition-interest-presumably-at-contract" TargetMode="External"/><Relationship Id="rId21" Type="http://schemas.openxmlformats.org/officeDocument/2006/relationships/hyperlink" Target="https://www.kilegal.com/blog/2023/july/executory-contracts-and-leases-in-bankruptcy/" TargetMode="External"/><Relationship Id="rId7" Type="http://schemas.openxmlformats.org/officeDocument/2006/relationships/hyperlink" Target="https://clsbluesky.law.columbia.edu/2014/07/11/linklaters-discusses-supreme-courts-ruling-in-executive-benefits-ins-agency-v-arkinson/" TargetMode="External"/><Relationship Id="rId12" Type="http://schemas.openxmlformats.org/officeDocument/2006/relationships/hyperlink" Target="https://www.federalrulesofbankruptcyprocedure.org/" TargetMode="External"/><Relationship Id="rId17" Type="http://schemas.openxmlformats.org/officeDocument/2006/relationships/hyperlink" Target="https://corpgov.law.harvard.edu/2020/04/15/director-fiduciary-duty-in-insolvency/" TargetMode="External"/><Relationship Id="rId25" Type="http://schemas.openxmlformats.org/officeDocument/2006/relationships/hyperlink" Target="https://www.pedersenhoupt.com/newsroom-alerts-60.html" TargetMode="External"/><Relationship Id="rId33" Type="http://schemas.openxmlformats.org/officeDocument/2006/relationships/hyperlink" Target="https://uk.practicallaw.thomsonreuters.com/4-107-5889?transitionType=Default&amp;contextData=(sc.Default)&amp;firstPage=true" TargetMode="External"/><Relationship Id="rId2" Type="http://schemas.openxmlformats.org/officeDocument/2006/relationships/hyperlink" Target="https://www.americanbar.org/groups/gpsolo/publications/gpsolo_ereport/2022/september-2022/automatic-stay-bankruptcy-overview/" TargetMode="External"/><Relationship Id="rId16" Type="http://schemas.openxmlformats.org/officeDocument/2006/relationships/hyperlink" Target="https://www.mofo.com/resources/insights/230628-fiduciary-duties-director-of-a-delaware-corporation" TargetMode="External"/><Relationship Id="rId20" Type="http://schemas.openxmlformats.org/officeDocument/2006/relationships/hyperlink" Target="https://www.pedersenhoupt.com/newsroom-alerts-60.html" TargetMode="External"/><Relationship Id="rId29" Type="http://schemas.openxmlformats.org/officeDocument/2006/relationships/hyperlink" Target="https://www.uscourts.gov/services-forms/bankruptcy/bankruptcy-basics/chapter-15-bankruptcy-basics" TargetMode="External"/><Relationship Id="rId1" Type="http://schemas.openxmlformats.org/officeDocument/2006/relationships/hyperlink" Target="https://content.next.westlaw.com/practical-law/document/Ibb09e9a3ef0511e28578f7ccc38dcbee/Priming-Lien?viewType=FullText&amp;transitionType=Default&amp;contextData=(sc.Default)" TargetMode="External"/><Relationship Id="rId6" Type="http://schemas.openxmlformats.org/officeDocument/2006/relationships/hyperlink" Target="https://www.faegredrinker.com/en/insights/publications/2014/6/supreme-court-decides-executive-benefits-insurance-agency-v-arkison" TargetMode="External"/><Relationship Id="rId11" Type="http://schemas.openxmlformats.org/officeDocument/2006/relationships/hyperlink" Target="https://www.jonesday.com/en/insights/2015/03/foreign-representative-lacks-standing-to-assert-state-law-avoidance-claims-in-chapter-15-case" TargetMode="External"/><Relationship Id="rId24" Type="http://schemas.openxmlformats.org/officeDocument/2006/relationships/hyperlink" Target="https://www.pedersenhoupt.com/newsroom-alerts-60.html" TargetMode="External"/><Relationship Id="rId32" Type="http://schemas.openxmlformats.org/officeDocument/2006/relationships/hyperlink" Target="https://www.justice.gov/corporate-crime" TargetMode="External"/><Relationship Id="rId5" Type="http://schemas.openxmlformats.org/officeDocument/2006/relationships/hyperlink" Target="https://www.cadwalader.com/resources/clients-friends-memos/stern-v-marshall-how-big-is-it" TargetMode="External"/><Relationship Id="rId15" Type="http://schemas.openxmlformats.org/officeDocument/2006/relationships/hyperlink" Target="https://www.mofo.com/resources/insights/230628-fiduciary-duties-director-of-a-delaware-corporation" TargetMode="External"/><Relationship Id="rId23" Type="http://schemas.openxmlformats.org/officeDocument/2006/relationships/hyperlink" Target="https://www.pbwt.com/bankruptcy-update-blog/what-to-do-if-your-tenant-is-bankrupt" TargetMode="External"/><Relationship Id="rId28" Type="http://schemas.openxmlformats.org/officeDocument/2006/relationships/hyperlink" Target="https://uk.practicallaw.thomsonreuters.com/0-107-7201?contextData=(sc.Default)&amp;transitionType=Default&amp;firstPage=true" TargetMode="External"/><Relationship Id="rId10" Type="http://schemas.openxmlformats.org/officeDocument/2006/relationships/hyperlink" Target="https://www.uscourts.gov/services-forms/bankruptcy/bankruptcy-basics/chapter-15-bankruptcy-basics" TargetMode="External"/><Relationship Id="rId19" Type="http://schemas.openxmlformats.org/officeDocument/2006/relationships/hyperlink" Target="https://corpgov.law.harvard.edu/2020/04/15/director-fiduciary-duty-in-insolvency/" TargetMode="External"/><Relationship Id="rId31" Type="http://schemas.openxmlformats.org/officeDocument/2006/relationships/hyperlink" Target="https://www.justice.gov/about" TargetMode="External"/><Relationship Id="rId4" Type="http://schemas.openxmlformats.org/officeDocument/2006/relationships/hyperlink" Target="https://www.americanbar.org/groups/business_law/resources/business-law-today/2020-december/bankruptcy-courts-and-the-constitution/" TargetMode="External"/><Relationship Id="rId9" Type="http://schemas.openxmlformats.org/officeDocument/2006/relationships/hyperlink" Target="https://harvardlawreview.org/print/vol-129/wellness-international-network-ltd-v-sharif/" TargetMode="External"/><Relationship Id="rId14" Type="http://schemas.openxmlformats.org/officeDocument/2006/relationships/hyperlink" Target="https://www.mofo.com/resources/insights/230628-fiduciary-duties-director-of-a-delaware-corporation" TargetMode="External"/><Relationship Id="rId22" Type="http://schemas.openxmlformats.org/officeDocument/2006/relationships/hyperlink" Target="https://www.pbwt.com/bankruptcy-update-blog/what-to-do-if-your-tenant-is-bankrupt" TargetMode="External"/><Relationship Id="rId27" Type="http://schemas.openxmlformats.org/officeDocument/2006/relationships/hyperlink" Target="https://www.pbwt.com/bankruptcy-update-blog/what-to-do-if-your-tenant-is-bankrupt" TargetMode="External"/><Relationship Id="rId30" Type="http://schemas.openxmlformats.org/officeDocument/2006/relationships/hyperlink" Target="https://www.uscourts.gov/services-forms/bankruptcy/bankruptcy-basics/chapter-11-bankruptcy-basics" TargetMode="External"/><Relationship Id="rId8" Type="http://schemas.openxmlformats.org/officeDocument/2006/relationships/hyperlink" Target="https://www.oyez.org/cases/2014/13-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26</Pages>
  <Words>10249</Words>
  <Characters>58424</Characters>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2019-08-27T05:42:00Z</cp:lastPrinted>
  <dcterms:created xsi:type="dcterms:W3CDTF">2023-06-27T10:31:00Z</dcterms:created>
  <dcterms:modified xsi:type="dcterms:W3CDTF">2024-02-29T22:01:00Z</dcterms:modified>
</cp:coreProperties>
</file>