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C40C0D">
        <w:rPr>
          <w:rFonts w:ascii="Avenir Next" w:hAnsi="Avenir Next"/>
          <w:highlight w:val="yellow"/>
        </w:rPr>
        <w:t>(a)</w:t>
      </w:r>
      <w:r w:rsidRPr="00C40C0D">
        <w:rPr>
          <w:rFonts w:ascii="Avenir Next" w:hAnsi="Avenir Next"/>
          <w:highlight w:val="yellow"/>
        </w:rPr>
        <w:tab/>
        <w:t>Yes</w:t>
      </w:r>
      <w:r w:rsidR="004D36D5" w:rsidRPr="00C40C0D">
        <w:rPr>
          <w:rFonts w:ascii="Avenir Next" w:hAnsi="Avenir Next"/>
          <w:highlight w:val="yellow"/>
        </w:rPr>
        <w:t>,</w:t>
      </w:r>
      <w:r w:rsidR="002A16B3" w:rsidRPr="00C40C0D">
        <w:rPr>
          <w:rFonts w:ascii="Avenir Next" w:hAnsi="Avenir Next"/>
          <w:highlight w:val="yellow"/>
        </w:rPr>
        <w:t xml:space="preserve"> </w:t>
      </w:r>
      <w:r w:rsidR="000968D6" w:rsidRPr="00C40C0D">
        <w:rPr>
          <w:rFonts w:ascii="Avenir Next" w:hAnsi="Avenir Next"/>
          <w:highlight w:val="yellow"/>
        </w:rPr>
        <w:t>regardless</w:t>
      </w:r>
      <w:r w:rsidR="0083721E" w:rsidRPr="00C40C0D">
        <w:rPr>
          <w:rFonts w:ascii="Avenir Next" w:hAnsi="Avenir Next"/>
          <w:highlight w:val="yellow"/>
        </w:rPr>
        <w:t xml:space="preserve"> of</w:t>
      </w:r>
      <w:r w:rsidR="000968D6" w:rsidRPr="00C40C0D">
        <w:rPr>
          <w:rFonts w:ascii="Avenir Next" w:hAnsi="Avenir Next"/>
          <w:highlight w:val="yellow"/>
        </w:rPr>
        <w:t xml:space="preserve"> </w:t>
      </w:r>
      <w:r w:rsidR="0083721E" w:rsidRPr="00C40C0D">
        <w:rPr>
          <w:rFonts w:ascii="Avenir Next" w:hAnsi="Avenir Next"/>
          <w:highlight w:val="yellow"/>
        </w:rPr>
        <w:t xml:space="preserve">the </w:t>
      </w:r>
      <w:r w:rsidR="004D36D5" w:rsidRPr="00C40C0D">
        <w:rPr>
          <w:rFonts w:ascii="Avenir Next" w:hAnsi="Avenir Next"/>
          <w:highlight w:val="yellow"/>
        </w:rPr>
        <w:t>circumstances</w:t>
      </w:r>
      <w:r w:rsidRPr="00C40C0D">
        <w:rPr>
          <w:rFonts w:ascii="Avenir Next" w:hAnsi="Avenir Next"/>
          <w:highlight w:val="yellow"/>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3351F">
        <w:rPr>
          <w:rFonts w:ascii="Avenir Next" w:hAnsi="Avenir Next"/>
        </w:rPr>
        <w:t>(b)</w:t>
      </w:r>
      <w:r w:rsidRPr="00D3351F">
        <w:rPr>
          <w:rFonts w:ascii="Avenir Next" w:hAnsi="Avenir Next"/>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5E27649" w:rsidR="00D221F8" w:rsidRDefault="00D221F8" w:rsidP="00A6313C">
      <w:pPr>
        <w:pStyle w:val="AODocTxt"/>
        <w:spacing w:before="0" w:line="240" w:lineRule="auto"/>
        <w:ind w:left="426" w:hanging="426"/>
        <w:rPr>
          <w:rFonts w:ascii="Avenir Next" w:hAnsi="Avenir Next"/>
        </w:rPr>
      </w:pPr>
      <w:r w:rsidRPr="00D3351F">
        <w:rPr>
          <w:rFonts w:ascii="Avenir Next" w:hAnsi="Avenir Next"/>
        </w:rPr>
        <w:t>(c)</w:t>
      </w:r>
      <w:r w:rsidRPr="00D3351F">
        <w:rPr>
          <w:rFonts w:ascii="Avenir Next" w:hAnsi="Avenir Next"/>
        </w:rPr>
        <w:tab/>
        <w:t xml:space="preserve">Yes, if other creditors owed at least </w:t>
      </w:r>
      <w:r w:rsidR="00A81F08" w:rsidRPr="00D3351F">
        <w:rPr>
          <w:rFonts w:ascii="Avenir Next" w:hAnsi="Avenir Next"/>
        </w:rPr>
        <w:t xml:space="preserve">USD </w:t>
      </w:r>
      <w:r w:rsidRPr="00D3351F">
        <w:rPr>
          <w:rFonts w:ascii="Avenir Next" w:hAnsi="Avenir Next"/>
        </w:rPr>
        <w:t>5,775 join in the petition.</w:t>
      </w:r>
      <w:r w:rsidR="00D3351F">
        <w:rPr>
          <w:rFonts w:ascii="Avenir Next" w:hAnsi="Avenir Next"/>
        </w:rPr>
        <w:t xml:space="preserve"> (</w:t>
      </w:r>
      <w:proofErr w:type="gramStart"/>
      <w:r w:rsidR="00D3351F">
        <w:rPr>
          <w:rFonts w:ascii="Avenir Next" w:hAnsi="Avenir Next"/>
        </w:rPr>
        <w:t>this</w:t>
      </w:r>
      <w:proofErr w:type="gramEnd"/>
      <w:r w:rsidR="00D3351F">
        <w:rPr>
          <w:rFonts w:ascii="Avenir Next" w:hAnsi="Avenir Next"/>
        </w:rPr>
        <w:t xml:space="preserve"> should be USD 6,750)</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C40C0D">
        <w:rPr>
          <w:rFonts w:ascii="Avenir Next" w:hAnsi="Avenir Next"/>
        </w:rPr>
        <w:t>(d)</w:t>
      </w:r>
      <w:r w:rsidRPr="00C40C0D">
        <w:rPr>
          <w:rFonts w:ascii="Avenir Next" w:hAnsi="Avenir Next"/>
        </w:rPr>
        <w:tab/>
        <w:t>No, because Parts Inc does</w:t>
      </w:r>
      <w:r w:rsidR="00A81F08" w:rsidRPr="00C40C0D">
        <w:rPr>
          <w:rFonts w:ascii="Avenir Next" w:hAnsi="Avenir Next"/>
        </w:rPr>
        <w:t xml:space="preserve"> not</w:t>
      </w:r>
      <w:r w:rsidRPr="00C40C0D">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A53FF5">
        <w:rPr>
          <w:rFonts w:ascii="Avenir Next" w:hAnsi="Avenir Next"/>
          <w:highlight w:val="yellow"/>
        </w:rPr>
        <w:t>(d)</w:t>
      </w:r>
      <w:r w:rsidRPr="00A53FF5">
        <w:rPr>
          <w:rFonts w:ascii="Avenir Next" w:hAnsi="Avenir Next"/>
          <w:highlight w:val="yellow"/>
        </w:rPr>
        <w:tab/>
        <w:t>A retired employee of Car Corp who receives payments from the company’s pension plan</w:t>
      </w:r>
      <w:r w:rsidR="00631394" w:rsidRPr="00A53FF5">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755B8E">
        <w:rPr>
          <w:rFonts w:ascii="Avenir Next" w:hAnsi="Avenir Next"/>
        </w:rPr>
        <w:t>(c)</w:t>
      </w:r>
      <w:r w:rsidRPr="00755B8E">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755B8E">
        <w:rPr>
          <w:rFonts w:ascii="Avenir Next" w:hAnsi="Avenir Next"/>
          <w:highlight w:val="yellow"/>
        </w:rPr>
        <w:t>(d)</w:t>
      </w:r>
      <w:r w:rsidRPr="00755B8E">
        <w:rPr>
          <w:rFonts w:ascii="Avenir Next" w:hAnsi="Avenir Next"/>
          <w:highlight w:val="yellow"/>
        </w:rPr>
        <w:tab/>
      </w:r>
      <w:r w:rsidR="00B849C5" w:rsidRPr="00755B8E">
        <w:rPr>
          <w:rFonts w:ascii="Avenir Next" w:hAnsi="Avenir Next"/>
          <w:highlight w:val="yellow"/>
        </w:rPr>
        <w:t xml:space="preserve">Options (a) to (c) </w:t>
      </w:r>
      <w:r w:rsidRPr="00755B8E">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CA48C7">
        <w:rPr>
          <w:rFonts w:ascii="Avenir Next" w:hAnsi="Avenir Next"/>
          <w:highlight w:val="yellow"/>
        </w:rPr>
        <w:t>(e)</w:t>
      </w:r>
      <w:r w:rsidRPr="00CA48C7">
        <w:rPr>
          <w:rFonts w:ascii="Avenir Next" w:hAnsi="Avenir Next"/>
          <w:highlight w:val="yellow"/>
        </w:rPr>
        <w:tab/>
        <w:t>All of the above</w:t>
      </w:r>
      <w:r w:rsidR="006A42F8" w:rsidRPr="00CA48C7">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DA27A1">
        <w:rPr>
          <w:rFonts w:ascii="Avenir Next" w:hAnsi="Avenir Next"/>
          <w:highlight w:val="yellow"/>
        </w:rPr>
        <w:t>(b)</w:t>
      </w:r>
      <w:r w:rsidRPr="00DA27A1">
        <w:rPr>
          <w:rFonts w:ascii="Avenir Next" w:hAnsi="Avenir Next"/>
          <w:highlight w:val="yellow"/>
        </w:rPr>
        <w:tab/>
        <w:t xml:space="preserve">Executory contracts are clearly defined by the </w:t>
      </w:r>
      <w:r w:rsidR="00ED7BF3" w:rsidRPr="00DA27A1">
        <w:rPr>
          <w:rFonts w:ascii="Avenir Next" w:hAnsi="Avenir Next"/>
          <w:highlight w:val="yellow"/>
        </w:rPr>
        <w:t>B</w:t>
      </w:r>
      <w:r w:rsidRPr="00DA27A1">
        <w:rPr>
          <w:rFonts w:ascii="Avenir Next" w:hAnsi="Avenir Next"/>
          <w:highlight w:val="yellow"/>
        </w:rPr>
        <w:t xml:space="preserve">ankruptcy </w:t>
      </w:r>
      <w:r w:rsidR="00ED7BF3" w:rsidRPr="00DA27A1">
        <w:rPr>
          <w:rFonts w:ascii="Avenir Next" w:hAnsi="Avenir Next"/>
          <w:highlight w:val="yellow"/>
        </w:rPr>
        <w:t>C</w:t>
      </w:r>
      <w:r w:rsidRPr="00DA27A1">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DA27A1" w:rsidRDefault="000643AB" w:rsidP="00875912">
      <w:pPr>
        <w:pStyle w:val="AODocTxt"/>
        <w:numPr>
          <w:ilvl w:val="0"/>
          <w:numId w:val="24"/>
        </w:numPr>
        <w:spacing w:before="0" w:line="240" w:lineRule="auto"/>
        <w:ind w:left="426" w:hanging="426"/>
        <w:rPr>
          <w:rFonts w:ascii="Avenir Next" w:hAnsi="Avenir Next"/>
          <w:highlight w:val="yellow"/>
        </w:rPr>
      </w:pPr>
      <w:r w:rsidRPr="00DA27A1">
        <w:rPr>
          <w:rFonts w:ascii="Avenir Next" w:hAnsi="Avenir Next"/>
          <w:highlight w:val="yellow"/>
        </w:rPr>
        <w:t>Acceptance of the plan by all classes of secured creditors</w:t>
      </w:r>
      <w:r w:rsidR="006844A8" w:rsidRPr="00DA27A1">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506272" w:rsidRDefault="00C24FAB" w:rsidP="009017A1">
      <w:pPr>
        <w:pStyle w:val="AODocTxt"/>
        <w:numPr>
          <w:ilvl w:val="0"/>
          <w:numId w:val="33"/>
        </w:numPr>
        <w:spacing w:before="0" w:line="240" w:lineRule="auto"/>
        <w:ind w:left="426" w:hanging="426"/>
        <w:rPr>
          <w:rFonts w:ascii="Avenir Next" w:hAnsi="Avenir Next"/>
          <w:highlight w:val="yellow"/>
        </w:rPr>
      </w:pPr>
      <w:r w:rsidRPr="00506272">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1BABA3DC" w14:textId="77777777" w:rsidR="00506272" w:rsidRDefault="00506272" w:rsidP="00506272">
      <w:pPr>
        <w:pStyle w:val="ListParagraph"/>
        <w:rPr>
          <w:rFonts w:ascii="Avenir Next" w:hAnsi="Avenir Next"/>
        </w:rPr>
      </w:pPr>
    </w:p>
    <w:p w14:paraId="7FB9F2FC" w14:textId="77777777" w:rsidR="00506272" w:rsidRPr="00821F0A" w:rsidRDefault="00506272" w:rsidP="00506272">
      <w:pPr>
        <w:pStyle w:val="AODocTxt"/>
        <w:spacing w:before="0" w:line="240" w:lineRule="auto"/>
        <w:ind w:left="426"/>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506272" w:rsidRDefault="00853272" w:rsidP="00BA74EF">
      <w:pPr>
        <w:pStyle w:val="AODocTxt"/>
        <w:numPr>
          <w:ilvl w:val="0"/>
          <w:numId w:val="28"/>
        </w:numPr>
        <w:spacing w:before="0" w:line="240" w:lineRule="auto"/>
        <w:ind w:left="426" w:hanging="426"/>
        <w:rPr>
          <w:rFonts w:ascii="Avenir Next" w:hAnsi="Avenir Next"/>
          <w:highlight w:val="yellow"/>
        </w:rPr>
      </w:pPr>
      <w:r w:rsidRPr="00506272">
        <w:rPr>
          <w:rFonts w:ascii="Avenir Next" w:hAnsi="Avenir Next"/>
          <w:highlight w:val="yellow"/>
        </w:rPr>
        <w:t xml:space="preserve">Both </w:t>
      </w:r>
      <w:r w:rsidR="0072569E" w:rsidRPr="00506272">
        <w:rPr>
          <w:rFonts w:ascii="Avenir Next" w:hAnsi="Avenir Next"/>
          <w:highlight w:val="yellow"/>
        </w:rPr>
        <w:t xml:space="preserve">options </w:t>
      </w:r>
      <w:r w:rsidRPr="00506272">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2A03C8" w:rsidRDefault="00334B98" w:rsidP="00676F12">
      <w:pPr>
        <w:pStyle w:val="AODocTxt"/>
        <w:keepNext/>
        <w:numPr>
          <w:ilvl w:val="0"/>
          <w:numId w:val="30"/>
        </w:numPr>
        <w:spacing w:before="0" w:line="240" w:lineRule="auto"/>
        <w:ind w:left="426" w:hanging="426"/>
        <w:rPr>
          <w:rFonts w:ascii="Avenir Next" w:hAnsi="Avenir Next"/>
          <w:highlight w:val="yellow"/>
        </w:rPr>
      </w:pPr>
      <w:r w:rsidRPr="002A03C8">
        <w:rPr>
          <w:rFonts w:ascii="Avenir Next" w:hAnsi="Avenir Next"/>
          <w:highlight w:val="yellow"/>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DF5F7C">
      <w:pPr>
        <w:pStyle w:val="AODocTxt"/>
        <w:keepNext/>
        <w:numPr>
          <w:ilvl w:val="0"/>
          <w:numId w:val="35"/>
        </w:numPr>
        <w:spacing w:before="0" w:line="240" w:lineRule="auto"/>
        <w:ind w:left="426" w:hanging="426"/>
        <w:rPr>
          <w:rFonts w:ascii="Avenir Next" w:hAnsi="Avenir Next"/>
        </w:rPr>
      </w:pPr>
      <w:r w:rsidRPr="001D3BAA">
        <w:rPr>
          <w:rFonts w:ascii="Avenir Next" w:hAnsi="Avenir Next"/>
        </w:rPr>
        <w:t xml:space="preserve">If a creditor can show it extended credit </w:t>
      </w:r>
      <w:proofErr w:type="gramStart"/>
      <w:r w:rsidRPr="001D3BAA">
        <w:rPr>
          <w:rFonts w:ascii="Avenir Next" w:hAnsi="Avenir Next"/>
        </w:rPr>
        <w:t>on the basis of</w:t>
      </w:r>
      <w:proofErr w:type="gramEnd"/>
      <w:r w:rsidRPr="001D3BAA">
        <w:rPr>
          <w:rFonts w:ascii="Avenir Next" w:hAnsi="Avenir Next"/>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Pr="002A03C8" w:rsidRDefault="00740655" w:rsidP="00DF5F7C">
      <w:pPr>
        <w:pStyle w:val="AODocTxt"/>
        <w:keepNext/>
        <w:numPr>
          <w:ilvl w:val="0"/>
          <w:numId w:val="35"/>
        </w:numPr>
        <w:spacing w:before="0" w:line="240" w:lineRule="auto"/>
        <w:ind w:left="426" w:hanging="426"/>
        <w:rPr>
          <w:rFonts w:ascii="Avenir Next" w:hAnsi="Avenir Next"/>
        </w:rPr>
      </w:pPr>
      <w:r w:rsidRPr="002A03C8">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Pr="002A03C8" w:rsidRDefault="00740655" w:rsidP="00DF5F7C">
      <w:pPr>
        <w:pStyle w:val="AODocTxt"/>
        <w:keepNext/>
        <w:numPr>
          <w:ilvl w:val="0"/>
          <w:numId w:val="35"/>
        </w:numPr>
        <w:spacing w:before="0" w:line="240" w:lineRule="auto"/>
        <w:ind w:left="426" w:hanging="426"/>
        <w:rPr>
          <w:rFonts w:ascii="Avenir Next" w:hAnsi="Avenir Next"/>
          <w:highlight w:val="yellow"/>
        </w:rPr>
      </w:pPr>
      <w:r w:rsidRPr="002A03C8">
        <w:rPr>
          <w:rFonts w:ascii="Avenir Next" w:hAnsi="Avenir Next"/>
          <w:highlight w:val="yellow"/>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D3351F" w:rsidRDefault="00323167" w:rsidP="00323167">
      <w:pPr>
        <w:jc w:val="both"/>
        <w:rPr>
          <w:rFonts w:ascii="Avenir Next Demi Bold" w:hAnsi="Avenir Next Demi Bold" w:cs="Arial"/>
          <w:b/>
          <w:bCs/>
          <w:sz w:val="22"/>
          <w:szCs w:val="22"/>
          <w:lang w:val="fr-FR"/>
        </w:rPr>
      </w:pPr>
      <w:r w:rsidRPr="00D3351F">
        <w:rPr>
          <w:rFonts w:ascii="Avenir Next Demi Bold" w:hAnsi="Avenir Next Demi Bold" w:cs="Arial"/>
          <w:b/>
          <w:bCs/>
          <w:sz w:val="22"/>
          <w:szCs w:val="22"/>
          <w:lang w:val="fr-FR"/>
        </w:rPr>
        <w:t xml:space="preserve">QUESTION 2 (direct questions) [10 marks] </w:t>
      </w:r>
    </w:p>
    <w:p w14:paraId="0C2E896B" w14:textId="77777777" w:rsidR="00323167" w:rsidRPr="00D3351F" w:rsidRDefault="00323167" w:rsidP="00323167">
      <w:pPr>
        <w:pStyle w:val="AODocTxt"/>
        <w:spacing w:before="0" w:line="240" w:lineRule="auto"/>
        <w:rPr>
          <w:rFonts w:ascii="Avenir Next Demi Bold" w:hAnsi="Avenir Next Demi Bold" w:cs="Arial"/>
          <w:b/>
          <w:bCs/>
          <w:lang w:val="fr-FR"/>
        </w:rPr>
      </w:pPr>
    </w:p>
    <w:p w14:paraId="42EC6769" w14:textId="1B13C710" w:rsidR="00323167" w:rsidRPr="00D3351F" w:rsidRDefault="00323167" w:rsidP="00323167">
      <w:pPr>
        <w:pStyle w:val="AODocTxt"/>
        <w:spacing w:before="0" w:line="240" w:lineRule="auto"/>
        <w:rPr>
          <w:rFonts w:ascii="Avenir Next Demi Bold" w:hAnsi="Avenir Next Demi Bold" w:cs="Arial"/>
          <w:b/>
          <w:bCs/>
          <w:lang w:val="fr-FR"/>
        </w:rPr>
      </w:pPr>
      <w:r w:rsidRPr="00D3351F">
        <w:rPr>
          <w:rFonts w:ascii="Avenir Next Demi Bold" w:hAnsi="Avenir Next Demi Bold" w:cs="Arial"/>
          <w:b/>
          <w:bCs/>
          <w:lang w:val="fr-FR"/>
        </w:rPr>
        <w:t>Question 2.1 (</w:t>
      </w:r>
      <w:r w:rsidR="00AA0280" w:rsidRPr="00D3351F">
        <w:rPr>
          <w:rFonts w:ascii="Avenir Next Demi Bold" w:hAnsi="Avenir Next Demi Bold" w:cs="Arial"/>
          <w:b/>
          <w:bCs/>
          <w:lang w:val="fr-FR"/>
        </w:rPr>
        <w:t>1</w:t>
      </w:r>
      <w:r w:rsidRPr="00D3351F">
        <w:rPr>
          <w:rFonts w:ascii="Avenir Next Demi Bold" w:hAnsi="Avenir Next Demi Bold" w:cs="Arial"/>
          <w:b/>
          <w:bCs/>
          <w:lang w:val="fr-FR"/>
        </w:rPr>
        <w:t xml:space="preserve"> mark)</w:t>
      </w:r>
    </w:p>
    <w:p w14:paraId="5BFE5B0B" w14:textId="77777777" w:rsidR="00323167" w:rsidRPr="00D3351F" w:rsidRDefault="00323167" w:rsidP="00323167">
      <w:pPr>
        <w:pStyle w:val="AODocTxt"/>
        <w:spacing w:before="0" w:line="240" w:lineRule="auto"/>
        <w:rPr>
          <w:rFonts w:ascii="Avenir Next" w:hAnsi="Avenir Next" w:cs="Arial"/>
          <w:lang w:val="fr-FR"/>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6E6B8671" w:rsidR="00323167" w:rsidRPr="00C40C0D" w:rsidRDefault="00D35716" w:rsidP="00323167">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Setoff permits a creditor holding a claim against the debtor and at the same time owing money to the debtor, to net out the two obligations. </w:t>
      </w:r>
    </w:p>
    <w:p w14:paraId="7499BAA1" w14:textId="54B907FE" w:rsidR="00D35716" w:rsidRPr="00C40C0D" w:rsidRDefault="00D35716" w:rsidP="00323167">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It is not permitted in many circumstances as setoff rights can improve the position of the creditor as compared to other unsecured creditors who are not owed money by the debtor as it decreases its obligation to the estate by the full amount owed by the debtor rather than the lesser amount the debtor would pay on the unsecured claims. </w:t>
      </w:r>
    </w:p>
    <w:p w14:paraId="7324076A" w14:textId="77777777" w:rsidR="002B5D64" w:rsidRPr="00D35716"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27C0B427" w:rsidR="001D3BAA" w:rsidRPr="00C40C0D" w:rsidRDefault="00D35716"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A priming lien is a type of lien that is granted priority over existing liens or claims in bankruptcy proceedings. </w:t>
      </w:r>
    </w:p>
    <w:p w14:paraId="189FA884" w14:textId="23E0CABB" w:rsidR="00225A2F" w:rsidRPr="00C40C0D" w:rsidRDefault="00225A2F"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The priming lien must be senior or equal to a pre-petition lien on estate property </w:t>
      </w:r>
      <w:proofErr w:type="gramStart"/>
      <w:r w:rsidRPr="00C40C0D">
        <w:rPr>
          <w:rFonts w:ascii="Avenir Next" w:hAnsi="Avenir Next"/>
          <w:color w:val="44546A" w:themeColor="text2"/>
        </w:rPr>
        <w:t>in order to</w:t>
      </w:r>
      <w:proofErr w:type="gramEnd"/>
      <w:r w:rsidRPr="00C40C0D">
        <w:rPr>
          <w:rFonts w:ascii="Avenir Next" w:hAnsi="Avenir Next"/>
          <w:color w:val="44546A" w:themeColor="text2"/>
        </w:rPr>
        <w:t xml:space="preserve"> secure financing. </w:t>
      </w:r>
    </w:p>
    <w:p w14:paraId="5633AC6E" w14:textId="54A54D1B" w:rsidR="00225A2F" w:rsidRPr="00C40C0D" w:rsidRDefault="00225A2F"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Furthermore, t</w:t>
      </w:r>
      <w:r w:rsidR="00D35716" w:rsidRPr="00C40C0D">
        <w:rPr>
          <w:rFonts w:ascii="Avenir Next" w:hAnsi="Avenir Next"/>
          <w:color w:val="44546A" w:themeColor="text2"/>
        </w:rPr>
        <w:t xml:space="preserve">he debtor must demonstrate the interest of the secured creditor being primed is adequately protected. </w:t>
      </w:r>
      <w:r w:rsidRPr="00C40C0D">
        <w:rPr>
          <w:rFonts w:ascii="Avenir Next" w:hAnsi="Avenir Next"/>
          <w:color w:val="44546A" w:themeColor="text2"/>
        </w:rPr>
        <w:t xml:space="preserve">“Rolling up” may be used by pre-petition creditors to improve their position into the facility granted the priming lien. </w:t>
      </w:r>
    </w:p>
    <w:p w14:paraId="67EEA0A6" w14:textId="7734AFC1" w:rsidR="00225A2F" w:rsidRPr="00C40C0D" w:rsidRDefault="00225A2F"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A good faith debtor-in-possession lender is protected from the effects of a reversal of a DIP financing order on appeal. </w:t>
      </w:r>
    </w:p>
    <w:p w14:paraId="7C4D353A" w14:textId="77777777" w:rsidR="00D35716" w:rsidRPr="002B5D64" w:rsidRDefault="00D35716" w:rsidP="001D3BAA">
      <w:pPr>
        <w:pStyle w:val="AODocTxt"/>
        <w:spacing w:before="0" w:line="240" w:lineRule="auto"/>
        <w:rPr>
          <w:rFonts w:ascii="Avenir Next" w:hAnsi="Avenir Next"/>
          <w:color w:val="808080" w:themeColor="background1" w:themeShade="80"/>
        </w:rPr>
      </w:pP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0D04EFD4" w:rsidR="001D3BAA" w:rsidRPr="00C40C0D" w:rsidRDefault="00225A2F"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Violation of the stay constitutes contempt of court and is void or voidable. </w:t>
      </w:r>
    </w:p>
    <w:p w14:paraId="41C339F2" w14:textId="67E476B5" w:rsidR="00225A2F" w:rsidRPr="00C40C0D" w:rsidRDefault="00225A2F"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Parties in interest may seek to lift the stay to validate an act that would otherwise be a stay violation. Failure to obtain such relief may result in imposition of contempt sanctions against the stay violator </w:t>
      </w:r>
      <w:r w:rsidRPr="00C40C0D">
        <w:rPr>
          <w:rFonts w:ascii="Avenir Next" w:hAnsi="Avenir Next"/>
          <w:color w:val="44546A" w:themeColor="text2"/>
        </w:rPr>
        <w:lastRenderedPageBreak/>
        <w:t xml:space="preserve">which could include payment of legal fees of the debtor and requirement for the violator to take affirmative acts to undo the effect of its violation. </w:t>
      </w:r>
    </w:p>
    <w:p w14:paraId="3073C481" w14:textId="46341F29" w:rsidR="00225A2F" w:rsidRPr="00C40C0D" w:rsidRDefault="00225A2F"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The court may also impose coercive contempt sanctions </w:t>
      </w:r>
      <w:proofErr w:type="gramStart"/>
      <w:r w:rsidRPr="00C40C0D">
        <w:rPr>
          <w:rFonts w:ascii="Avenir Next" w:hAnsi="Avenir Next"/>
          <w:color w:val="44546A" w:themeColor="text2"/>
        </w:rPr>
        <w:t>e.g.</w:t>
      </w:r>
      <w:proofErr w:type="gramEnd"/>
      <w:r w:rsidRPr="00C40C0D">
        <w:rPr>
          <w:rFonts w:ascii="Avenir Next" w:hAnsi="Avenir Next"/>
          <w:color w:val="44546A" w:themeColor="text2"/>
        </w:rPr>
        <w:t xml:space="preserve"> daily fine to be paid until the stay violation is rectified.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5022DAA8" w:rsidR="001D3BAA" w:rsidRPr="00C40C0D" w:rsidRDefault="004317D5"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The following classes of creditors could vote on the plan:</w:t>
      </w:r>
    </w:p>
    <w:p w14:paraId="5C86B445" w14:textId="5C88AAD6" w:rsidR="004317D5" w:rsidRPr="00C40C0D" w:rsidRDefault="004317D5" w:rsidP="00C40C0D">
      <w:pPr>
        <w:pStyle w:val="AODocTxt"/>
        <w:numPr>
          <w:ilvl w:val="0"/>
          <w:numId w:val="44"/>
        </w:numPr>
        <w:spacing w:before="0" w:line="240" w:lineRule="auto"/>
        <w:rPr>
          <w:rFonts w:ascii="Avenir Next" w:hAnsi="Avenir Next"/>
          <w:color w:val="44546A" w:themeColor="text2"/>
        </w:rPr>
      </w:pPr>
      <w:r w:rsidRPr="00C40C0D">
        <w:rPr>
          <w:rFonts w:ascii="Avenir Next" w:hAnsi="Avenir Next"/>
          <w:color w:val="44546A" w:themeColor="text2"/>
        </w:rPr>
        <w:t xml:space="preserve">Creditors secured by real </w:t>
      </w:r>
      <w:proofErr w:type="gramStart"/>
      <w:r w:rsidRPr="00C40C0D">
        <w:rPr>
          <w:rFonts w:ascii="Avenir Next" w:hAnsi="Avenir Next"/>
          <w:color w:val="44546A" w:themeColor="text2"/>
        </w:rPr>
        <w:t>property</w:t>
      </w:r>
      <w:proofErr w:type="gramEnd"/>
    </w:p>
    <w:p w14:paraId="075CC7DB" w14:textId="5305FEB5" w:rsidR="004317D5" w:rsidRPr="00C40C0D" w:rsidRDefault="004317D5" w:rsidP="00C40C0D">
      <w:pPr>
        <w:pStyle w:val="AODocTxt"/>
        <w:numPr>
          <w:ilvl w:val="0"/>
          <w:numId w:val="44"/>
        </w:numPr>
        <w:spacing w:before="0" w:line="240" w:lineRule="auto"/>
        <w:rPr>
          <w:rFonts w:ascii="Avenir Next" w:hAnsi="Avenir Next"/>
          <w:color w:val="44546A" w:themeColor="text2"/>
        </w:rPr>
      </w:pPr>
      <w:r w:rsidRPr="00C40C0D">
        <w:rPr>
          <w:rFonts w:ascii="Avenir Next" w:hAnsi="Avenir Next"/>
          <w:color w:val="44546A" w:themeColor="text2"/>
        </w:rPr>
        <w:t xml:space="preserve">Creditors secured by personal </w:t>
      </w:r>
      <w:proofErr w:type="gramStart"/>
      <w:r w:rsidRPr="00C40C0D">
        <w:rPr>
          <w:rFonts w:ascii="Avenir Next" w:hAnsi="Avenir Next"/>
          <w:color w:val="44546A" w:themeColor="text2"/>
        </w:rPr>
        <w:t>property</w:t>
      </w:r>
      <w:proofErr w:type="gramEnd"/>
    </w:p>
    <w:p w14:paraId="08ADDB4E" w14:textId="7A195338" w:rsidR="004317D5" w:rsidRPr="00C40C0D" w:rsidRDefault="004317D5" w:rsidP="00C40C0D">
      <w:pPr>
        <w:pStyle w:val="AODocTxt"/>
        <w:numPr>
          <w:ilvl w:val="0"/>
          <w:numId w:val="44"/>
        </w:numPr>
        <w:spacing w:before="0" w:line="240" w:lineRule="auto"/>
        <w:rPr>
          <w:rFonts w:ascii="Avenir Next" w:hAnsi="Avenir Next"/>
          <w:color w:val="44546A" w:themeColor="text2"/>
        </w:rPr>
      </w:pPr>
      <w:r w:rsidRPr="00C40C0D">
        <w:rPr>
          <w:rFonts w:ascii="Avenir Next" w:hAnsi="Avenir Next"/>
          <w:color w:val="44546A" w:themeColor="text2"/>
        </w:rPr>
        <w:t>Unsecured creditors</w:t>
      </w:r>
    </w:p>
    <w:p w14:paraId="19A0C5C9" w14:textId="21BF8D67" w:rsidR="004317D5" w:rsidRPr="00C40C0D" w:rsidRDefault="004317D5" w:rsidP="00C40C0D">
      <w:pPr>
        <w:pStyle w:val="AODocTxt"/>
        <w:numPr>
          <w:ilvl w:val="0"/>
          <w:numId w:val="44"/>
        </w:numPr>
        <w:spacing w:before="0" w:line="240" w:lineRule="auto"/>
        <w:rPr>
          <w:rFonts w:ascii="Avenir Next" w:hAnsi="Avenir Next"/>
          <w:color w:val="44546A" w:themeColor="text2"/>
        </w:rPr>
      </w:pPr>
      <w:r w:rsidRPr="00C40C0D">
        <w:rPr>
          <w:rFonts w:ascii="Avenir Next" w:hAnsi="Avenir Next"/>
          <w:color w:val="44546A" w:themeColor="text2"/>
        </w:rPr>
        <w:t>Shareholders</w:t>
      </w:r>
    </w:p>
    <w:p w14:paraId="00ACBC26" w14:textId="77777777" w:rsidR="004317D5" w:rsidRPr="00C40C0D" w:rsidRDefault="004317D5" w:rsidP="004317D5">
      <w:pPr>
        <w:pStyle w:val="AODocTxt"/>
        <w:spacing w:before="0" w:line="240" w:lineRule="auto"/>
        <w:rPr>
          <w:rFonts w:ascii="Avenir Next" w:hAnsi="Avenir Next"/>
          <w:color w:val="44546A" w:themeColor="text2"/>
        </w:rPr>
      </w:pPr>
    </w:p>
    <w:p w14:paraId="7B4D2A10" w14:textId="471AFB92" w:rsidR="004317D5" w:rsidRPr="00C40C0D" w:rsidRDefault="004317D5" w:rsidP="004317D5">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A given class of creditors is deemed to accept the plan if a simple majority of the creditors in the class (holding at least two-thirds of the value of the claims in the class), vote in </w:t>
      </w:r>
      <w:proofErr w:type="spellStart"/>
      <w:r w:rsidRPr="00C40C0D">
        <w:rPr>
          <w:rFonts w:ascii="Avenir Next" w:hAnsi="Avenir Next"/>
          <w:color w:val="44546A" w:themeColor="text2"/>
        </w:rPr>
        <w:t>favour</w:t>
      </w:r>
      <w:proofErr w:type="spellEnd"/>
      <w:r w:rsidRPr="00C40C0D">
        <w:rPr>
          <w:rFonts w:ascii="Avenir Next" w:hAnsi="Avenir Next"/>
          <w:color w:val="44546A" w:themeColor="text2"/>
        </w:rPr>
        <w:t xml:space="preserve">. For shareholders, if two-thirds in </w:t>
      </w:r>
      <w:proofErr w:type="gramStart"/>
      <w:r w:rsidRPr="00C40C0D">
        <w:rPr>
          <w:rFonts w:ascii="Avenir Next" w:hAnsi="Avenir Next"/>
          <w:color w:val="44546A" w:themeColor="text2"/>
        </w:rPr>
        <w:t>amount</w:t>
      </w:r>
      <w:proofErr w:type="gramEnd"/>
      <w:r w:rsidRPr="00C40C0D">
        <w:rPr>
          <w:rFonts w:ascii="Avenir Next" w:hAnsi="Avenir Next"/>
          <w:color w:val="44546A" w:themeColor="text2"/>
        </w:rPr>
        <w:t xml:space="preserve"> of interests vote in </w:t>
      </w:r>
      <w:proofErr w:type="spellStart"/>
      <w:r w:rsidRPr="00C40C0D">
        <w:rPr>
          <w:rFonts w:ascii="Avenir Next" w:hAnsi="Avenir Next"/>
          <w:color w:val="44546A" w:themeColor="text2"/>
        </w:rPr>
        <w:t>favour</w:t>
      </w:r>
      <w:proofErr w:type="spellEnd"/>
      <w:r w:rsidRPr="00C40C0D">
        <w:rPr>
          <w:rFonts w:ascii="Avenir Next" w:hAnsi="Avenir Next"/>
          <w:color w:val="44546A" w:themeColor="text2"/>
        </w:rPr>
        <w:t xml:space="preserve">, they can approve the plan. </w:t>
      </w:r>
    </w:p>
    <w:p w14:paraId="239B4644" w14:textId="1F0DA21C" w:rsidR="004317D5" w:rsidRPr="00C40C0D" w:rsidRDefault="004317D5" w:rsidP="004317D5">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An unimpaired class is deemed to accept the plan, and a class that will receive nothing is deemed to reject the plan.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466B0FCB" w14:textId="77777777" w:rsidR="006F4294" w:rsidRPr="00C40C0D" w:rsidRDefault="006F4294" w:rsidP="006F4294">
      <w:pPr>
        <w:pStyle w:val="AODocTxt"/>
        <w:numPr>
          <w:ilvl w:val="0"/>
          <w:numId w:val="39"/>
        </w:numPr>
        <w:spacing w:before="0" w:line="240" w:lineRule="auto"/>
        <w:rPr>
          <w:rFonts w:ascii="Avenir Next" w:hAnsi="Avenir Next"/>
          <w:color w:val="44546A" w:themeColor="text2"/>
        </w:rPr>
      </w:pPr>
      <w:r w:rsidRPr="00C40C0D">
        <w:rPr>
          <w:rFonts w:ascii="Avenir Next" w:hAnsi="Avenir Next"/>
          <w:color w:val="44546A" w:themeColor="text2"/>
        </w:rPr>
        <w:t xml:space="preserve">Preferences </w:t>
      </w:r>
    </w:p>
    <w:p w14:paraId="1282F717" w14:textId="738342C4" w:rsidR="006F4294" w:rsidRPr="00C40C0D" w:rsidRDefault="006F4294" w:rsidP="006F4294">
      <w:pPr>
        <w:pStyle w:val="AODocTxt"/>
        <w:numPr>
          <w:ilvl w:val="0"/>
          <w:numId w:val="39"/>
        </w:numPr>
        <w:spacing w:before="0" w:line="240" w:lineRule="auto"/>
        <w:rPr>
          <w:rFonts w:ascii="Avenir Next" w:hAnsi="Avenir Next"/>
          <w:color w:val="44546A" w:themeColor="text2"/>
        </w:rPr>
      </w:pPr>
      <w:r w:rsidRPr="00C40C0D">
        <w:rPr>
          <w:rFonts w:ascii="Avenir Next" w:hAnsi="Avenir Next"/>
          <w:color w:val="44546A" w:themeColor="text2"/>
        </w:rPr>
        <w:t>Constructive fraudulent conveyance</w:t>
      </w:r>
    </w:p>
    <w:p w14:paraId="680403BA" w14:textId="77777777" w:rsidR="006F4294" w:rsidRPr="00C40C0D" w:rsidRDefault="006F4294" w:rsidP="006F4294">
      <w:pPr>
        <w:pStyle w:val="AODocTxt"/>
        <w:numPr>
          <w:ilvl w:val="0"/>
          <w:numId w:val="39"/>
        </w:numPr>
        <w:spacing w:before="0" w:line="240" w:lineRule="auto"/>
        <w:rPr>
          <w:rFonts w:ascii="Avenir Next" w:hAnsi="Avenir Next"/>
          <w:color w:val="44546A" w:themeColor="text2"/>
        </w:rPr>
      </w:pPr>
      <w:r w:rsidRPr="00C40C0D">
        <w:rPr>
          <w:rFonts w:ascii="Avenir Next" w:hAnsi="Avenir Next"/>
          <w:color w:val="44546A" w:themeColor="text2"/>
        </w:rPr>
        <w:t xml:space="preserve">Actual fraudulent conveyance </w:t>
      </w:r>
    </w:p>
    <w:p w14:paraId="5B65751B" w14:textId="77777777" w:rsidR="006F4294" w:rsidRDefault="006F4294" w:rsidP="006F4294">
      <w:pPr>
        <w:pStyle w:val="AODocTxt"/>
        <w:spacing w:before="0" w:line="240" w:lineRule="auto"/>
        <w:rPr>
          <w:rFonts w:ascii="Avenir Next" w:hAnsi="Avenir Next"/>
          <w:color w:val="808080" w:themeColor="background1" w:themeShade="80"/>
        </w:rPr>
      </w:pPr>
    </w:p>
    <w:p w14:paraId="69E3195D" w14:textId="77777777" w:rsidR="006F4294" w:rsidRPr="006F4294" w:rsidRDefault="006F4294" w:rsidP="006F4294">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27D97B5B" w:rsidR="001D3BAA" w:rsidRPr="00C40C0D" w:rsidRDefault="00D43D16"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If the bankruptcy court had authority to enter a final order, the district </w:t>
      </w:r>
      <w:proofErr w:type="gramStart"/>
      <w:r w:rsidRPr="00C40C0D">
        <w:rPr>
          <w:rFonts w:ascii="Avenir Next" w:hAnsi="Avenir Next"/>
          <w:color w:val="44546A" w:themeColor="text2"/>
        </w:rPr>
        <w:t>court</w:t>
      </w:r>
      <w:proofErr w:type="gramEnd"/>
      <w:r w:rsidRPr="00C40C0D">
        <w:rPr>
          <w:rFonts w:ascii="Avenir Next" w:hAnsi="Avenir Next"/>
          <w:color w:val="44546A" w:themeColor="text2"/>
        </w:rPr>
        <w:t xml:space="preserve"> or the Bankruptcy Appellate Panel (BAP) reviews conclusions of law de novo and reviews findings of fact for abuse of discretion. It also recognizes that the bankruptcy court had greater opportunity to weigh the evidence. </w:t>
      </w:r>
    </w:p>
    <w:p w14:paraId="5EA9ECA3" w14:textId="28D226C3" w:rsidR="00D43D16" w:rsidRPr="00C40C0D" w:rsidRDefault="00D43D16"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lastRenderedPageBreak/>
        <w:t xml:space="preserve">If the bankruptcy court did not have authority to enter a final order, the district court/BAP reviews de novo all findings of fact and conclusions of law to which party has objected. </w:t>
      </w:r>
    </w:p>
    <w:p w14:paraId="52E38589" w14:textId="77777777" w:rsidR="00D43D16" w:rsidRPr="00C40C0D" w:rsidRDefault="00D43D16" w:rsidP="001D3BAA">
      <w:pPr>
        <w:pStyle w:val="AODocTxt"/>
        <w:spacing w:before="0" w:line="240" w:lineRule="auto"/>
        <w:rPr>
          <w:rFonts w:ascii="Avenir Next" w:hAnsi="Avenir Next"/>
          <w:color w:val="44546A" w:themeColor="text2"/>
        </w:rPr>
      </w:pPr>
    </w:p>
    <w:p w14:paraId="33791C9A" w14:textId="57F46472" w:rsidR="00D43D16" w:rsidRPr="00C40C0D" w:rsidRDefault="00D43D16"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A constitutionally final order is not final for the purposes of appeal and does not resolve the entire issue in dispute. </w:t>
      </w:r>
    </w:p>
    <w:p w14:paraId="7C013F30" w14:textId="77777777" w:rsidR="00D43D16" w:rsidRPr="00C40C0D" w:rsidRDefault="00D43D16" w:rsidP="001D3BAA">
      <w:pPr>
        <w:pStyle w:val="AODocTxt"/>
        <w:spacing w:before="0" w:line="240" w:lineRule="auto"/>
        <w:rPr>
          <w:rFonts w:ascii="Avenir Next" w:hAnsi="Avenir Next"/>
          <w:color w:val="44546A" w:themeColor="text2"/>
        </w:rPr>
      </w:pPr>
    </w:p>
    <w:p w14:paraId="3830A0EB" w14:textId="5E631B4E" w:rsidR="00D43D16" w:rsidRPr="00C40C0D" w:rsidRDefault="00D43D16"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Bankruptcy courts may enter final orders in the circumstances where jurisdictional requirements under Article III of the US constitution are met, and due process clause of the Fifth Amendment is also met. </w:t>
      </w:r>
    </w:p>
    <w:p w14:paraId="0740D698" w14:textId="77777777" w:rsidR="00D43D16" w:rsidRPr="00C40C0D" w:rsidRDefault="00D43D16" w:rsidP="001D3BAA">
      <w:pPr>
        <w:pStyle w:val="AODocTxt"/>
        <w:spacing w:before="0" w:line="240" w:lineRule="auto"/>
        <w:rPr>
          <w:rFonts w:ascii="Avenir Next" w:hAnsi="Avenir Next"/>
          <w:color w:val="44546A" w:themeColor="text2"/>
        </w:rPr>
      </w:pPr>
    </w:p>
    <w:p w14:paraId="777C9A45" w14:textId="171A7D0B" w:rsidR="00D43D16" w:rsidRPr="00C40C0D" w:rsidRDefault="00D43D16"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Not constitutionally final orders can be reviewed via interlocutory appeals </w:t>
      </w:r>
      <w:r w:rsidR="00A677DE" w:rsidRPr="00C40C0D">
        <w:rPr>
          <w:rFonts w:ascii="Avenir Next" w:hAnsi="Avenir Next"/>
          <w:color w:val="44546A" w:themeColor="text2"/>
        </w:rPr>
        <w:t>(seek permission to appeal before the bankruptcy case reaches final disposition)</w:t>
      </w:r>
      <w:r w:rsidRPr="00C40C0D">
        <w:rPr>
          <w:rFonts w:ascii="Avenir Next" w:hAnsi="Avenir Next"/>
          <w:color w:val="44546A" w:themeColor="text2"/>
        </w:rPr>
        <w:t xml:space="preserve">, objections and motions and direct appeals.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238A3195" w14:textId="2C9F46C2" w:rsidR="00944A85" w:rsidRPr="00C40C0D" w:rsidRDefault="00944A85"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The following provisions of the Bankruptcy Code may not be invoked by a foreign representative in Chapter 15 proceeding:</w:t>
      </w:r>
    </w:p>
    <w:p w14:paraId="0A265D7A" w14:textId="5C727769" w:rsidR="00944A85" w:rsidRPr="00C40C0D" w:rsidRDefault="00944A85" w:rsidP="00C40C0D">
      <w:pPr>
        <w:pStyle w:val="AODocTxt"/>
        <w:numPr>
          <w:ilvl w:val="0"/>
          <w:numId w:val="43"/>
        </w:numPr>
        <w:spacing w:before="0" w:line="240" w:lineRule="auto"/>
        <w:rPr>
          <w:rFonts w:ascii="Avenir Next" w:hAnsi="Avenir Next"/>
          <w:color w:val="44546A" w:themeColor="text2"/>
        </w:rPr>
      </w:pPr>
      <w:r w:rsidRPr="00C40C0D">
        <w:rPr>
          <w:rFonts w:ascii="Avenir Next" w:hAnsi="Avenir Next"/>
          <w:color w:val="44546A" w:themeColor="text2"/>
        </w:rPr>
        <w:t xml:space="preserve">Automatic </w:t>
      </w:r>
      <w:proofErr w:type="gramStart"/>
      <w:r w:rsidRPr="00C40C0D">
        <w:rPr>
          <w:rFonts w:ascii="Avenir Next" w:hAnsi="Avenir Next"/>
          <w:color w:val="44546A" w:themeColor="text2"/>
        </w:rPr>
        <w:t>stay;</w:t>
      </w:r>
      <w:proofErr w:type="gramEnd"/>
    </w:p>
    <w:p w14:paraId="13842430" w14:textId="6E5360BD" w:rsidR="00944A85" w:rsidRPr="00C40C0D" w:rsidRDefault="00944A85" w:rsidP="00C40C0D">
      <w:pPr>
        <w:pStyle w:val="AODocTxt"/>
        <w:numPr>
          <w:ilvl w:val="0"/>
          <w:numId w:val="43"/>
        </w:numPr>
        <w:spacing w:before="0" w:line="240" w:lineRule="auto"/>
        <w:rPr>
          <w:rFonts w:ascii="Avenir Next" w:hAnsi="Avenir Next"/>
          <w:color w:val="44546A" w:themeColor="text2"/>
        </w:rPr>
      </w:pPr>
      <w:r w:rsidRPr="00C40C0D">
        <w:rPr>
          <w:rFonts w:ascii="Avenir Next" w:hAnsi="Avenir Next"/>
          <w:color w:val="44546A" w:themeColor="text2"/>
        </w:rPr>
        <w:t xml:space="preserve">Sale, </w:t>
      </w:r>
      <w:proofErr w:type="gramStart"/>
      <w:r w:rsidRPr="00C40C0D">
        <w:rPr>
          <w:rFonts w:ascii="Avenir Next" w:hAnsi="Avenir Next"/>
          <w:color w:val="44546A" w:themeColor="text2"/>
        </w:rPr>
        <w:t>transfer</w:t>
      </w:r>
      <w:proofErr w:type="gramEnd"/>
      <w:r w:rsidRPr="00C40C0D">
        <w:rPr>
          <w:rFonts w:ascii="Avenir Next" w:hAnsi="Avenir Next"/>
          <w:color w:val="44546A" w:themeColor="text2"/>
        </w:rPr>
        <w:t xml:space="preserve"> and use of property outside the ordinary course; and</w:t>
      </w:r>
    </w:p>
    <w:p w14:paraId="63D951E6" w14:textId="530D0A5D" w:rsidR="00944A85" w:rsidRPr="00C40C0D" w:rsidRDefault="00944A85" w:rsidP="00C40C0D">
      <w:pPr>
        <w:pStyle w:val="AODocTxt"/>
        <w:numPr>
          <w:ilvl w:val="0"/>
          <w:numId w:val="43"/>
        </w:numPr>
        <w:spacing w:before="0" w:line="240" w:lineRule="auto"/>
        <w:rPr>
          <w:rFonts w:ascii="Avenir Next" w:hAnsi="Avenir Next"/>
          <w:color w:val="44546A" w:themeColor="text2"/>
        </w:rPr>
      </w:pPr>
      <w:r w:rsidRPr="00C40C0D">
        <w:rPr>
          <w:rFonts w:ascii="Avenir Next" w:hAnsi="Avenir Next"/>
          <w:color w:val="44546A" w:themeColor="text2"/>
        </w:rPr>
        <w:t xml:space="preserve">Avoidance of post-petition transfers and post-petition perfection of security interests. </w:t>
      </w:r>
    </w:p>
    <w:p w14:paraId="42E945EE" w14:textId="77777777" w:rsidR="007750B6" w:rsidRPr="00C40C0D" w:rsidRDefault="007750B6" w:rsidP="001D3BAA">
      <w:pPr>
        <w:pStyle w:val="AODocTxt"/>
        <w:spacing w:before="0" w:line="240" w:lineRule="auto"/>
        <w:rPr>
          <w:rFonts w:ascii="Avenir Next" w:hAnsi="Avenir Next"/>
          <w:color w:val="44546A" w:themeColor="text2"/>
        </w:rPr>
      </w:pPr>
    </w:p>
    <w:p w14:paraId="157437E4" w14:textId="77777777" w:rsidR="00944A85" w:rsidRPr="00C40C0D" w:rsidRDefault="00944A85" w:rsidP="00944A85">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A foreign representative may only invoke the Bankruptcy Code avoidance powers in a plenary proceedings under Chapter 7 and Chapter 11 and not in a chapter 15 proceeding. </w:t>
      </w:r>
    </w:p>
    <w:p w14:paraId="3667D4FE" w14:textId="77777777" w:rsidR="00307B87" w:rsidRPr="00C40C0D" w:rsidRDefault="007750B6"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However, the foreign representative may choose to enter plenary proceedings under the Bankruptcy Code once recognition of the foreign proceeding under chapter 15 was granted. </w:t>
      </w:r>
      <w:r w:rsidR="00307B87" w:rsidRPr="00C40C0D">
        <w:rPr>
          <w:rFonts w:ascii="Avenir Next" w:hAnsi="Avenir Next"/>
          <w:color w:val="44546A" w:themeColor="text2"/>
        </w:rPr>
        <w:t xml:space="preserve">In this case, the scope of the proceedings would be limited to the US assets of the debtor and would be coordinated with the foreign proceedings. </w:t>
      </w:r>
    </w:p>
    <w:p w14:paraId="6A490993" w14:textId="3A08C6C7" w:rsidR="007750B6" w:rsidRPr="00C40C0D" w:rsidRDefault="00307B87" w:rsidP="001D3BAA">
      <w:pPr>
        <w:pStyle w:val="AODocTxt"/>
        <w:spacing w:before="0" w:line="240" w:lineRule="auto"/>
        <w:rPr>
          <w:rFonts w:ascii="Avenir Next" w:hAnsi="Avenir Next"/>
          <w:color w:val="44546A" w:themeColor="text2"/>
        </w:rPr>
      </w:pPr>
      <w:r w:rsidRPr="00C40C0D">
        <w:rPr>
          <w:rFonts w:ascii="Avenir Next" w:hAnsi="Avenir Next"/>
          <w:color w:val="44546A" w:themeColor="text2"/>
        </w:rPr>
        <w:t xml:space="preserve">The foreign representative can enter plenary proceedings to obtain access to the avoiding powers under the Bankruptcy Code where relief under other law is not satisfactory </w:t>
      </w:r>
      <w:proofErr w:type="gramStart"/>
      <w:r w:rsidRPr="00C40C0D">
        <w:rPr>
          <w:rFonts w:ascii="Avenir Next" w:hAnsi="Avenir Next"/>
          <w:color w:val="44546A" w:themeColor="text2"/>
        </w:rPr>
        <w:t>e.g.</w:t>
      </w:r>
      <w:proofErr w:type="gramEnd"/>
      <w:r w:rsidRPr="00C40C0D">
        <w:rPr>
          <w:rFonts w:ascii="Avenir Next" w:hAnsi="Avenir Next"/>
          <w:color w:val="44546A" w:themeColor="text2"/>
        </w:rPr>
        <w:t xml:space="preserve"> when the statute of limitations expired or applicable law does not allow claims for constructive fraudulent conveyance. </w:t>
      </w:r>
    </w:p>
    <w:p w14:paraId="7C13EB03" w14:textId="77777777" w:rsidR="007750B6" w:rsidRPr="002B5D64" w:rsidRDefault="007750B6" w:rsidP="001D3BAA">
      <w:pPr>
        <w:pStyle w:val="AODocTxt"/>
        <w:spacing w:before="0" w:line="240" w:lineRule="auto"/>
        <w:rPr>
          <w:rFonts w:ascii="Avenir Next" w:hAnsi="Avenir Next"/>
          <w:color w:val="808080" w:themeColor="background1" w:themeShade="80"/>
        </w:rPr>
      </w:pP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3E7EDA25" w:rsidR="001D3BAA" w:rsidRPr="00C40C0D" w:rsidRDefault="00307B87" w:rsidP="00C40C0D">
      <w:pPr>
        <w:pStyle w:val="AODocTxt"/>
        <w:spacing w:before="0" w:line="240" w:lineRule="auto"/>
        <w:rPr>
          <w:rFonts w:ascii="Avenir Next" w:hAnsi="Avenir Next"/>
          <w:color w:val="44546A" w:themeColor="text2"/>
        </w:rPr>
      </w:pPr>
      <w:r w:rsidRPr="00C40C0D">
        <w:rPr>
          <w:rFonts w:ascii="Avenir Next" w:hAnsi="Avenir Next"/>
          <w:color w:val="44546A" w:themeColor="text2"/>
        </w:rPr>
        <w:t>The following rules should be reviewed when preparing for a bankruptcy court filing:</w:t>
      </w:r>
    </w:p>
    <w:p w14:paraId="098BFFA0" w14:textId="7C3170CB" w:rsidR="00307B87" w:rsidRPr="00C40C0D" w:rsidRDefault="00307B87" w:rsidP="00C40C0D">
      <w:pPr>
        <w:pStyle w:val="AODocTxt"/>
        <w:numPr>
          <w:ilvl w:val="0"/>
          <w:numId w:val="42"/>
        </w:numPr>
        <w:spacing w:before="0" w:line="240" w:lineRule="auto"/>
        <w:rPr>
          <w:rFonts w:ascii="Avenir Next" w:hAnsi="Avenir Next"/>
          <w:color w:val="44546A" w:themeColor="text2"/>
        </w:rPr>
      </w:pPr>
      <w:r w:rsidRPr="00C40C0D">
        <w:rPr>
          <w:rFonts w:ascii="Avenir Next" w:hAnsi="Avenir Next"/>
          <w:color w:val="44546A" w:themeColor="text2"/>
        </w:rPr>
        <w:t xml:space="preserve">The Bankruptcy </w:t>
      </w:r>
      <w:proofErr w:type="gramStart"/>
      <w:r w:rsidRPr="00C40C0D">
        <w:rPr>
          <w:rFonts w:ascii="Avenir Next" w:hAnsi="Avenir Next"/>
          <w:color w:val="44546A" w:themeColor="text2"/>
        </w:rPr>
        <w:t>Rules;</w:t>
      </w:r>
      <w:proofErr w:type="gramEnd"/>
    </w:p>
    <w:p w14:paraId="34EEA282" w14:textId="0FC11F8C" w:rsidR="00307B87" w:rsidRPr="00C40C0D" w:rsidRDefault="00307B87" w:rsidP="00C40C0D">
      <w:pPr>
        <w:pStyle w:val="AODocTxt"/>
        <w:numPr>
          <w:ilvl w:val="0"/>
          <w:numId w:val="42"/>
        </w:numPr>
        <w:spacing w:before="0" w:line="240" w:lineRule="auto"/>
        <w:rPr>
          <w:rFonts w:ascii="Avenir Next" w:hAnsi="Avenir Next"/>
          <w:color w:val="44546A" w:themeColor="text2"/>
        </w:rPr>
      </w:pPr>
      <w:r w:rsidRPr="00C40C0D">
        <w:rPr>
          <w:rFonts w:ascii="Avenir Next" w:hAnsi="Avenir Next"/>
          <w:color w:val="44546A" w:themeColor="text2"/>
        </w:rPr>
        <w:t xml:space="preserve">The Federal Rules of Civil </w:t>
      </w:r>
      <w:proofErr w:type="gramStart"/>
      <w:r w:rsidRPr="00C40C0D">
        <w:rPr>
          <w:rFonts w:ascii="Avenir Next" w:hAnsi="Avenir Next"/>
          <w:color w:val="44546A" w:themeColor="text2"/>
        </w:rPr>
        <w:t>Procedure;</w:t>
      </w:r>
      <w:proofErr w:type="gramEnd"/>
    </w:p>
    <w:p w14:paraId="12C72559" w14:textId="10F98BA3" w:rsidR="00307B87" w:rsidRPr="00C40C0D" w:rsidRDefault="00307B87" w:rsidP="00C40C0D">
      <w:pPr>
        <w:pStyle w:val="AODocTxt"/>
        <w:numPr>
          <w:ilvl w:val="0"/>
          <w:numId w:val="42"/>
        </w:numPr>
        <w:spacing w:before="0" w:line="240" w:lineRule="auto"/>
        <w:rPr>
          <w:rFonts w:ascii="Avenir Next" w:hAnsi="Avenir Next"/>
          <w:color w:val="44546A" w:themeColor="text2"/>
        </w:rPr>
      </w:pPr>
      <w:r w:rsidRPr="00C40C0D">
        <w:rPr>
          <w:rFonts w:ascii="Avenir Next" w:hAnsi="Avenir Next"/>
          <w:color w:val="44546A" w:themeColor="text2"/>
        </w:rPr>
        <w:t>The local rules of the bankruptcy court – advice from local practitioner can be sought; and</w:t>
      </w:r>
    </w:p>
    <w:p w14:paraId="57830269" w14:textId="3B63BC09" w:rsidR="00307B87" w:rsidRPr="00C40C0D" w:rsidRDefault="00307B87" w:rsidP="00C40C0D">
      <w:pPr>
        <w:pStyle w:val="AODocTxt"/>
        <w:numPr>
          <w:ilvl w:val="0"/>
          <w:numId w:val="42"/>
        </w:numPr>
        <w:spacing w:before="0" w:line="240" w:lineRule="auto"/>
        <w:rPr>
          <w:rFonts w:ascii="Avenir Next" w:hAnsi="Avenir Next"/>
          <w:color w:val="44546A" w:themeColor="text2"/>
        </w:rPr>
      </w:pPr>
      <w:r w:rsidRPr="00C40C0D">
        <w:rPr>
          <w:rFonts w:ascii="Avenir Next" w:hAnsi="Avenir Next"/>
          <w:color w:val="44546A" w:themeColor="text2"/>
        </w:rPr>
        <w:t xml:space="preserve">The judge’s personal practices.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179A7B00" w:rsidR="001D3BAA" w:rsidRPr="00123F24" w:rsidRDefault="00944A85" w:rsidP="001D3BAA">
      <w:pPr>
        <w:pStyle w:val="AODocTxt"/>
        <w:spacing w:before="0" w:line="240" w:lineRule="auto"/>
        <w:rPr>
          <w:rFonts w:ascii="Avenir Next" w:hAnsi="Avenir Next"/>
          <w:color w:val="44546A" w:themeColor="text2"/>
        </w:rPr>
      </w:pPr>
      <w:r w:rsidRPr="00123F24">
        <w:rPr>
          <w:rFonts w:ascii="Avenir Next" w:hAnsi="Avenir Next"/>
          <w:color w:val="44546A" w:themeColor="text2"/>
        </w:rPr>
        <w:lastRenderedPageBreak/>
        <w:t>Directors of Delaware corporations owe the following fiduciary duties:</w:t>
      </w:r>
    </w:p>
    <w:p w14:paraId="6B4BF517" w14:textId="0A64C26E" w:rsidR="00EB435E" w:rsidRPr="00123F24" w:rsidRDefault="00EB435E" w:rsidP="00123F24">
      <w:pPr>
        <w:pStyle w:val="AODocTxt"/>
        <w:numPr>
          <w:ilvl w:val="0"/>
          <w:numId w:val="41"/>
        </w:numPr>
        <w:spacing w:before="0" w:line="240" w:lineRule="auto"/>
        <w:rPr>
          <w:rFonts w:ascii="Avenir Next" w:hAnsi="Avenir Next"/>
          <w:color w:val="44546A" w:themeColor="text2"/>
        </w:rPr>
      </w:pPr>
      <w:r w:rsidRPr="00123F24">
        <w:rPr>
          <w:rFonts w:ascii="Avenir Next" w:hAnsi="Avenir Next"/>
          <w:color w:val="44546A" w:themeColor="text2"/>
        </w:rPr>
        <w:t>Duty of loyalty to the corporation’s best interest; and</w:t>
      </w:r>
    </w:p>
    <w:p w14:paraId="13D161D2" w14:textId="5238880B" w:rsidR="00EB435E" w:rsidRPr="00123F24" w:rsidRDefault="00EB435E" w:rsidP="00123F24">
      <w:pPr>
        <w:pStyle w:val="AODocTxt"/>
        <w:numPr>
          <w:ilvl w:val="0"/>
          <w:numId w:val="41"/>
        </w:numPr>
        <w:spacing w:before="0" w:line="240" w:lineRule="auto"/>
        <w:rPr>
          <w:rFonts w:ascii="Avenir Next" w:hAnsi="Avenir Next"/>
          <w:color w:val="44546A" w:themeColor="text2"/>
        </w:rPr>
      </w:pPr>
      <w:r w:rsidRPr="00123F24">
        <w:rPr>
          <w:rFonts w:ascii="Avenir Next" w:hAnsi="Avenir Next"/>
          <w:color w:val="44546A" w:themeColor="text2"/>
        </w:rPr>
        <w:t xml:space="preserve">Duty of care in educated decision-making. </w:t>
      </w:r>
    </w:p>
    <w:p w14:paraId="3B012ECA" w14:textId="77777777" w:rsidR="00EB435E" w:rsidRPr="00123F24" w:rsidRDefault="00EB435E" w:rsidP="00EB435E">
      <w:pPr>
        <w:pStyle w:val="AODocTxt"/>
        <w:spacing w:before="0" w:line="240" w:lineRule="auto"/>
        <w:rPr>
          <w:rFonts w:ascii="Avenir Next" w:hAnsi="Avenir Next"/>
          <w:color w:val="44546A" w:themeColor="text2"/>
        </w:rPr>
      </w:pPr>
    </w:p>
    <w:p w14:paraId="634B73C0" w14:textId="6AF9EF39" w:rsidR="00EB435E" w:rsidRPr="00123F24" w:rsidRDefault="00EB435E" w:rsidP="00EB435E">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Directors are protected from liability for any errors of judgement by the business judgement rule, under which the directors are presumed to have acted in good faith and </w:t>
      </w:r>
      <w:proofErr w:type="gramStart"/>
      <w:r w:rsidRPr="00123F24">
        <w:rPr>
          <w:rFonts w:ascii="Avenir Next" w:hAnsi="Avenir Next"/>
          <w:color w:val="44546A" w:themeColor="text2"/>
        </w:rPr>
        <w:t>on the basis of</w:t>
      </w:r>
      <w:proofErr w:type="gramEnd"/>
      <w:r w:rsidRPr="00123F24">
        <w:rPr>
          <w:rFonts w:ascii="Avenir Next" w:hAnsi="Avenir Next"/>
          <w:color w:val="44546A" w:themeColor="text2"/>
        </w:rPr>
        <w:t xml:space="preserve"> reasonable information. This </w:t>
      </w:r>
      <w:r w:rsidR="008B45FF" w:rsidRPr="00123F24">
        <w:rPr>
          <w:rFonts w:ascii="Avenir Next" w:hAnsi="Avenir Next"/>
          <w:color w:val="44546A" w:themeColor="text2"/>
        </w:rPr>
        <w:t>presumption</w:t>
      </w:r>
      <w:r w:rsidRPr="00123F24">
        <w:rPr>
          <w:rFonts w:ascii="Avenir Next" w:hAnsi="Avenir Next"/>
          <w:color w:val="44546A" w:themeColor="text2"/>
        </w:rPr>
        <w:t xml:space="preserve"> can be rebutted only if it is shown that majority of the directors are not reasonably informed and did not honestly believe that their decision w</w:t>
      </w:r>
      <w:r w:rsidR="008B45FF" w:rsidRPr="00123F24">
        <w:rPr>
          <w:rFonts w:ascii="Avenir Next" w:hAnsi="Avenir Next"/>
          <w:color w:val="44546A" w:themeColor="text2"/>
        </w:rPr>
        <w:t xml:space="preserve">as in the best interest of the corporation. However, the business rule doesn’t apply when a transaction is approved by </w:t>
      </w:r>
      <w:proofErr w:type="gramStart"/>
      <w:r w:rsidR="008B45FF" w:rsidRPr="00123F24">
        <w:rPr>
          <w:rFonts w:ascii="Avenir Next" w:hAnsi="Avenir Next"/>
          <w:color w:val="44546A" w:themeColor="text2"/>
        </w:rPr>
        <w:t>the majority of</w:t>
      </w:r>
      <w:proofErr w:type="gramEnd"/>
      <w:r w:rsidR="008B45FF" w:rsidRPr="00123F24">
        <w:rPr>
          <w:rFonts w:ascii="Avenir Next" w:hAnsi="Avenir Next"/>
          <w:color w:val="44546A" w:themeColor="text2"/>
        </w:rPr>
        <w:t xml:space="preserve"> the board of directors that is not disinterested and independent or when a controlling shareholders is on both sides of the transaction. In those circumstances the transaction would be void unless the entire fairness standard is satisfied. </w:t>
      </w:r>
    </w:p>
    <w:p w14:paraId="2DCBF872" w14:textId="5853FBE5" w:rsidR="00944A85" w:rsidRPr="00123F24" w:rsidRDefault="00944A85" w:rsidP="00944A85">
      <w:pPr>
        <w:pStyle w:val="AODocTxt"/>
        <w:spacing w:before="0" w:line="240" w:lineRule="auto"/>
        <w:rPr>
          <w:rFonts w:ascii="Avenir Next" w:hAnsi="Avenir Next"/>
          <w:color w:val="44546A" w:themeColor="text2"/>
        </w:rPr>
      </w:pPr>
    </w:p>
    <w:p w14:paraId="1C2AA710" w14:textId="2BB0D80F" w:rsidR="00944A85" w:rsidRPr="00123F24" w:rsidRDefault="00944A85" w:rsidP="00944A85">
      <w:pPr>
        <w:pStyle w:val="AODocTxt"/>
        <w:spacing w:before="0" w:line="240" w:lineRule="auto"/>
        <w:rPr>
          <w:rFonts w:ascii="Avenir Next" w:hAnsi="Avenir Next"/>
          <w:color w:val="44546A" w:themeColor="text2"/>
        </w:rPr>
      </w:pPr>
      <w:r w:rsidRPr="00123F24">
        <w:rPr>
          <w:rFonts w:ascii="Avenir Next" w:hAnsi="Avenir Next"/>
          <w:color w:val="44546A" w:themeColor="text2"/>
        </w:rPr>
        <w:t>In the ordinary course of business, the duties would be owed to</w:t>
      </w:r>
      <w:r w:rsidR="00EB435E" w:rsidRPr="00123F24">
        <w:rPr>
          <w:rFonts w:ascii="Avenir Next" w:hAnsi="Avenir Next"/>
          <w:color w:val="44546A" w:themeColor="text2"/>
        </w:rPr>
        <w:t xml:space="preserve"> the corporation and its shareholders. </w:t>
      </w:r>
    </w:p>
    <w:p w14:paraId="6A9B5B4D" w14:textId="77777777" w:rsidR="00944A85" w:rsidRPr="00123F24" w:rsidRDefault="00944A85" w:rsidP="00944A85">
      <w:pPr>
        <w:pStyle w:val="AODocTxt"/>
        <w:spacing w:before="0" w:line="240" w:lineRule="auto"/>
        <w:rPr>
          <w:rFonts w:ascii="Avenir Next" w:hAnsi="Avenir Next"/>
          <w:color w:val="44546A" w:themeColor="text2"/>
        </w:rPr>
      </w:pPr>
    </w:p>
    <w:p w14:paraId="62192B3A" w14:textId="74F65C5A" w:rsidR="00944A85" w:rsidRPr="00123F24" w:rsidRDefault="00944A85" w:rsidP="00944A85">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When the corporation is potentially or </w:t>
      </w:r>
      <w:proofErr w:type="gramStart"/>
      <w:r w:rsidRPr="00123F24">
        <w:rPr>
          <w:rFonts w:ascii="Avenir Next" w:hAnsi="Avenir Next"/>
          <w:color w:val="44546A" w:themeColor="text2"/>
        </w:rPr>
        <w:t>actually insolvent</w:t>
      </w:r>
      <w:proofErr w:type="gramEnd"/>
      <w:r w:rsidRPr="00123F24">
        <w:rPr>
          <w:rFonts w:ascii="Avenir Next" w:hAnsi="Avenir Next"/>
          <w:color w:val="44546A" w:themeColor="text2"/>
        </w:rPr>
        <w:t xml:space="preserve">, the duties would </w:t>
      </w:r>
      <w:r w:rsidR="00EB435E" w:rsidRPr="00123F24">
        <w:rPr>
          <w:rFonts w:ascii="Avenir Next" w:hAnsi="Avenir Next"/>
          <w:color w:val="44546A" w:themeColor="text2"/>
        </w:rPr>
        <w:t xml:space="preserve">still be owed to the corporation and its shareholders and not to any creditors of the corporation. </w:t>
      </w:r>
    </w:p>
    <w:p w14:paraId="3BFFA9B5" w14:textId="77777777" w:rsidR="00944A85" w:rsidRPr="002B5D64" w:rsidRDefault="00944A85" w:rsidP="00944A85">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6341B858" w:rsidR="001D3BAA" w:rsidRPr="00123F24" w:rsidRDefault="008B45FF" w:rsidP="001D3BAA">
      <w:pPr>
        <w:pStyle w:val="AODocTxt"/>
        <w:spacing w:before="0" w:line="240" w:lineRule="auto"/>
        <w:rPr>
          <w:rFonts w:ascii="Avenir Next" w:hAnsi="Avenir Next"/>
          <w:color w:val="44546A" w:themeColor="text2"/>
        </w:rPr>
      </w:pPr>
      <w:r w:rsidRPr="00123F24">
        <w:rPr>
          <w:rFonts w:ascii="Avenir Next" w:hAnsi="Avenir Next"/>
          <w:color w:val="44546A" w:themeColor="text2"/>
        </w:rPr>
        <w:t>If iWork Ltd (iWork) files for bankruptcy, the Bankruptcy code would provide the following protections to the lessors:</w:t>
      </w:r>
    </w:p>
    <w:p w14:paraId="7E41A897" w14:textId="6AD3B211" w:rsidR="008B45FF" w:rsidRPr="00123F24" w:rsidRDefault="008B45FF" w:rsidP="00123F24">
      <w:pPr>
        <w:pStyle w:val="AODocTxt"/>
        <w:numPr>
          <w:ilvl w:val="0"/>
          <w:numId w:val="40"/>
        </w:numPr>
        <w:spacing w:before="0" w:line="240" w:lineRule="auto"/>
        <w:rPr>
          <w:rFonts w:ascii="Avenir Next" w:hAnsi="Avenir Next"/>
          <w:color w:val="44546A" w:themeColor="text2"/>
        </w:rPr>
      </w:pPr>
      <w:r w:rsidRPr="00123F24">
        <w:rPr>
          <w:rFonts w:ascii="Avenir Next" w:hAnsi="Avenir Next"/>
          <w:color w:val="44546A" w:themeColor="text2"/>
        </w:rPr>
        <w:t xml:space="preserve">Automatic stay is granted upon the filing of the petition for bankruptcy. The stay would prevent legal actions against the debtor, collections of unpaid rent or eviction. </w:t>
      </w:r>
    </w:p>
    <w:p w14:paraId="3712FA05" w14:textId="4871AF45" w:rsidR="008B45FF" w:rsidRPr="00123F24" w:rsidRDefault="007F6A2D" w:rsidP="00123F24">
      <w:pPr>
        <w:pStyle w:val="AODocTxt"/>
        <w:numPr>
          <w:ilvl w:val="0"/>
          <w:numId w:val="40"/>
        </w:numPr>
        <w:spacing w:before="0" w:line="240" w:lineRule="auto"/>
        <w:rPr>
          <w:rFonts w:ascii="Avenir Next" w:hAnsi="Avenir Next"/>
          <w:color w:val="44546A" w:themeColor="text2"/>
        </w:rPr>
      </w:pPr>
      <w:r w:rsidRPr="00123F24">
        <w:rPr>
          <w:rFonts w:ascii="Avenir Next" w:hAnsi="Avenir Next"/>
          <w:color w:val="44546A" w:themeColor="text2"/>
        </w:rPr>
        <w:t xml:space="preserve">The debtor can also reject or assume leases, which might be burdensome. If leases are rejected, </w:t>
      </w:r>
      <w:r w:rsidR="0068425B" w:rsidRPr="00123F24">
        <w:rPr>
          <w:rFonts w:ascii="Avenir Next" w:hAnsi="Avenir Next"/>
          <w:color w:val="44546A" w:themeColor="text2"/>
        </w:rPr>
        <w:t xml:space="preserve">that would be considered breach of contract and the lessor may be entitled to submit a claim for damages. </w:t>
      </w:r>
    </w:p>
    <w:p w14:paraId="0B524AB4" w14:textId="1C44F7E7" w:rsidR="007F6A2D" w:rsidRPr="00123F24" w:rsidRDefault="007F6A2D" w:rsidP="00123F24">
      <w:pPr>
        <w:pStyle w:val="AODocTxt"/>
        <w:numPr>
          <w:ilvl w:val="0"/>
          <w:numId w:val="40"/>
        </w:numPr>
        <w:spacing w:before="0" w:line="240" w:lineRule="auto"/>
        <w:rPr>
          <w:rFonts w:ascii="Avenir Next" w:hAnsi="Avenir Next"/>
          <w:color w:val="44546A" w:themeColor="text2"/>
        </w:rPr>
      </w:pPr>
      <w:r w:rsidRPr="00123F24">
        <w:rPr>
          <w:rFonts w:ascii="Avenir Next" w:hAnsi="Avenir Next"/>
          <w:color w:val="44546A" w:themeColor="text2"/>
        </w:rPr>
        <w:t xml:space="preserve">If leases are rejected, the lessor may submit a claim for damages, but the debtor would be protected under the Bankruptcy code as claims for unpaid rent accruing after the filing of the petition would have priority over claims submitted prior to the petition. </w:t>
      </w:r>
    </w:p>
    <w:p w14:paraId="279C60C1" w14:textId="3B1D277B" w:rsidR="007F6A2D" w:rsidRPr="00123F24" w:rsidRDefault="007F6A2D" w:rsidP="00123F24">
      <w:pPr>
        <w:pStyle w:val="AODocTxt"/>
        <w:numPr>
          <w:ilvl w:val="0"/>
          <w:numId w:val="40"/>
        </w:numPr>
        <w:spacing w:before="0" w:line="240" w:lineRule="auto"/>
        <w:rPr>
          <w:rFonts w:ascii="Avenir Next" w:hAnsi="Avenir Next"/>
          <w:color w:val="44546A" w:themeColor="text2"/>
        </w:rPr>
      </w:pPr>
      <w:r w:rsidRPr="00123F24">
        <w:rPr>
          <w:rFonts w:ascii="Avenir Next" w:hAnsi="Avenir Next"/>
          <w:color w:val="44546A" w:themeColor="text2"/>
        </w:rPr>
        <w:t>Lessors also have rights to adequate assurance of future performance</w:t>
      </w:r>
      <w:r w:rsidR="0068425B" w:rsidRPr="00123F24">
        <w:rPr>
          <w:rFonts w:ascii="Avenir Next" w:hAnsi="Avenir Next"/>
          <w:color w:val="44546A" w:themeColor="text2"/>
        </w:rPr>
        <w:t xml:space="preserve">. </w:t>
      </w:r>
    </w:p>
    <w:p w14:paraId="2F4A28CD" w14:textId="77777777" w:rsidR="007F6A2D" w:rsidRPr="002B5D64" w:rsidRDefault="007F6A2D" w:rsidP="007F6A2D">
      <w:pPr>
        <w:pStyle w:val="AODocTxt"/>
        <w:spacing w:before="0" w:line="240" w:lineRule="auto"/>
        <w:ind w:left="720"/>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6D09A6DA" w:rsidR="001D3BAA" w:rsidRPr="00123F24" w:rsidRDefault="0068425B" w:rsidP="001D3BAA">
      <w:pPr>
        <w:pStyle w:val="AODocTxt"/>
        <w:spacing w:before="0" w:line="240" w:lineRule="auto"/>
        <w:rPr>
          <w:rFonts w:ascii="Avenir Next" w:hAnsi="Avenir Next"/>
          <w:color w:val="44546A" w:themeColor="text2"/>
        </w:rPr>
      </w:pPr>
      <w:proofErr w:type="gramStart"/>
      <w:r w:rsidRPr="00123F24">
        <w:rPr>
          <w:rFonts w:ascii="Avenir Next" w:hAnsi="Avenir Next"/>
          <w:color w:val="44546A" w:themeColor="text2"/>
        </w:rPr>
        <w:t>In order to</w:t>
      </w:r>
      <w:proofErr w:type="gramEnd"/>
      <w:r w:rsidRPr="00123F24">
        <w:rPr>
          <w:rFonts w:ascii="Avenir Next" w:hAnsi="Avenir Next"/>
          <w:color w:val="44546A" w:themeColor="text2"/>
        </w:rPr>
        <w:t xml:space="preserve"> determine </w:t>
      </w:r>
      <w:r w:rsidRPr="00123F24">
        <w:rPr>
          <w:rFonts w:ascii="Avenir Next" w:hAnsi="Avenir Next"/>
          <w:color w:val="44546A" w:themeColor="text2"/>
        </w:rPr>
        <w:t>whether the English scheme of arrangement could be granted recognition under US chapter 15</w:t>
      </w:r>
      <w:r w:rsidRPr="00123F24">
        <w:rPr>
          <w:rFonts w:ascii="Avenir Next" w:hAnsi="Avenir Next"/>
          <w:color w:val="44546A" w:themeColor="text2"/>
        </w:rPr>
        <w:t>, we can first discuss whether the proceedings would qualify as</w:t>
      </w:r>
      <w:r w:rsidRPr="00123F24">
        <w:rPr>
          <w:rFonts w:ascii="Avenir Next" w:hAnsi="Avenir Next"/>
          <w:color w:val="44546A" w:themeColor="text2"/>
        </w:rPr>
        <w:t xml:space="preserve"> foreign main or foreign non-main</w:t>
      </w:r>
      <w:r w:rsidRPr="00123F24">
        <w:rPr>
          <w:rFonts w:ascii="Avenir Next" w:hAnsi="Avenir Next"/>
          <w:color w:val="44546A" w:themeColor="text2"/>
        </w:rPr>
        <w:t xml:space="preserve">. </w:t>
      </w:r>
    </w:p>
    <w:p w14:paraId="5348A880" w14:textId="77777777" w:rsidR="0068425B" w:rsidRPr="00123F24" w:rsidRDefault="0068425B" w:rsidP="001D3BAA">
      <w:pPr>
        <w:pStyle w:val="AODocTxt"/>
        <w:spacing w:before="0" w:line="240" w:lineRule="auto"/>
        <w:rPr>
          <w:rFonts w:ascii="Avenir Next" w:hAnsi="Avenir Next"/>
          <w:color w:val="44546A" w:themeColor="text2"/>
        </w:rPr>
      </w:pPr>
    </w:p>
    <w:p w14:paraId="1A84E07E" w14:textId="30AF31F1" w:rsidR="0068425B" w:rsidRPr="00123F24" w:rsidRDefault="0068425B" w:rsidP="001D3BAA">
      <w:pPr>
        <w:pStyle w:val="AODocTxt"/>
        <w:spacing w:before="0" w:line="240" w:lineRule="auto"/>
        <w:rPr>
          <w:rFonts w:ascii="Avenir Next" w:hAnsi="Avenir Next"/>
          <w:b/>
          <w:bCs/>
          <w:color w:val="44546A" w:themeColor="text2"/>
        </w:rPr>
      </w:pPr>
      <w:r w:rsidRPr="00123F24">
        <w:rPr>
          <w:rFonts w:ascii="Avenir Next" w:hAnsi="Avenir Next"/>
          <w:b/>
          <w:bCs/>
          <w:color w:val="44546A" w:themeColor="text2"/>
        </w:rPr>
        <w:t>Foreign main proceeding</w:t>
      </w:r>
    </w:p>
    <w:p w14:paraId="5E449947" w14:textId="77777777" w:rsidR="0068425B" w:rsidRPr="00123F24" w:rsidRDefault="0068425B" w:rsidP="001D3BAA">
      <w:pPr>
        <w:pStyle w:val="AODocTxt"/>
        <w:spacing w:before="0" w:line="240" w:lineRule="auto"/>
        <w:rPr>
          <w:rFonts w:ascii="Avenir Next" w:hAnsi="Avenir Next"/>
          <w:color w:val="44546A" w:themeColor="text2"/>
        </w:rPr>
      </w:pPr>
    </w:p>
    <w:p w14:paraId="40E9CD0E" w14:textId="20A053DE" w:rsidR="0068425B" w:rsidRPr="00123F24" w:rsidRDefault="0068425B" w:rsidP="001D3BAA">
      <w:pPr>
        <w:pStyle w:val="AODocTxt"/>
        <w:spacing w:before="0" w:line="240" w:lineRule="auto"/>
        <w:rPr>
          <w:rFonts w:ascii="Avenir Next" w:hAnsi="Avenir Next"/>
          <w:color w:val="44546A" w:themeColor="text2"/>
        </w:rPr>
      </w:pPr>
      <w:r w:rsidRPr="00123F24">
        <w:rPr>
          <w:rFonts w:ascii="Avenir Next" w:hAnsi="Avenir Next"/>
          <w:color w:val="44546A" w:themeColor="text2"/>
        </w:rPr>
        <w:t>Skin Luxe is incorporated in France and its business operations are in France.</w:t>
      </w:r>
    </w:p>
    <w:p w14:paraId="358362E2" w14:textId="5FAB1B70" w:rsidR="0068425B" w:rsidRPr="00123F24" w:rsidRDefault="0068425B" w:rsidP="001D3BAA">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The country where the debtor has its center of main interest (COMI) is therefore likely France. </w:t>
      </w:r>
    </w:p>
    <w:p w14:paraId="5B8567E3" w14:textId="14E88E8E" w:rsidR="0068425B" w:rsidRPr="00123F24" w:rsidRDefault="0068425B" w:rsidP="001D3BAA">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However, this presumption might be rebutted if Skin Luxe would be able to demonstrate that its COMI is in fact in England. This could be the case if for example Skin </w:t>
      </w:r>
      <w:proofErr w:type="spellStart"/>
      <w:r w:rsidRPr="00123F24">
        <w:rPr>
          <w:rFonts w:ascii="Avenir Next" w:hAnsi="Avenir Next"/>
          <w:color w:val="44546A" w:themeColor="text2"/>
        </w:rPr>
        <w:t>Luxe’s</w:t>
      </w:r>
      <w:proofErr w:type="spellEnd"/>
      <w:r w:rsidRPr="00123F24">
        <w:rPr>
          <w:rFonts w:ascii="Avenir Next" w:hAnsi="Avenir Next"/>
          <w:color w:val="44546A" w:themeColor="text2"/>
        </w:rPr>
        <w:t xml:space="preserve"> creditors or management operations </w:t>
      </w:r>
      <w:proofErr w:type="gramStart"/>
      <w:r w:rsidRPr="00123F24">
        <w:rPr>
          <w:rFonts w:ascii="Avenir Next" w:hAnsi="Avenir Next"/>
          <w:color w:val="44546A" w:themeColor="text2"/>
        </w:rPr>
        <w:t>are located in</w:t>
      </w:r>
      <w:proofErr w:type="gramEnd"/>
      <w:r w:rsidRPr="00123F24">
        <w:rPr>
          <w:rFonts w:ascii="Avenir Next" w:hAnsi="Avenir Next"/>
          <w:color w:val="44546A" w:themeColor="text2"/>
        </w:rPr>
        <w:t xml:space="preserve"> England. </w:t>
      </w:r>
    </w:p>
    <w:p w14:paraId="3CB11E60" w14:textId="57DA79D0" w:rsidR="001057A6" w:rsidRPr="00123F24" w:rsidRDefault="001057A6" w:rsidP="001D3BAA">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Skin Luxe has creditors with English law-governed bonds. </w:t>
      </w:r>
      <w:r w:rsidRPr="00123F24">
        <w:rPr>
          <w:rFonts w:ascii="Avenir Next" w:hAnsi="Avenir Next"/>
          <w:color w:val="44546A" w:themeColor="text2"/>
        </w:rPr>
        <w:t>If that is the case, the proceeding under Chapter 15 in the US for a scheme in England could be potentially recognized as foreign main proceeding</w:t>
      </w:r>
      <w:r w:rsidRPr="00123F24">
        <w:rPr>
          <w:rFonts w:ascii="Avenir Next" w:hAnsi="Avenir Next"/>
          <w:color w:val="44546A" w:themeColor="text2"/>
        </w:rPr>
        <w:t xml:space="preserve"> as the contractual rights and obligations of Skin Luxe and its creditors are subject to the English law. </w:t>
      </w:r>
    </w:p>
    <w:p w14:paraId="236E74E7" w14:textId="77777777" w:rsidR="0068425B" w:rsidRPr="00123F24" w:rsidRDefault="0068425B" w:rsidP="001D3BAA">
      <w:pPr>
        <w:pStyle w:val="AODocTxt"/>
        <w:spacing w:before="0" w:line="240" w:lineRule="auto"/>
        <w:rPr>
          <w:rFonts w:ascii="Avenir Next" w:hAnsi="Avenir Next"/>
          <w:color w:val="44546A" w:themeColor="text2"/>
        </w:rPr>
      </w:pPr>
    </w:p>
    <w:p w14:paraId="70247682" w14:textId="51E60300" w:rsidR="0068425B" w:rsidRPr="00123F24" w:rsidRDefault="0068425B" w:rsidP="001D3BAA">
      <w:pPr>
        <w:pStyle w:val="AODocTxt"/>
        <w:spacing w:before="0" w:line="240" w:lineRule="auto"/>
        <w:rPr>
          <w:rFonts w:ascii="Avenir Next" w:hAnsi="Avenir Next"/>
          <w:b/>
          <w:bCs/>
          <w:color w:val="44546A" w:themeColor="text2"/>
        </w:rPr>
      </w:pPr>
      <w:r w:rsidRPr="00123F24">
        <w:rPr>
          <w:rFonts w:ascii="Avenir Next" w:hAnsi="Avenir Next"/>
          <w:b/>
          <w:bCs/>
          <w:color w:val="44546A" w:themeColor="text2"/>
        </w:rPr>
        <w:t>Foreign non-main proceeding</w:t>
      </w:r>
    </w:p>
    <w:p w14:paraId="715A6CA6" w14:textId="27EF53CC" w:rsidR="0068425B" w:rsidRPr="00123F24" w:rsidRDefault="0068425B" w:rsidP="001D3BAA">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 </w:t>
      </w:r>
    </w:p>
    <w:p w14:paraId="318F9D45" w14:textId="2A8CE505" w:rsidR="0068425B" w:rsidRPr="00123F24" w:rsidRDefault="001057A6" w:rsidP="001D3BAA">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If Skin Luxe has an establishment in England but its COMI is in France, the scheme application in England could be potentially recognized as a foreign non-main proceeding. As Skin Luxe has establishments in London, England where it operates some of its boutiques, the company can be eligible for non-main proceeding recognition.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30CDB760"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r w:rsidR="001057A6" w:rsidRPr="00FB2838">
        <w:rPr>
          <w:rFonts w:ascii="Avenir Next" w:hAnsi="Avenir Next"/>
        </w:rPr>
        <w:t>rent and</w:t>
      </w:r>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17749011" w:rsidR="001D3BAA" w:rsidRPr="00123F24" w:rsidRDefault="001057A6" w:rsidP="001D3BAA">
      <w:pPr>
        <w:pStyle w:val="AODocTxt"/>
        <w:spacing w:before="0" w:line="240" w:lineRule="auto"/>
        <w:rPr>
          <w:rFonts w:ascii="Avenir Next" w:hAnsi="Avenir Next"/>
          <w:b/>
          <w:bCs/>
          <w:color w:val="44546A" w:themeColor="text2"/>
        </w:rPr>
      </w:pPr>
      <w:r w:rsidRPr="00123F24">
        <w:rPr>
          <w:rFonts w:ascii="Avenir Next" w:hAnsi="Avenir Next"/>
          <w:b/>
          <w:bCs/>
          <w:color w:val="44546A" w:themeColor="text2"/>
        </w:rPr>
        <w:t xml:space="preserve">The effect of Chapter 11 petition filed by Speculation Inc on the DOJ </w:t>
      </w:r>
      <w:proofErr w:type="gramStart"/>
      <w:r w:rsidR="00123F24" w:rsidRPr="00123F24">
        <w:rPr>
          <w:rFonts w:ascii="Avenir Next" w:hAnsi="Avenir Next"/>
          <w:b/>
          <w:bCs/>
          <w:color w:val="44546A" w:themeColor="text2"/>
        </w:rPr>
        <w:t>investigation</w:t>
      </w:r>
      <w:proofErr w:type="gramEnd"/>
    </w:p>
    <w:p w14:paraId="1F6562BC" w14:textId="77777777" w:rsidR="00123F24" w:rsidRPr="00123F24" w:rsidRDefault="00123F24" w:rsidP="001D3BAA">
      <w:pPr>
        <w:pStyle w:val="AODocTxt"/>
        <w:spacing w:before="0" w:line="240" w:lineRule="auto"/>
        <w:rPr>
          <w:rFonts w:ascii="Avenir Next" w:hAnsi="Avenir Next"/>
          <w:color w:val="44546A" w:themeColor="text2"/>
        </w:rPr>
      </w:pPr>
    </w:p>
    <w:p w14:paraId="298CE188" w14:textId="450CC2EC" w:rsidR="00123F24" w:rsidRPr="00123F24" w:rsidRDefault="00123F24" w:rsidP="001D3BAA">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The DOJ investigation would likely continue independently of the bankruptcy proceedings under chapter 11. This is because the automatic stay is subject to statutory exceptions for regulatory investigations and criminal proceedings. </w:t>
      </w:r>
    </w:p>
    <w:p w14:paraId="0C9FAE78" w14:textId="77777777" w:rsidR="001057A6" w:rsidRPr="00123F24" w:rsidRDefault="001057A6" w:rsidP="000778B1">
      <w:pPr>
        <w:autoSpaceDE w:val="0"/>
        <w:autoSpaceDN w:val="0"/>
        <w:adjustRightInd w:val="0"/>
        <w:jc w:val="both"/>
        <w:rPr>
          <w:rFonts w:ascii="Avenir Next" w:hAnsi="Avenir Next" w:cs="Arial"/>
          <w:color w:val="44546A" w:themeColor="text2"/>
          <w:sz w:val="22"/>
          <w:szCs w:val="22"/>
          <w:lang w:val="en-GB"/>
        </w:rPr>
      </w:pPr>
    </w:p>
    <w:p w14:paraId="41D8CFB9" w14:textId="77777777" w:rsidR="00123F24" w:rsidRPr="00123F24" w:rsidRDefault="001057A6" w:rsidP="001057A6">
      <w:pPr>
        <w:pStyle w:val="AODocTxt"/>
        <w:spacing w:before="0" w:line="240" w:lineRule="auto"/>
        <w:rPr>
          <w:rFonts w:ascii="Avenir Next" w:hAnsi="Avenir Next"/>
          <w:b/>
          <w:bCs/>
          <w:color w:val="44546A" w:themeColor="text2"/>
        </w:rPr>
      </w:pPr>
      <w:r w:rsidRPr="00123F24">
        <w:rPr>
          <w:rFonts w:ascii="Avenir Next" w:hAnsi="Avenir Next"/>
          <w:b/>
          <w:bCs/>
          <w:color w:val="44546A" w:themeColor="text2"/>
        </w:rPr>
        <w:t xml:space="preserve">The effect of Chapter 11 petition filed by Speculation Inc on the </w:t>
      </w:r>
      <w:r w:rsidR="00123F24" w:rsidRPr="00123F24">
        <w:rPr>
          <w:rFonts w:ascii="Avenir Next" w:hAnsi="Avenir Next"/>
          <w:b/>
          <w:bCs/>
          <w:color w:val="44546A" w:themeColor="text2"/>
        </w:rPr>
        <w:t xml:space="preserve">margin loan </w:t>
      </w:r>
      <w:proofErr w:type="gramStart"/>
      <w:r w:rsidR="00123F24" w:rsidRPr="00123F24">
        <w:rPr>
          <w:rFonts w:ascii="Avenir Next" w:hAnsi="Avenir Next"/>
          <w:b/>
          <w:bCs/>
          <w:color w:val="44546A" w:themeColor="text2"/>
        </w:rPr>
        <w:t>default</w:t>
      </w:r>
      <w:proofErr w:type="gramEnd"/>
    </w:p>
    <w:p w14:paraId="064E0C36" w14:textId="77777777" w:rsidR="00123F24" w:rsidRPr="00123F24" w:rsidRDefault="00123F24" w:rsidP="001057A6">
      <w:pPr>
        <w:pStyle w:val="AODocTxt"/>
        <w:spacing w:before="0" w:line="240" w:lineRule="auto"/>
        <w:rPr>
          <w:rFonts w:ascii="Avenir Next" w:hAnsi="Avenir Next"/>
          <w:b/>
          <w:bCs/>
          <w:color w:val="44546A" w:themeColor="text2"/>
        </w:rPr>
      </w:pPr>
    </w:p>
    <w:p w14:paraId="10C93407" w14:textId="4B6BB7D6" w:rsidR="00123F24" w:rsidRPr="00123F24" w:rsidRDefault="00123F24" w:rsidP="001057A6">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Upon filing of chapter 11 petition, Speculation Inc would receive automatic stay which would prevent any legal actions including defaults enforcements on the margin loan. The broker would be temporarily unable to seize the company’s collateral, too. </w:t>
      </w:r>
    </w:p>
    <w:p w14:paraId="336F2EC0" w14:textId="77777777" w:rsidR="00123F24" w:rsidRPr="00123F24" w:rsidRDefault="00123F24" w:rsidP="001057A6">
      <w:pPr>
        <w:pStyle w:val="AODocTxt"/>
        <w:spacing w:before="0" w:line="240" w:lineRule="auto"/>
        <w:rPr>
          <w:rFonts w:ascii="Avenir Next" w:hAnsi="Avenir Next"/>
          <w:color w:val="44546A" w:themeColor="text2"/>
        </w:rPr>
      </w:pPr>
    </w:p>
    <w:p w14:paraId="4B613897" w14:textId="1E7EE0BF" w:rsidR="00123F24" w:rsidRPr="00123F24" w:rsidRDefault="00123F24" w:rsidP="00123F24">
      <w:pPr>
        <w:pStyle w:val="AODocTxt"/>
        <w:spacing w:before="0" w:line="240" w:lineRule="auto"/>
        <w:rPr>
          <w:rFonts w:ascii="Avenir Next" w:hAnsi="Avenir Next"/>
          <w:b/>
          <w:bCs/>
          <w:color w:val="44546A" w:themeColor="text2"/>
        </w:rPr>
      </w:pPr>
      <w:r w:rsidRPr="00123F24">
        <w:rPr>
          <w:rFonts w:ascii="Avenir Next" w:hAnsi="Avenir Next"/>
          <w:b/>
          <w:bCs/>
          <w:color w:val="44546A" w:themeColor="text2"/>
        </w:rPr>
        <w:t xml:space="preserve">The effect of Chapter 11 petition filed by Speculation Inc on the </w:t>
      </w:r>
      <w:r w:rsidRPr="00123F24">
        <w:rPr>
          <w:rFonts w:ascii="Avenir Next" w:hAnsi="Avenir Next"/>
          <w:b/>
          <w:bCs/>
          <w:color w:val="44546A" w:themeColor="text2"/>
        </w:rPr>
        <w:t xml:space="preserve">delinquent </w:t>
      </w:r>
      <w:proofErr w:type="gramStart"/>
      <w:r w:rsidRPr="00123F24">
        <w:rPr>
          <w:rFonts w:ascii="Avenir Next" w:hAnsi="Avenir Next"/>
          <w:b/>
          <w:bCs/>
          <w:color w:val="44546A" w:themeColor="text2"/>
        </w:rPr>
        <w:t>lease</w:t>
      </w:r>
      <w:proofErr w:type="gramEnd"/>
    </w:p>
    <w:p w14:paraId="5D2EA258" w14:textId="77777777" w:rsidR="00123F24" w:rsidRPr="00123F24" w:rsidRDefault="00123F24" w:rsidP="00123F24">
      <w:pPr>
        <w:pStyle w:val="AODocTxt"/>
        <w:spacing w:before="0" w:line="240" w:lineRule="auto"/>
        <w:rPr>
          <w:rFonts w:ascii="Avenir Next" w:hAnsi="Avenir Next"/>
          <w:color w:val="44546A" w:themeColor="text2"/>
        </w:rPr>
      </w:pPr>
    </w:p>
    <w:p w14:paraId="69E7CC1D" w14:textId="4CE97BF7" w:rsidR="00123F24" w:rsidRPr="00123F24" w:rsidRDefault="00123F24" w:rsidP="00123F24">
      <w:pPr>
        <w:pStyle w:val="AODocTxt"/>
        <w:spacing w:before="0" w:line="240" w:lineRule="auto"/>
        <w:rPr>
          <w:rFonts w:ascii="Avenir Next" w:hAnsi="Avenir Next"/>
          <w:color w:val="44546A" w:themeColor="text2"/>
        </w:rPr>
      </w:pPr>
      <w:r w:rsidRPr="00123F24">
        <w:rPr>
          <w:rFonts w:ascii="Avenir Next" w:hAnsi="Avenir Next"/>
          <w:color w:val="44546A" w:themeColor="text2"/>
        </w:rPr>
        <w:t>Upon filing of chapter 11 petition, Speculation Inc would receive automatic stay which would preven</w:t>
      </w:r>
      <w:r w:rsidRPr="00123F24">
        <w:rPr>
          <w:rFonts w:ascii="Avenir Next" w:hAnsi="Avenir Next"/>
          <w:color w:val="44546A" w:themeColor="text2"/>
        </w:rPr>
        <w:t xml:space="preserve">t legal actions including eviction proceedings or collection actions for the delinquent rent. </w:t>
      </w:r>
    </w:p>
    <w:p w14:paraId="7B757E21" w14:textId="77777777" w:rsidR="00123F24" w:rsidRPr="00123F24" w:rsidRDefault="00123F24" w:rsidP="00123F24">
      <w:pPr>
        <w:pStyle w:val="AODocTxt"/>
        <w:spacing w:before="0" w:line="240" w:lineRule="auto"/>
        <w:rPr>
          <w:rFonts w:ascii="Avenir Next" w:hAnsi="Avenir Next"/>
          <w:color w:val="44546A" w:themeColor="text2"/>
        </w:rPr>
      </w:pPr>
    </w:p>
    <w:p w14:paraId="4AC3191B" w14:textId="36BA3ACD" w:rsidR="00123F24" w:rsidRPr="00123F24" w:rsidRDefault="00123F24" w:rsidP="00123F24">
      <w:pPr>
        <w:pStyle w:val="AODocTxt"/>
        <w:spacing w:before="0" w:line="240" w:lineRule="auto"/>
        <w:rPr>
          <w:rFonts w:ascii="Avenir Next" w:hAnsi="Avenir Next"/>
          <w:b/>
          <w:bCs/>
          <w:color w:val="44546A" w:themeColor="text2"/>
        </w:rPr>
      </w:pPr>
      <w:r w:rsidRPr="00123F24">
        <w:rPr>
          <w:rFonts w:ascii="Avenir Next" w:hAnsi="Avenir Next"/>
          <w:b/>
          <w:bCs/>
          <w:color w:val="44546A" w:themeColor="text2"/>
        </w:rPr>
        <w:t xml:space="preserve">The effect of Chapter 11 petition filed by Speculation Inc on the </w:t>
      </w:r>
      <w:r w:rsidRPr="00123F24">
        <w:rPr>
          <w:rFonts w:ascii="Avenir Next" w:hAnsi="Avenir Next"/>
          <w:b/>
          <w:bCs/>
          <w:color w:val="44546A" w:themeColor="text2"/>
        </w:rPr>
        <w:t xml:space="preserve">employment discrimination </w:t>
      </w:r>
      <w:proofErr w:type="gramStart"/>
      <w:r w:rsidRPr="00123F24">
        <w:rPr>
          <w:rFonts w:ascii="Avenir Next" w:hAnsi="Avenir Next"/>
          <w:b/>
          <w:bCs/>
          <w:color w:val="44546A" w:themeColor="text2"/>
        </w:rPr>
        <w:t>lawsuit</w:t>
      </w:r>
      <w:proofErr w:type="gramEnd"/>
    </w:p>
    <w:p w14:paraId="24F682DE" w14:textId="35A5C479" w:rsidR="001057A6" w:rsidRPr="00123F24" w:rsidRDefault="001057A6" w:rsidP="001057A6">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 </w:t>
      </w:r>
    </w:p>
    <w:p w14:paraId="75ED7C76" w14:textId="5229C408" w:rsidR="00123F24" w:rsidRPr="00123F24" w:rsidRDefault="00123F24" w:rsidP="00123F24">
      <w:pPr>
        <w:pStyle w:val="AODocTxt"/>
        <w:spacing w:before="0" w:line="240" w:lineRule="auto"/>
        <w:rPr>
          <w:rFonts w:ascii="Avenir Next" w:hAnsi="Avenir Next"/>
          <w:color w:val="44546A" w:themeColor="text2"/>
        </w:rPr>
      </w:pPr>
      <w:r w:rsidRPr="00123F24">
        <w:rPr>
          <w:rFonts w:ascii="Avenir Next" w:hAnsi="Avenir Next"/>
          <w:color w:val="44546A" w:themeColor="text2"/>
        </w:rPr>
        <w:t xml:space="preserve">Upon filing of chapter 11 petition, Speculation Inc would </w:t>
      </w:r>
      <w:r w:rsidRPr="00123F24">
        <w:rPr>
          <w:rFonts w:ascii="Avenir Next" w:hAnsi="Avenir Next"/>
          <w:color w:val="44546A" w:themeColor="text2"/>
        </w:rPr>
        <w:t>trigger</w:t>
      </w:r>
      <w:r w:rsidRPr="00123F24">
        <w:rPr>
          <w:rFonts w:ascii="Avenir Next" w:hAnsi="Avenir Next"/>
          <w:color w:val="44546A" w:themeColor="text2"/>
        </w:rPr>
        <w:t xml:space="preserve"> automatic stay which would prevent legal actions including </w:t>
      </w:r>
      <w:r w:rsidRPr="00123F24">
        <w:rPr>
          <w:rFonts w:ascii="Avenir Next" w:hAnsi="Avenir Next"/>
          <w:color w:val="44546A" w:themeColor="text2"/>
        </w:rPr>
        <w:t xml:space="preserve">the civil lawsuit filed for employment discrimination. The former employee would be unable to pursue further legal actions or collect monies for damages from Speculation Inc. and the lawsuit would become a claim of the employee in the potential bankruptcy of Speculation Inc. </w:t>
      </w:r>
    </w:p>
    <w:p w14:paraId="3BA5BB4B" w14:textId="77777777" w:rsidR="001057A6" w:rsidRPr="001057A6" w:rsidRDefault="001057A6" w:rsidP="000778B1">
      <w:pPr>
        <w:autoSpaceDE w:val="0"/>
        <w:autoSpaceDN w:val="0"/>
        <w:adjustRightInd w:val="0"/>
        <w:jc w:val="both"/>
        <w:rPr>
          <w:rFonts w:ascii="Avenir Next" w:hAnsi="Avenir Next" w:cs="Arial"/>
          <w:color w:val="808080" w:themeColor="background1" w:themeShade="80"/>
          <w:sz w:val="22"/>
          <w:szCs w:val="22"/>
        </w:rPr>
      </w:pPr>
    </w:p>
    <w:p w14:paraId="34208D46" w14:textId="77777777" w:rsidR="001057A6" w:rsidRPr="00E01803" w:rsidRDefault="001057A6"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C7C0BDD" w:rsidR="00241FA3" w:rsidRPr="00494B81" w:rsidRDefault="0073158B" w:rsidP="009B4976">
    <w:pPr>
      <w:pStyle w:val="Footer"/>
      <w:ind w:right="360"/>
      <w:rPr>
        <w:rFonts w:ascii="Avenir Next" w:hAnsi="Avenir Next" w:cs="Arial"/>
        <w:sz w:val="22"/>
        <w:szCs w:val="22"/>
        <w:lang w:val="en-GB"/>
      </w:rPr>
    </w:pPr>
    <w:r w:rsidRPr="00494B81">
      <w:rPr>
        <w:rFonts w:ascii="Avenir Next" w:hAnsi="Avenir Next" w:cs="Arial"/>
        <w:sz w:val="22"/>
        <w:szCs w:val="22"/>
        <w:lang w:val="en-GB"/>
      </w:rPr>
      <w:t>student</w:t>
    </w:r>
    <w:r w:rsidR="007D0192" w:rsidRPr="00494B81">
      <w:rPr>
        <w:rFonts w:ascii="Avenir Next" w:hAnsi="Avenir Next" w:cs="Arial"/>
        <w:sz w:val="22"/>
        <w:szCs w:val="22"/>
        <w:lang w:val="en-GB"/>
      </w:rPr>
      <w:t>ID</w:t>
    </w:r>
    <w:r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73BE1"/>
    <w:multiLevelType w:val="hybridMultilevel"/>
    <w:tmpl w:val="05804290"/>
    <w:lvl w:ilvl="0" w:tplc="D2DCE314">
      <w:start w:val="3"/>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271D67"/>
    <w:multiLevelType w:val="hybridMultilevel"/>
    <w:tmpl w:val="C63469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C70C6E"/>
    <w:multiLevelType w:val="hybridMultilevel"/>
    <w:tmpl w:val="017654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8D51E4"/>
    <w:multiLevelType w:val="hybridMultilevel"/>
    <w:tmpl w:val="CA1C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409B4"/>
    <w:multiLevelType w:val="hybridMultilevel"/>
    <w:tmpl w:val="78F602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762586"/>
    <w:multiLevelType w:val="hybridMultilevel"/>
    <w:tmpl w:val="71C2B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A35473"/>
    <w:multiLevelType w:val="hybridMultilevel"/>
    <w:tmpl w:val="6CF2E2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30"/>
  </w:num>
  <w:num w:numId="2" w16cid:durableId="1783306908">
    <w:abstractNumId w:val="33"/>
  </w:num>
  <w:num w:numId="3" w16cid:durableId="1942764495">
    <w:abstractNumId w:val="6"/>
  </w:num>
  <w:num w:numId="4" w16cid:durableId="298269076">
    <w:abstractNumId w:val="10"/>
  </w:num>
  <w:num w:numId="5" w16cid:durableId="730929724">
    <w:abstractNumId w:val="13"/>
  </w:num>
  <w:num w:numId="6" w16cid:durableId="1594360553">
    <w:abstractNumId w:val="36"/>
  </w:num>
  <w:num w:numId="7" w16cid:durableId="1661152946">
    <w:abstractNumId w:val="7"/>
  </w:num>
  <w:num w:numId="8" w16cid:durableId="45877589">
    <w:abstractNumId w:val="40"/>
  </w:num>
  <w:num w:numId="9" w16cid:durableId="876742117">
    <w:abstractNumId w:val="14"/>
  </w:num>
  <w:num w:numId="10" w16cid:durableId="1035689165">
    <w:abstractNumId w:val="32"/>
  </w:num>
  <w:num w:numId="11" w16cid:durableId="926307185">
    <w:abstractNumId w:val="17"/>
  </w:num>
  <w:num w:numId="12" w16cid:durableId="621232781">
    <w:abstractNumId w:val="28"/>
  </w:num>
  <w:num w:numId="13" w16cid:durableId="1204442417">
    <w:abstractNumId w:val="0"/>
  </w:num>
  <w:num w:numId="14" w16cid:durableId="1001467812">
    <w:abstractNumId w:val="12"/>
  </w:num>
  <w:num w:numId="15" w16cid:durableId="189758179">
    <w:abstractNumId w:val="21"/>
  </w:num>
  <w:num w:numId="16" w16cid:durableId="1491479825">
    <w:abstractNumId w:val="9"/>
  </w:num>
  <w:num w:numId="17" w16cid:durableId="882793158">
    <w:abstractNumId w:val="5"/>
  </w:num>
  <w:num w:numId="18" w16cid:durableId="777675833">
    <w:abstractNumId w:val="4"/>
  </w:num>
  <w:num w:numId="19" w16cid:durableId="1129937292">
    <w:abstractNumId w:val="34"/>
  </w:num>
  <w:num w:numId="20" w16cid:durableId="1471096614">
    <w:abstractNumId w:val="8"/>
  </w:num>
  <w:num w:numId="21" w16cid:durableId="398864111">
    <w:abstractNumId w:val="31"/>
  </w:num>
  <w:num w:numId="22" w16cid:durableId="2133940203">
    <w:abstractNumId w:val="42"/>
  </w:num>
  <w:num w:numId="23" w16cid:durableId="950893894">
    <w:abstractNumId w:val="15"/>
  </w:num>
  <w:num w:numId="24" w16cid:durableId="1962497721">
    <w:abstractNumId w:val="35"/>
  </w:num>
  <w:num w:numId="25" w16cid:durableId="869756453">
    <w:abstractNumId w:val="22"/>
  </w:num>
  <w:num w:numId="26" w16cid:durableId="1092049203">
    <w:abstractNumId w:val="26"/>
  </w:num>
  <w:num w:numId="27" w16cid:durableId="1146704350">
    <w:abstractNumId w:val="19"/>
  </w:num>
  <w:num w:numId="28" w16cid:durableId="937979478">
    <w:abstractNumId w:val="38"/>
  </w:num>
  <w:num w:numId="29" w16cid:durableId="1970553734">
    <w:abstractNumId w:val="2"/>
  </w:num>
  <w:num w:numId="30" w16cid:durableId="293563849">
    <w:abstractNumId w:val="20"/>
  </w:num>
  <w:num w:numId="31" w16cid:durableId="2126381093">
    <w:abstractNumId w:val="27"/>
  </w:num>
  <w:num w:numId="32" w16cid:durableId="1605572703">
    <w:abstractNumId w:val="43"/>
  </w:num>
  <w:num w:numId="33" w16cid:durableId="1203253494">
    <w:abstractNumId w:val="18"/>
  </w:num>
  <w:num w:numId="34" w16cid:durableId="1104031608">
    <w:abstractNumId w:val="3"/>
  </w:num>
  <w:num w:numId="35" w16cid:durableId="2144806674">
    <w:abstractNumId w:val="39"/>
  </w:num>
  <w:num w:numId="36" w16cid:durableId="1673992024">
    <w:abstractNumId w:val="41"/>
  </w:num>
  <w:num w:numId="37" w16cid:durableId="2022775299">
    <w:abstractNumId w:val="11"/>
  </w:num>
  <w:num w:numId="38" w16cid:durableId="788544778">
    <w:abstractNumId w:val="1"/>
  </w:num>
  <w:num w:numId="39" w16cid:durableId="520751826">
    <w:abstractNumId w:val="29"/>
  </w:num>
  <w:num w:numId="40" w16cid:durableId="1910647004">
    <w:abstractNumId w:val="25"/>
  </w:num>
  <w:num w:numId="41" w16cid:durableId="329918359">
    <w:abstractNumId w:val="23"/>
  </w:num>
  <w:num w:numId="42" w16cid:durableId="1965231456">
    <w:abstractNumId w:val="24"/>
  </w:num>
  <w:num w:numId="43" w16cid:durableId="2023556137">
    <w:abstractNumId w:val="37"/>
  </w:num>
  <w:num w:numId="44" w16cid:durableId="71265897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57A6"/>
    <w:rsid w:val="00106CA8"/>
    <w:rsid w:val="001109FE"/>
    <w:rsid w:val="0011473D"/>
    <w:rsid w:val="00115C85"/>
    <w:rsid w:val="0012224B"/>
    <w:rsid w:val="00123855"/>
    <w:rsid w:val="00123F24"/>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25A2F"/>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03C8"/>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07B87"/>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17D5"/>
    <w:rsid w:val="00434A8C"/>
    <w:rsid w:val="00435733"/>
    <w:rsid w:val="00437297"/>
    <w:rsid w:val="004423A5"/>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06272"/>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25B"/>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294"/>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55B8E"/>
    <w:rsid w:val="007603F5"/>
    <w:rsid w:val="00764DB0"/>
    <w:rsid w:val="0076764D"/>
    <w:rsid w:val="00767C70"/>
    <w:rsid w:val="0077498C"/>
    <w:rsid w:val="007750B6"/>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7F6A2D"/>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45FF"/>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44A85"/>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3FF5"/>
    <w:rsid w:val="00A56D34"/>
    <w:rsid w:val="00A60074"/>
    <w:rsid w:val="00A6313C"/>
    <w:rsid w:val="00A6627C"/>
    <w:rsid w:val="00A67795"/>
    <w:rsid w:val="00A677DE"/>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0C0D"/>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A48C7"/>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351F"/>
    <w:rsid w:val="00D34584"/>
    <w:rsid w:val="00D35716"/>
    <w:rsid w:val="00D43D16"/>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A27A1"/>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35E"/>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033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Kostova, Plamena</cp:lastModifiedBy>
  <cp:revision>2</cp:revision>
  <cp:lastPrinted>2019-08-27T05:42:00Z</cp:lastPrinted>
  <dcterms:created xsi:type="dcterms:W3CDTF">2024-02-29T21:16:00Z</dcterms:created>
  <dcterms:modified xsi:type="dcterms:W3CDTF">2024-02-29T21:16:00Z</dcterms:modified>
</cp:coreProperties>
</file>