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C8664D" w:rsidRDefault="00AE5B6F" w:rsidP="00B04033">
      <w:pPr>
        <w:pStyle w:val="ListParagraph"/>
        <w:numPr>
          <w:ilvl w:val="0"/>
          <w:numId w:val="1"/>
        </w:numPr>
        <w:ind w:left="426"/>
        <w:jc w:val="both"/>
        <w:rPr>
          <w:rFonts w:ascii="Avenir Next" w:hAnsi="Avenir Next" w:cs="Arial"/>
          <w:sz w:val="22"/>
          <w:szCs w:val="22"/>
          <w:highlight w:val="yellow"/>
          <w:lang w:val="en-GB"/>
        </w:rPr>
      </w:pPr>
      <w:r w:rsidRPr="00C8664D">
        <w:rPr>
          <w:rFonts w:ascii="Avenir Next" w:hAnsi="Avenir Next" w:cs="Arial"/>
          <w:sz w:val="22"/>
          <w:szCs w:val="22"/>
          <w:highlight w:val="yellow"/>
          <w:lang w:val="en-GB"/>
        </w:rPr>
        <w:t>w</w:t>
      </w:r>
      <w:r w:rsidR="00C91062" w:rsidRPr="00C8664D">
        <w:rPr>
          <w:rFonts w:ascii="Avenir Next" w:hAnsi="Avenir Next" w:cs="Arial"/>
          <w:sz w:val="22"/>
          <w:szCs w:val="22"/>
          <w:highlight w:val="yellow"/>
          <w:lang w:val="en-GB"/>
        </w:rPr>
        <w:t xml:space="preserve">ithin </w:t>
      </w:r>
      <w:r w:rsidR="00733A34" w:rsidRPr="00C8664D">
        <w:rPr>
          <w:rFonts w:ascii="Avenir Next" w:hAnsi="Avenir Next" w:cs="Arial"/>
          <w:sz w:val="22"/>
          <w:szCs w:val="22"/>
          <w:highlight w:val="yellow"/>
          <w:lang w:val="en-GB"/>
        </w:rPr>
        <w:t>eight</w:t>
      </w:r>
      <w:r w:rsidR="00C91062" w:rsidRPr="00C8664D">
        <w:rPr>
          <w:rFonts w:ascii="Avenir Next" w:hAnsi="Avenir Next" w:cs="Arial"/>
          <w:sz w:val="22"/>
          <w:szCs w:val="22"/>
          <w:highlight w:val="yellow"/>
          <w:lang w:val="en-GB"/>
        </w:rPr>
        <w:t xml:space="preserve"> weeks of the commencement of the administration</w:t>
      </w:r>
      <w:r w:rsidR="00763348" w:rsidRPr="00C8664D">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222AF5" w:rsidRDefault="00E443D7" w:rsidP="00C55824">
      <w:pPr>
        <w:pStyle w:val="ListParagraph"/>
        <w:numPr>
          <w:ilvl w:val="0"/>
          <w:numId w:val="2"/>
        </w:numPr>
        <w:ind w:left="426"/>
        <w:jc w:val="both"/>
        <w:rPr>
          <w:rFonts w:ascii="Avenir Next" w:hAnsi="Avenir Next" w:cs="Arial"/>
          <w:sz w:val="22"/>
          <w:szCs w:val="22"/>
          <w:highlight w:val="yellow"/>
          <w:lang w:val="en-GB"/>
        </w:rPr>
      </w:pPr>
      <w:r w:rsidRPr="00222AF5">
        <w:rPr>
          <w:rFonts w:ascii="Avenir Next" w:hAnsi="Avenir Next" w:cs="Arial"/>
          <w:sz w:val="22"/>
          <w:szCs w:val="22"/>
          <w:highlight w:val="yellow"/>
          <w:lang w:val="en-GB"/>
        </w:rPr>
        <w:t>One year</w:t>
      </w:r>
      <w:r w:rsidR="00763348" w:rsidRPr="00222AF5">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AD3D98" w:rsidRDefault="00AE5B6F" w:rsidP="00B04033">
      <w:pPr>
        <w:pStyle w:val="ListParagraph"/>
        <w:numPr>
          <w:ilvl w:val="0"/>
          <w:numId w:val="3"/>
        </w:numPr>
        <w:ind w:left="426"/>
        <w:jc w:val="both"/>
        <w:rPr>
          <w:rFonts w:ascii="Avenir Next" w:hAnsi="Avenir Next" w:cs="Arial"/>
          <w:sz w:val="22"/>
          <w:szCs w:val="22"/>
          <w:highlight w:val="yellow"/>
          <w:lang w:val="en-GB"/>
        </w:rPr>
      </w:pPr>
      <w:r w:rsidRPr="00AD3D98">
        <w:rPr>
          <w:rFonts w:ascii="Avenir Next" w:hAnsi="Avenir Next" w:cs="Arial"/>
          <w:sz w:val="22"/>
          <w:szCs w:val="22"/>
          <w:highlight w:val="yellow"/>
          <w:lang w:val="en-GB"/>
        </w:rPr>
        <w:t>T</w:t>
      </w:r>
      <w:r w:rsidR="008D1616" w:rsidRPr="00AD3D98">
        <w:rPr>
          <w:rFonts w:ascii="Avenir Next" w:hAnsi="Avenir Next" w:cs="Arial"/>
          <w:sz w:val="22"/>
          <w:szCs w:val="22"/>
          <w:highlight w:val="yellow"/>
          <w:lang w:val="en-GB"/>
        </w:rPr>
        <w:t>he company is, or is likely to become, unable to pay their debts, as defined under s</w:t>
      </w:r>
      <w:r w:rsidR="00E833F4" w:rsidRPr="00AD3D98">
        <w:rPr>
          <w:rFonts w:ascii="Avenir Next" w:hAnsi="Avenir Next" w:cs="Arial"/>
          <w:sz w:val="22"/>
          <w:szCs w:val="22"/>
          <w:highlight w:val="yellow"/>
          <w:lang w:val="en-GB"/>
        </w:rPr>
        <w:t>ection</w:t>
      </w:r>
      <w:r w:rsidR="008D1616" w:rsidRPr="00AD3D98">
        <w:rPr>
          <w:rFonts w:ascii="Avenir Next" w:hAnsi="Avenir Next" w:cs="Arial"/>
          <w:sz w:val="22"/>
          <w:szCs w:val="22"/>
          <w:highlight w:val="yellow"/>
          <w:lang w:val="en-GB"/>
        </w:rPr>
        <w:t xml:space="preserve"> 123 of the Insolvency Act 1986</w:t>
      </w:r>
      <w:r w:rsidR="00763348" w:rsidRPr="00AD3D98">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C8664D" w:rsidRDefault="00C91062" w:rsidP="00B04033">
      <w:pPr>
        <w:pStyle w:val="ListParagraph"/>
        <w:numPr>
          <w:ilvl w:val="0"/>
          <w:numId w:val="4"/>
        </w:numPr>
        <w:ind w:left="426"/>
        <w:jc w:val="both"/>
        <w:rPr>
          <w:rFonts w:ascii="Avenir Next" w:hAnsi="Avenir Next" w:cs="Arial"/>
          <w:sz w:val="22"/>
          <w:szCs w:val="22"/>
          <w:highlight w:val="yellow"/>
          <w:lang w:val="en-GB"/>
        </w:rPr>
      </w:pPr>
      <w:r w:rsidRPr="00C8664D">
        <w:rPr>
          <w:rFonts w:ascii="Avenir Next" w:hAnsi="Avenir Next" w:cs="Arial"/>
          <w:sz w:val="22"/>
          <w:szCs w:val="22"/>
          <w:highlight w:val="yellow"/>
          <w:lang w:val="en-GB"/>
        </w:rPr>
        <w:t>The purchaser</w:t>
      </w:r>
      <w:r w:rsidR="00763348" w:rsidRPr="00C8664D">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200B7E" w:rsidRDefault="00BA1CFD" w:rsidP="00B04033">
      <w:pPr>
        <w:pStyle w:val="ListParagraph"/>
        <w:numPr>
          <w:ilvl w:val="0"/>
          <w:numId w:val="5"/>
        </w:numPr>
        <w:ind w:left="426"/>
        <w:jc w:val="both"/>
        <w:rPr>
          <w:rFonts w:ascii="Avenir Next" w:hAnsi="Avenir Next" w:cs="Arial"/>
          <w:sz w:val="22"/>
          <w:szCs w:val="22"/>
          <w:highlight w:val="yellow"/>
          <w:lang w:val="en-GB"/>
        </w:rPr>
      </w:pPr>
      <w:r w:rsidRPr="00200B7E">
        <w:rPr>
          <w:rFonts w:ascii="Avenir Next" w:hAnsi="Avenir Next" w:cs="Arial"/>
          <w:sz w:val="22"/>
          <w:szCs w:val="22"/>
          <w:highlight w:val="yellow"/>
          <w:lang w:val="en-GB"/>
        </w:rPr>
        <w:t>Administration</w:t>
      </w:r>
      <w:r w:rsidR="00763348" w:rsidRPr="00200B7E">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E21AEF" w:rsidRDefault="00221444" w:rsidP="00221444">
      <w:pPr>
        <w:pStyle w:val="ListParagraph"/>
        <w:numPr>
          <w:ilvl w:val="0"/>
          <w:numId w:val="6"/>
        </w:numPr>
        <w:ind w:left="426"/>
        <w:jc w:val="both"/>
        <w:rPr>
          <w:rFonts w:ascii="Avenir Next" w:hAnsi="Avenir Next" w:cs="Arial"/>
          <w:sz w:val="22"/>
          <w:szCs w:val="22"/>
          <w:highlight w:val="yellow"/>
          <w:lang w:val="en-GB"/>
        </w:rPr>
      </w:pPr>
      <w:r w:rsidRPr="00E21AEF">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A20E4E" w:rsidRDefault="00BA1CFD" w:rsidP="00B04033">
      <w:pPr>
        <w:pStyle w:val="ListParagraph"/>
        <w:numPr>
          <w:ilvl w:val="0"/>
          <w:numId w:val="7"/>
        </w:numPr>
        <w:ind w:left="426"/>
        <w:jc w:val="both"/>
        <w:rPr>
          <w:rFonts w:ascii="Avenir Next" w:hAnsi="Avenir Next" w:cs="Arial"/>
          <w:sz w:val="22"/>
          <w:szCs w:val="22"/>
          <w:highlight w:val="yellow"/>
          <w:lang w:val="en-GB"/>
        </w:rPr>
      </w:pPr>
      <w:r w:rsidRPr="00A20E4E">
        <w:rPr>
          <w:rFonts w:ascii="Avenir Next" w:hAnsi="Avenir Next" w:cs="Arial"/>
          <w:sz w:val="22"/>
          <w:szCs w:val="22"/>
          <w:highlight w:val="yellow"/>
          <w:lang w:val="en-GB"/>
        </w:rPr>
        <w:t>Breach of fiduciary duty</w:t>
      </w:r>
      <w:r w:rsidR="00763348" w:rsidRPr="00A20E4E">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BB3EDC" w:rsidRDefault="00450393" w:rsidP="00450393">
      <w:pPr>
        <w:pStyle w:val="ListParagraph"/>
        <w:numPr>
          <w:ilvl w:val="0"/>
          <w:numId w:val="8"/>
        </w:numPr>
        <w:ind w:left="426"/>
        <w:jc w:val="both"/>
        <w:rPr>
          <w:rFonts w:ascii="Avenir Next" w:hAnsi="Avenir Next" w:cs="Arial"/>
          <w:sz w:val="22"/>
          <w:szCs w:val="22"/>
          <w:highlight w:val="yellow"/>
          <w:lang w:val="en-GB"/>
        </w:rPr>
      </w:pPr>
      <w:r w:rsidRPr="00BB3EDC">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E21AEF" w:rsidRDefault="00E833F4" w:rsidP="00B04033">
      <w:pPr>
        <w:pStyle w:val="ListParagraph"/>
        <w:numPr>
          <w:ilvl w:val="0"/>
          <w:numId w:val="9"/>
        </w:numPr>
        <w:ind w:left="426"/>
        <w:jc w:val="both"/>
        <w:rPr>
          <w:rFonts w:ascii="Avenir Next" w:hAnsi="Avenir Next" w:cs="Arial"/>
          <w:sz w:val="22"/>
          <w:szCs w:val="22"/>
          <w:highlight w:val="yellow"/>
          <w:lang w:val="en-GB"/>
        </w:rPr>
      </w:pPr>
      <w:r w:rsidRPr="00E21AEF">
        <w:rPr>
          <w:rFonts w:ascii="Avenir Next" w:hAnsi="Avenir Next" w:cs="Arial"/>
          <w:sz w:val="22"/>
          <w:szCs w:val="22"/>
          <w:highlight w:val="yellow"/>
          <w:lang w:val="en-GB"/>
        </w:rPr>
        <w:t>A</w:t>
      </w:r>
      <w:r w:rsidR="000D10C6" w:rsidRPr="00E21AEF">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E21AEF" w:rsidRDefault="000D10C6" w:rsidP="00AE5B6F">
      <w:pPr>
        <w:pStyle w:val="ListParagraph"/>
        <w:numPr>
          <w:ilvl w:val="0"/>
          <w:numId w:val="9"/>
        </w:numPr>
        <w:ind w:left="426"/>
        <w:jc w:val="both"/>
        <w:rPr>
          <w:rFonts w:ascii="Avenir Next" w:hAnsi="Avenir Next" w:cs="Arial"/>
          <w:sz w:val="22"/>
          <w:szCs w:val="22"/>
          <w:lang w:val="en-GB"/>
        </w:rPr>
      </w:pPr>
      <w:r w:rsidRPr="00E21AEF">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A27CA5" w:rsidRDefault="000D4CFA" w:rsidP="004C7A8F">
      <w:pPr>
        <w:pStyle w:val="ListParagraph"/>
        <w:numPr>
          <w:ilvl w:val="0"/>
          <w:numId w:val="10"/>
        </w:numPr>
        <w:ind w:left="426"/>
        <w:jc w:val="both"/>
        <w:rPr>
          <w:rFonts w:ascii="Avenir Next" w:hAnsi="Avenir Next" w:cs="Arial"/>
          <w:sz w:val="22"/>
          <w:szCs w:val="22"/>
          <w:highlight w:val="yellow"/>
          <w:lang w:val="en-GB"/>
        </w:rPr>
      </w:pPr>
      <w:r w:rsidRPr="00A27CA5">
        <w:rPr>
          <w:rFonts w:ascii="Avenir Next" w:hAnsi="Avenir Next" w:cs="Arial"/>
          <w:sz w:val="22"/>
          <w:szCs w:val="22"/>
          <w:highlight w:val="yellow"/>
          <w:lang w:val="en-GB"/>
        </w:rPr>
        <w:t>Twelve</w:t>
      </w:r>
      <w:r w:rsidR="004C7A8F" w:rsidRPr="00A27CA5">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 xml:space="preserve">Who may bring an action under: (i)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7A1DB6B8" w:rsidR="00DE03AF" w:rsidRDefault="00BA636E" w:rsidP="003F655F">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avoidable floating charge under section 245 of the Insolvency Act 1986 is void without the office holding having to challenge the validity by bringing legal proceedings. However, should a dispute arise between the holder of charge and the office holder</w:t>
      </w:r>
      <w:r w:rsidR="00301DB2">
        <w:rPr>
          <w:rFonts w:ascii="Avenir Next" w:hAnsi="Avenir Next" w:cs="Arial"/>
          <w:color w:val="7B7B7B" w:themeColor="accent3" w:themeShade="BF"/>
          <w:sz w:val="22"/>
          <w:szCs w:val="22"/>
          <w:lang w:val="en-GB"/>
        </w:rPr>
        <w:t xml:space="preserve">, legal proceedings may be necessary to determine such a dispute. In which instance, the office holder, being either the administrator or the liquidator, may represent the company. </w:t>
      </w:r>
      <w:r>
        <w:rPr>
          <w:rFonts w:ascii="Avenir Next" w:hAnsi="Avenir Next" w:cs="Arial"/>
          <w:color w:val="7B7B7B" w:themeColor="accent3" w:themeShade="BF"/>
          <w:sz w:val="22"/>
          <w:szCs w:val="22"/>
          <w:lang w:val="en-GB"/>
        </w:rPr>
        <w:t xml:space="preserve"> </w:t>
      </w:r>
    </w:p>
    <w:p w14:paraId="2D6CDEF5" w14:textId="61CF54F7" w:rsidR="00BA4CB5" w:rsidRPr="00547767" w:rsidRDefault="00547767" w:rsidP="003F655F">
      <w:pPr>
        <w:pStyle w:val="ListParagraph"/>
        <w:numPr>
          <w:ilvl w:val="0"/>
          <w:numId w:val="19"/>
        </w:numPr>
        <w:jc w:val="both"/>
        <w:rPr>
          <w:rFonts w:ascii="Avenir Next" w:hAnsi="Avenir Next" w:cs="Arial"/>
          <w:color w:val="7B7B7B" w:themeColor="accent3" w:themeShade="BF"/>
          <w:sz w:val="22"/>
          <w:szCs w:val="22"/>
          <w:lang w:val="en-GB"/>
        </w:rPr>
      </w:pPr>
      <w:r w:rsidRPr="00547767">
        <w:rPr>
          <w:rFonts w:ascii="Avenir Next" w:hAnsi="Avenir Next" w:cs="Arial"/>
          <w:color w:val="7B7B7B" w:themeColor="accent3" w:themeShade="BF"/>
          <w:sz w:val="22"/>
          <w:szCs w:val="22"/>
          <w:lang w:val="en-GB"/>
        </w:rPr>
        <w:t xml:space="preserve">Section 16(4) of the Company Directors Disqualification Act 1986 lists the various parties that may bring an application under section 6. These include, the Secretary of State, the official receiver, the Competition and Markets Authority, the liquidator, or any authority listed under section 9E. </w:t>
      </w:r>
    </w:p>
    <w:p w14:paraId="0C7C0343" w14:textId="737A4989" w:rsidR="00BA4CB5" w:rsidRDefault="00BA4CB5" w:rsidP="003F655F">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administrator of the company may bring an action under section 246ZB of the Insolvency Act 1984 for wrongful trading if certain criteria set out in the </w:t>
      </w:r>
      <w:proofErr w:type="gramStart"/>
      <w:r>
        <w:rPr>
          <w:rFonts w:ascii="Avenir Next" w:hAnsi="Avenir Next" w:cs="Arial"/>
          <w:color w:val="7B7B7B" w:themeColor="accent3" w:themeShade="BF"/>
          <w:sz w:val="22"/>
          <w:szCs w:val="22"/>
          <w:lang w:val="en-GB"/>
        </w:rPr>
        <w:t>aforementioned section</w:t>
      </w:r>
      <w:proofErr w:type="gramEnd"/>
      <w:r>
        <w:rPr>
          <w:rFonts w:ascii="Avenir Next" w:hAnsi="Avenir Next" w:cs="Arial"/>
          <w:color w:val="7B7B7B" w:themeColor="accent3" w:themeShade="BF"/>
          <w:sz w:val="22"/>
          <w:szCs w:val="22"/>
          <w:lang w:val="en-GB"/>
        </w:rPr>
        <w:t xml:space="preserve"> are met. However, the administrator being a “office holder” may </w:t>
      </w:r>
      <w:r w:rsidR="00AA5B00">
        <w:rPr>
          <w:rFonts w:ascii="Avenir Next" w:hAnsi="Avenir Next" w:cs="Arial"/>
          <w:color w:val="7B7B7B" w:themeColor="accent3" w:themeShade="BF"/>
          <w:sz w:val="22"/>
          <w:szCs w:val="22"/>
          <w:lang w:val="en-GB"/>
        </w:rPr>
        <w:t xml:space="preserve">in accordance with </w:t>
      </w:r>
      <w:r>
        <w:rPr>
          <w:rFonts w:ascii="Avenir Next" w:hAnsi="Avenir Next" w:cs="Arial"/>
          <w:color w:val="7B7B7B" w:themeColor="accent3" w:themeShade="BF"/>
          <w:sz w:val="22"/>
          <w:szCs w:val="22"/>
          <w:lang w:val="en-GB"/>
        </w:rPr>
        <w:t xml:space="preserve">section 246ZB </w:t>
      </w:r>
      <w:r w:rsidR="00AA5B00">
        <w:rPr>
          <w:rFonts w:ascii="Avenir Next" w:hAnsi="Avenir Next" w:cs="Arial"/>
          <w:color w:val="7B7B7B" w:themeColor="accent3" w:themeShade="BF"/>
          <w:sz w:val="22"/>
          <w:szCs w:val="22"/>
          <w:lang w:val="en-GB"/>
        </w:rPr>
        <w:t xml:space="preserve">assign the </w:t>
      </w:r>
      <w:r>
        <w:rPr>
          <w:rFonts w:ascii="Avenir Next" w:hAnsi="Avenir Next" w:cs="Arial"/>
          <w:color w:val="7B7B7B" w:themeColor="accent3" w:themeShade="BF"/>
          <w:sz w:val="22"/>
          <w:szCs w:val="22"/>
          <w:lang w:val="en-GB"/>
        </w:rPr>
        <w:t xml:space="preserve">right of action to </w:t>
      </w:r>
      <w:r w:rsidR="007D25C2">
        <w:rPr>
          <w:rFonts w:ascii="Avenir Next" w:hAnsi="Avenir Next" w:cs="Arial"/>
          <w:color w:val="7B7B7B" w:themeColor="accent3" w:themeShade="BF"/>
          <w:sz w:val="22"/>
          <w:szCs w:val="22"/>
          <w:lang w:val="en-GB"/>
        </w:rPr>
        <w:t xml:space="preserve">a third party </w:t>
      </w:r>
      <w:r w:rsidR="00A122B9">
        <w:rPr>
          <w:rFonts w:ascii="Avenir Next" w:hAnsi="Avenir Next" w:cs="Arial"/>
          <w:color w:val="7B7B7B" w:themeColor="accent3" w:themeShade="BF"/>
          <w:sz w:val="22"/>
          <w:szCs w:val="22"/>
          <w:lang w:val="en-GB"/>
        </w:rPr>
        <w:t>who</w:t>
      </w:r>
      <w:r w:rsidR="007D25C2">
        <w:rPr>
          <w:rFonts w:ascii="Avenir Next" w:hAnsi="Avenir Next" w:cs="Arial"/>
          <w:color w:val="7B7B7B" w:themeColor="accent3" w:themeShade="BF"/>
          <w:sz w:val="22"/>
          <w:szCs w:val="22"/>
          <w:lang w:val="en-GB"/>
        </w:rPr>
        <w:t xml:space="preserve"> may in turn sue the directors (and others)</w:t>
      </w:r>
      <w:r w:rsidR="00B55ECF">
        <w:rPr>
          <w:rFonts w:ascii="Avenir Next" w:hAnsi="Avenir Next" w:cs="Arial"/>
          <w:color w:val="7B7B7B" w:themeColor="accent3" w:themeShade="BF"/>
          <w:sz w:val="22"/>
          <w:szCs w:val="22"/>
          <w:lang w:val="en-GB"/>
        </w:rPr>
        <w:t xml:space="preserve">. </w:t>
      </w:r>
    </w:p>
    <w:p w14:paraId="4F14DA9B" w14:textId="33811B82" w:rsidR="00A27CA5" w:rsidRPr="003F655F" w:rsidRDefault="00A27CA5" w:rsidP="003F655F">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may institute action to recover assets disposed by the company </w:t>
      </w:r>
      <w:proofErr w:type="gramStart"/>
      <w:r>
        <w:rPr>
          <w:rFonts w:ascii="Avenir Next" w:hAnsi="Avenir Next" w:cs="Arial"/>
          <w:color w:val="7B7B7B" w:themeColor="accent3" w:themeShade="BF"/>
          <w:sz w:val="22"/>
          <w:szCs w:val="22"/>
          <w:lang w:val="en-GB"/>
        </w:rPr>
        <w:t>subsequent to</w:t>
      </w:r>
      <w:proofErr w:type="gramEnd"/>
      <w:r>
        <w:rPr>
          <w:rFonts w:ascii="Avenir Next" w:hAnsi="Avenir Next" w:cs="Arial"/>
          <w:color w:val="7B7B7B" w:themeColor="accent3" w:themeShade="BF"/>
          <w:sz w:val="22"/>
          <w:szCs w:val="22"/>
          <w:lang w:val="en-GB"/>
        </w:rPr>
        <w:t xml:space="preserve"> the deemed date of liquidation (i.e. after the winding-up petition</w:t>
      </w:r>
      <w:r w:rsidR="00730B59">
        <w:rPr>
          <w:rFonts w:ascii="Avenir Next" w:hAnsi="Avenir Next" w:cs="Arial"/>
          <w:color w:val="7B7B7B" w:themeColor="accent3" w:themeShade="BF"/>
          <w:sz w:val="22"/>
          <w:szCs w:val="22"/>
          <w:lang w:val="en-GB"/>
        </w:rPr>
        <w:t xml:space="preserve"> was presented to court) to the date upon which the liquidator has taken control of the assets. </w:t>
      </w:r>
      <w:r>
        <w:rPr>
          <w:rFonts w:ascii="Avenir Next" w:hAnsi="Avenir Next" w:cs="Arial"/>
          <w:color w:val="7B7B7B" w:themeColor="accent3" w:themeShade="BF"/>
          <w:sz w:val="22"/>
          <w:szCs w:val="22"/>
          <w:lang w:val="en-GB"/>
        </w:rPr>
        <w:t xml:space="preserve"> </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FB7DA5">
        <w:rPr>
          <w:rFonts w:ascii="Avenir Next" w:hAnsi="Avenir Next" w:cs="Arial"/>
          <w:sz w:val="22"/>
          <w:szCs w:val="22"/>
          <w:lang w:val="en-GB"/>
        </w:rPr>
        <w:t xml:space="preserve">List any </w:t>
      </w:r>
      <w:r w:rsidRPr="00FB7DA5">
        <w:rPr>
          <w:rFonts w:ascii="Avenir Next Demi Bold" w:hAnsi="Avenir Next Demi Bold" w:cs="Arial"/>
          <w:b/>
          <w:bCs/>
          <w:sz w:val="22"/>
          <w:szCs w:val="22"/>
          <w:lang w:val="en-GB"/>
        </w:rPr>
        <w:t>five (5)</w:t>
      </w:r>
      <w:r w:rsidRPr="00FB7DA5">
        <w:rPr>
          <w:rFonts w:ascii="Avenir Next" w:hAnsi="Avenir Next" w:cs="Arial"/>
          <w:sz w:val="22"/>
          <w:szCs w:val="22"/>
          <w:lang w:val="en-GB"/>
        </w:rPr>
        <w:t xml:space="preserve"> of the debts which do not form part of the payment holiday under Part A1 of the Insolvency Act 1986 when a company is subject to a Moratorium.</w:t>
      </w:r>
      <w:r w:rsidRPr="006925C1">
        <w:rPr>
          <w:rFonts w:ascii="Avenir Next" w:hAnsi="Avenir Next" w:cs="Arial"/>
          <w:sz w:val="22"/>
          <w:szCs w:val="22"/>
          <w:lang w:val="en-GB"/>
        </w:rPr>
        <w:t xml:space="preserve"> </w:t>
      </w:r>
    </w:p>
    <w:p w14:paraId="6A7288FC" w14:textId="77777777" w:rsidR="008B58D5" w:rsidRPr="006925C1" w:rsidRDefault="008B58D5" w:rsidP="008B58D5">
      <w:pPr>
        <w:jc w:val="both"/>
        <w:rPr>
          <w:rFonts w:ascii="Avenir Next" w:hAnsi="Avenir Next" w:cs="Arial"/>
          <w:sz w:val="22"/>
          <w:szCs w:val="22"/>
          <w:lang w:val="en-GB"/>
        </w:rPr>
      </w:pPr>
    </w:p>
    <w:p w14:paraId="74FF5947" w14:textId="5AA73AE3" w:rsidR="00197F24" w:rsidRDefault="00222AF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According to A18 of Part A1 of the Insolvency Act 1986, the following pre- and post-Moratorium debts are excluded from the payment </w:t>
      </w:r>
      <w:proofErr w:type="gramStart"/>
      <w:r>
        <w:rPr>
          <w:rFonts w:ascii="Avenir Next" w:hAnsi="Avenir Next" w:cs="Arial"/>
          <w:color w:val="7B7B7B" w:themeColor="accent3" w:themeShade="BF"/>
          <w:sz w:val="22"/>
          <w:szCs w:val="22"/>
          <w:lang w:val="en-GB"/>
        </w:rPr>
        <w:t>holiday;</w:t>
      </w:r>
      <w:proofErr w:type="gramEnd"/>
      <w:r>
        <w:rPr>
          <w:rFonts w:ascii="Avenir Next" w:hAnsi="Avenir Next" w:cs="Arial"/>
          <w:color w:val="7B7B7B" w:themeColor="accent3" w:themeShade="BF"/>
          <w:sz w:val="22"/>
          <w:szCs w:val="22"/>
          <w:lang w:val="en-GB"/>
        </w:rPr>
        <w:t xml:space="preserve"> </w:t>
      </w:r>
    </w:p>
    <w:p w14:paraId="5BFA91EF" w14:textId="3F19B5D7" w:rsidR="00222AF5" w:rsidRDefault="00222AF5" w:rsidP="00222AF5">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monitor’s remuneration and expenses, </w:t>
      </w:r>
    </w:p>
    <w:p w14:paraId="3B8A63BA" w14:textId="5522CB4A" w:rsidR="00222AF5" w:rsidRDefault="00222AF5" w:rsidP="00222AF5">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Goods and services supplied during the moratorium, </w:t>
      </w:r>
    </w:p>
    <w:p w14:paraId="7E157917" w14:textId="1318A315" w:rsidR="00222AF5" w:rsidRDefault="00222AF5" w:rsidP="00222AF5">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Rent in respect of the period during the moratorium, </w:t>
      </w:r>
    </w:p>
    <w:p w14:paraId="176C99D3" w14:textId="6FDD85D6" w:rsidR="00222AF5" w:rsidRDefault="00222AF5" w:rsidP="00222AF5">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Wages or salary arising under a contract of employment, </w:t>
      </w:r>
    </w:p>
    <w:p w14:paraId="45B91526" w14:textId="19C65788" w:rsidR="00222AF5" w:rsidRPr="00222AF5" w:rsidRDefault="00222AF5" w:rsidP="00222AF5">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Redundancy payments.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C10CD92" w14:textId="77777777" w:rsidR="00815699" w:rsidRPr="006925C1" w:rsidRDefault="00815699" w:rsidP="00FA417D">
      <w:pPr>
        <w:jc w:val="both"/>
        <w:rPr>
          <w:rFonts w:ascii="Avenir Next" w:hAnsi="Avenir Next" w:cs="Arial"/>
          <w:sz w:val="22"/>
          <w:szCs w:val="22"/>
          <w:lang w:val="en-GB"/>
        </w:rPr>
      </w:pPr>
    </w:p>
    <w:p w14:paraId="113DB62F" w14:textId="24D93A09" w:rsidR="00815699" w:rsidRDefault="0081569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During administration proceedings, the administrator may in accordance with Section 233 of the Insolvency Act 1986 request a supplier of essential goods and services to continue to supply such goods or services</w:t>
      </w:r>
      <w:r w:rsidR="00A35A08">
        <w:rPr>
          <w:rFonts w:ascii="Avenir Next" w:hAnsi="Avenir Next" w:cs="Arial"/>
          <w:color w:val="7B7B7B" w:themeColor="accent3" w:themeShade="BF"/>
          <w:sz w:val="22"/>
          <w:szCs w:val="22"/>
          <w:lang w:val="en-GB"/>
        </w:rPr>
        <w:t xml:space="preserve">, whilst the supplier of such goods and services is prohibited from ceasing supply. The supplier may also not demand payment of arrear charges to be settled </w:t>
      </w:r>
      <w:proofErr w:type="gramStart"/>
      <w:r w:rsidR="00A35A08">
        <w:rPr>
          <w:rFonts w:ascii="Avenir Next" w:hAnsi="Avenir Next" w:cs="Arial"/>
          <w:color w:val="7B7B7B" w:themeColor="accent3" w:themeShade="BF"/>
          <w:sz w:val="22"/>
          <w:szCs w:val="22"/>
          <w:lang w:val="en-GB"/>
        </w:rPr>
        <w:t>in order to</w:t>
      </w:r>
      <w:proofErr w:type="gramEnd"/>
      <w:r w:rsidR="00A35A08">
        <w:rPr>
          <w:rFonts w:ascii="Avenir Next" w:hAnsi="Avenir Next" w:cs="Arial"/>
          <w:color w:val="7B7B7B" w:themeColor="accent3" w:themeShade="BF"/>
          <w:sz w:val="22"/>
          <w:szCs w:val="22"/>
          <w:lang w:val="en-GB"/>
        </w:rPr>
        <w:t xml:space="preserve"> secure continued supply. </w:t>
      </w:r>
      <w:r>
        <w:rPr>
          <w:rFonts w:ascii="Avenir Next" w:hAnsi="Avenir Next" w:cs="Arial"/>
          <w:color w:val="7B7B7B" w:themeColor="accent3" w:themeShade="BF"/>
          <w:sz w:val="22"/>
          <w:szCs w:val="22"/>
          <w:lang w:val="en-GB"/>
        </w:rPr>
        <w:t xml:space="preserve"> </w:t>
      </w:r>
    </w:p>
    <w:p w14:paraId="2E9EEB18" w14:textId="77777777" w:rsidR="00815699" w:rsidRDefault="00815699" w:rsidP="00197F24">
      <w:pPr>
        <w:jc w:val="both"/>
        <w:rPr>
          <w:rFonts w:ascii="Avenir Next" w:hAnsi="Avenir Next" w:cs="Arial"/>
          <w:color w:val="7B7B7B" w:themeColor="accent3" w:themeShade="BF"/>
          <w:sz w:val="22"/>
          <w:szCs w:val="22"/>
          <w:lang w:val="en-GB"/>
        </w:rPr>
      </w:pPr>
    </w:p>
    <w:p w14:paraId="2E92BE25" w14:textId="587535F4" w:rsidR="00197F24" w:rsidRDefault="00A35A0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administra</w:t>
      </w:r>
      <w:r w:rsidR="00B55ECF">
        <w:rPr>
          <w:rFonts w:ascii="Avenir Next" w:hAnsi="Avenir Next" w:cs="Arial"/>
          <w:color w:val="7B7B7B" w:themeColor="accent3" w:themeShade="BF"/>
          <w:sz w:val="22"/>
          <w:szCs w:val="22"/>
          <w:lang w:val="en-GB"/>
        </w:rPr>
        <w:t>tor</w:t>
      </w:r>
      <w:r>
        <w:rPr>
          <w:rFonts w:ascii="Avenir Next" w:hAnsi="Avenir Next" w:cs="Arial"/>
          <w:color w:val="7B7B7B" w:themeColor="accent3" w:themeShade="BF"/>
          <w:sz w:val="22"/>
          <w:szCs w:val="22"/>
          <w:lang w:val="en-GB"/>
        </w:rPr>
        <w:t xml:space="preserve"> should carefully consider what is deemed as a supplier of essential goods or services for the purposes of application of this section. </w:t>
      </w:r>
      <w:r w:rsidR="00815699">
        <w:rPr>
          <w:rFonts w:ascii="Avenir Next" w:hAnsi="Avenir Next" w:cs="Arial"/>
          <w:color w:val="7B7B7B" w:themeColor="accent3" w:themeShade="BF"/>
          <w:sz w:val="22"/>
          <w:szCs w:val="22"/>
          <w:lang w:val="en-GB"/>
        </w:rPr>
        <w:t xml:space="preserve">Sections 233(3) and 223(3A) broadens the initial scope of application of Section 223 and elaborates on which supplies and goods are deemed to be essential suppliers. These include the provision of basic utilities, but also information technology related services without which a modern business cannot function.  </w:t>
      </w:r>
    </w:p>
    <w:p w14:paraId="70BECF44" w14:textId="77777777" w:rsidR="0063381C" w:rsidRDefault="0063381C" w:rsidP="002A37BB">
      <w:pPr>
        <w:jc w:val="both"/>
        <w:rPr>
          <w:rFonts w:ascii="Avenir Next" w:hAnsi="Avenir Next" w:cs="Arial"/>
          <w:color w:val="7B7B7B" w:themeColor="accent3" w:themeShade="BF"/>
          <w:sz w:val="22"/>
          <w:szCs w:val="22"/>
          <w:lang w:val="en-GB"/>
        </w:rPr>
      </w:pPr>
    </w:p>
    <w:p w14:paraId="44C17BF9" w14:textId="23749B8E" w:rsidR="00A35A08" w:rsidRDefault="00A35A08"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w:t>
      </w:r>
      <w:r w:rsidR="00B55ECF">
        <w:rPr>
          <w:rFonts w:ascii="Avenir Next" w:hAnsi="Avenir Next" w:cs="Arial"/>
          <w:color w:val="7B7B7B" w:themeColor="accent3" w:themeShade="BF"/>
          <w:sz w:val="22"/>
          <w:szCs w:val="22"/>
          <w:lang w:val="en-GB"/>
        </w:rPr>
        <w:t>these provisions</w:t>
      </w:r>
      <w:r>
        <w:rPr>
          <w:rFonts w:ascii="Avenir Next" w:hAnsi="Avenir Next" w:cs="Arial"/>
          <w:color w:val="7B7B7B" w:themeColor="accent3" w:themeShade="BF"/>
          <w:sz w:val="22"/>
          <w:szCs w:val="22"/>
          <w:lang w:val="en-GB"/>
        </w:rPr>
        <w:t xml:space="preserve"> relating to the supply of essential goods and services </w:t>
      </w:r>
      <w:r w:rsidR="00B55ECF">
        <w:rPr>
          <w:rFonts w:ascii="Avenir Next" w:hAnsi="Avenir Next" w:cs="Arial"/>
          <w:color w:val="7B7B7B" w:themeColor="accent3" w:themeShade="BF"/>
          <w:sz w:val="22"/>
          <w:szCs w:val="22"/>
          <w:lang w:val="en-GB"/>
        </w:rPr>
        <w:t>are</w:t>
      </w:r>
      <w:r>
        <w:rPr>
          <w:rFonts w:ascii="Avenir Next" w:hAnsi="Avenir Next" w:cs="Arial"/>
          <w:color w:val="7B7B7B" w:themeColor="accent3" w:themeShade="BF"/>
          <w:sz w:val="22"/>
          <w:szCs w:val="22"/>
          <w:lang w:val="en-GB"/>
        </w:rPr>
        <w:t xml:space="preserve"> not absolute as the act does make provision for their protection as well</w:t>
      </w:r>
      <w:r w:rsidR="00B55EC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B55ECF">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n that</w:t>
      </w:r>
      <w:r w:rsidR="00E82AD0">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 the supplier may demand that the administrator personally guarantees payment of charges in respect of continuation of supply, </w:t>
      </w:r>
      <w:r w:rsidR="00E82AD0">
        <w:rPr>
          <w:rFonts w:ascii="Avenir Next" w:hAnsi="Avenir Next" w:cs="Arial"/>
          <w:color w:val="7B7B7B" w:themeColor="accent3" w:themeShade="BF"/>
          <w:sz w:val="22"/>
          <w:szCs w:val="22"/>
          <w:lang w:val="en-GB"/>
        </w:rPr>
        <w:t xml:space="preserve">and failure to provide such guarantees will entitle the supplier to terminate supply; (ii) if the supplier is able to prove to court that continuation of supply causes the supplier undue hardship, the supplier may </w:t>
      </w:r>
      <w:r w:rsidR="00B55ECF">
        <w:rPr>
          <w:rFonts w:ascii="Avenir Next" w:hAnsi="Avenir Next" w:cs="Arial"/>
          <w:color w:val="7B7B7B" w:themeColor="accent3" w:themeShade="BF"/>
          <w:sz w:val="22"/>
          <w:szCs w:val="22"/>
          <w:lang w:val="en-GB"/>
        </w:rPr>
        <w:t xml:space="preserve">successfully </w:t>
      </w:r>
      <w:r w:rsidR="00E82AD0">
        <w:rPr>
          <w:rFonts w:ascii="Avenir Next" w:hAnsi="Avenir Next" w:cs="Arial"/>
          <w:color w:val="7B7B7B" w:themeColor="accent3" w:themeShade="BF"/>
          <w:sz w:val="22"/>
          <w:szCs w:val="22"/>
          <w:lang w:val="en-GB"/>
        </w:rPr>
        <w:t xml:space="preserve">apply to court for permission to terminate supply; (iii) the supplier may terminate supply if the suppliers’ post-administration account remains unpaid for a period of 28 days after payment is due. </w:t>
      </w:r>
    </w:p>
    <w:p w14:paraId="09B653A9" w14:textId="77777777" w:rsidR="00E82AD0" w:rsidRDefault="00E82AD0" w:rsidP="002A37BB">
      <w:pPr>
        <w:jc w:val="both"/>
        <w:rPr>
          <w:rFonts w:ascii="Avenir Next" w:hAnsi="Avenir Next" w:cs="Arial"/>
          <w:color w:val="7B7B7B" w:themeColor="accent3" w:themeShade="BF"/>
          <w:sz w:val="22"/>
          <w:szCs w:val="22"/>
          <w:lang w:val="en-GB"/>
        </w:rPr>
      </w:pPr>
    </w:p>
    <w:p w14:paraId="4716C140" w14:textId="77777777" w:rsidR="00E82AD0" w:rsidRPr="006925C1" w:rsidRDefault="00E82AD0"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D76528D" w14:textId="094D6407" w:rsidR="00197F24" w:rsidRDefault="00B20DE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essence, the order of priority that creditors are allocated in liquidation process is as follows:</w:t>
      </w:r>
    </w:p>
    <w:p w14:paraId="7EBE82CA" w14:textId="77777777" w:rsidR="00B20DEE" w:rsidRDefault="00B20DEE" w:rsidP="00197F24">
      <w:pPr>
        <w:jc w:val="both"/>
        <w:rPr>
          <w:rFonts w:ascii="Avenir Next" w:hAnsi="Avenir Next" w:cs="Arial"/>
          <w:color w:val="7B7B7B" w:themeColor="accent3" w:themeShade="BF"/>
          <w:sz w:val="22"/>
          <w:szCs w:val="22"/>
          <w:lang w:val="en-GB"/>
        </w:rPr>
      </w:pPr>
    </w:p>
    <w:p w14:paraId="75764D20" w14:textId="77777777" w:rsidR="00602C8F" w:rsidRPr="00150890" w:rsidRDefault="00B20DEE" w:rsidP="00150890">
      <w:pPr>
        <w:pStyle w:val="ListParagraph"/>
        <w:numPr>
          <w:ilvl w:val="0"/>
          <w:numId w:val="20"/>
        </w:numPr>
        <w:ind w:left="567" w:hanging="567"/>
        <w:jc w:val="both"/>
        <w:rPr>
          <w:rFonts w:ascii="Avenir Next" w:hAnsi="Avenir Next" w:cs="Arial"/>
          <w:color w:val="7B7B7B" w:themeColor="accent3" w:themeShade="BF"/>
          <w:sz w:val="22"/>
          <w:szCs w:val="22"/>
          <w:lang w:val="en-GB"/>
        </w:rPr>
      </w:pPr>
      <w:r w:rsidRPr="00150890">
        <w:rPr>
          <w:rFonts w:ascii="Avenir Next" w:hAnsi="Avenir Next" w:cs="Arial"/>
          <w:color w:val="7B7B7B" w:themeColor="accent3" w:themeShade="BF"/>
          <w:sz w:val="22"/>
          <w:szCs w:val="22"/>
          <w:u w:val="single"/>
          <w:lang w:val="en-GB"/>
        </w:rPr>
        <w:t>Creditors with a fixed security or charge</w:t>
      </w:r>
      <w:r w:rsidRPr="00150890">
        <w:rPr>
          <w:rFonts w:ascii="Avenir Next" w:hAnsi="Avenir Next" w:cs="Arial"/>
          <w:color w:val="7B7B7B" w:themeColor="accent3" w:themeShade="BF"/>
          <w:sz w:val="22"/>
          <w:szCs w:val="22"/>
          <w:lang w:val="en-GB"/>
        </w:rPr>
        <w:t xml:space="preserve">: </w:t>
      </w:r>
    </w:p>
    <w:p w14:paraId="2F3C7172" w14:textId="75BB0D1D" w:rsidR="00B20DEE" w:rsidRPr="00150890" w:rsidRDefault="00150890" w:rsidP="00150890">
      <w:pPr>
        <w:pStyle w:val="ListParagraph"/>
        <w:ind w:left="567"/>
        <w:jc w:val="both"/>
        <w:rPr>
          <w:rFonts w:ascii="Avenir Next" w:hAnsi="Avenir Next" w:cs="Arial"/>
          <w:color w:val="7B7B7B" w:themeColor="accent3" w:themeShade="BF"/>
          <w:sz w:val="22"/>
          <w:szCs w:val="22"/>
          <w:lang w:val="en-GB"/>
        </w:rPr>
      </w:pPr>
      <w:r w:rsidRPr="00150890">
        <w:rPr>
          <w:rFonts w:ascii="Avenir Next" w:hAnsi="Avenir Next" w:cs="Arial"/>
          <w:color w:val="7B7B7B" w:themeColor="accent3" w:themeShade="BF"/>
          <w:sz w:val="22"/>
          <w:szCs w:val="22"/>
          <w:lang w:val="en-GB"/>
        </w:rPr>
        <w:t>By</w:t>
      </w:r>
      <w:r w:rsidR="00602C8F" w:rsidRPr="00150890">
        <w:rPr>
          <w:rFonts w:ascii="Avenir Next" w:hAnsi="Avenir Next" w:cs="Arial"/>
          <w:color w:val="7B7B7B" w:themeColor="accent3" w:themeShade="BF"/>
          <w:sz w:val="22"/>
          <w:szCs w:val="22"/>
          <w:lang w:val="en-GB"/>
        </w:rPr>
        <w:t xml:space="preserve"> virtue of the nature of their security</w:t>
      </w:r>
      <w:r w:rsidRPr="00150890">
        <w:rPr>
          <w:rFonts w:ascii="Avenir Next" w:hAnsi="Avenir Next" w:cs="Arial"/>
          <w:color w:val="7B7B7B" w:themeColor="accent3" w:themeShade="BF"/>
          <w:sz w:val="22"/>
          <w:szCs w:val="22"/>
          <w:lang w:val="en-GB"/>
        </w:rPr>
        <w:t xml:space="preserve"> assigned</w:t>
      </w:r>
      <w:r w:rsidR="00602C8F" w:rsidRPr="00150890">
        <w:rPr>
          <w:rFonts w:ascii="Avenir Next" w:hAnsi="Avenir Next" w:cs="Arial"/>
          <w:color w:val="7B7B7B" w:themeColor="accent3" w:themeShade="BF"/>
          <w:sz w:val="22"/>
          <w:szCs w:val="22"/>
          <w:lang w:val="en-GB"/>
        </w:rPr>
        <w:t xml:space="preserve"> over a specific tangible asset</w:t>
      </w:r>
      <w:r w:rsidRPr="00150890">
        <w:rPr>
          <w:rFonts w:ascii="Avenir Next" w:hAnsi="Avenir Next" w:cs="Arial"/>
          <w:color w:val="7B7B7B" w:themeColor="accent3" w:themeShade="BF"/>
          <w:sz w:val="22"/>
          <w:szCs w:val="22"/>
          <w:lang w:val="en-GB"/>
        </w:rPr>
        <w:t xml:space="preserve"> or</w:t>
      </w:r>
      <w:r w:rsidR="00602C8F" w:rsidRPr="00150890">
        <w:rPr>
          <w:rFonts w:ascii="Avenir Next" w:hAnsi="Avenir Next" w:cs="Arial"/>
          <w:color w:val="7B7B7B" w:themeColor="accent3" w:themeShade="BF"/>
          <w:sz w:val="22"/>
          <w:szCs w:val="22"/>
          <w:lang w:val="en-GB"/>
        </w:rPr>
        <w:t xml:space="preserve"> </w:t>
      </w:r>
      <w:r w:rsidRPr="00150890">
        <w:rPr>
          <w:rFonts w:ascii="Avenir Next" w:hAnsi="Avenir Next" w:cs="Arial"/>
          <w:color w:val="7B7B7B" w:themeColor="accent3" w:themeShade="BF"/>
          <w:sz w:val="22"/>
          <w:szCs w:val="22"/>
          <w:lang w:val="en-GB"/>
        </w:rPr>
        <w:t>retention of title in an asset these</w:t>
      </w:r>
      <w:r w:rsidR="00602C8F" w:rsidRPr="00150890">
        <w:rPr>
          <w:rFonts w:ascii="Avenir Next" w:hAnsi="Avenir Next" w:cs="Arial"/>
          <w:color w:val="7B7B7B" w:themeColor="accent3" w:themeShade="BF"/>
          <w:sz w:val="22"/>
          <w:szCs w:val="22"/>
          <w:lang w:val="en-GB"/>
        </w:rPr>
        <w:t xml:space="preserve"> creditors would typically enforce their security outside liquidation process as the asset does not of the communal pot that other creditors may share in. Examples of this class include</w:t>
      </w:r>
      <w:r w:rsidR="00B20DEE" w:rsidRPr="00150890">
        <w:rPr>
          <w:rFonts w:ascii="Avenir Next" w:hAnsi="Avenir Next" w:cs="Arial"/>
          <w:color w:val="7B7B7B" w:themeColor="accent3" w:themeShade="BF"/>
          <w:sz w:val="22"/>
          <w:szCs w:val="22"/>
          <w:lang w:val="en-GB"/>
        </w:rPr>
        <w:t xml:space="preserve"> mortgage holders, </w:t>
      </w:r>
      <w:r w:rsidR="00602C8F" w:rsidRPr="00150890">
        <w:rPr>
          <w:rFonts w:ascii="Avenir Next" w:hAnsi="Avenir Next" w:cs="Arial"/>
          <w:color w:val="7B7B7B" w:themeColor="accent3" w:themeShade="BF"/>
          <w:sz w:val="22"/>
          <w:szCs w:val="22"/>
          <w:lang w:val="en-GB"/>
        </w:rPr>
        <w:t xml:space="preserve">rental deposits, invoice factoring, cession of book debts etc. </w:t>
      </w:r>
      <w:proofErr w:type="gramStart"/>
      <w:r w:rsidRPr="00150890">
        <w:rPr>
          <w:rFonts w:ascii="Avenir Next" w:hAnsi="Avenir Next" w:cs="Arial"/>
          <w:color w:val="7B7B7B" w:themeColor="accent3" w:themeShade="BF"/>
          <w:sz w:val="22"/>
          <w:szCs w:val="22"/>
          <w:lang w:val="en-GB"/>
        </w:rPr>
        <w:t>In the event that</w:t>
      </w:r>
      <w:proofErr w:type="gramEnd"/>
      <w:r w:rsidRPr="00150890">
        <w:rPr>
          <w:rFonts w:ascii="Avenir Next" w:hAnsi="Avenir Next" w:cs="Arial"/>
          <w:color w:val="7B7B7B" w:themeColor="accent3" w:themeShade="BF"/>
          <w:sz w:val="22"/>
          <w:szCs w:val="22"/>
          <w:lang w:val="en-GB"/>
        </w:rPr>
        <w:t xml:space="preserve"> the creditor of this class is settled in full</w:t>
      </w:r>
      <w:r>
        <w:rPr>
          <w:rFonts w:ascii="Avenir Next" w:hAnsi="Avenir Next" w:cs="Arial"/>
          <w:color w:val="7B7B7B" w:themeColor="accent3" w:themeShade="BF"/>
          <w:sz w:val="22"/>
          <w:szCs w:val="22"/>
          <w:lang w:val="en-GB"/>
        </w:rPr>
        <w:t>,</w:t>
      </w:r>
      <w:r w:rsidRPr="00150890">
        <w:rPr>
          <w:rFonts w:ascii="Avenir Next" w:hAnsi="Avenir Next" w:cs="Arial"/>
          <w:color w:val="7B7B7B" w:themeColor="accent3" w:themeShade="BF"/>
          <w:sz w:val="22"/>
          <w:szCs w:val="22"/>
          <w:lang w:val="en-GB"/>
        </w:rPr>
        <w:t xml:space="preserve"> with interest</w:t>
      </w:r>
      <w:r>
        <w:rPr>
          <w:rFonts w:ascii="Avenir Next" w:hAnsi="Avenir Next" w:cs="Arial"/>
          <w:color w:val="7B7B7B" w:themeColor="accent3" w:themeShade="BF"/>
          <w:sz w:val="22"/>
          <w:szCs w:val="22"/>
          <w:lang w:val="en-GB"/>
        </w:rPr>
        <w:t>,</w:t>
      </w:r>
      <w:r w:rsidRPr="00150890">
        <w:rPr>
          <w:rFonts w:ascii="Avenir Next" w:hAnsi="Avenir Next" w:cs="Arial"/>
          <w:color w:val="7B7B7B" w:themeColor="accent3" w:themeShade="BF"/>
          <w:sz w:val="22"/>
          <w:szCs w:val="22"/>
          <w:lang w:val="en-GB"/>
        </w:rPr>
        <w:t xml:space="preserve"> by the realization of the assets over which they hold security, the surplus would be transferred to the free residue available for the unsecured creditors. </w:t>
      </w:r>
    </w:p>
    <w:p w14:paraId="574B63FA" w14:textId="046F663E" w:rsidR="00150890" w:rsidRDefault="00150890" w:rsidP="00150890">
      <w:pPr>
        <w:ind w:left="567" w:hanging="567"/>
        <w:jc w:val="both"/>
        <w:rPr>
          <w:rFonts w:ascii="Avenir Next" w:hAnsi="Avenir Next" w:cs="Arial"/>
          <w:color w:val="7B7B7B" w:themeColor="accent3" w:themeShade="BF"/>
          <w:sz w:val="22"/>
          <w:szCs w:val="22"/>
          <w:lang w:val="en-GB"/>
        </w:rPr>
      </w:pPr>
    </w:p>
    <w:p w14:paraId="3E73248F" w14:textId="4164C204" w:rsidR="00150890" w:rsidRDefault="00150890" w:rsidP="0015089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realization proceeds of assets that is not encumbered as set out above, would be distributed to creditors in the following order: </w:t>
      </w:r>
    </w:p>
    <w:p w14:paraId="3EE55271" w14:textId="77777777" w:rsidR="00150890" w:rsidRDefault="00150890" w:rsidP="00150890">
      <w:pPr>
        <w:ind w:left="567" w:hanging="567"/>
        <w:jc w:val="both"/>
        <w:rPr>
          <w:rFonts w:ascii="Avenir Next" w:hAnsi="Avenir Next" w:cs="Arial"/>
          <w:color w:val="7B7B7B" w:themeColor="accent3" w:themeShade="BF"/>
          <w:sz w:val="22"/>
          <w:szCs w:val="22"/>
          <w:lang w:val="en-GB"/>
        </w:rPr>
      </w:pPr>
    </w:p>
    <w:p w14:paraId="7CF0D06A" w14:textId="19C6E222" w:rsidR="00B20DEE" w:rsidRPr="00150890" w:rsidRDefault="00B20DEE" w:rsidP="00150890">
      <w:pPr>
        <w:pStyle w:val="ListParagraph"/>
        <w:numPr>
          <w:ilvl w:val="0"/>
          <w:numId w:val="20"/>
        </w:numPr>
        <w:ind w:left="567" w:hanging="567"/>
        <w:jc w:val="both"/>
        <w:rPr>
          <w:rFonts w:ascii="Avenir Next" w:hAnsi="Avenir Next" w:cs="Arial"/>
          <w:color w:val="7B7B7B" w:themeColor="accent3" w:themeShade="BF"/>
          <w:sz w:val="22"/>
          <w:szCs w:val="22"/>
          <w:u w:val="single"/>
          <w:lang w:val="en-GB"/>
        </w:rPr>
      </w:pPr>
      <w:r w:rsidRPr="00150890">
        <w:rPr>
          <w:rFonts w:ascii="Avenir Next" w:hAnsi="Avenir Next" w:cs="Arial"/>
          <w:color w:val="7B7B7B" w:themeColor="accent3" w:themeShade="BF"/>
          <w:sz w:val="22"/>
          <w:szCs w:val="22"/>
          <w:u w:val="single"/>
          <w:lang w:val="en-GB"/>
        </w:rPr>
        <w:t>Administration costs</w:t>
      </w:r>
      <w:r w:rsidR="00602C8F" w:rsidRPr="00150890">
        <w:rPr>
          <w:rFonts w:ascii="Avenir Next" w:hAnsi="Avenir Next" w:cs="Arial"/>
          <w:color w:val="7B7B7B" w:themeColor="accent3" w:themeShade="BF"/>
          <w:sz w:val="22"/>
          <w:szCs w:val="22"/>
          <w:u w:val="single"/>
          <w:lang w:val="en-GB"/>
        </w:rPr>
        <w:t>:</w:t>
      </w:r>
      <w:r w:rsidR="00C348EB" w:rsidRPr="00150890">
        <w:rPr>
          <w:rFonts w:ascii="Avenir Next" w:hAnsi="Avenir Next" w:cs="Arial"/>
          <w:color w:val="7B7B7B" w:themeColor="accent3" w:themeShade="BF"/>
          <w:sz w:val="22"/>
          <w:szCs w:val="22"/>
          <w:lang w:val="en-GB"/>
        </w:rPr>
        <w:t xml:space="preserve"> </w:t>
      </w:r>
      <w:r w:rsidR="00C52C03">
        <w:rPr>
          <w:rFonts w:ascii="Avenir Next" w:hAnsi="Avenir Next" w:cs="Arial"/>
          <w:color w:val="7B7B7B" w:themeColor="accent3" w:themeShade="BF"/>
          <w:sz w:val="22"/>
          <w:szCs w:val="22"/>
          <w:lang w:val="en-GB"/>
        </w:rPr>
        <w:t xml:space="preserve">Section 115 and rules thereto list specific costs which should be paid in an order of priority prior to distribution to the creditors. </w:t>
      </w:r>
      <w:r w:rsidR="00C52C03" w:rsidRPr="00150890">
        <w:rPr>
          <w:rFonts w:ascii="Avenir Next" w:hAnsi="Avenir Next" w:cs="Arial"/>
          <w:color w:val="7B7B7B" w:themeColor="accent3" w:themeShade="BF"/>
          <w:sz w:val="22"/>
          <w:szCs w:val="22"/>
          <w:lang w:val="en-GB"/>
        </w:rPr>
        <w:t xml:space="preserve">These relate to </w:t>
      </w:r>
      <w:r w:rsidR="00C52C03">
        <w:rPr>
          <w:rFonts w:ascii="Avenir Next" w:hAnsi="Avenir Next" w:cs="Arial"/>
          <w:i/>
          <w:iCs/>
          <w:color w:val="7B7B7B" w:themeColor="accent3" w:themeShade="BF"/>
          <w:sz w:val="22"/>
          <w:szCs w:val="22"/>
          <w:lang w:val="en-GB"/>
        </w:rPr>
        <w:t xml:space="preserve">inter alia </w:t>
      </w:r>
      <w:r w:rsidR="00C52C03" w:rsidRPr="00150890">
        <w:rPr>
          <w:rFonts w:ascii="Avenir Next" w:hAnsi="Avenir Next" w:cs="Arial"/>
          <w:color w:val="7B7B7B" w:themeColor="accent3" w:themeShade="BF"/>
          <w:sz w:val="22"/>
          <w:szCs w:val="22"/>
          <w:lang w:val="en-GB"/>
        </w:rPr>
        <w:t xml:space="preserve">reasonably incurred expenses of winding up, such as costs of preservation, security, disbursements, the liquidators’ remuneration and capital gains </w:t>
      </w:r>
      <w:proofErr w:type="gramStart"/>
      <w:r w:rsidR="00C52C03" w:rsidRPr="00150890">
        <w:rPr>
          <w:rFonts w:ascii="Avenir Next" w:hAnsi="Avenir Next" w:cs="Arial"/>
          <w:color w:val="7B7B7B" w:themeColor="accent3" w:themeShade="BF"/>
          <w:sz w:val="22"/>
          <w:szCs w:val="22"/>
          <w:lang w:val="en-GB"/>
        </w:rPr>
        <w:t>tax</w:t>
      </w:r>
      <w:proofErr w:type="gramEnd"/>
    </w:p>
    <w:p w14:paraId="02352A72" w14:textId="77777777" w:rsidR="00602C8F" w:rsidRDefault="00602C8F" w:rsidP="00150890">
      <w:pPr>
        <w:ind w:left="567" w:hanging="567"/>
        <w:jc w:val="both"/>
        <w:rPr>
          <w:rFonts w:ascii="Avenir Next" w:hAnsi="Avenir Next" w:cs="Arial"/>
          <w:color w:val="7B7B7B" w:themeColor="accent3" w:themeShade="BF"/>
          <w:sz w:val="22"/>
          <w:szCs w:val="22"/>
          <w:lang w:val="en-GB"/>
        </w:rPr>
      </w:pPr>
    </w:p>
    <w:p w14:paraId="3C350E65" w14:textId="03487206" w:rsidR="00B20DEE" w:rsidRPr="00150890" w:rsidRDefault="00B20DEE" w:rsidP="00150890">
      <w:pPr>
        <w:pStyle w:val="ListParagraph"/>
        <w:numPr>
          <w:ilvl w:val="0"/>
          <w:numId w:val="20"/>
        </w:numPr>
        <w:ind w:left="567" w:hanging="567"/>
        <w:jc w:val="both"/>
        <w:rPr>
          <w:rFonts w:ascii="Avenir Next" w:hAnsi="Avenir Next" w:cs="Arial"/>
          <w:color w:val="7B7B7B" w:themeColor="accent3" w:themeShade="BF"/>
          <w:sz w:val="22"/>
          <w:szCs w:val="22"/>
          <w:lang w:val="en-GB"/>
        </w:rPr>
      </w:pPr>
      <w:r w:rsidRPr="00150890">
        <w:rPr>
          <w:rFonts w:ascii="Avenir Next" w:hAnsi="Avenir Next" w:cs="Arial"/>
          <w:color w:val="7B7B7B" w:themeColor="accent3" w:themeShade="BF"/>
          <w:sz w:val="22"/>
          <w:szCs w:val="22"/>
          <w:u w:val="single"/>
          <w:lang w:val="en-GB"/>
        </w:rPr>
        <w:t>Preferential creditors</w:t>
      </w:r>
      <w:r w:rsidR="00C348EB" w:rsidRPr="00150890">
        <w:rPr>
          <w:rFonts w:ascii="Avenir Next" w:hAnsi="Avenir Next" w:cs="Arial"/>
          <w:color w:val="7B7B7B" w:themeColor="accent3" w:themeShade="BF"/>
          <w:sz w:val="22"/>
          <w:szCs w:val="22"/>
          <w:lang w:val="en-GB"/>
        </w:rPr>
        <w:t xml:space="preserve">: Certain creditors </w:t>
      </w:r>
      <w:r w:rsidR="00B55ECF" w:rsidRPr="00150890">
        <w:rPr>
          <w:rFonts w:ascii="Avenir Next" w:hAnsi="Avenir Next" w:cs="Arial"/>
          <w:color w:val="7B7B7B" w:themeColor="accent3" w:themeShade="BF"/>
          <w:sz w:val="22"/>
          <w:szCs w:val="22"/>
          <w:lang w:val="en-GB"/>
        </w:rPr>
        <w:t xml:space="preserve">enjoy </w:t>
      </w:r>
      <w:r w:rsidR="00150890" w:rsidRPr="00150890">
        <w:rPr>
          <w:rFonts w:ascii="Avenir Next" w:hAnsi="Avenir Next" w:cs="Arial"/>
          <w:color w:val="7B7B7B" w:themeColor="accent3" w:themeShade="BF"/>
          <w:sz w:val="22"/>
          <w:szCs w:val="22"/>
          <w:lang w:val="en-GB"/>
        </w:rPr>
        <w:t xml:space="preserve">a </w:t>
      </w:r>
      <w:r w:rsidR="00C348EB" w:rsidRPr="00150890">
        <w:rPr>
          <w:rFonts w:ascii="Avenir Next" w:hAnsi="Avenir Next" w:cs="Arial"/>
          <w:color w:val="7B7B7B" w:themeColor="accent3" w:themeShade="BF"/>
          <w:sz w:val="22"/>
          <w:szCs w:val="22"/>
          <w:lang w:val="en-GB"/>
        </w:rPr>
        <w:t xml:space="preserve">preference </w:t>
      </w:r>
      <w:r w:rsidR="00150890" w:rsidRPr="00150890">
        <w:rPr>
          <w:rFonts w:ascii="Avenir Next" w:hAnsi="Avenir Next" w:cs="Arial"/>
          <w:color w:val="7B7B7B" w:themeColor="accent3" w:themeShade="BF"/>
          <w:sz w:val="22"/>
          <w:szCs w:val="22"/>
          <w:lang w:val="en-GB"/>
        </w:rPr>
        <w:t>afforded by Sections 386, 387 and Schedule 6 of the Insolvency Act 1986</w:t>
      </w:r>
      <w:r w:rsidR="00C348EB" w:rsidRPr="00150890">
        <w:rPr>
          <w:rFonts w:ascii="Avenir Next" w:hAnsi="Avenir Next" w:cs="Arial"/>
          <w:color w:val="7B7B7B" w:themeColor="accent3" w:themeShade="BF"/>
          <w:sz w:val="22"/>
          <w:szCs w:val="22"/>
          <w:lang w:val="en-GB"/>
        </w:rPr>
        <w:t>.</w:t>
      </w:r>
      <w:r w:rsidR="004E6ACE" w:rsidRPr="00150890">
        <w:rPr>
          <w:rFonts w:ascii="Avenir Next" w:hAnsi="Avenir Next" w:cs="Arial"/>
          <w:color w:val="7B7B7B" w:themeColor="accent3" w:themeShade="BF"/>
          <w:sz w:val="22"/>
          <w:szCs w:val="22"/>
          <w:lang w:val="en-GB"/>
        </w:rPr>
        <w:t xml:space="preserve"> Preference is then further allocated to ordinary </w:t>
      </w:r>
      <w:r w:rsidR="004E6ACE" w:rsidRPr="00150890">
        <w:rPr>
          <w:rFonts w:ascii="Avenir Next" w:hAnsi="Avenir Next" w:cs="Arial"/>
          <w:color w:val="7B7B7B" w:themeColor="accent3" w:themeShade="BF"/>
          <w:sz w:val="22"/>
          <w:szCs w:val="22"/>
          <w:lang w:val="en-GB"/>
        </w:rPr>
        <w:lastRenderedPageBreak/>
        <w:t>preferential creditors and secondary preferential creditors under Schedule 6 of the Insolvency Act 1986.</w:t>
      </w:r>
      <w:r w:rsidR="00C348EB" w:rsidRPr="00150890">
        <w:rPr>
          <w:rFonts w:ascii="Avenir Next" w:hAnsi="Avenir Next" w:cs="Arial"/>
          <w:color w:val="7B7B7B" w:themeColor="accent3" w:themeShade="BF"/>
          <w:sz w:val="22"/>
          <w:szCs w:val="22"/>
          <w:lang w:val="en-GB"/>
        </w:rPr>
        <w:t xml:space="preserve"> </w:t>
      </w:r>
    </w:p>
    <w:p w14:paraId="49DBDE72" w14:textId="77777777" w:rsidR="004E6ACE" w:rsidRDefault="004E6ACE" w:rsidP="00150890">
      <w:pPr>
        <w:ind w:left="567" w:hanging="567"/>
        <w:jc w:val="both"/>
        <w:rPr>
          <w:rFonts w:ascii="Avenir Next" w:hAnsi="Avenir Next" w:cs="Arial"/>
          <w:color w:val="7B7B7B" w:themeColor="accent3" w:themeShade="BF"/>
          <w:sz w:val="22"/>
          <w:szCs w:val="22"/>
          <w:lang w:val="en-GB"/>
        </w:rPr>
      </w:pPr>
    </w:p>
    <w:p w14:paraId="1D9DB2D3" w14:textId="28FB5F93" w:rsidR="00B20DEE" w:rsidRPr="00150890" w:rsidRDefault="00B20DEE" w:rsidP="00150890">
      <w:pPr>
        <w:pStyle w:val="ListParagraph"/>
        <w:numPr>
          <w:ilvl w:val="0"/>
          <w:numId w:val="20"/>
        </w:numPr>
        <w:ind w:left="567" w:hanging="567"/>
        <w:jc w:val="both"/>
        <w:rPr>
          <w:rFonts w:ascii="Avenir Next" w:hAnsi="Avenir Next" w:cs="Arial"/>
          <w:color w:val="7B7B7B" w:themeColor="accent3" w:themeShade="BF"/>
          <w:sz w:val="22"/>
          <w:szCs w:val="22"/>
          <w:lang w:val="en-GB"/>
        </w:rPr>
      </w:pPr>
      <w:r w:rsidRPr="00150890">
        <w:rPr>
          <w:rFonts w:ascii="Avenir Next" w:hAnsi="Avenir Next" w:cs="Arial"/>
          <w:color w:val="7B7B7B" w:themeColor="accent3" w:themeShade="BF"/>
          <w:sz w:val="22"/>
          <w:szCs w:val="22"/>
          <w:u w:val="single"/>
          <w:lang w:val="en-GB"/>
        </w:rPr>
        <w:t>Floating charge holders</w:t>
      </w:r>
      <w:r w:rsidR="00C348EB" w:rsidRPr="00150890">
        <w:rPr>
          <w:rFonts w:ascii="Avenir Next" w:hAnsi="Avenir Next" w:cs="Arial"/>
          <w:color w:val="7B7B7B" w:themeColor="accent3" w:themeShade="BF"/>
          <w:sz w:val="22"/>
          <w:szCs w:val="22"/>
          <w:lang w:val="en-GB"/>
        </w:rPr>
        <w:t xml:space="preserve">: Holders of a floating charge over the present and future undertaking of the company, which becomes crystalized upon winding up are further categorized as first or second floating charge holders depending which charge was created first. It should be noted that a so-called “top slice” of the realization proceeds </w:t>
      </w:r>
      <w:r w:rsidR="00B55ECF" w:rsidRPr="00150890">
        <w:rPr>
          <w:rFonts w:ascii="Avenir Next" w:hAnsi="Avenir Next" w:cs="Arial"/>
          <w:color w:val="7B7B7B" w:themeColor="accent3" w:themeShade="BF"/>
          <w:sz w:val="22"/>
          <w:szCs w:val="22"/>
          <w:lang w:val="en-GB"/>
        </w:rPr>
        <w:t>is</w:t>
      </w:r>
      <w:r w:rsidR="00C348EB" w:rsidRPr="00150890">
        <w:rPr>
          <w:rFonts w:ascii="Avenir Next" w:hAnsi="Avenir Next" w:cs="Arial"/>
          <w:color w:val="7B7B7B" w:themeColor="accent3" w:themeShade="BF"/>
          <w:sz w:val="22"/>
          <w:szCs w:val="22"/>
          <w:lang w:val="en-GB"/>
        </w:rPr>
        <w:t xml:space="preserve"> deducted to the benefit of the </w:t>
      </w:r>
      <w:r w:rsidR="00C52C03">
        <w:rPr>
          <w:rFonts w:ascii="Avenir Next" w:hAnsi="Avenir Next" w:cs="Arial"/>
          <w:color w:val="7B7B7B" w:themeColor="accent3" w:themeShade="BF"/>
          <w:sz w:val="22"/>
          <w:szCs w:val="22"/>
          <w:lang w:val="en-GB"/>
        </w:rPr>
        <w:t>next</w:t>
      </w:r>
      <w:r w:rsidR="00C348EB" w:rsidRPr="00150890">
        <w:rPr>
          <w:rFonts w:ascii="Avenir Next" w:hAnsi="Avenir Next" w:cs="Arial"/>
          <w:color w:val="7B7B7B" w:themeColor="accent3" w:themeShade="BF"/>
          <w:sz w:val="22"/>
          <w:szCs w:val="22"/>
          <w:lang w:val="en-GB"/>
        </w:rPr>
        <w:t xml:space="preserve"> class of creditor. </w:t>
      </w:r>
    </w:p>
    <w:p w14:paraId="7E33352C" w14:textId="77777777" w:rsidR="00C348EB" w:rsidRDefault="00C348EB" w:rsidP="00150890">
      <w:pPr>
        <w:ind w:left="567" w:hanging="567"/>
        <w:jc w:val="both"/>
        <w:rPr>
          <w:rFonts w:ascii="Avenir Next" w:hAnsi="Avenir Next" w:cs="Arial"/>
          <w:color w:val="7B7B7B" w:themeColor="accent3" w:themeShade="BF"/>
          <w:sz w:val="22"/>
          <w:szCs w:val="22"/>
          <w:lang w:val="en-GB"/>
        </w:rPr>
      </w:pPr>
    </w:p>
    <w:p w14:paraId="5350FE42" w14:textId="5E4F85FD" w:rsidR="00B20DEE" w:rsidRPr="00150890" w:rsidRDefault="00B20DEE" w:rsidP="00150890">
      <w:pPr>
        <w:pStyle w:val="ListParagraph"/>
        <w:numPr>
          <w:ilvl w:val="0"/>
          <w:numId w:val="20"/>
        </w:numPr>
        <w:ind w:left="567" w:hanging="567"/>
        <w:jc w:val="both"/>
        <w:rPr>
          <w:rFonts w:ascii="Avenir Next" w:hAnsi="Avenir Next" w:cs="Arial"/>
          <w:color w:val="7B7B7B" w:themeColor="accent3" w:themeShade="BF"/>
          <w:sz w:val="22"/>
          <w:szCs w:val="22"/>
          <w:lang w:val="en-GB"/>
        </w:rPr>
      </w:pPr>
      <w:r w:rsidRPr="00150890">
        <w:rPr>
          <w:rFonts w:ascii="Avenir Next" w:hAnsi="Avenir Next" w:cs="Arial"/>
          <w:color w:val="7B7B7B" w:themeColor="accent3" w:themeShade="BF"/>
          <w:sz w:val="22"/>
          <w:szCs w:val="22"/>
          <w:u w:val="single"/>
          <w:lang w:val="en-GB"/>
        </w:rPr>
        <w:t>Unsecured creditors</w:t>
      </w:r>
      <w:r w:rsidR="00C348EB" w:rsidRPr="00150890">
        <w:rPr>
          <w:rFonts w:ascii="Avenir Next" w:hAnsi="Avenir Next" w:cs="Arial"/>
          <w:color w:val="7B7B7B" w:themeColor="accent3" w:themeShade="BF"/>
          <w:sz w:val="22"/>
          <w:szCs w:val="22"/>
          <w:u w:val="single"/>
          <w:lang w:val="en-GB"/>
        </w:rPr>
        <w:t xml:space="preserve">: </w:t>
      </w:r>
      <w:r w:rsidR="00C348EB" w:rsidRPr="00150890">
        <w:rPr>
          <w:rFonts w:ascii="Avenir Next" w:hAnsi="Avenir Next" w:cs="Arial"/>
          <w:color w:val="7B7B7B" w:themeColor="accent3" w:themeShade="BF"/>
          <w:sz w:val="22"/>
          <w:szCs w:val="22"/>
          <w:lang w:val="en-GB"/>
        </w:rPr>
        <w:t xml:space="preserve">These are usually the ordinary trade creditors and paid from the remainder of the proceeds, if any. </w:t>
      </w:r>
    </w:p>
    <w:p w14:paraId="59D22675" w14:textId="77777777" w:rsidR="004E6ACE" w:rsidRDefault="004E6ACE" w:rsidP="00150890">
      <w:pPr>
        <w:ind w:left="567" w:hanging="567"/>
        <w:jc w:val="both"/>
        <w:rPr>
          <w:rFonts w:ascii="Avenir Next" w:hAnsi="Avenir Next" w:cs="Arial"/>
          <w:color w:val="7B7B7B" w:themeColor="accent3" w:themeShade="BF"/>
          <w:sz w:val="22"/>
          <w:szCs w:val="22"/>
          <w:lang w:val="en-GB"/>
        </w:rPr>
      </w:pPr>
    </w:p>
    <w:p w14:paraId="7CBABD47" w14:textId="5FC7F05C" w:rsidR="004E6ACE" w:rsidRPr="00150890" w:rsidRDefault="004E6ACE" w:rsidP="00150890">
      <w:pPr>
        <w:pStyle w:val="ListParagraph"/>
        <w:numPr>
          <w:ilvl w:val="0"/>
          <w:numId w:val="20"/>
        </w:numPr>
        <w:ind w:left="567" w:hanging="567"/>
        <w:jc w:val="both"/>
        <w:rPr>
          <w:rFonts w:ascii="Avenir Next" w:hAnsi="Avenir Next" w:cs="Arial"/>
          <w:color w:val="7B7B7B" w:themeColor="accent3" w:themeShade="BF"/>
          <w:sz w:val="22"/>
          <w:szCs w:val="22"/>
          <w:lang w:val="en-GB"/>
        </w:rPr>
      </w:pPr>
      <w:r w:rsidRPr="00150890">
        <w:rPr>
          <w:rFonts w:ascii="Avenir Next" w:hAnsi="Avenir Next" w:cs="Arial"/>
          <w:color w:val="7B7B7B" w:themeColor="accent3" w:themeShade="BF"/>
          <w:sz w:val="22"/>
          <w:szCs w:val="22"/>
          <w:lang w:val="en-GB"/>
        </w:rPr>
        <w:t xml:space="preserve">Shareholders: </w:t>
      </w:r>
      <w:proofErr w:type="gramStart"/>
      <w:r w:rsidRPr="00150890">
        <w:rPr>
          <w:rFonts w:ascii="Avenir Next" w:hAnsi="Avenir Next" w:cs="Arial"/>
          <w:color w:val="7B7B7B" w:themeColor="accent3" w:themeShade="BF"/>
          <w:sz w:val="22"/>
          <w:szCs w:val="22"/>
          <w:lang w:val="en-GB"/>
        </w:rPr>
        <w:t>In the event that</w:t>
      </w:r>
      <w:proofErr w:type="gramEnd"/>
      <w:r w:rsidRPr="00150890">
        <w:rPr>
          <w:rFonts w:ascii="Avenir Next" w:hAnsi="Avenir Next" w:cs="Arial"/>
          <w:color w:val="7B7B7B" w:themeColor="accent3" w:themeShade="BF"/>
          <w:sz w:val="22"/>
          <w:szCs w:val="22"/>
          <w:lang w:val="en-GB"/>
        </w:rPr>
        <w:t xml:space="preserve"> there are sufficient realization proceeds to settle all the creditors’ debts with interested thereon, the surplus will be distributed to the shareholders </w:t>
      </w:r>
      <w:r w:rsidRPr="00150890">
        <w:rPr>
          <w:rFonts w:ascii="Avenir Next" w:hAnsi="Avenir Next" w:cs="Arial"/>
          <w:i/>
          <w:iCs/>
          <w:color w:val="7B7B7B" w:themeColor="accent3" w:themeShade="BF"/>
          <w:sz w:val="22"/>
          <w:szCs w:val="22"/>
          <w:lang w:val="en-GB"/>
        </w:rPr>
        <w:t>pro rata</w:t>
      </w:r>
      <w:r w:rsidRPr="00150890">
        <w:rPr>
          <w:rFonts w:ascii="Avenir Next" w:hAnsi="Avenir Next" w:cs="Arial"/>
          <w:color w:val="7B7B7B" w:themeColor="accent3" w:themeShade="BF"/>
          <w:sz w:val="22"/>
          <w:szCs w:val="22"/>
          <w:lang w:val="en-GB"/>
        </w:rPr>
        <w:t xml:space="preserve"> in accordance with their shareholding. </w:t>
      </w:r>
    </w:p>
    <w:p w14:paraId="0382EC09" w14:textId="77777777" w:rsidR="00C348EB" w:rsidRDefault="00C348EB" w:rsidP="00197F24">
      <w:pPr>
        <w:jc w:val="both"/>
        <w:rPr>
          <w:rFonts w:ascii="Avenir Next" w:hAnsi="Avenir Next" w:cs="Arial"/>
          <w:color w:val="7B7B7B" w:themeColor="accent3" w:themeShade="BF"/>
          <w:sz w:val="22"/>
          <w:szCs w:val="22"/>
          <w:lang w:val="en-GB"/>
        </w:rPr>
      </w:pPr>
    </w:p>
    <w:p w14:paraId="1AE5FE98" w14:textId="709146CC" w:rsidR="00BF7CE0" w:rsidRDefault="00BF7CE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company was in a Part A1 Moratorium within a 12-week period prior to liquidation, Section 174A provides for certain pre-moratorium</w:t>
      </w:r>
      <w:r w:rsidR="00200B7E">
        <w:rPr>
          <w:rFonts w:ascii="Avenir Next" w:hAnsi="Avenir Next" w:cs="Arial"/>
          <w:color w:val="7B7B7B" w:themeColor="accent3" w:themeShade="BF"/>
          <w:sz w:val="22"/>
          <w:szCs w:val="22"/>
          <w:lang w:val="en-GB"/>
        </w:rPr>
        <w:t xml:space="preserve"> and moratorium</w:t>
      </w:r>
      <w:r>
        <w:rPr>
          <w:rFonts w:ascii="Avenir Next" w:hAnsi="Avenir Next" w:cs="Arial"/>
          <w:color w:val="7B7B7B" w:themeColor="accent3" w:themeShade="BF"/>
          <w:sz w:val="22"/>
          <w:szCs w:val="22"/>
          <w:lang w:val="en-GB"/>
        </w:rPr>
        <w:t xml:space="preserve"> (secured and unsecured) creditors</w:t>
      </w:r>
      <w:r w:rsidR="00AD5650">
        <w:rPr>
          <w:rFonts w:ascii="Avenir Next" w:hAnsi="Avenir Next" w:cs="Arial"/>
          <w:color w:val="7B7B7B" w:themeColor="accent3" w:themeShade="BF"/>
          <w:sz w:val="22"/>
          <w:szCs w:val="22"/>
          <w:lang w:val="en-GB"/>
        </w:rPr>
        <w:t>, such as employees</w:t>
      </w:r>
      <w:r w:rsidR="00581D8E">
        <w:rPr>
          <w:rFonts w:ascii="Avenir Next" w:hAnsi="Avenir Next" w:cs="Arial"/>
          <w:color w:val="7B7B7B" w:themeColor="accent3" w:themeShade="BF"/>
          <w:sz w:val="22"/>
          <w:szCs w:val="22"/>
          <w:lang w:val="en-GB"/>
        </w:rPr>
        <w:t xml:space="preserve">, liabilities under adopted contracts and post-commencement </w:t>
      </w:r>
      <w:r w:rsidR="00C52C03">
        <w:rPr>
          <w:rFonts w:ascii="Avenir Next" w:hAnsi="Avenir Next" w:cs="Arial"/>
          <w:color w:val="7B7B7B" w:themeColor="accent3" w:themeShade="BF"/>
          <w:sz w:val="22"/>
          <w:szCs w:val="22"/>
          <w:lang w:val="en-GB"/>
        </w:rPr>
        <w:t>financing, to</w:t>
      </w:r>
      <w:r>
        <w:rPr>
          <w:rFonts w:ascii="Avenir Next" w:hAnsi="Avenir Next" w:cs="Arial"/>
          <w:color w:val="7B7B7B" w:themeColor="accent3" w:themeShade="BF"/>
          <w:sz w:val="22"/>
          <w:szCs w:val="22"/>
          <w:lang w:val="en-GB"/>
        </w:rPr>
        <w:t xml:space="preserve"> enjoy a form of “super priority” over the preferential creditors in that their debts are considered within the class of administration costs referred to above. </w:t>
      </w:r>
    </w:p>
    <w:p w14:paraId="0440EB7C" w14:textId="77777777" w:rsidR="00C348EB" w:rsidRPr="00C348EB" w:rsidRDefault="00C348EB" w:rsidP="00197F24">
      <w:pPr>
        <w:jc w:val="both"/>
        <w:rPr>
          <w:rFonts w:ascii="Avenir Next" w:hAnsi="Avenir Next" w:cs="Arial"/>
          <w:color w:val="7B7B7B" w:themeColor="accent3" w:themeShade="BF"/>
          <w:sz w:val="22"/>
          <w:szCs w:val="22"/>
          <w:lang w:val="en-GB"/>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FB7DA5"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FB7DA5">
        <w:rPr>
          <w:rFonts w:ascii="Avenir Next" w:hAnsi="Avenir Next" w:cs="Arial"/>
          <w:sz w:val="22"/>
          <w:szCs w:val="22"/>
        </w:rPr>
        <w:t xml:space="preserve">Prior to going into compulsory liquidation on 28 February 2024, under pressure from its bank, Ambitus Bank plc, and </w:t>
      </w:r>
      <w:proofErr w:type="gramStart"/>
      <w:r w:rsidRPr="00FB7DA5">
        <w:rPr>
          <w:rFonts w:ascii="Avenir Next" w:hAnsi="Avenir Next" w:cs="Arial"/>
          <w:sz w:val="22"/>
          <w:szCs w:val="22"/>
        </w:rPr>
        <w:t>in order to</w:t>
      </w:r>
      <w:proofErr w:type="gramEnd"/>
      <w:r w:rsidRPr="00FB7DA5">
        <w:rPr>
          <w:rFonts w:ascii="Avenir Next" w:hAnsi="Avenir Next" w:cs="Arial"/>
          <w:sz w:val="22"/>
          <w:szCs w:val="22"/>
        </w:rPr>
        <w:t xml:space="preserve"> prevent it from demanding repayment of the company’s loans, Blazer Laser Limited (the Company), granted a debenture in </w:t>
      </w:r>
      <w:proofErr w:type="spellStart"/>
      <w:r w:rsidRPr="00FB7DA5">
        <w:rPr>
          <w:rFonts w:ascii="Avenir Next" w:hAnsi="Avenir Next" w:cs="Arial"/>
          <w:sz w:val="22"/>
          <w:szCs w:val="22"/>
        </w:rPr>
        <w:t>favour</w:t>
      </w:r>
      <w:proofErr w:type="spellEnd"/>
      <w:r w:rsidRPr="00FB7DA5">
        <w:rPr>
          <w:rFonts w:ascii="Avenir Next" w:hAnsi="Avenir Next" w:cs="Arial"/>
          <w:sz w:val="22"/>
          <w:szCs w:val="22"/>
        </w:rPr>
        <w:t xml:space="preserve"> of Ambitus Bank plc in June 2023. The debenture contained a floating charge over the whole of the Company’s undertaking.</w:t>
      </w:r>
    </w:p>
    <w:p w14:paraId="7ACCFAD5" w14:textId="77777777" w:rsidR="00880059" w:rsidRPr="00FB7DA5"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FB7DA5" w:rsidRDefault="00880059" w:rsidP="00880059">
      <w:pPr>
        <w:pStyle w:val="NormalWeb"/>
        <w:spacing w:before="0" w:beforeAutospacing="0" w:after="0" w:afterAutospacing="0"/>
        <w:jc w:val="both"/>
        <w:rPr>
          <w:rFonts w:ascii="Avenir Next" w:hAnsi="Avenir Next" w:cs="Arial"/>
          <w:sz w:val="22"/>
          <w:szCs w:val="22"/>
        </w:rPr>
      </w:pPr>
      <w:r w:rsidRPr="00FB7DA5">
        <w:rPr>
          <w:rFonts w:ascii="Avenir Next" w:hAnsi="Avenir Next" w:cs="Arial"/>
          <w:sz w:val="22"/>
          <w:szCs w:val="22"/>
        </w:rPr>
        <w:t>The winding up order followed a creditor’s winding up petition issued on 13 January 2024.</w:t>
      </w:r>
    </w:p>
    <w:p w14:paraId="697A1EA7" w14:textId="77777777" w:rsidR="00880059" w:rsidRPr="00FB7DA5"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FB7DA5" w:rsidRDefault="00880059" w:rsidP="00880059">
      <w:pPr>
        <w:pStyle w:val="NormalWeb"/>
        <w:spacing w:before="0" w:beforeAutospacing="0" w:after="0" w:afterAutospacing="0"/>
        <w:jc w:val="both"/>
        <w:rPr>
          <w:rFonts w:ascii="Avenir Next" w:hAnsi="Avenir Next" w:cs="Arial"/>
          <w:sz w:val="22"/>
          <w:szCs w:val="22"/>
        </w:rPr>
      </w:pPr>
      <w:r w:rsidRPr="00FB7DA5">
        <w:rPr>
          <w:rFonts w:ascii="Avenir Next" w:hAnsi="Avenir Next" w:cs="Arial"/>
          <w:sz w:val="22"/>
          <w:szCs w:val="22"/>
        </w:rPr>
        <w:t xml:space="preserve">Sometime in January 2023, as the Company continued to suffer cash flow problems, the directors approved the sale of two </w:t>
      </w:r>
      <w:r w:rsidR="0002443E" w:rsidRPr="00FB7DA5">
        <w:rPr>
          <w:rFonts w:ascii="Avenir Next" w:hAnsi="Avenir Next" w:cs="Arial"/>
          <w:sz w:val="22"/>
          <w:szCs w:val="22"/>
        </w:rPr>
        <w:t>laser cutting</w:t>
      </w:r>
      <w:r w:rsidRPr="00FB7DA5">
        <w:rPr>
          <w:rFonts w:ascii="Avenir Next" w:hAnsi="Avenir Next" w:cs="Arial"/>
          <w:sz w:val="22"/>
          <w:szCs w:val="22"/>
        </w:rPr>
        <w:t xml:space="preserve"> machines to Angela Bannister (a director) for GBP 40,000 in cash. The machines had been bought for GBP 100,000 a year before.</w:t>
      </w:r>
    </w:p>
    <w:p w14:paraId="73BF88A9" w14:textId="77777777" w:rsidR="00880059" w:rsidRPr="00FB7DA5"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FB7DA5">
        <w:rPr>
          <w:rFonts w:ascii="Avenir Next" w:hAnsi="Avenir Next" w:cs="Arial"/>
          <w:sz w:val="22"/>
          <w:szCs w:val="22"/>
          <w:lang w:val="en-GB"/>
        </w:rPr>
        <w:t xml:space="preserve">A month before the winding up order was made, Angela Bannister received an email from Aluminium </w:t>
      </w:r>
      <w:proofErr w:type="spellStart"/>
      <w:r w:rsidRPr="00FB7DA5">
        <w:rPr>
          <w:rFonts w:ascii="Avenir Next" w:hAnsi="Avenir Next" w:cs="Arial"/>
          <w:sz w:val="22"/>
          <w:szCs w:val="22"/>
          <w:lang w:val="en-GB"/>
        </w:rPr>
        <w:t>Alumini</w:t>
      </w:r>
      <w:proofErr w:type="spellEnd"/>
      <w:r w:rsidRPr="00FB7DA5">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metal was seen as essential by the Company, the board authorised a payment of GBP 20,000 to cover existing liabilities and agreed to further payments, on a cash on delivery basis, for further supplies which amounted to further payment of GBP 8,000 up to the date of the winding up order.</w:t>
      </w:r>
      <w:r w:rsidRPr="006E0D3B">
        <w:rPr>
          <w:rFonts w:ascii="Avenir Next" w:hAnsi="Avenir Next" w:cs="Arial"/>
          <w:sz w:val="22"/>
          <w:szCs w:val="22"/>
          <w:lang w:val="en-GB"/>
        </w:rPr>
        <w:t xml:space="preserve">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7C0B250A" w14:textId="77777777" w:rsidR="00FF296C" w:rsidRDefault="00FF296C" w:rsidP="00197F24">
      <w:pPr>
        <w:jc w:val="both"/>
        <w:rPr>
          <w:rFonts w:ascii="Avenir Next" w:hAnsi="Avenir Next" w:cs="Arial"/>
          <w:color w:val="7B7B7B" w:themeColor="accent3" w:themeShade="BF"/>
          <w:sz w:val="22"/>
          <w:szCs w:val="22"/>
          <w:lang w:val="en-GB"/>
        </w:rPr>
      </w:pPr>
    </w:p>
    <w:p w14:paraId="5116EB02" w14:textId="2D5B5CE6" w:rsidR="00FF296C" w:rsidRDefault="00FF296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floating charge granted in favour of Ambitus Bank should be </w:t>
      </w:r>
      <w:r w:rsidR="00065670">
        <w:rPr>
          <w:rFonts w:ascii="Avenir Next" w:hAnsi="Avenir Next" w:cs="Arial"/>
          <w:color w:val="7B7B7B" w:themeColor="accent3" w:themeShade="BF"/>
          <w:sz w:val="22"/>
          <w:szCs w:val="22"/>
          <w:lang w:val="en-GB"/>
        </w:rPr>
        <w:t>scrutinized</w:t>
      </w:r>
      <w:r>
        <w:rPr>
          <w:rFonts w:ascii="Avenir Next" w:hAnsi="Avenir Next" w:cs="Arial"/>
          <w:color w:val="7B7B7B" w:themeColor="accent3" w:themeShade="BF"/>
          <w:sz w:val="22"/>
          <w:szCs w:val="22"/>
          <w:lang w:val="en-GB"/>
        </w:rPr>
        <w:t xml:space="preserve"> </w:t>
      </w:r>
      <w:proofErr w:type="gramStart"/>
      <w:r>
        <w:rPr>
          <w:rFonts w:ascii="Avenir Next" w:hAnsi="Avenir Next" w:cs="Arial"/>
          <w:color w:val="7B7B7B" w:themeColor="accent3" w:themeShade="BF"/>
          <w:sz w:val="22"/>
          <w:szCs w:val="22"/>
          <w:lang w:val="en-GB"/>
        </w:rPr>
        <w:t>in light of</w:t>
      </w:r>
      <w:proofErr w:type="gramEnd"/>
      <w:r>
        <w:rPr>
          <w:rFonts w:ascii="Avenir Next" w:hAnsi="Avenir Next" w:cs="Arial"/>
          <w:color w:val="7B7B7B" w:themeColor="accent3" w:themeShade="BF"/>
          <w:sz w:val="22"/>
          <w:szCs w:val="22"/>
          <w:lang w:val="en-GB"/>
        </w:rPr>
        <w:t xml:space="preserve"> the provisions of Section 245 of the Insolvency Act 1986, which sets out the framework for avoidance of certain floating charges. A floating charge granted to a creditor</w:t>
      </w:r>
      <w:r w:rsidR="00065670">
        <w:rPr>
          <w:rFonts w:ascii="Avenir Next" w:hAnsi="Avenir Next" w:cs="Arial"/>
          <w:color w:val="7B7B7B" w:themeColor="accent3" w:themeShade="BF"/>
          <w:sz w:val="22"/>
          <w:szCs w:val="22"/>
          <w:lang w:val="en-GB"/>
        </w:rPr>
        <w:t xml:space="preserve"> over the undertaking of a company</w:t>
      </w:r>
      <w:r>
        <w:rPr>
          <w:rFonts w:ascii="Avenir Next" w:hAnsi="Avenir Next" w:cs="Arial"/>
          <w:color w:val="7B7B7B" w:themeColor="accent3" w:themeShade="BF"/>
          <w:sz w:val="22"/>
          <w:szCs w:val="22"/>
          <w:lang w:val="en-GB"/>
        </w:rPr>
        <w:t xml:space="preserve"> </w:t>
      </w:r>
      <w:r w:rsidR="00065670">
        <w:rPr>
          <w:rFonts w:ascii="Avenir Next" w:hAnsi="Avenir Next" w:cs="Arial"/>
          <w:color w:val="7B7B7B" w:themeColor="accent3" w:themeShade="BF"/>
          <w:sz w:val="22"/>
          <w:szCs w:val="22"/>
          <w:lang w:val="en-GB"/>
        </w:rPr>
        <w:t>is automatically</w:t>
      </w:r>
      <w:r w:rsidR="003A74C9">
        <w:rPr>
          <w:rFonts w:ascii="Avenir Next" w:hAnsi="Avenir Next" w:cs="Arial"/>
          <w:color w:val="7B7B7B" w:themeColor="accent3" w:themeShade="BF"/>
          <w:sz w:val="22"/>
          <w:szCs w:val="22"/>
          <w:lang w:val="en-GB"/>
        </w:rPr>
        <w:t xml:space="preserve"> void</w:t>
      </w:r>
      <w:r w:rsidR="00065670">
        <w:rPr>
          <w:rFonts w:ascii="Avenir Next" w:hAnsi="Avenir Next" w:cs="Arial"/>
          <w:color w:val="7B7B7B" w:themeColor="accent3" w:themeShade="BF"/>
          <w:sz w:val="22"/>
          <w:szCs w:val="22"/>
          <w:lang w:val="en-GB"/>
        </w:rPr>
        <w:t xml:space="preserve"> without the need for the liquidator to apply to court</w:t>
      </w:r>
      <w:r w:rsidR="003A74C9">
        <w:rPr>
          <w:rFonts w:ascii="Avenir Next" w:hAnsi="Avenir Next" w:cs="Arial"/>
          <w:color w:val="7B7B7B" w:themeColor="accent3" w:themeShade="BF"/>
          <w:sz w:val="22"/>
          <w:szCs w:val="22"/>
          <w:lang w:val="en-GB"/>
        </w:rPr>
        <w:t xml:space="preserve"> if; (i) the charge was created </w:t>
      </w:r>
      <w:r w:rsidR="00C52C03">
        <w:rPr>
          <w:rFonts w:ascii="Avenir Next" w:hAnsi="Avenir Next" w:cs="Arial"/>
          <w:color w:val="7B7B7B" w:themeColor="accent3" w:themeShade="BF"/>
          <w:sz w:val="22"/>
          <w:szCs w:val="22"/>
          <w:lang w:val="en-GB"/>
        </w:rPr>
        <w:t xml:space="preserve">in favour of an unconnected party </w:t>
      </w:r>
      <w:r w:rsidR="003A74C9">
        <w:rPr>
          <w:rFonts w:ascii="Avenir Next" w:hAnsi="Avenir Next" w:cs="Arial"/>
          <w:color w:val="7B7B7B" w:themeColor="accent3" w:themeShade="BF"/>
          <w:sz w:val="22"/>
          <w:szCs w:val="22"/>
          <w:lang w:val="en-GB"/>
        </w:rPr>
        <w:t>within 12 months prior to the onset of insolvency, or</w:t>
      </w:r>
      <w:r w:rsidR="00065670">
        <w:rPr>
          <w:rFonts w:ascii="Avenir Next" w:hAnsi="Avenir Next" w:cs="Arial"/>
          <w:color w:val="7B7B7B" w:themeColor="accent3" w:themeShade="BF"/>
          <w:sz w:val="22"/>
          <w:szCs w:val="22"/>
          <w:lang w:val="en-GB"/>
        </w:rPr>
        <w:t>;</w:t>
      </w:r>
      <w:r w:rsidR="003A74C9">
        <w:rPr>
          <w:rFonts w:ascii="Avenir Next" w:hAnsi="Avenir Next" w:cs="Arial"/>
          <w:color w:val="7B7B7B" w:themeColor="accent3" w:themeShade="BF"/>
          <w:sz w:val="22"/>
          <w:szCs w:val="22"/>
          <w:lang w:val="en-GB"/>
        </w:rPr>
        <w:t xml:space="preserve"> (ii) </w:t>
      </w:r>
      <w:r w:rsidR="00C52C03">
        <w:rPr>
          <w:rFonts w:ascii="Avenir Next" w:hAnsi="Avenir Next" w:cs="Arial"/>
          <w:color w:val="7B7B7B" w:themeColor="accent3" w:themeShade="BF"/>
          <w:sz w:val="22"/>
          <w:szCs w:val="22"/>
          <w:lang w:val="en-GB"/>
        </w:rPr>
        <w:t xml:space="preserve">if it was created in favour of a connected party within </w:t>
      </w:r>
      <w:r w:rsidR="003A74C9">
        <w:rPr>
          <w:rFonts w:ascii="Avenir Next" w:hAnsi="Avenir Next" w:cs="Arial"/>
          <w:color w:val="7B7B7B" w:themeColor="accent3" w:themeShade="BF"/>
          <w:sz w:val="22"/>
          <w:szCs w:val="22"/>
          <w:lang w:val="en-GB"/>
        </w:rPr>
        <w:t xml:space="preserve">2 years prior to the onset of insolvency, and at the time when the charge was created the company was unable to pay its debts or becomes unable to pay its debts due to the creation of the charge. </w:t>
      </w:r>
    </w:p>
    <w:p w14:paraId="6A85F379" w14:textId="77777777" w:rsidR="00065670" w:rsidRDefault="00065670" w:rsidP="00197F24">
      <w:pPr>
        <w:jc w:val="both"/>
        <w:rPr>
          <w:rFonts w:ascii="Avenir Next" w:hAnsi="Avenir Next" w:cs="Arial"/>
          <w:color w:val="7B7B7B" w:themeColor="accent3" w:themeShade="BF"/>
          <w:sz w:val="22"/>
          <w:szCs w:val="22"/>
          <w:lang w:val="en-GB"/>
        </w:rPr>
      </w:pPr>
    </w:p>
    <w:p w14:paraId="67F5C797" w14:textId="7EBB1761" w:rsidR="00065670" w:rsidRDefault="0006567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the floating charge may be validated in terms of Section 245(2) to the extent that “new money” or other fresh consideration is provided to the company in return </w:t>
      </w:r>
      <w:r w:rsidR="00C52C03">
        <w:rPr>
          <w:rFonts w:ascii="Avenir Next" w:hAnsi="Avenir Next" w:cs="Arial"/>
          <w:color w:val="7B7B7B" w:themeColor="accent3" w:themeShade="BF"/>
          <w:sz w:val="22"/>
          <w:szCs w:val="22"/>
          <w:lang w:val="en-GB"/>
        </w:rPr>
        <w:t>for</w:t>
      </w:r>
      <w:r>
        <w:rPr>
          <w:rFonts w:ascii="Avenir Next" w:hAnsi="Avenir Next" w:cs="Arial"/>
          <w:color w:val="7B7B7B" w:themeColor="accent3" w:themeShade="BF"/>
          <w:sz w:val="22"/>
          <w:szCs w:val="22"/>
          <w:lang w:val="en-GB"/>
        </w:rPr>
        <w:t xml:space="preserve"> the creation of the floating charge. This may include additional funding, goods and services rendered or extinguishing of existing debt and not merely to secure preferential treatment of a pre-existing debt.  </w:t>
      </w:r>
    </w:p>
    <w:p w14:paraId="12928F89" w14:textId="77777777" w:rsidR="00FF296C" w:rsidRDefault="00FF296C" w:rsidP="00197F24">
      <w:pPr>
        <w:jc w:val="both"/>
        <w:rPr>
          <w:rFonts w:ascii="Avenir Next" w:hAnsi="Avenir Next" w:cs="Arial"/>
          <w:color w:val="7B7B7B" w:themeColor="accent3" w:themeShade="BF"/>
          <w:sz w:val="22"/>
          <w:szCs w:val="22"/>
          <w:lang w:val="en-GB"/>
        </w:rPr>
      </w:pPr>
    </w:p>
    <w:p w14:paraId="49BFDC7E" w14:textId="0387424A" w:rsidR="00AD0EF5" w:rsidRDefault="00AD0EF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Considering that Ambitus Bank is not a connected person, and the floating charge was created within the 12 months prior to onset of insolvency, the charge might void if the liquidator can determine whether the company was unable to pay its debts at the time of creation of the charge. </w:t>
      </w:r>
      <w:r>
        <w:rPr>
          <w:rFonts w:ascii="Avenir Next" w:hAnsi="Avenir Next" w:cs="Arial"/>
          <w:i/>
          <w:iCs/>
          <w:color w:val="7B7B7B" w:themeColor="accent3" w:themeShade="BF"/>
          <w:sz w:val="22"/>
          <w:szCs w:val="22"/>
          <w:lang w:val="en-GB"/>
        </w:rPr>
        <w:t xml:space="preserve">In </w:t>
      </w:r>
      <w:proofErr w:type="spellStart"/>
      <w:r>
        <w:rPr>
          <w:rFonts w:ascii="Avenir Next" w:hAnsi="Avenir Next" w:cs="Arial"/>
          <w:i/>
          <w:iCs/>
          <w:color w:val="7B7B7B" w:themeColor="accent3" w:themeShade="BF"/>
          <w:sz w:val="22"/>
          <w:szCs w:val="22"/>
          <w:lang w:val="en-GB"/>
        </w:rPr>
        <w:t>casu</w:t>
      </w:r>
      <w:proofErr w:type="spellEnd"/>
      <w:r>
        <w:rPr>
          <w:rFonts w:ascii="Avenir Next" w:hAnsi="Avenir Next" w:cs="Arial"/>
          <w:color w:val="7B7B7B" w:themeColor="accent3" w:themeShade="BF"/>
          <w:sz w:val="22"/>
          <w:szCs w:val="22"/>
          <w:lang w:val="en-GB"/>
        </w:rPr>
        <w:t xml:space="preserve">, one can reasonably assume that the bank was demanding payment due to the company </w:t>
      </w:r>
      <w:r w:rsidR="006537E0">
        <w:rPr>
          <w:rFonts w:ascii="Avenir Next" w:hAnsi="Avenir Next" w:cs="Arial"/>
          <w:color w:val="7B7B7B" w:themeColor="accent3" w:themeShade="BF"/>
          <w:sz w:val="22"/>
          <w:szCs w:val="22"/>
          <w:lang w:val="en-GB"/>
        </w:rPr>
        <w:t>already being in arrears</w:t>
      </w:r>
      <w:r>
        <w:rPr>
          <w:rFonts w:ascii="Avenir Next" w:hAnsi="Avenir Next" w:cs="Arial"/>
          <w:color w:val="7B7B7B" w:themeColor="accent3" w:themeShade="BF"/>
          <w:sz w:val="22"/>
          <w:szCs w:val="22"/>
          <w:lang w:val="en-GB"/>
        </w:rPr>
        <w:t xml:space="preserve"> on its monthly instalments and therefore unable to pay its debts as it became due and payable. In which case the floating charge might be void as the sole </w:t>
      </w:r>
      <w:r w:rsidR="003F655F">
        <w:rPr>
          <w:rFonts w:ascii="Avenir Next" w:hAnsi="Avenir Next" w:cs="Arial"/>
          <w:color w:val="7B7B7B" w:themeColor="accent3" w:themeShade="BF"/>
          <w:sz w:val="22"/>
          <w:szCs w:val="22"/>
          <w:lang w:val="en-GB"/>
        </w:rPr>
        <w:t xml:space="preserve">objective of the creation of the floating charge merely to prevent Ambitus Bank from demanding payment </w:t>
      </w:r>
      <w:r w:rsidR="00BA4CB5">
        <w:rPr>
          <w:rFonts w:ascii="Avenir Next" w:hAnsi="Avenir Next" w:cs="Arial"/>
          <w:color w:val="7B7B7B" w:themeColor="accent3" w:themeShade="BF"/>
          <w:sz w:val="22"/>
          <w:szCs w:val="22"/>
          <w:lang w:val="en-GB"/>
        </w:rPr>
        <w:t>of a debt that was already in existence</w:t>
      </w:r>
      <w:r>
        <w:rPr>
          <w:rFonts w:ascii="Avenir Next" w:hAnsi="Avenir Next" w:cs="Arial"/>
          <w:color w:val="7B7B7B" w:themeColor="accent3" w:themeShade="BF"/>
          <w:sz w:val="22"/>
          <w:szCs w:val="22"/>
          <w:lang w:val="en-GB"/>
        </w:rPr>
        <w:t xml:space="preserve"> and the creation of the charge did not reduce or discharge the debt to some extent. </w:t>
      </w:r>
    </w:p>
    <w:p w14:paraId="1495ED21" w14:textId="77777777" w:rsidR="00AD0EF5" w:rsidRDefault="00AD0EF5" w:rsidP="00197F24">
      <w:pPr>
        <w:jc w:val="both"/>
        <w:rPr>
          <w:rFonts w:ascii="Avenir Next" w:hAnsi="Avenir Next" w:cs="Arial"/>
          <w:color w:val="7B7B7B" w:themeColor="accent3" w:themeShade="BF"/>
          <w:sz w:val="22"/>
          <w:szCs w:val="22"/>
          <w:lang w:val="en-GB"/>
        </w:rPr>
      </w:pPr>
    </w:p>
    <w:p w14:paraId="3A9BF994" w14:textId="2B505D35" w:rsidR="00AD0EF5" w:rsidRDefault="00AD0EF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However, the liquidator should be mindful of that if the bank extended further credit facility in return for the floating charge, by way of overdraft</w:t>
      </w:r>
      <w:r w:rsidRPr="00AD0EF5">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as example, the </w:t>
      </w:r>
      <w:r w:rsidR="006537E0">
        <w:rPr>
          <w:rFonts w:ascii="Avenir Next" w:hAnsi="Avenir Next" w:cs="Arial"/>
          <w:color w:val="7B7B7B" w:themeColor="accent3" w:themeShade="BF"/>
          <w:sz w:val="22"/>
          <w:szCs w:val="22"/>
          <w:lang w:val="en-GB"/>
        </w:rPr>
        <w:t xml:space="preserve">floating charge may be validated by following the reasoning in the decision of Re Yeovil Glove Ltd 1965. </w:t>
      </w:r>
    </w:p>
    <w:p w14:paraId="5D20E7CC" w14:textId="77777777" w:rsidR="00AD0EF5" w:rsidRDefault="00AD0EF5" w:rsidP="00197F24">
      <w:pPr>
        <w:jc w:val="both"/>
        <w:rPr>
          <w:rFonts w:ascii="Avenir Next" w:hAnsi="Avenir Next" w:cs="Arial"/>
          <w:color w:val="7B7B7B" w:themeColor="accent3" w:themeShade="BF"/>
          <w:sz w:val="22"/>
          <w:szCs w:val="22"/>
          <w:lang w:val="en-GB"/>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769648C7" w14:textId="77777777" w:rsidR="0080708E" w:rsidRDefault="0001559A"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sale of the assets to the director of Blaser Laser for 40,000.00 GBP which were bought for 100,000.00 GBP a year prior may be attacked as an undervalue transaction in terms of Section 238 of the Insolvency Act 1986. </w:t>
      </w:r>
    </w:p>
    <w:p w14:paraId="1B7F51C8" w14:textId="77777777" w:rsidR="0080708E" w:rsidRDefault="0080708E" w:rsidP="00197F24">
      <w:pPr>
        <w:jc w:val="both"/>
        <w:rPr>
          <w:rFonts w:ascii="Avenir Next" w:hAnsi="Avenir Next" w:cs="Arial"/>
          <w:color w:val="7B7B7B" w:themeColor="accent3" w:themeShade="BF"/>
          <w:sz w:val="22"/>
          <w:szCs w:val="22"/>
          <w:lang w:val="en-GB"/>
        </w:rPr>
      </w:pPr>
    </w:p>
    <w:p w14:paraId="6892F7F7" w14:textId="1D80D044" w:rsidR="00A130AE" w:rsidRDefault="0080708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Essentially, Section 238 provides for a mechanism to set aside a transaction that the company </w:t>
      </w:r>
      <w:proofErr w:type="gramStart"/>
      <w:r>
        <w:rPr>
          <w:rFonts w:ascii="Avenir Next" w:hAnsi="Avenir Next" w:cs="Arial"/>
          <w:color w:val="7B7B7B" w:themeColor="accent3" w:themeShade="BF"/>
          <w:sz w:val="22"/>
          <w:szCs w:val="22"/>
          <w:lang w:val="en-GB"/>
        </w:rPr>
        <w:t>entered into</w:t>
      </w:r>
      <w:proofErr w:type="gramEnd"/>
      <w:r>
        <w:rPr>
          <w:rFonts w:ascii="Avenir Next" w:hAnsi="Avenir Next" w:cs="Arial"/>
          <w:color w:val="7B7B7B" w:themeColor="accent3" w:themeShade="BF"/>
          <w:sz w:val="22"/>
          <w:szCs w:val="22"/>
          <w:lang w:val="en-GB"/>
        </w:rPr>
        <w:t xml:space="preserve"> with a person whereby the counter value provided to the company was in money’s worth significantly less than the value of the consideration provided by the company. There are a couple of qualifying criteria to be met if this mechanism is to be used</w:t>
      </w:r>
      <w:r w:rsidR="00A130AE">
        <w:rPr>
          <w:rFonts w:ascii="Avenir Next" w:hAnsi="Avenir Next" w:cs="Arial"/>
          <w:color w:val="7B7B7B" w:themeColor="accent3" w:themeShade="BF"/>
          <w:sz w:val="22"/>
          <w:szCs w:val="22"/>
          <w:lang w:val="en-GB"/>
        </w:rPr>
        <w:t xml:space="preserve"> in the instance that the transaction was concluded prior to onset of insolvency</w:t>
      </w:r>
      <w:r>
        <w:rPr>
          <w:rFonts w:ascii="Avenir Next" w:hAnsi="Avenir Next" w:cs="Arial"/>
          <w:color w:val="7B7B7B" w:themeColor="accent3" w:themeShade="BF"/>
          <w:sz w:val="22"/>
          <w:szCs w:val="22"/>
          <w:lang w:val="en-GB"/>
        </w:rPr>
        <w:t xml:space="preserve">. Simply put; (i) the transaction should have occurred at a relevant time as defined in Section 340 (i.e. 2 years prior), and (ii) </w:t>
      </w:r>
      <w:r w:rsidR="00A130AE">
        <w:rPr>
          <w:rFonts w:ascii="Avenir Next" w:hAnsi="Avenir Next" w:cs="Arial"/>
          <w:color w:val="7B7B7B" w:themeColor="accent3" w:themeShade="BF"/>
          <w:sz w:val="22"/>
          <w:szCs w:val="22"/>
          <w:lang w:val="en-GB"/>
        </w:rPr>
        <w:t>the company is at the time of the transaction unable to pay its debts, or (iii) the company is unable to pay its debts immediately after the transaction in question. However, if the transaction was concluded with a person connected to the company, Section 340(2) presumes that the</w:t>
      </w:r>
      <w:r w:rsidR="00C52C03">
        <w:rPr>
          <w:rFonts w:ascii="Avenir Next" w:hAnsi="Avenir Next" w:cs="Arial"/>
          <w:color w:val="7B7B7B" w:themeColor="accent3" w:themeShade="BF"/>
          <w:sz w:val="22"/>
          <w:szCs w:val="22"/>
          <w:lang w:val="en-GB"/>
        </w:rPr>
        <w:t xml:space="preserve"> two</w:t>
      </w:r>
      <w:r w:rsidR="00A130AE">
        <w:rPr>
          <w:rFonts w:ascii="Avenir Next" w:hAnsi="Avenir Next" w:cs="Arial"/>
          <w:color w:val="7B7B7B" w:themeColor="accent3" w:themeShade="BF"/>
          <w:sz w:val="22"/>
          <w:szCs w:val="22"/>
          <w:lang w:val="en-GB"/>
        </w:rPr>
        <w:t xml:space="preserve"> latter criteria are deemed to be fulfilled. </w:t>
      </w:r>
    </w:p>
    <w:p w14:paraId="00D332FA" w14:textId="77777777" w:rsidR="00A130AE" w:rsidRDefault="00A130AE" w:rsidP="00197F24">
      <w:pPr>
        <w:jc w:val="both"/>
        <w:rPr>
          <w:rFonts w:ascii="Avenir Next" w:hAnsi="Avenir Next" w:cs="Arial"/>
          <w:color w:val="7B7B7B" w:themeColor="accent3" w:themeShade="BF"/>
          <w:sz w:val="22"/>
          <w:szCs w:val="22"/>
          <w:lang w:val="en-GB"/>
        </w:rPr>
      </w:pPr>
    </w:p>
    <w:p w14:paraId="4E6F179A" w14:textId="500DB39F" w:rsidR="00A130AE" w:rsidRDefault="00A130A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In this instance, the assets were sold </w:t>
      </w:r>
      <w:r w:rsidR="00FB7DA5">
        <w:rPr>
          <w:rFonts w:ascii="Avenir Next" w:hAnsi="Avenir Next" w:cs="Arial"/>
          <w:color w:val="7B7B7B" w:themeColor="accent3" w:themeShade="BF"/>
          <w:sz w:val="22"/>
          <w:szCs w:val="22"/>
          <w:lang w:val="en-GB"/>
        </w:rPr>
        <w:t xml:space="preserve">undervalue </w:t>
      </w:r>
      <w:r w:rsidR="0021180B">
        <w:rPr>
          <w:rFonts w:ascii="Avenir Next" w:hAnsi="Avenir Next" w:cs="Arial"/>
          <w:color w:val="7B7B7B" w:themeColor="accent3" w:themeShade="BF"/>
          <w:sz w:val="22"/>
          <w:szCs w:val="22"/>
          <w:lang w:val="en-GB"/>
        </w:rPr>
        <w:t xml:space="preserve">to the director, being a connected person, within a period of 2 years prior to the onset of insolvency. Accordingly, the liquidator may apply in terms of Section 238(2), for the </w:t>
      </w:r>
      <w:r w:rsidR="00FF296C">
        <w:rPr>
          <w:rFonts w:ascii="Avenir Next" w:hAnsi="Avenir Next" w:cs="Arial"/>
          <w:color w:val="7B7B7B" w:themeColor="accent3" w:themeShade="BF"/>
          <w:sz w:val="22"/>
          <w:szCs w:val="22"/>
          <w:lang w:val="en-GB"/>
        </w:rPr>
        <w:t>appropriate relief</w:t>
      </w:r>
      <w:r w:rsidR="0021180B">
        <w:rPr>
          <w:rFonts w:ascii="Avenir Next" w:hAnsi="Avenir Next" w:cs="Arial"/>
          <w:color w:val="7B7B7B" w:themeColor="accent3" w:themeShade="BF"/>
          <w:sz w:val="22"/>
          <w:szCs w:val="22"/>
          <w:lang w:val="en-GB"/>
        </w:rPr>
        <w:t xml:space="preserve"> listed in Section 341</w:t>
      </w:r>
      <w:r w:rsidR="00FF296C">
        <w:rPr>
          <w:rFonts w:ascii="Avenir Next" w:hAnsi="Avenir Next" w:cs="Arial"/>
          <w:color w:val="7B7B7B" w:themeColor="accent3" w:themeShade="BF"/>
          <w:sz w:val="22"/>
          <w:szCs w:val="22"/>
          <w:lang w:val="en-GB"/>
        </w:rPr>
        <w:t>(1)</w:t>
      </w:r>
      <w:r w:rsidR="0021180B">
        <w:rPr>
          <w:rFonts w:ascii="Avenir Next" w:hAnsi="Avenir Next" w:cs="Arial"/>
          <w:color w:val="7B7B7B" w:themeColor="accent3" w:themeShade="BF"/>
          <w:sz w:val="22"/>
          <w:szCs w:val="22"/>
          <w:lang w:val="en-GB"/>
        </w:rPr>
        <w:t xml:space="preserve">. </w:t>
      </w:r>
    </w:p>
    <w:p w14:paraId="2F16A62A" w14:textId="77777777" w:rsidR="0080708E" w:rsidRDefault="0080708E" w:rsidP="00197F24">
      <w:pPr>
        <w:jc w:val="both"/>
        <w:rPr>
          <w:rFonts w:ascii="Avenir Next" w:hAnsi="Avenir Next" w:cs="Arial"/>
          <w:color w:val="7B7B7B" w:themeColor="accent3" w:themeShade="BF"/>
          <w:sz w:val="22"/>
          <w:szCs w:val="22"/>
          <w:lang w:val="en-GB"/>
        </w:rPr>
      </w:pPr>
    </w:p>
    <w:p w14:paraId="2048FCA2" w14:textId="3B0121EF" w:rsidR="00197F24" w:rsidRPr="00197F24" w:rsidRDefault="0001559A"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director in question might try to argue </w:t>
      </w:r>
      <w:r w:rsidR="00FF296C">
        <w:rPr>
          <w:rFonts w:ascii="Avenir Next" w:hAnsi="Avenir Next" w:cs="Arial"/>
          <w:color w:val="7B7B7B" w:themeColor="accent3" w:themeShade="BF"/>
          <w:sz w:val="22"/>
          <w:szCs w:val="22"/>
          <w:lang w:val="en-GB"/>
        </w:rPr>
        <w:t xml:space="preserve">that the transaction was in good faith for purpose of carrying on business and that there were reasonable grounds to believe that the transaction would benefit the company, which in this case is probably a non-starter. However, the director might very well aver that </w:t>
      </w:r>
      <w:r>
        <w:rPr>
          <w:rFonts w:ascii="Avenir Next" w:hAnsi="Avenir Next" w:cs="Arial"/>
          <w:color w:val="7B7B7B" w:themeColor="accent3" w:themeShade="BF"/>
          <w:sz w:val="22"/>
          <w:szCs w:val="22"/>
          <w:lang w:val="en-GB"/>
        </w:rPr>
        <w:t xml:space="preserve">the assets depreciated to such an extent that </w:t>
      </w:r>
      <w:r w:rsidR="00CA4466">
        <w:rPr>
          <w:rFonts w:ascii="Avenir Next" w:hAnsi="Avenir Next" w:cs="Arial"/>
          <w:color w:val="7B7B7B" w:themeColor="accent3" w:themeShade="BF"/>
          <w:sz w:val="22"/>
          <w:szCs w:val="22"/>
          <w:lang w:val="en-GB"/>
        </w:rPr>
        <w:t xml:space="preserve">a purchase consideration of </w:t>
      </w:r>
      <w:r>
        <w:rPr>
          <w:rFonts w:ascii="Avenir Next" w:hAnsi="Avenir Next" w:cs="Arial"/>
          <w:color w:val="7B7B7B" w:themeColor="accent3" w:themeShade="BF"/>
          <w:sz w:val="22"/>
          <w:szCs w:val="22"/>
          <w:lang w:val="en-GB"/>
        </w:rPr>
        <w:t>40,000.00 GBP was</w:t>
      </w:r>
      <w:r w:rsidR="00CA4466">
        <w:rPr>
          <w:rFonts w:ascii="Avenir Next" w:hAnsi="Avenir Next" w:cs="Arial"/>
          <w:color w:val="7B7B7B" w:themeColor="accent3" w:themeShade="BF"/>
          <w:sz w:val="22"/>
          <w:szCs w:val="22"/>
          <w:lang w:val="en-GB"/>
        </w:rPr>
        <w:t xml:space="preserve"> at value</w:t>
      </w:r>
      <w:r w:rsidR="00FF296C">
        <w:rPr>
          <w:rFonts w:ascii="Avenir Next" w:hAnsi="Avenir Next" w:cs="Arial"/>
          <w:color w:val="7B7B7B" w:themeColor="accent3" w:themeShade="BF"/>
          <w:sz w:val="22"/>
          <w:szCs w:val="22"/>
          <w:lang w:val="en-GB"/>
        </w:rPr>
        <w:t xml:space="preserve">, in which case an independent valuation of the assets should be sought and compared with the book value of the assets as at the time when the transaction was </w:t>
      </w:r>
      <w:proofErr w:type="gramStart"/>
      <w:r w:rsidR="00FF296C">
        <w:rPr>
          <w:rFonts w:ascii="Avenir Next" w:hAnsi="Avenir Next" w:cs="Arial"/>
          <w:color w:val="7B7B7B" w:themeColor="accent3" w:themeShade="BF"/>
          <w:sz w:val="22"/>
          <w:szCs w:val="22"/>
          <w:lang w:val="en-GB"/>
        </w:rPr>
        <w:t>entered into</w:t>
      </w:r>
      <w:proofErr w:type="gramEnd"/>
      <w:r w:rsidR="00FF296C">
        <w:rPr>
          <w:rFonts w:ascii="Avenir Next" w:hAnsi="Avenir Next" w:cs="Arial"/>
          <w:color w:val="7B7B7B" w:themeColor="accent3" w:themeShade="BF"/>
          <w:sz w:val="22"/>
          <w:szCs w:val="22"/>
          <w:lang w:val="en-GB"/>
        </w:rPr>
        <w:t xml:space="preserve">. </w:t>
      </w:r>
      <w:r w:rsidR="00CA4466">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  </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AB3225B" w14:textId="5BDDB2CD" w:rsidR="00CF3708" w:rsidRDefault="00C30495"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payments to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should be considered under Section 239 of the Insolvency Act 1986</w:t>
      </w:r>
      <w:r w:rsidR="00214D7C">
        <w:rPr>
          <w:rFonts w:ascii="Avenir Next" w:hAnsi="Avenir Next" w:cs="Arial"/>
          <w:color w:val="7B7B7B" w:themeColor="accent3" w:themeShade="BF"/>
          <w:sz w:val="22"/>
          <w:szCs w:val="22"/>
          <w:lang w:val="en-GB"/>
        </w:rPr>
        <w:t>. Section 239 determines that</w:t>
      </w:r>
      <w:r>
        <w:rPr>
          <w:rFonts w:ascii="Avenir Next" w:hAnsi="Avenir Next" w:cs="Arial"/>
          <w:color w:val="7B7B7B" w:themeColor="accent3" w:themeShade="BF"/>
          <w:sz w:val="22"/>
          <w:szCs w:val="22"/>
          <w:lang w:val="en-GB"/>
        </w:rPr>
        <w:t xml:space="preserve"> </w:t>
      </w:r>
      <w:r w:rsidR="00BB0B7F">
        <w:rPr>
          <w:rFonts w:ascii="Avenir Next" w:hAnsi="Avenir Next" w:cs="Arial"/>
          <w:color w:val="7B7B7B" w:themeColor="accent3" w:themeShade="BF"/>
          <w:sz w:val="22"/>
          <w:szCs w:val="22"/>
          <w:lang w:val="en-GB"/>
        </w:rPr>
        <w:t xml:space="preserve">transactions in favour unconnected creditors </w:t>
      </w:r>
      <w:r w:rsidR="00214D7C">
        <w:rPr>
          <w:rFonts w:ascii="Avenir Next" w:hAnsi="Avenir Next" w:cs="Arial"/>
          <w:color w:val="7B7B7B" w:themeColor="accent3" w:themeShade="BF"/>
          <w:sz w:val="22"/>
          <w:szCs w:val="22"/>
          <w:lang w:val="en-GB"/>
        </w:rPr>
        <w:t>within 12 months prior to the onset of insolvency</w:t>
      </w:r>
      <w:r w:rsidR="00BB0B7F">
        <w:rPr>
          <w:rFonts w:ascii="Avenir Next" w:hAnsi="Avenir Next" w:cs="Arial"/>
          <w:color w:val="7B7B7B" w:themeColor="accent3" w:themeShade="BF"/>
          <w:sz w:val="22"/>
          <w:szCs w:val="22"/>
          <w:lang w:val="en-GB"/>
        </w:rPr>
        <w:t>, or 2 years if connected,</w:t>
      </w:r>
      <w:r w:rsidR="00214D7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are liable to be set aside </w:t>
      </w:r>
      <w:proofErr w:type="gramStart"/>
      <w:r>
        <w:rPr>
          <w:rFonts w:ascii="Avenir Next" w:hAnsi="Avenir Next" w:cs="Arial"/>
          <w:color w:val="7B7B7B" w:themeColor="accent3" w:themeShade="BF"/>
          <w:sz w:val="22"/>
          <w:szCs w:val="22"/>
          <w:lang w:val="en-GB"/>
        </w:rPr>
        <w:t>on the basis</w:t>
      </w:r>
      <w:r w:rsidR="00BB0B7F">
        <w:rPr>
          <w:rFonts w:ascii="Avenir Next" w:hAnsi="Avenir Next" w:cs="Arial"/>
          <w:color w:val="7B7B7B" w:themeColor="accent3" w:themeShade="BF"/>
          <w:sz w:val="22"/>
          <w:szCs w:val="22"/>
          <w:lang w:val="en-GB"/>
        </w:rPr>
        <w:t xml:space="preserve"> of</w:t>
      </w:r>
      <w:proofErr w:type="gramEnd"/>
      <w:r w:rsidR="00BB0B7F">
        <w:rPr>
          <w:rFonts w:ascii="Avenir Next" w:hAnsi="Avenir Next" w:cs="Arial"/>
          <w:color w:val="7B7B7B" w:themeColor="accent3" w:themeShade="BF"/>
          <w:sz w:val="22"/>
          <w:szCs w:val="22"/>
          <w:lang w:val="en-GB"/>
        </w:rPr>
        <w:t xml:space="preserve"> the desire to</w:t>
      </w:r>
      <w:r>
        <w:rPr>
          <w:rFonts w:ascii="Avenir Next" w:hAnsi="Avenir Next" w:cs="Arial"/>
          <w:color w:val="7B7B7B" w:themeColor="accent3" w:themeShade="BF"/>
          <w:sz w:val="22"/>
          <w:szCs w:val="22"/>
          <w:lang w:val="en-GB"/>
        </w:rPr>
        <w:t xml:space="preserve"> </w:t>
      </w:r>
      <w:r w:rsidR="00BB0B7F">
        <w:rPr>
          <w:rFonts w:ascii="Avenir Next" w:hAnsi="Avenir Next" w:cs="Arial"/>
          <w:color w:val="7B7B7B" w:themeColor="accent3" w:themeShade="BF"/>
          <w:sz w:val="22"/>
          <w:szCs w:val="22"/>
          <w:lang w:val="en-GB"/>
        </w:rPr>
        <w:t>afford a</w:t>
      </w:r>
      <w:r>
        <w:rPr>
          <w:rFonts w:ascii="Avenir Next" w:hAnsi="Avenir Next" w:cs="Arial"/>
          <w:color w:val="7B7B7B" w:themeColor="accent3" w:themeShade="BF"/>
          <w:sz w:val="22"/>
          <w:szCs w:val="22"/>
          <w:lang w:val="en-GB"/>
        </w:rPr>
        <w:t xml:space="preserve"> </w:t>
      </w:r>
      <w:r w:rsidR="00BB0B7F">
        <w:rPr>
          <w:rFonts w:ascii="Avenir Next" w:hAnsi="Avenir Next" w:cs="Arial"/>
          <w:color w:val="7B7B7B" w:themeColor="accent3" w:themeShade="BF"/>
          <w:sz w:val="22"/>
          <w:szCs w:val="22"/>
          <w:lang w:val="en-GB"/>
        </w:rPr>
        <w:t xml:space="preserve">creditor a </w:t>
      </w:r>
      <w:r>
        <w:rPr>
          <w:rFonts w:ascii="Avenir Next" w:hAnsi="Avenir Next" w:cs="Arial"/>
          <w:color w:val="7B7B7B" w:themeColor="accent3" w:themeShade="BF"/>
          <w:sz w:val="22"/>
          <w:szCs w:val="22"/>
          <w:lang w:val="en-GB"/>
        </w:rPr>
        <w:t xml:space="preserve">preference </w:t>
      </w:r>
      <w:r w:rsidR="00BB0B7F">
        <w:rPr>
          <w:rFonts w:ascii="Avenir Next" w:hAnsi="Avenir Next" w:cs="Arial"/>
          <w:color w:val="7B7B7B" w:themeColor="accent3" w:themeShade="BF"/>
          <w:sz w:val="22"/>
          <w:szCs w:val="22"/>
          <w:lang w:val="en-GB"/>
        </w:rPr>
        <w:t>by being placed in a</w:t>
      </w:r>
      <w:r>
        <w:rPr>
          <w:rFonts w:ascii="Avenir Next" w:hAnsi="Avenir Next" w:cs="Arial"/>
          <w:color w:val="7B7B7B" w:themeColor="accent3" w:themeShade="BF"/>
          <w:sz w:val="22"/>
          <w:szCs w:val="22"/>
          <w:lang w:val="en-GB"/>
        </w:rPr>
        <w:t xml:space="preserve"> better position at the onset of insolvency than they would otherwise have enjoyed. </w:t>
      </w:r>
    </w:p>
    <w:p w14:paraId="0F21A312" w14:textId="77777777" w:rsidR="00BB0B7F" w:rsidRDefault="00BB0B7F" w:rsidP="00CF3708">
      <w:pPr>
        <w:jc w:val="both"/>
        <w:rPr>
          <w:rFonts w:ascii="Avenir Next" w:hAnsi="Avenir Next" w:cs="Arial"/>
          <w:color w:val="7B7B7B" w:themeColor="accent3" w:themeShade="BF"/>
          <w:sz w:val="22"/>
          <w:szCs w:val="22"/>
          <w:lang w:val="en-GB"/>
        </w:rPr>
      </w:pPr>
    </w:p>
    <w:p w14:paraId="0E6F3E46" w14:textId="24392C1C" w:rsidR="00BB0B7F" w:rsidRDefault="00BB0B7F"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creditor is unconnected to the company in liquidation, the onus is </w:t>
      </w:r>
      <w:proofErr w:type="gramStart"/>
      <w:r>
        <w:rPr>
          <w:rFonts w:ascii="Avenir Next" w:hAnsi="Avenir Next" w:cs="Arial"/>
          <w:color w:val="7B7B7B" w:themeColor="accent3" w:themeShade="BF"/>
          <w:sz w:val="22"/>
          <w:szCs w:val="22"/>
          <w:lang w:val="en-GB"/>
        </w:rPr>
        <w:t>fairly high</w:t>
      </w:r>
      <w:proofErr w:type="gramEnd"/>
      <w:r>
        <w:rPr>
          <w:rFonts w:ascii="Avenir Next" w:hAnsi="Avenir Next" w:cs="Arial"/>
          <w:color w:val="7B7B7B" w:themeColor="accent3" w:themeShade="BF"/>
          <w:sz w:val="22"/>
          <w:szCs w:val="22"/>
          <w:lang w:val="en-GB"/>
        </w:rPr>
        <w:t xml:space="preserve"> in that the liquidator would have to prove that the preference was induced by the desire to prefer the creditor over others of the same class. However, if the creditor is connected to the company in liquidation</w:t>
      </w:r>
      <w:r w:rsidR="00FB7DA5">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it is presumed that preference was </w:t>
      </w:r>
      <w:r w:rsidR="00FB7DA5">
        <w:rPr>
          <w:rFonts w:ascii="Avenir Next" w:hAnsi="Avenir Next" w:cs="Arial"/>
          <w:color w:val="7B7B7B" w:themeColor="accent3" w:themeShade="BF"/>
          <w:sz w:val="22"/>
          <w:szCs w:val="22"/>
          <w:lang w:val="en-GB"/>
        </w:rPr>
        <w:t xml:space="preserve">given, and </w:t>
      </w:r>
      <w:r>
        <w:rPr>
          <w:rFonts w:ascii="Avenir Next" w:hAnsi="Avenir Next" w:cs="Arial"/>
          <w:color w:val="7B7B7B" w:themeColor="accent3" w:themeShade="BF"/>
          <w:sz w:val="22"/>
          <w:szCs w:val="22"/>
          <w:lang w:val="en-GB"/>
        </w:rPr>
        <w:t xml:space="preserve">the onus is reversed on the receiver of the preference to prove the contrary.  </w:t>
      </w:r>
    </w:p>
    <w:p w14:paraId="241EF7EC" w14:textId="77777777" w:rsidR="00214D7C" w:rsidRDefault="00214D7C" w:rsidP="00CF3708">
      <w:pPr>
        <w:jc w:val="both"/>
        <w:rPr>
          <w:rFonts w:ascii="Avenir Next" w:hAnsi="Avenir Next" w:cs="Arial"/>
          <w:color w:val="7B7B7B" w:themeColor="accent3" w:themeShade="BF"/>
          <w:sz w:val="22"/>
          <w:szCs w:val="22"/>
          <w:lang w:val="en-GB"/>
        </w:rPr>
      </w:pPr>
    </w:p>
    <w:p w14:paraId="250BA81F" w14:textId="6C19505C" w:rsidR="00214D7C" w:rsidRDefault="00BB0B7F" w:rsidP="00CF3708">
      <w:pPr>
        <w:jc w:val="both"/>
        <w:rPr>
          <w:rFonts w:ascii="Avenir Next" w:hAnsi="Avenir Next" w:cs="Arial"/>
          <w:color w:val="7B7B7B" w:themeColor="accent3" w:themeShade="BF"/>
          <w:sz w:val="22"/>
          <w:szCs w:val="22"/>
          <w:lang w:val="en-GB"/>
        </w:rPr>
      </w:pPr>
      <w:r>
        <w:rPr>
          <w:rFonts w:ascii="Avenir Next" w:hAnsi="Avenir Next" w:cs="Arial"/>
          <w:i/>
          <w:iCs/>
          <w:color w:val="7B7B7B" w:themeColor="accent3" w:themeShade="BF"/>
          <w:sz w:val="22"/>
          <w:szCs w:val="22"/>
          <w:lang w:val="en-GB"/>
        </w:rPr>
        <w:t xml:space="preserve">In </w:t>
      </w:r>
      <w:proofErr w:type="spellStart"/>
      <w:r>
        <w:rPr>
          <w:rFonts w:ascii="Avenir Next" w:hAnsi="Avenir Next" w:cs="Arial"/>
          <w:i/>
          <w:iCs/>
          <w:color w:val="7B7B7B" w:themeColor="accent3" w:themeShade="BF"/>
          <w:sz w:val="22"/>
          <w:szCs w:val="22"/>
          <w:lang w:val="en-GB"/>
        </w:rPr>
        <w:t>casu</w:t>
      </w:r>
      <w:proofErr w:type="spellEnd"/>
      <w:r w:rsidR="00214D7C">
        <w:rPr>
          <w:rFonts w:ascii="Avenir Next" w:hAnsi="Avenir Next" w:cs="Arial"/>
          <w:color w:val="7B7B7B" w:themeColor="accent3" w:themeShade="BF"/>
          <w:sz w:val="22"/>
          <w:szCs w:val="22"/>
          <w:lang w:val="en-GB"/>
        </w:rPr>
        <w:t xml:space="preserve">, the liquidator should </w:t>
      </w:r>
      <w:r>
        <w:rPr>
          <w:rFonts w:ascii="Avenir Next" w:hAnsi="Avenir Next" w:cs="Arial"/>
          <w:color w:val="7B7B7B" w:themeColor="accent3" w:themeShade="BF"/>
          <w:sz w:val="22"/>
          <w:szCs w:val="22"/>
          <w:lang w:val="en-GB"/>
        </w:rPr>
        <w:t xml:space="preserve">firstly </w:t>
      </w:r>
      <w:r w:rsidR="00214D7C">
        <w:rPr>
          <w:rFonts w:ascii="Avenir Next" w:hAnsi="Avenir Next" w:cs="Arial"/>
          <w:color w:val="7B7B7B" w:themeColor="accent3" w:themeShade="BF"/>
          <w:sz w:val="22"/>
          <w:szCs w:val="22"/>
          <w:lang w:val="en-GB"/>
        </w:rPr>
        <w:t xml:space="preserve">satisfy himself/herself that Aluminium </w:t>
      </w:r>
      <w:proofErr w:type="spellStart"/>
      <w:r w:rsidR="00214D7C">
        <w:rPr>
          <w:rFonts w:ascii="Avenir Next" w:hAnsi="Avenir Next" w:cs="Arial"/>
          <w:color w:val="7B7B7B" w:themeColor="accent3" w:themeShade="BF"/>
          <w:sz w:val="22"/>
          <w:szCs w:val="22"/>
          <w:lang w:val="en-GB"/>
        </w:rPr>
        <w:t>Alumini</w:t>
      </w:r>
      <w:proofErr w:type="spellEnd"/>
      <w:r w:rsidR="00214D7C">
        <w:rPr>
          <w:rFonts w:ascii="Avenir Next" w:hAnsi="Avenir Next" w:cs="Arial"/>
          <w:color w:val="7B7B7B" w:themeColor="accent3" w:themeShade="BF"/>
          <w:sz w:val="22"/>
          <w:szCs w:val="22"/>
          <w:lang w:val="en-GB"/>
        </w:rPr>
        <w:t xml:space="preserve"> is not “associated” with Blazer Laser as defined in Section 435(7) of the Act (i.e. sharing the same directors, shareholders or control), which would bring the payments liable for attack under Section 239(6), read with Section 249 of the Act. </w:t>
      </w:r>
    </w:p>
    <w:p w14:paraId="2B2D3D53" w14:textId="77777777" w:rsidR="00BB0B7F" w:rsidRDefault="00BB0B7F" w:rsidP="00CF3708">
      <w:pPr>
        <w:jc w:val="both"/>
        <w:rPr>
          <w:rFonts w:ascii="Avenir Next" w:hAnsi="Avenir Next" w:cs="Arial"/>
          <w:color w:val="7B7B7B" w:themeColor="accent3" w:themeShade="BF"/>
          <w:sz w:val="22"/>
          <w:szCs w:val="22"/>
          <w:lang w:val="en-GB"/>
        </w:rPr>
      </w:pPr>
    </w:p>
    <w:p w14:paraId="367496CB" w14:textId="04B5D7EE" w:rsidR="00212457" w:rsidRDefault="00BB0B7F"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Should the liquidator be satisfied that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is in fact an arm’s length creditor, he should consider the objective of the transaction in question to determine whether there are any grounds to </w:t>
      </w:r>
      <w:r w:rsidR="00212457">
        <w:rPr>
          <w:rFonts w:ascii="Avenir Next" w:hAnsi="Avenir Next" w:cs="Arial"/>
          <w:color w:val="7B7B7B" w:themeColor="accent3" w:themeShade="BF"/>
          <w:sz w:val="22"/>
          <w:szCs w:val="22"/>
          <w:lang w:val="en-GB"/>
        </w:rPr>
        <w:t xml:space="preserve">believe that the preference was induced by a desire to prefer. </w:t>
      </w:r>
      <w:r w:rsidR="00FB7DA5">
        <w:rPr>
          <w:rFonts w:ascii="Avenir Next" w:hAnsi="Avenir Next" w:cs="Arial"/>
          <w:color w:val="7B7B7B" w:themeColor="accent3" w:themeShade="BF"/>
          <w:sz w:val="22"/>
          <w:szCs w:val="22"/>
          <w:lang w:val="en-GB"/>
        </w:rPr>
        <w:t>Reflecting on</w:t>
      </w:r>
      <w:r w:rsidR="00212457">
        <w:rPr>
          <w:rFonts w:ascii="Avenir Next" w:hAnsi="Avenir Next" w:cs="Arial"/>
          <w:color w:val="7B7B7B" w:themeColor="accent3" w:themeShade="BF"/>
          <w:sz w:val="22"/>
          <w:szCs w:val="22"/>
          <w:lang w:val="en-GB"/>
        </w:rPr>
        <w:t xml:space="preserve"> the judgement in Re MC Bacon Ltd in this instance, the intention </w:t>
      </w:r>
      <w:r w:rsidR="00FB7DA5">
        <w:rPr>
          <w:rFonts w:ascii="Avenir Next" w:hAnsi="Avenir Next" w:cs="Arial"/>
          <w:color w:val="7B7B7B" w:themeColor="accent3" w:themeShade="BF"/>
          <w:sz w:val="22"/>
          <w:szCs w:val="22"/>
          <w:lang w:val="en-GB"/>
        </w:rPr>
        <w:t xml:space="preserve">to prefer </w:t>
      </w:r>
      <w:r w:rsidR="00212457">
        <w:rPr>
          <w:rFonts w:ascii="Avenir Next" w:hAnsi="Avenir Next" w:cs="Arial"/>
          <w:color w:val="7B7B7B" w:themeColor="accent3" w:themeShade="BF"/>
          <w:sz w:val="22"/>
          <w:szCs w:val="22"/>
          <w:lang w:val="en-GB"/>
        </w:rPr>
        <w:t xml:space="preserve">is clear whilst the desire to prefer is doubtful. Faced with the ultimatum of either settling the arrears and paying cash on delivery for future </w:t>
      </w:r>
      <w:r w:rsidR="00FB7DA5">
        <w:rPr>
          <w:rFonts w:ascii="Avenir Next" w:hAnsi="Avenir Next" w:cs="Arial"/>
          <w:color w:val="7B7B7B" w:themeColor="accent3" w:themeShade="BF"/>
          <w:sz w:val="22"/>
          <w:szCs w:val="22"/>
          <w:lang w:val="en-GB"/>
        </w:rPr>
        <w:t>supply or</w:t>
      </w:r>
      <w:r w:rsidR="00212457">
        <w:rPr>
          <w:rFonts w:ascii="Avenir Next" w:hAnsi="Avenir Next" w:cs="Arial"/>
          <w:color w:val="7B7B7B" w:themeColor="accent3" w:themeShade="BF"/>
          <w:sz w:val="22"/>
          <w:szCs w:val="22"/>
          <w:lang w:val="en-GB"/>
        </w:rPr>
        <w:t xml:space="preserve"> being completely cut-off from supply of critical materials and ceasing trade immediately, the company chose the lesser of two evils. Accordingly, </w:t>
      </w:r>
      <w:r w:rsidR="00D75980">
        <w:rPr>
          <w:rFonts w:ascii="Avenir Next" w:hAnsi="Avenir Next" w:cs="Arial"/>
          <w:color w:val="7B7B7B" w:themeColor="accent3" w:themeShade="BF"/>
          <w:sz w:val="22"/>
          <w:szCs w:val="22"/>
          <w:lang w:val="en-GB"/>
        </w:rPr>
        <w:t xml:space="preserve">the liquidator would </w:t>
      </w:r>
      <w:proofErr w:type="gramStart"/>
      <w:r w:rsidR="00D75980">
        <w:rPr>
          <w:rFonts w:ascii="Avenir Next" w:hAnsi="Avenir Next" w:cs="Arial"/>
          <w:color w:val="7B7B7B" w:themeColor="accent3" w:themeShade="BF"/>
          <w:sz w:val="22"/>
          <w:szCs w:val="22"/>
          <w:lang w:val="en-GB"/>
        </w:rPr>
        <w:t>in all likelihood</w:t>
      </w:r>
      <w:proofErr w:type="gramEnd"/>
      <w:r w:rsidR="00D75980">
        <w:rPr>
          <w:rFonts w:ascii="Avenir Next" w:hAnsi="Avenir Next" w:cs="Arial"/>
          <w:color w:val="7B7B7B" w:themeColor="accent3" w:themeShade="BF"/>
          <w:sz w:val="22"/>
          <w:szCs w:val="22"/>
          <w:lang w:val="en-GB"/>
        </w:rPr>
        <w:t xml:space="preserve"> not be successful with an avoidable preference attack on the payments to Aluminium </w:t>
      </w:r>
      <w:proofErr w:type="spellStart"/>
      <w:r w:rsidR="00D75980">
        <w:rPr>
          <w:rFonts w:ascii="Avenir Next" w:hAnsi="Avenir Next" w:cs="Arial"/>
          <w:color w:val="7B7B7B" w:themeColor="accent3" w:themeShade="BF"/>
          <w:sz w:val="22"/>
          <w:szCs w:val="22"/>
          <w:lang w:val="en-GB"/>
        </w:rPr>
        <w:t>Alumini</w:t>
      </w:r>
      <w:proofErr w:type="spellEnd"/>
      <w:r w:rsidR="00D75980">
        <w:rPr>
          <w:rFonts w:ascii="Avenir Next" w:hAnsi="Avenir Next" w:cs="Arial"/>
          <w:color w:val="7B7B7B" w:themeColor="accent3" w:themeShade="BF"/>
          <w:sz w:val="22"/>
          <w:szCs w:val="22"/>
          <w:lang w:val="en-GB"/>
        </w:rPr>
        <w:t xml:space="preserve">. </w:t>
      </w:r>
    </w:p>
    <w:p w14:paraId="25C87300" w14:textId="77777777" w:rsidR="00212457" w:rsidRDefault="00212457" w:rsidP="00CF3708">
      <w:pPr>
        <w:jc w:val="both"/>
        <w:rPr>
          <w:rFonts w:ascii="Avenir Next" w:hAnsi="Avenir Next" w:cs="Arial"/>
          <w:color w:val="7B7B7B" w:themeColor="accent3" w:themeShade="BF"/>
          <w:sz w:val="22"/>
          <w:szCs w:val="22"/>
          <w:lang w:val="en-GB"/>
        </w:rPr>
      </w:pPr>
    </w:p>
    <w:p w14:paraId="48D066E0" w14:textId="77777777" w:rsidR="00212457" w:rsidRDefault="00212457" w:rsidP="00CF3708">
      <w:pPr>
        <w:jc w:val="both"/>
        <w:rPr>
          <w:rFonts w:ascii="Avenir Next" w:hAnsi="Avenir Next" w:cs="Arial"/>
          <w:color w:val="7B7B7B" w:themeColor="accent3" w:themeShade="BF"/>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1B1A7F">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28EA" w14:textId="77777777" w:rsidR="001B1A7F" w:rsidRDefault="001B1A7F" w:rsidP="00241B44">
      <w:r>
        <w:separator/>
      </w:r>
    </w:p>
  </w:endnote>
  <w:endnote w:type="continuationSeparator" w:id="0">
    <w:p w14:paraId="2F4AFFEB" w14:textId="77777777" w:rsidR="001B1A7F" w:rsidRDefault="001B1A7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Century Gothic"/>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3B82D732" w:rsidR="00241FA3" w:rsidRPr="00A84235" w:rsidRDefault="00A122B9" w:rsidP="009B4976">
    <w:pPr>
      <w:pStyle w:val="Footer"/>
      <w:ind w:right="360"/>
      <w:rPr>
        <w:rFonts w:ascii="Avenir Next" w:hAnsi="Avenir Next" w:cs="Arial"/>
        <w:sz w:val="22"/>
        <w:szCs w:val="22"/>
        <w:lang w:val="en-GB"/>
      </w:rPr>
    </w:pPr>
    <w:r>
      <w:rPr>
        <w:rFonts w:ascii="Avenir Next" w:hAnsi="Avenir Next" w:cs="Arial"/>
        <w:sz w:val="22"/>
        <w:szCs w:val="22"/>
        <w:lang w:val="en-GB"/>
      </w:rPr>
      <w:t>202324-1192</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1BA7" w14:textId="77777777" w:rsidR="001B1A7F" w:rsidRDefault="001B1A7F" w:rsidP="00241B44">
      <w:r>
        <w:separator/>
      </w:r>
    </w:p>
  </w:footnote>
  <w:footnote w:type="continuationSeparator" w:id="0">
    <w:p w14:paraId="3AD5EA3F" w14:textId="77777777" w:rsidR="001B1A7F" w:rsidRDefault="001B1A7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9F4D4F"/>
    <w:multiLevelType w:val="hybridMultilevel"/>
    <w:tmpl w:val="4B0A51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CF75E9"/>
    <w:multiLevelType w:val="hybridMultilevel"/>
    <w:tmpl w:val="7C564F98"/>
    <w:lvl w:ilvl="0" w:tplc="B5F4C2A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026A79"/>
    <w:multiLevelType w:val="hybridMultilevel"/>
    <w:tmpl w:val="5DD049A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988630697">
    <w:abstractNumId w:val="4"/>
  </w:num>
  <w:num w:numId="2" w16cid:durableId="1279876417">
    <w:abstractNumId w:val="1"/>
  </w:num>
  <w:num w:numId="3" w16cid:durableId="100541089">
    <w:abstractNumId w:val="0"/>
  </w:num>
  <w:num w:numId="4" w16cid:durableId="14042412">
    <w:abstractNumId w:val="9"/>
  </w:num>
  <w:num w:numId="5" w16cid:durableId="1338728706">
    <w:abstractNumId w:val="12"/>
  </w:num>
  <w:num w:numId="6" w16cid:durableId="376245857">
    <w:abstractNumId w:val="2"/>
  </w:num>
  <w:num w:numId="7" w16cid:durableId="1396392877">
    <w:abstractNumId w:val="13"/>
  </w:num>
  <w:num w:numId="8" w16cid:durableId="1599950421">
    <w:abstractNumId w:val="17"/>
  </w:num>
  <w:num w:numId="9" w16cid:durableId="858857530">
    <w:abstractNumId w:val="10"/>
  </w:num>
  <w:num w:numId="10" w16cid:durableId="619802517">
    <w:abstractNumId w:val="18"/>
  </w:num>
  <w:num w:numId="11" w16cid:durableId="1831171333">
    <w:abstractNumId w:val="6"/>
  </w:num>
  <w:num w:numId="12" w16cid:durableId="84155222">
    <w:abstractNumId w:val="15"/>
  </w:num>
  <w:num w:numId="13" w16cid:durableId="1163352382">
    <w:abstractNumId w:val="11"/>
  </w:num>
  <w:num w:numId="14" w16cid:durableId="19356955">
    <w:abstractNumId w:val="5"/>
  </w:num>
  <w:num w:numId="15" w16cid:durableId="439304345">
    <w:abstractNumId w:val="14"/>
  </w:num>
  <w:num w:numId="16" w16cid:durableId="1126969584">
    <w:abstractNumId w:val="16"/>
  </w:num>
  <w:num w:numId="17" w16cid:durableId="1710716489">
    <w:abstractNumId w:val="8"/>
  </w:num>
  <w:num w:numId="18" w16cid:durableId="531067842">
    <w:abstractNumId w:val="19"/>
  </w:num>
  <w:num w:numId="19" w16cid:durableId="579873656">
    <w:abstractNumId w:val="7"/>
  </w:num>
  <w:num w:numId="20" w16cid:durableId="54318085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559A"/>
    <w:rsid w:val="00020557"/>
    <w:rsid w:val="00021FC2"/>
    <w:rsid w:val="0002443E"/>
    <w:rsid w:val="000250C7"/>
    <w:rsid w:val="00026F16"/>
    <w:rsid w:val="00035FB9"/>
    <w:rsid w:val="00037621"/>
    <w:rsid w:val="0004444C"/>
    <w:rsid w:val="00044D46"/>
    <w:rsid w:val="00045088"/>
    <w:rsid w:val="00045904"/>
    <w:rsid w:val="000502FD"/>
    <w:rsid w:val="00065166"/>
    <w:rsid w:val="00065670"/>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0890"/>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1A7F"/>
    <w:rsid w:val="001B2A63"/>
    <w:rsid w:val="001B5016"/>
    <w:rsid w:val="001C45FC"/>
    <w:rsid w:val="001D0469"/>
    <w:rsid w:val="001D29C0"/>
    <w:rsid w:val="001D4862"/>
    <w:rsid w:val="001E25B9"/>
    <w:rsid w:val="001E49E0"/>
    <w:rsid w:val="001E7B5A"/>
    <w:rsid w:val="001F3C98"/>
    <w:rsid w:val="001F7412"/>
    <w:rsid w:val="0020090A"/>
    <w:rsid w:val="00200B7E"/>
    <w:rsid w:val="0020204E"/>
    <w:rsid w:val="00202DFE"/>
    <w:rsid w:val="0020725B"/>
    <w:rsid w:val="002110F1"/>
    <w:rsid w:val="0021180B"/>
    <w:rsid w:val="00212457"/>
    <w:rsid w:val="00214D7C"/>
    <w:rsid w:val="00221444"/>
    <w:rsid w:val="00222AF5"/>
    <w:rsid w:val="002356EA"/>
    <w:rsid w:val="00237A00"/>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1DB2"/>
    <w:rsid w:val="00303C2F"/>
    <w:rsid w:val="00311816"/>
    <w:rsid w:val="003144EF"/>
    <w:rsid w:val="00314F32"/>
    <w:rsid w:val="00326292"/>
    <w:rsid w:val="00326415"/>
    <w:rsid w:val="003277FB"/>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A74C9"/>
    <w:rsid w:val="003B170F"/>
    <w:rsid w:val="003B3C5F"/>
    <w:rsid w:val="003C4471"/>
    <w:rsid w:val="003D0A6D"/>
    <w:rsid w:val="003E0B16"/>
    <w:rsid w:val="003E1BBF"/>
    <w:rsid w:val="003E67D1"/>
    <w:rsid w:val="003F655F"/>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E6ACE"/>
    <w:rsid w:val="004F5FDF"/>
    <w:rsid w:val="005038A9"/>
    <w:rsid w:val="005177FE"/>
    <w:rsid w:val="00520242"/>
    <w:rsid w:val="0052263B"/>
    <w:rsid w:val="00524728"/>
    <w:rsid w:val="005331CA"/>
    <w:rsid w:val="00537970"/>
    <w:rsid w:val="00540E3A"/>
    <w:rsid w:val="00544127"/>
    <w:rsid w:val="005463A9"/>
    <w:rsid w:val="00547767"/>
    <w:rsid w:val="00553EB2"/>
    <w:rsid w:val="00560534"/>
    <w:rsid w:val="0056391B"/>
    <w:rsid w:val="005650E2"/>
    <w:rsid w:val="00567AD7"/>
    <w:rsid w:val="00575B2D"/>
    <w:rsid w:val="00581D8E"/>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2C8F"/>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37E0"/>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26B78"/>
    <w:rsid w:val="00730B59"/>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25C2"/>
    <w:rsid w:val="007D7C92"/>
    <w:rsid w:val="007E1154"/>
    <w:rsid w:val="007E2919"/>
    <w:rsid w:val="007E46A8"/>
    <w:rsid w:val="007E6BA4"/>
    <w:rsid w:val="007E6BD0"/>
    <w:rsid w:val="007F41F8"/>
    <w:rsid w:val="007F659B"/>
    <w:rsid w:val="0080441E"/>
    <w:rsid w:val="0080454E"/>
    <w:rsid w:val="00804C32"/>
    <w:rsid w:val="00806302"/>
    <w:rsid w:val="0080708E"/>
    <w:rsid w:val="00807119"/>
    <w:rsid w:val="00815699"/>
    <w:rsid w:val="0082483F"/>
    <w:rsid w:val="008279C0"/>
    <w:rsid w:val="00831550"/>
    <w:rsid w:val="008605A7"/>
    <w:rsid w:val="00865C43"/>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22B9"/>
    <w:rsid w:val="00A130AE"/>
    <w:rsid w:val="00A14496"/>
    <w:rsid w:val="00A17738"/>
    <w:rsid w:val="00A20E4E"/>
    <w:rsid w:val="00A2274A"/>
    <w:rsid w:val="00A235B7"/>
    <w:rsid w:val="00A27A7A"/>
    <w:rsid w:val="00A27CA5"/>
    <w:rsid w:val="00A34ABE"/>
    <w:rsid w:val="00A35A08"/>
    <w:rsid w:val="00A407EF"/>
    <w:rsid w:val="00A46B4C"/>
    <w:rsid w:val="00A5117B"/>
    <w:rsid w:val="00A56D34"/>
    <w:rsid w:val="00A60074"/>
    <w:rsid w:val="00A6627C"/>
    <w:rsid w:val="00A71019"/>
    <w:rsid w:val="00A81029"/>
    <w:rsid w:val="00A84235"/>
    <w:rsid w:val="00A845F5"/>
    <w:rsid w:val="00A96489"/>
    <w:rsid w:val="00AA2435"/>
    <w:rsid w:val="00AA5B00"/>
    <w:rsid w:val="00AB2425"/>
    <w:rsid w:val="00AB685C"/>
    <w:rsid w:val="00AB6C2D"/>
    <w:rsid w:val="00AC08F7"/>
    <w:rsid w:val="00AC317D"/>
    <w:rsid w:val="00AC3839"/>
    <w:rsid w:val="00AC7082"/>
    <w:rsid w:val="00AD0EF5"/>
    <w:rsid w:val="00AD3D98"/>
    <w:rsid w:val="00AD4BE8"/>
    <w:rsid w:val="00AD5650"/>
    <w:rsid w:val="00AE5B6F"/>
    <w:rsid w:val="00AF228E"/>
    <w:rsid w:val="00B016A8"/>
    <w:rsid w:val="00B04033"/>
    <w:rsid w:val="00B14819"/>
    <w:rsid w:val="00B15E2F"/>
    <w:rsid w:val="00B17AA9"/>
    <w:rsid w:val="00B20DEE"/>
    <w:rsid w:val="00B44713"/>
    <w:rsid w:val="00B455E5"/>
    <w:rsid w:val="00B51B95"/>
    <w:rsid w:val="00B55ECF"/>
    <w:rsid w:val="00B56103"/>
    <w:rsid w:val="00B64929"/>
    <w:rsid w:val="00B736DF"/>
    <w:rsid w:val="00B743D6"/>
    <w:rsid w:val="00B74FBD"/>
    <w:rsid w:val="00B77F46"/>
    <w:rsid w:val="00B82586"/>
    <w:rsid w:val="00B829A3"/>
    <w:rsid w:val="00B86DB1"/>
    <w:rsid w:val="00B87869"/>
    <w:rsid w:val="00B9639B"/>
    <w:rsid w:val="00BA1CFD"/>
    <w:rsid w:val="00BA4CB5"/>
    <w:rsid w:val="00BA636E"/>
    <w:rsid w:val="00BB0B7F"/>
    <w:rsid w:val="00BB0F2B"/>
    <w:rsid w:val="00BB3EDC"/>
    <w:rsid w:val="00BC231B"/>
    <w:rsid w:val="00BE4FF3"/>
    <w:rsid w:val="00BF2C93"/>
    <w:rsid w:val="00BF3C3A"/>
    <w:rsid w:val="00BF50F7"/>
    <w:rsid w:val="00BF6641"/>
    <w:rsid w:val="00BF7CE0"/>
    <w:rsid w:val="00C02F29"/>
    <w:rsid w:val="00C17718"/>
    <w:rsid w:val="00C20AFE"/>
    <w:rsid w:val="00C22A25"/>
    <w:rsid w:val="00C302ED"/>
    <w:rsid w:val="00C30495"/>
    <w:rsid w:val="00C305F5"/>
    <w:rsid w:val="00C348EB"/>
    <w:rsid w:val="00C35671"/>
    <w:rsid w:val="00C35B77"/>
    <w:rsid w:val="00C376EB"/>
    <w:rsid w:val="00C46A92"/>
    <w:rsid w:val="00C46EC1"/>
    <w:rsid w:val="00C52796"/>
    <w:rsid w:val="00C52C03"/>
    <w:rsid w:val="00C53E2C"/>
    <w:rsid w:val="00C550C8"/>
    <w:rsid w:val="00C55824"/>
    <w:rsid w:val="00C56B61"/>
    <w:rsid w:val="00C606C3"/>
    <w:rsid w:val="00C620F4"/>
    <w:rsid w:val="00C72848"/>
    <w:rsid w:val="00C7736C"/>
    <w:rsid w:val="00C82D87"/>
    <w:rsid w:val="00C8664D"/>
    <w:rsid w:val="00C8712A"/>
    <w:rsid w:val="00C902C8"/>
    <w:rsid w:val="00C91062"/>
    <w:rsid w:val="00C919D1"/>
    <w:rsid w:val="00C963D3"/>
    <w:rsid w:val="00CA4466"/>
    <w:rsid w:val="00CB09F0"/>
    <w:rsid w:val="00CB1983"/>
    <w:rsid w:val="00CB2CBB"/>
    <w:rsid w:val="00CB7CAC"/>
    <w:rsid w:val="00CC5335"/>
    <w:rsid w:val="00CC5BA4"/>
    <w:rsid w:val="00CD4998"/>
    <w:rsid w:val="00CE1035"/>
    <w:rsid w:val="00CE6E50"/>
    <w:rsid w:val="00CF2819"/>
    <w:rsid w:val="00CF3708"/>
    <w:rsid w:val="00CF4F9D"/>
    <w:rsid w:val="00CF70DC"/>
    <w:rsid w:val="00D01697"/>
    <w:rsid w:val="00D148DC"/>
    <w:rsid w:val="00D17FDC"/>
    <w:rsid w:val="00D21D8C"/>
    <w:rsid w:val="00D53719"/>
    <w:rsid w:val="00D63EFD"/>
    <w:rsid w:val="00D75980"/>
    <w:rsid w:val="00D84752"/>
    <w:rsid w:val="00D86B3B"/>
    <w:rsid w:val="00D8748A"/>
    <w:rsid w:val="00D93196"/>
    <w:rsid w:val="00DA0DC0"/>
    <w:rsid w:val="00DA627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1AEF"/>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2AD0"/>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715A2"/>
    <w:rsid w:val="00F87B04"/>
    <w:rsid w:val="00F97C5B"/>
    <w:rsid w:val="00FA12B9"/>
    <w:rsid w:val="00FA3D50"/>
    <w:rsid w:val="00FA417D"/>
    <w:rsid w:val="00FB31D6"/>
    <w:rsid w:val="00FB7DA5"/>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C"/>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BA6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3581</Words>
  <Characters>20416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 de Vries</cp:lastModifiedBy>
  <cp:revision>2</cp:revision>
  <cp:lastPrinted>2019-08-27T05:42:00Z</cp:lastPrinted>
  <dcterms:created xsi:type="dcterms:W3CDTF">2024-02-29T15:52:00Z</dcterms:created>
  <dcterms:modified xsi:type="dcterms:W3CDTF">2024-02-29T15:52:00Z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