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bookmarkStart w:id="0" w:name="_GoBack"/>
      <w:bookmarkEnd w:id="0"/>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r>
      <w:r w:rsidRPr="00531377">
        <w:rPr>
          <w:rFonts w:ascii="Avenir Next" w:hAnsi="Avenir Next"/>
          <w:highlight w:val="yellow"/>
        </w:rPr>
        <w:t>No, because Parts Inc does</w:t>
      </w:r>
      <w:r w:rsidR="00A81F08" w:rsidRPr="00531377">
        <w:rPr>
          <w:rFonts w:ascii="Avenir Next" w:hAnsi="Avenir Next"/>
          <w:highlight w:val="yellow"/>
        </w:rPr>
        <w:t xml:space="preserve"> not</w:t>
      </w:r>
      <w:r w:rsidRPr="00531377">
        <w:rPr>
          <w:rFonts w:ascii="Avenir Next" w:hAnsi="Avenir Next"/>
          <w:highlight w:val="yellow"/>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Pr="00014F66">
        <w:rPr>
          <w:rFonts w:ascii="Avenir Next" w:hAnsi="Avenir Next"/>
          <w:highlight w:val="yellow"/>
        </w:rPr>
        <w:t>A retired employee of Car Corp who receives payments from the company’s pension plan</w:t>
      </w:r>
      <w:r w:rsidR="00631394" w:rsidRPr="00014F66">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014F66">
        <w:rPr>
          <w:rFonts w:ascii="Avenir Next" w:hAnsi="Avenir Next"/>
          <w:highlight w:val="yellow"/>
        </w:rPr>
        <w:t xml:space="preserve">Options (a) to (c) </w:t>
      </w:r>
      <w:r w:rsidRPr="00014F66">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r>
      <w:r w:rsidRPr="00964224">
        <w:rPr>
          <w:rFonts w:ascii="Avenir Next" w:hAnsi="Avenir Next"/>
          <w:highlight w:val="yellow"/>
        </w:rPr>
        <w:t>All of the above</w:t>
      </w:r>
      <w:r w:rsidR="006A42F8" w:rsidRPr="00964224">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r>
      <w:r w:rsidRPr="0084319C">
        <w:rPr>
          <w:rFonts w:ascii="Avenir Next" w:hAnsi="Avenir Next"/>
          <w:highlight w:val="yellow"/>
        </w:rPr>
        <w:t xml:space="preserve">Executory contracts are clearly defined by the </w:t>
      </w:r>
      <w:r w:rsidR="00ED7BF3" w:rsidRPr="0084319C">
        <w:rPr>
          <w:rFonts w:ascii="Avenir Next" w:hAnsi="Avenir Next"/>
          <w:highlight w:val="yellow"/>
        </w:rPr>
        <w:t>B</w:t>
      </w:r>
      <w:r w:rsidRPr="0084319C">
        <w:rPr>
          <w:rFonts w:ascii="Avenir Next" w:hAnsi="Avenir Next"/>
          <w:highlight w:val="yellow"/>
        </w:rPr>
        <w:t xml:space="preserve">ankruptcy </w:t>
      </w:r>
      <w:r w:rsidR="00ED7BF3" w:rsidRPr="0084319C">
        <w:rPr>
          <w:rFonts w:ascii="Avenir Next" w:hAnsi="Avenir Next"/>
          <w:highlight w:val="yellow"/>
        </w:rPr>
        <w:t>C</w:t>
      </w:r>
      <w:r w:rsidRPr="0084319C">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52E16" w:rsidRDefault="000643AB" w:rsidP="00875912">
      <w:pPr>
        <w:pStyle w:val="AODocTxt"/>
        <w:numPr>
          <w:ilvl w:val="0"/>
          <w:numId w:val="24"/>
        </w:numPr>
        <w:spacing w:before="0" w:line="240" w:lineRule="auto"/>
        <w:ind w:left="426" w:hanging="426"/>
        <w:rPr>
          <w:rFonts w:ascii="Avenir Next" w:hAnsi="Avenir Next"/>
        </w:rPr>
      </w:pPr>
      <w:r w:rsidRPr="006F4F50">
        <w:rPr>
          <w:rFonts w:ascii="Avenir Next" w:hAnsi="Avenir Next"/>
          <w:highlight w:val="yellow"/>
        </w:rPr>
        <w:t>Acceptance of the plan by all classes of secured creditors</w:t>
      </w:r>
      <w:r w:rsidR="006844A8" w:rsidRPr="006F4F50">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52E16" w:rsidRDefault="00C24FAB" w:rsidP="009017A1">
      <w:pPr>
        <w:pStyle w:val="AODocTxt"/>
        <w:numPr>
          <w:ilvl w:val="0"/>
          <w:numId w:val="33"/>
        </w:numPr>
        <w:spacing w:before="0" w:line="240" w:lineRule="auto"/>
        <w:ind w:left="426" w:hanging="426"/>
        <w:rPr>
          <w:rFonts w:ascii="Avenir Next" w:hAnsi="Avenir Next"/>
        </w:rPr>
      </w:pPr>
      <w:r w:rsidRPr="009370E3">
        <w:rPr>
          <w:rFonts w:ascii="Avenir Next" w:hAnsi="Avenir Next"/>
          <w:highlight w:val="yellow"/>
        </w:rPr>
        <w:t>A pre-pack cannot be used if the debtor wishes to reject executory contracts.</w:t>
      </w:r>
      <w:r w:rsidRPr="00352E16">
        <w:rPr>
          <w:rFonts w:ascii="Avenir Next" w:hAnsi="Avenir Next"/>
        </w:rPr>
        <w:t xml:space="preserve">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1C64B3A3" w14:textId="77777777" w:rsidR="00CD4565" w:rsidRDefault="00CD4565" w:rsidP="00B77B19">
      <w:pPr>
        <w:pStyle w:val="AODocTxt"/>
        <w:keepNext/>
        <w:spacing w:before="0" w:line="240" w:lineRule="auto"/>
        <w:rPr>
          <w:rFonts w:ascii="Avenir Next Demi Bold" w:hAnsi="Avenir Next Demi Bold"/>
          <w:b/>
          <w:bCs/>
        </w:rPr>
      </w:pPr>
    </w:p>
    <w:p w14:paraId="2A18FD7D" w14:textId="7E3A448C"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684BE5">
        <w:rPr>
          <w:rFonts w:ascii="Avenir Next" w:hAnsi="Avenir Next"/>
          <w:highlight w:val="yellow"/>
        </w:rPr>
        <w:t xml:space="preserve">Both </w:t>
      </w:r>
      <w:r w:rsidR="0072569E" w:rsidRPr="00684BE5">
        <w:rPr>
          <w:rFonts w:ascii="Avenir Next" w:hAnsi="Avenir Next"/>
          <w:highlight w:val="yellow"/>
        </w:rPr>
        <w:t xml:space="preserve">options </w:t>
      </w:r>
      <w:r w:rsidRPr="00684BE5">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014F66">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1D3BAA" w:rsidRDefault="00740655" w:rsidP="00DF5F7C">
      <w:pPr>
        <w:pStyle w:val="AODocTxt"/>
        <w:keepNext/>
        <w:numPr>
          <w:ilvl w:val="0"/>
          <w:numId w:val="35"/>
        </w:numPr>
        <w:spacing w:before="0" w:line="240" w:lineRule="auto"/>
        <w:ind w:left="426" w:hanging="426"/>
        <w:rPr>
          <w:rFonts w:ascii="Avenir Next" w:hAnsi="Avenir Next"/>
        </w:rPr>
      </w:pPr>
      <w:r w:rsidRPr="000C3F72">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1"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09BE25C" w14:textId="2E1253B7" w:rsidR="000C3F72" w:rsidRDefault="000C3F72" w:rsidP="00D32738">
      <w:pPr>
        <w:pStyle w:val="AODocTxt"/>
        <w:rPr>
          <w:rFonts w:ascii="Avenir Next" w:hAnsi="Avenir Next"/>
        </w:rPr>
      </w:pPr>
      <w:r w:rsidRPr="000C3F72">
        <w:rPr>
          <w:rFonts w:ascii="Avenir Next" w:hAnsi="Avenir Next"/>
        </w:rPr>
        <w:t xml:space="preserve">Setoff </w:t>
      </w:r>
      <w:r w:rsidR="00E01973">
        <w:rPr>
          <w:rFonts w:ascii="Avenir Next" w:hAnsi="Avenir Next"/>
        </w:rPr>
        <w:t>enables</w:t>
      </w:r>
      <w:r w:rsidRPr="000C3F72">
        <w:rPr>
          <w:rFonts w:ascii="Avenir Next" w:hAnsi="Avenir Next"/>
        </w:rPr>
        <w:t xml:space="preserve"> a creditor holding</w:t>
      </w:r>
      <w:r w:rsidR="00E01973">
        <w:rPr>
          <w:rFonts w:ascii="Avenir Next" w:hAnsi="Avenir Next"/>
        </w:rPr>
        <w:t xml:space="preserve"> </w:t>
      </w:r>
      <w:r w:rsidRPr="000C3F72">
        <w:rPr>
          <w:rFonts w:ascii="Avenir Next" w:hAnsi="Avenir Next"/>
        </w:rPr>
        <w:t>a claim against the debtor and</w:t>
      </w:r>
      <w:r w:rsidR="00E01973">
        <w:rPr>
          <w:rFonts w:ascii="Avenir Next" w:hAnsi="Avenir Next"/>
        </w:rPr>
        <w:t xml:space="preserve">, at the same time, </w:t>
      </w:r>
      <w:r w:rsidRPr="000C3F72">
        <w:rPr>
          <w:rFonts w:ascii="Avenir Next" w:hAnsi="Avenir Next"/>
        </w:rPr>
        <w:t xml:space="preserve">owing money to the debtor to net out the </w:t>
      </w:r>
      <w:r w:rsidR="00E01973">
        <w:rPr>
          <w:rFonts w:ascii="Avenir Next" w:hAnsi="Avenir Next"/>
        </w:rPr>
        <w:t>multiple</w:t>
      </w:r>
      <w:r w:rsidRPr="000C3F72">
        <w:rPr>
          <w:rFonts w:ascii="Avenir Next" w:hAnsi="Avenir Next"/>
        </w:rPr>
        <w:t xml:space="preserve"> obligations.</w:t>
      </w:r>
      <w:r w:rsidR="00E01973">
        <w:rPr>
          <w:rStyle w:val="FootnoteReference"/>
          <w:rFonts w:ascii="Avenir Next" w:hAnsi="Avenir Next"/>
        </w:rPr>
        <w:footnoteReference w:id="1"/>
      </w:r>
      <w:r w:rsidRPr="000C3F72">
        <w:rPr>
          <w:rFonts w:ascii="Avenir Next" w:hAnsi="Avenir Next"/>
        </w:rPr>
        <w:t xml:space="preserve"> </w:t>
      </w:r>
      <w:r w:rsidR="00D32738">
        <w:rPr>
          <w:rFonts w:ascii="Avenir Next" w:hAnsi="Avenir Next"/>
        </w:rPr>
        <w:t>Given that</w:t>
      </w:r>
      <w:r w:rsidRPr="000C3F72">
        <w:rPr>
          <w:rFonts w:ascii="Avenir Next" w:hAnsi="Avenir Next"/>
        </w:rPr>
        <w:t xml:space="preserve"> setoff rights </w:t>
      </w:r>
      <w:r w:rsidR="00D32738">
        <w:rPr>
          <w:rFonts w:ascii="Avenir Next" w:hAnsi="Avenir Next"/>
        </w:rPr>
        <w:t>may</w:t>
      </w:r>
      <w:r w:rsidRPr="000C3F72">
        <w:rPr>
          <w:rFonts w:ascii="Avenir Next" w:hAnsi="Avenir Next"/>
        </w:rPr>
        <w:t xml:space="preserve"> improve the </w:t>
      </w:r>
      <w:r w:rsidR="00D32738">
        <w:rPr>
          <w:rFonts w:ascii="Avenir Next" w:hAnsi="Avenir Next"/>
        </w:rPr>
        <w:t xml:space="preserve">creditor’s </w:t>
      </w:r>
      <w:r w:rsidRPr="000C3F72">
        <w:rPr>
          <w:rFonts w:ascii="Avenir Next" w:hAnsi="Avenir Next"/>
        </w:rPr>
        <w:t>position as compared</w:t>
      </w:r>
      <w:r w:rsidR="00E01973">
        <w:rPr>
          <w:rFonts w:ascii="Avenir Next" w:hAnsi="Avenir Next"/>
        </w:rPr>
        <w:t xml:space="preserve"> </w:t>
      </w:r>
      <w:r w:rsidRPr="000C3F72">
        <w:rPr>
          <w:rFonts w:ascii="Avenir Next" w:hAnsi="Avenir Next"/>
        </w:rPr>
        <w:t>to other unsecured creditors, setoff is</w:t>
      </w:r>
      <w:r w:rsidR="00D32738">
        <w:rPr>
          <w:rFonts w:ascii="Avenir Next" w:hAnsi="Avenir Next"/>
        </w:rPr>
        <w:t xml:space="preserve"> not allowed</w:t>
      </w:r>
      <w:r w:rsidRPr="000C3F72">
        <w:rPr>
          <w:rFonts w:ascii="Avenir Next" w:hAnsi="Avenir Next"/>
        </w:rPr>
        <w:t xml:space="preserve"> in a number of</w:t>
      </w:r>
      <w:r w:rsidR="00D32738">
        <w:rPr>
          <w:rFonts w:ascii="Avenir Next" w:hAnsi="Avenir Next"/>
        </w:rPr>
        <w:t xml:space="preserve"> </w:t>
      </w:r>
      <w:r w:rsidRPr="000C3F72">
        <w:rPr>
          <w:rFonts w:ascii="Avenir Next" w:hAnsi="Avenir Next"/>
        </w:rPr>
        <w:t>circumstances</w:t>
      </w:r>
      <w:r w:rsidR="00D32738">
        <w:rPr>
          <w:rFonts w:ascii="Avenir Next" w:hAnsi="Avenir Next"/>
        </w:rPr>
        <w:t>.</w:t>
      </w:r>
      <w:r w:rsidR="00D32738">
        <w:rPr>
          <w:rStyle w:val="FootnoteReference"/>
          <w:rFonts w:ascii="Avenir Next" w:hAnsi="Avenir Next"/>
        </w:rPr>
        <w:footnoteReference w:id="2"/>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8D3048A" w:rsidR="001647AD" w:rsidRDefault="001647AD" w:rsidP="00622C36">
      <w:pPr>
        <w:pStyle w:val="AODocTxt"/>
        <w:spacing w:before="0" w:line="240" w:lineRule="auto"/>
        <w:rPr>
          <w:rFonts w:ascii="Avenir Next" w:hAnsi="Avenir Next"/>
        </w:rPr>
      </w:pPr>
    </w:p>
    <w:p w14:paraId="52621F6A" w14:textId="5DE082EE" w:rsidR="001B142D" w:rsidRDefault="00282BF8" w:rsidP="00622C36">
      <w:pPr>
        <w:pStyle w:val="AODocTxt"/>
        <w:spacing w:before="0" w:line="240" w:lineRule="auto"/>
        <w:rPr>
          <w:rFonts w:ascii="Avenir Next" w:hAnsi="Avenir Next"/>
        </w:rPr>
      </w:pPr>
      <w:r>
        <w:rPr>
          <w:rFonts w:ascii="Avenir Next" w:hAnsi="Avenir Next"/>
        </w:rPr>
        <w:t>A priming lien is a court-granted lien that is equal or senior to a pre-petition lien on estate property, and it is granted in order to secure post-petition financing.</w:t>
      </w:r>
      <w:r>
        <w:rPr>
          <w:rStyle w:val="FootnoteReference"/>
          <w:rFonts w:ascii="Avenir Next" w:hAnsi="Avenir Next"/>
        </w:rPr>
        <w:footnoteReference w:id="3"/>
      </w:r>
      <w:r w:rsidR="004B5A5C">
        <w:rPr>
          <w:rFonts w:ascii="Avenir Next" w:hAnsi="Avenir Next"/>
        </w:rPr>
        <w:t xml:space="preserve"> The requirements for a priming lien are that financing cannot be obtained via any other terms and that the debtor has demonstrated that there is adequate protection for the interest of the secured creditor which is being primed.</w:t>
      </w:r>
      <w:r w:rsidR="004B5A5C">
        <w:rPr>
          <w:rStyle w:val="FootnoteReference"/>
          <w:rFonts w:ascii="Avenir Next" w:hAnsi="Avenir Next"/>
        </w:rPr>
        <w:footnoteReference w:id="4"/>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2F18703D"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5796A934" w14:textId="4122A254" w:rsidR="000C3F72" w:rsidRDefault="000C3F72" w:rsidP="00622C36">
      <w:pPr>
        <w:pStyle w:val="AODocTxt"/>
        <w:spacing w:before="0" w:line="240" w:lineRule="auto"/>
        <w:rPr>
          <w:rFonts w:ascii="Avenir Next" w:hAnsi="Avenir Next"/>
        </w:rPr>
      </w:pPr>
    </w:p>
    <w:p w14:paraId="68BA3A9E" w14:textId="123960CF" w:rsidR="00F60CAB" w:rsidRDefault="00F60CAB" w:rsidP="00622C36">
      <w:pPr>
        <w:pStyle w:val="AODocTxt"/>
        <w:spacing w:before="0" w:line="240" w:lineRule="auto"/>
        <w:rPr>
          <w:rFonts w:ascii="Avenir Next" w:hAnsi="Avenir Next"/>
        </w:rPr>
      </w:pPr>
      <w:r>
        <w:rPr>
          <w:rFonts w:ascii="Avenir Next" w:hAnsi="Avenir Next"/>
        </w:rPr>
        <w:t>Contempt sanctions could be imposed against the violator, including (and not limited to), paying the fees of the debtor’s attorneys.</w:t>
      </w:r>
      <w:r w:rsidR="00BC547D">
        <w:rPr>
          <w:rStyle w:val="FootnoteReference"/>
          <w:rFonts w:ascii="Avenir Next" w:hAnsi="Avenir Next"/>
        </w:rPr>
        <w:footnoteReference w:id="5"/>
      </w:r>
      <w:r>
        <w:rPr>
          <w:rFonts w:ascii="Avenir Next" w:hAnsi="Avenir Next"/>
        </w:rPr>
        <w:t xml:space="preserve"> Furthermore, </w:t>
      </w:r>
      <w:r w:rsidR="00BC547D">
        <w:rPr>
          <w:rFonts w:ascii="Avenir Next" w:hAnsi="Avenir Next"/>
        </w:rPr>
        <w:t>the violator may be required to take affirmative actions to undo the result of its violation.</w:t>
      </w:r>
      <w:r w:rsidR="00BC547D">
        <w:rPr>
          <w:rStyle w:val="FootnoteReference"/>
          <w:rFonts w:ascii="Avenir Next" w:hAnsi="Avenir Next"/>
        </w:rPr>
        <w:footnoteReference w:id="6"/>
      </w:r>
      <w:r w:rsidR="00BC547D">
        <w:rPr>
          <w:rFonts w:ascii="Avenir Next" w:hAnsi="Avenir Next"/>
        </w:rPr>
        <w:t xml:space="preserve"> </w:t>
      </w:r>
    </w:p>
    <w:p w14:paraId="1C23721F" w14:textId="367CD013" w:rsidR="001D3BAA" w:rsidRPr="002B5D64" w:rsidRDefault="001D3BAA" w:rsidP="001D3BAA">
      <w:pPr>
        <w:pStyle w:val="AODocTxt"/>
        <w:spacing w:before="0" w:line="240" w:lineRule="auto"/>
        <w:rPr>
          <w:rFonts w:ascii="Avenir Next" w:hAnsi="Avenir Next"/>
          <w:color w:val="808080" w:themeColor="background1" w:themeShade="80"/>
        </w:rPr>
      </w:pP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4939B606"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4608D088" w14:textId="5B34CEC4" w:rsidR="00BA6DB8" w:rsidRDefault="00BA6DB8" w:rsidP="00622C36">
      <w:pPr>
        <w:pStyle w:val="AODocTxt"/>
        <w:spacing w:before="0" w:line="240" w:lineRule="auto"/>
        <w:rPr>
          <w:rFonts w:ascii="Avenir Next" w:hAnsi="Avenir Next"/>
        </w:rPr>
      </w:pPr>
    </w:p>
    <w:p w14:paraId="13ED1B7C" w14:textId="5709F746" w:rsidR="00BA6DB8" w:rsidRDefault="00831C4C" w:rsidP="00831C4C">
      <w:pPr>
        <w:pStyle w:val="AODocTxt"/>
        <w:numPr>
          <w:ilvl w:val="0"/>
          <w:numId w:val="38"/>
        </w:numPr>
        <w:spacing w:before="0" w:line="240" w:lineRule="auto"/>
        <w:ind w:left="567" w:hanging="567"/>
        <w:rPr>
          <w:rFonts w:ascii="Avenir Next" w:hAnsi="Avenir Next"/>
        </w:rPr>
      </w:pPr>
      <w:r>
        <w:rPr>
          <w:rFonts w:ascii="Avenir Next" w:hAnsi="Avenir Next"/>
        </w:rPr>
        <w:t>An unimpaired class is deemed to accept the plan.</w:t>
      </w:r>
    </w:p>
    <w:p w14:paraId="15AA2856" w14:textId="5ACCD54C" w:rsidR="00831C4C" w:rsidRDefault="00831C4C" w:rsidP="00831C4C">
      <w:pPr>
        <w:pStyle w:val="AODocTxt"/>
        <w:numPr>
          <w:ilvl w:val="0"/>
          <w:numId w:val="38"/>
        </w:numPr>
        <w:spacing w:before="0" w:line="240" w:lineRule="auto"/>
        <w:ind w:left="567" w:hanging="567"/>
        <w:rPr>
          <w:rFonts w:ascii="Avenir Next" w:hAnsi="Avenir Next"/>
        </w:rPr>
      </w:pPr>
      <w:r>
        <w:rPr>
          <w:rFonts w:ascii="Avenir Next" w:hAnsi="Avenir Next"/>
        </w:rPr>
        <w:t xml:space="preserve">A class that will receive nothing is deemed to reject the plan. </w:t>
      </w:r>
    </w:p>
    <w:p w14:paraId="2AF4265D" w14:textId="50014A03" w:rsidR="00831C4C" w:rsidRDefault="00831C4C" w:rsidP="00831C4C">
      <w:pPr>
        <w:pStyle w:val="AODocTxt"/>
        <w:numPr>
          <w:ilvl w:val="0"/>
          <w:numId w:val="38"/>
        </w:numPr>
        <w:spacing w:before="0" w:line="240" w:lineRule="auto"/>
        <w:ind w:left="567" w:hanging="567"/>
        <w:rPr>
          <w:rFonts w:ascii="Avenir Next" w:hAnsi="Avenir Next"/>
        </w:rPr>
      </w:pPr>
      <w:r>
        <w:rPr>
          <w:rFonts w:ascii="Avenir Next" w:hAnsi="Avenir Next"/>
        </w:rPr>
        <w:t>Only impaired classes may vote on the plan.</w:t>
      </w:r>
    </w:p>
    <w:p w14:paraId="46368034" w14:textId="7F1F9D79" w:rsidR="00D7456A" w:rsidRDefault="00D7456A" w:rsidP="00622C36">
      <w:pPr>
        <w:pStyle w:val="AODocTxt"/>
        <w:spacing w:before="0" w:line="240" w:lineRule="auto"/>
        <w:rPr>
          <w:rFonts w:ascii="Avenir Next" w:hAnsi="Avenir Next"/>
        </w:rPr>
      </w:pPr>
    </w:p>
    <w:p w14:paraId="7AE91521" w14:textId="13919645" w:rsidR="00831C4C" w:rsidRDefault="00452D28" w:rsidP="00622C36">
      <w:pPr>
        <w:pStyle w:val="AODocTxt"/>
        <w:spacing w:before="0" w:line="240" w:lineRule="auto"/>
        <w:rPr>
          <w:rFonts w:ascii="Avenir Next" w:hAnsi="Avenir Next"/>
        </w:rPr>
      </w:pPr>
      <w:r>
        <w:rPr>
          <w:rFonts w:ascii="Avenir Next" w:hAnsi="Avenir Next"/>
        </w:rPr>
        <w:t xml:space="preserve">If there is a simple majority of creditors in a class that vote in </w:t>
      </w:r>
      <w:proofErr w:type="spellStart"/>
      <w:r>
        <w:rPr>
          <w:rFonts w:ascii="Avenir Next" w:hAnsi="Avenir Next"/>
        </w:rPr>
        <w:t>favour</w:t>
      </w:r>
      <w:proofErr w:type="spellEnd"/>
      <w:r>
        <w:rPr>
          <w:rFonts w:ascii="Avenir Next" w:hAnsi="Avenir Next"/>
        </w:rPr>
        <w:t xml:space="preserve"> of the plan then that class of creditors accepts the plan, the majority of creditors, however, must hold a minimum of two thirds of the value of the claims in the class (or, in the context of equity interests, if two-thirds in amount of interests vote in </w:t>
      </w:r>
      <w:proofErr w:type="spellStart"/>
      <w:r>
        <w:rPr>
          <w:rFonts w:ascii="Avenir Next" w:hAnsi="Avenir Next"/>
        </w:rPr>
        <w:t>favour</w:t>
      </w:r>
      <w:proofErr w:type="spellEnd"/>
      <w:r>
        <w:rPr>
          <w:rFonts w:ascii="Avenir Next" w:hAnsi="Avenir Next"/>
        </w:rPr>
        <w:t>).</w:t>
      </w:r>
      <w:r>
        <w:rPr>
          <w:rStyle w:val="FootnoteReference"/>
          <w:rFonts w:ascii="Avenir Next" w:hAnsi="Avenir Next"/>
        </w:rPr>
        <w:footnoteReference w:id="7"/>
      </w:r>
      <w:r>
        <w:rPr>
          <w:rFonts w:ascii="Avenir Next" w:hAnsi="Avenir Next"/>
        </w:rPr>
        <w:t xml:space="preserve"> </w:t>
      </w:r>
    </w:p>
    <w:p w14:paraId="4AC04820" w14:textId="77777777" w:rsidR="00452D28" w:rsidRDefault="00452D28" w:rsidP="00622C36">
      <w:pPr>
        <w:pStyle w:val="AODocTxt"/>
        <w:spacing w:before="0" w:line="240" w:lineRule="auto"/>
        <w:rPr>
          <w:rFonts w:ascii="Avenir Next" w:hAnsi="Avenir Next"/>
        </w:rPr>
      </w:pPr>
    </w:p>
    <w:p w14:paraId="5780F928" w14:textId="77777777" w:rsidR="00831C4C" w:rsidRPr="00622C36" w:rsidRDefault="00831C4C"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45347A4D" w14:textId="77777777" w:rsidR="00DC4E7A" w:rsidRDefault="001445EF" w:rsidP="00DC4E7A">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r w:rsidR="00DC4E7A">
        <w:rPr>
          <w:rFonts w:ascii="Avenir Next" w:hAnsi="Avenir Next" w:cstheme="majorHAnsi"/>
        </w:rPr>
        <w:t xml:space="preserve"> </w:t>
      </w:r>
    </w:p>
    <w:p w14:paraId="7F68DB63" w14:textId="04667EF2" w:rsidR="001445EF" w:rsidRPr="00DC4E7A" w:rsidRDefault="00DC4E7A" w:rsidP="00DC4E7A">
      <w:pPr>
        <w:pStyle w:val="AODocTxt"/>
        <w:spacing w:after="240" w:line="240" w:lineRule="auto"/>
        <w:ind w:left="426"/>
        <w:rPr>
          <w:rFonts w:ascii="Avenir Next" w:hAnsi="Avenir Next" w:cstheme="majorHAnsi"/>
        </w:rPr>
      </w:pPr>
      <w:r>
        <w:rPr>
          <w:rFonts w:ascii="Avenir Next" w:hAnsi="Avenir Next" w:cstheme="majorHAnsi"/>
        </w:rPr>
        <w:t xml:space="preserve">A preference </w:t>
      </w:r>
      <w:proofErr w:type="gramStart"/>
      <w:r>
        <w:rPr>
          <w:rFonts w:ascii="Avenir Next" w:hAnsi="Avenir Next" w:cstheme="majorHAnsi"/>
        </w:rPr>
        <w:t>claim</w:t>
      </w:r>
      <w:proofErr w:type="gramEnd"/>
      <w:r w:rsidR="00537032">
        <w:rPr>
          <w:rFonts w:ascii="Avenir Next" w:hAnsi="Avenir Next" w:cstheme="majorHAnsi"/>
        </w:rPr>
        <w:t>.</w:t>
      </w:r>
      <w:r w:rsidRPr="00DC4E7A">
        <w:rPr>
          <w:rStyle w:val="FootnoteReference"/>
          <w:rFonts w:ascii="Avenir Next" w:hAnsi="Avenir Next" w:cstheme="majorHAnsi"/>
        </w:rPr>
        <w:footnoteReference w:id="8"/>
      </w:r>
    </w:p>
    <w:p w14:paraId="5E35298B" w14:textId="7883EB51" w:rsidR="006F13B4" w:rsidRPr="006F13B4" w:rsidRDefault="004172DA" w:rsidP="006F13B4">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417271B5" w14:textId="5E810B63" w:rsidR="006F13B4" w:rsidRDefault="006F13B4" w:rsidP="006F13B4">
      <w:pPr>
        <w:pStyle w:val="AODocTxt"/>
        <w:spacing w:before="0" w:line="240" w:lineRule="auto"/>
        <w:ind w:left="426"/>
        <w:rPr>
          <w:rFonts w:ascii="Avenir Next" w:hAnsi="Avenir Next"/>
          <w:sz w:val="20"/>
          <w:szCs w:val="20"/>
        </w:rPr>
      </w:pPr>
    </w:p>
    <w:p w14:paraId="22332ECD" w14:textId="41FDA49F" w:rsidR="006F13B4" w:rsidRPr="006F13B4" w:rsidRDefault="006F13B4" w:rsidP="006F13B4">
      <w:pPr>
        <w:pStyle w:val="AODocTxt"/>
        <w:spacing w:before="0" w:line="240" w:lineRule="auto"/>
        <w:ind w:left="426"/>
        <w:rPr>
          <w:rFonts w:ascii="Avenir Next" w:hAnsi="Avenir Next"/>
        </w:rPr>
      </w:pPr>
      <w:r>
        <w:rPr>
          <w:rFonts w:ascii="Avenir Next" w:hAnsi="Avenir Next"/>
        </w:rPr>
        <w:t>A constructive fraudulent conveyance</w:t>
      </w:r>
      <w:r w:rsidR="00E663B5">
        <w:rPr>
          <w:rFonts w:ascii="Avenir Next" w:hAnsi="Avenir Next"/>
        </w:rPr>
        <w:t xml:space="preserve"> claim.</w:t>
      </w:r>
      <w:r>
        <w:rPr>
          <w:rStyle w:val="FootnoteReference"/>
          <w:rFonts w:ascii="Avenir Next" w:hAnsi="Avenir Next"/>
        </w:rPr>
        <w:footnoteReference w:id="9"/>
      </w:r>
      <w:r>
        <w:rPr>
          <w:rFonts w:ascii="Avenir Next" w:hAnsi="Avenir Next"/>
        </w:rPr>
        <w:t xml:space="preserve"> </w:t>
      </w:r>
    </w:p>
    <w:p w14:paraId="4126DE98" w14:textId="77777777" w:rsidR="00DC4E7A" w:rsidRPr="00224888" w:rsidRDefault="00DC4E7A" w:rsidP="00224888">
      <w:pPr>
        <w:pStyle w:val="AODocTxt"/>
        <w:spacing w:before="0" w:line="240" w:lineRule="auto"/>
        <w:ind w:left="426"/>
        <w:rPr>
          <w:rFonts w:ascii="Avenir Next" w:hAnsi="Avenir Next"/>
          <w:sz w:val="20"/>
          <w:szCs w:val="20"/>
        </w:rPr>
      </w:pPr>
    </w:p>
    <w:p w14:paraId="71ECAA6F" w14:textId="77777777" w:rsidR="00DC4E7A" w:rsidRPr="00DC4E7A"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r w:rsidR="00DC4E7A">
        <w:rPr>
          <w:rFonts w:ascii="Avenir Next" w:hAnsi="Avenir Next" w:cstheme="majorHAnsi"/>
        </w:rPr>
        <w:t xml:space="preserve"> </w:t>
      </w:r>
    </w:p>
    <w:p w14:paraId="1F53540B" w14:textId="77777777" w:rsidR="00DC4E7A" w:rsidRDefault="00DC4E7A" w:rsidP="00DC4E7A">
      <w:pPr>
        <w:pStyle w:val="ListParagraph"/>
        <w:rPr>
          <w:rFonts w:ascii="Avenir Next" w:hAnsi="Avenir Next" w:cstheme="majorHAnsi"/>
        </w:rPr>
      </w:pPr>
    </w:p>
    <w:p w14:paraId="62797EB0" w14:textId="277735DD" w:rsidR="004172DA" w:rsidRPr="00DC4E7A" w:rsidRDefault="00E663B5" w:rsidP="00DC4E7A">
      <w:pPr>
        <w:pStyle w:val="AODocTxt"/>
        <w:spacing w:before="0" w:line="240" w:lineRule="auto"/>
        <w:ind w:left="426"/>
        <w:rPr>
          <w:rFonts w:ascii="Avenir Next" w:hAnsi="Avenir Next" w:cstheme="majorHAnsi"/>
        </w:rPr>
      </w:pPr>
      <w:r>
        <w:rPr>
          <w:rFonts w:ascii="Avenir Next" w:hAnsi="Avenir Next" w:cstheme="majorHAnsi"/>
        </w:rPr>
        <w:t>An a</w:t>
      </w:r>
      <w:r w:rsidR="00DC4E7A">
        <w:rPr>
          <w:rFonts w:ascii="Avenir Next" w:hAnsi="Avenir Next" w:cstheme="majorHAnsi"/>
        </w:rPr>
        <w:t>ctual fraudulent Conveyance</w:t>
      </w:r>
      <w:r>
        <w:rPr>
          <w:rFonts w:ascii="Avenir Next" w:hAnsi="Avenir Next" w:cstheme="majorHAnsi"/>
        </w:rPr>
        <w:t xml:space="preserve"> claim.</w:t>
      </w:r>
      <w:r w:rsidR="00DC4E7A">
        <w:rPr>
          <w:rStyle w:val="FootnoteReference"/>
          <w:rFonts w:ascii="Avenir Next" w:hAnsi="Avenir Next" w:cstheme="majorHAnsi"/>
        </w:rPr>
        <w:footnoteReference w:id="10"/>
      </w:r>
      <w:r w:rsidR="00DC4E7A">
        <w:rPr>
          <w:rFonts w:ascii="Avenir Next" w:hAnsi="Avenir Next" w:cstheme="majorHAnsi"/>
        </w:rPr>
        <w:t xml:space="preserve"> </w:t>
      </w:r>
    </w:p>
    <w:p w14:paraId="66393F27" w14:textId="175C5391" w:rsidR="00E239B8" w:rsidRDefault="00E239B8" w:rsidP="001D3BAA">
      <w:pPr>
        <w:pStyle w:val="AODocTxt"/>
        <w:spacing w:before="0" w:line="240" w:lineRule="auto"/>
        <w:rPr>
          <w:rFonts w:ascii="Avenir Next" w:hAnsi="Avenir Next"/>
          <w:color w:val="808080" w:themeColor="background1" w:themeShade="80"/>
        </w:rPr>
      </w:pP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097D006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1B852D03" w14:textId="1C19A8EB" w:rsidR="008177BC" w:rsidRDefault="008177BC" w:rsidP="000778B1">
      <w:pPr>
        <w:pStyle w:val="AODocTxt"/>
        <w:spacing w:before="0" w:line="240" w:lineRule="auto"/>
        <w:rPr>
          <w:rFonts w:ascii="Avenir Next" w:hAnsi="Avenir Next"/>
        </w:rPr>
      </w:pPr>
    </w:p>
    <w:p w14:paraId="06178F86" w14:textId="5C6DDC36" w:rsidR="00093615" w:rsidRDefault="00AF1193" w:rsidP="00AF1193">
      <w:pPr>
        <w:pStyle w:val="AODocTxt"/>
        <w:spacing w:before="0" w:line="240" w:lineRule="auto"/>
        <w:rPr>
          <w:rFonts w:ascii="Avenir Next" w:hAnsi="Avenir Next"/>
        </w:rPr>
      </w:pPr>
      <w:r>
        <w:rPr>
          <w:rFonts w:ascii="Avenir Next" w:hAnsi="Avenir Next"/>
        </w:rPr>
        <w:t>A final order under the Constitution is one that disposes of all issues, with nothing left to be decided, in contrast to an interlocutory order, which resolve</w:t>
      </w:r>
      <w:r w:rsidR="00CD4AA9">
        <w:rPr>
          <w:rFonts w:ascii="Avenir Next" w:hAnsi="Avenir Next"/>
        </w:rPr>
        <w:t>s</w:t>
      </w:r>
      <w:r>
        <w:rPr>
          <w:rFonts w:ascii="Avenir Next" w:hAnsi="Avenir Next"/>
        </w:rPr>
        <w:t xml:space="preserve"> only some of the issues.</w:t>
      </w:r>
      <w:r>
        <w:rPr>
          <w:rStyle w:val="FootnoteReference"/>
          <w:rFonts w:ascii="Avenir Next" w:hAnsi="Avenir Next"/>
        </w:rPr>
        <w:footnoteReference w:id="11"/>
      </w:r>
      <w:r>
        <w:rPr>
          <w:rFonts w:ascii="Avenir Next" w:hAnsi="Avenir Next"/>
        </w:rPr>
        <w:t xml:space="preserve"> The distinction is relevant in that </w:t>
      </w:r>
      <w:r>
        <w:rPr>
          <w:rFonts w:ascii="Avenir Next" w:hAnsi="Avenir Next"/>
          <w:i/>
        </w:rPr>
        <w:t>inter alia</w:t>
      </w:r>
      <w:r>
        <w:rPr>
          <w:rFonts w:ascii="Avenir Next" w:hAnsi="Avenir Next"/>
        </w:rPr>
        <w:t xml:space="preserve"> a final order may be appealed as of right, in contrast to an interlocutory </w:t>
      </w:r>
      <w:r>
        <w:rPr>
          <w:rFonts w:ascii="Avenir Next" w:hAnsi="Avenir Next"/>
        </w:rPr>
        <w:lastRenderedPageBreak/>
        <w:t>order, which may only be appealed with the leave of the appellate court.</w:t>
      </w:r>
      <w:r>
        <w:rPr>
          <w:rStyle w:val="FootnoteReference"/>
          <w:rFonts w:ascii="Avenir Next" w:hAnsi="Avenir Next"/>
        </w:rPr>
        <w:footnoteReference w:id="12"/>
      </w:r>
      <w:r>
        <w:rPr>
          <w:rFonts w:ascii="Avenir Next" w:hAnsi="Avenir Next"/>
        </w:rPr>
        <w:t xml:space="preserve"> The same legal position applies in bankruptcy, save </w:t>
      </w:r>
      <w:r w:rsidR="008177BC" w:rsidRPr="008177BC">
        <w:rPr>
          <w:rFonts w:ascii="Avenir Next" w:hAnsi="Avenir Next"/>
        </w:rPr>
        <w:t xml:space="preserve">that orders </w:t>
      </w:r>
      <w:r>
        <w:rPr>
          <w:rFonts w:ascii="Avenir Next" w:hAnsi="Avenir Next"/>
        </w:rPr>
        <w:t>which extend the period of exclusivity for proposing a plan are also appealable as of right.</w:t>
      </w:r>
      <w:r w:rsidR="00093615">
        <w:rPr>
          <w:rStyle w:val="FootnoteReference"/>
          <w:rFonts w:ascii="Avenir Next" w:hAnsi="Avenir Next"/>
        </w:rPr>
        <w:footnoteReference w:id="13"/>
      </w:r>
      <w:r>
        <w:rPr>
          <w:rFonts w:ascii="Avenir Next" w:hAnsi="Avenir Next"/>
        </w:rPr>
        <w:t xml:space="preserve"> </w:t>
      </w:r>
      <w:r w:rsidR="00093615">
        <w:rPr>
          <w:rFonts w:ascii="Avenir Next" w:hAnsi="Avenir Next"/>
        </w:rPr>
        <w:t>Moreover, as</w:t>
      </w:r>
      <w:r w:rsidR="00093615" w:rsidRPr="00093615">
        <w:rPr>
          <w:rFonts w:ascii="Avenir Next" w:hAnsi="Avenir Next"/>
        </w:rPr>
        <w:t xml:space="preserve"> per</w:t>
      </w:r>
      <w:r w:rsidR="00093615" w:rsidRPr="00093615">
        <w:rPr>
          <w:rFonts w:ascii="Avenir Next" w:hAnsi="Avenir Next"/>
          <w:i/>
        </w:rPr>
        <w:t xml:space="preserve"> Bullard v Blue Hills Bank</w:t>
      </w:r>
      <w:r w:rsidR="00093615" w:rsidRPr="00093615">
        <w:rPr>
          <w:rFonts w:ascii="Avenir Next" w:hAnsi="Avenir Next"/>
        </w:rPr>
        <w:t>, 135 S Ct 1686 (2015)</w:t>
      </w:r>
      <w:r w:rsidR="00093615">
        <w:rPr>
          <w:rFonts w:ascii="Avenir Next" w:hAnsi="Avenir Next"/>
        </w:rPr>
        <w:t xml:space="preserve">, and acknowledging that bankruptcy proceedings involve </w:t>
      </w:r>
      <w:r w:rsidR="008177BC" w:rsidRPr="008177BC">
        <w:rPr>
          <w:rFonts w:ascii="Avenir Next" w:hAnsi="Avenir Next"/>
        </w:rPr>
        <w:t xml:space="preserve"> </w:t>
      </w:r>
      <w:r w:rsidR="008177BC" w:rsidRPr="00093615">
        <w:rPr>
          <w:rFonts w:ascii="Avenir Next" w:hAnsi="Avenir Next"/>
          <w:i/>
        </w:rPr>
        <w:t>“an</w:t>
      </w:r>
      <w:r w:rsidRPr="00093615">
        <w:rPr>
          <w:rFonts w:ascii="Avenir Next" w:hAnsi="Avenir Next"/>
          <w:i/>
        </w:rPr>
        <w:t xml:space="preserve"> </w:t>
      </w:r>
      <w:r w:rsidR="008177BC" w:rsidRPr="00093615">
        <w:rPr>
          <w:rFonts w:ascii="Avenir Next" w:hAnsi="Avenir Next"/>
          <w:i/>
        </w:rPr>
        <w:t>aggregation of individual controversies,”</w:t>
      </w:r>
      <w:r w:rsidR="008177BC" w:rsidRPr="008177BC">
        <w:rPr>
          <w:rFonts w:ascii="Avenir Next" w:hAnsi="Avenir Next"/>
        </w:rPr>
        <w:t xml:space="preserve"> the US Supreme Court </w:t>
      </w:r>
      <w:r w:rsidR="00263B20">
        <w:rPr>
          <w:rFonts w:ascii="Avenir Next" w:hAnsi="Avenir Next"/>
        </w:rPr>
        <w:t xml:space="preserve">has </w:t>
      </w:r>
      <w:r w:rsidR="00093615">
        <w:rPr>
          <w:rFonts w:ascii="Avenir Next" w:hAnsi="Avenir Next"/>
        </w:rPr>
        <w:t>decided</w:t>
      </w:r>
      <w:r w:rsidR="008177BC" w:rsidRPr="008177BC">
        <w:rPr>
          <w:rFonts w:ascii="Avenir Next" w:hAnsi="Avenir Next"/>
        </w:rPr>
        <w:t xml:space="preserve"> that a bankruptcy</w:t>
      </w:r>
      <w:r>
        <w:rPr>
          <w:rFonts w:ascii="Avenir Next" w:hAnsi="Avenir Next"/>
        </w:rPr>
        <w:t xml:space="preserve"> </w:t>
      </w:r>
      <w:r w:rsidR="008177BC" w:rsidRPr="008177BC">
        <w:rPr>
          <w:rFonts w:ascii="Avenir Next" w:hAnsi="Avenir Next"/>
        </w:rPr>
        <w:t>order resolving a discrete dispute is</w:t>
      </w:r>
      <w:r w:rsidR="00093615">
        <w:rPr>
          <w:rFonts w:ascii="Avenir Next" w:hAnsi="Avenir Next"/>
        </w:rPr>
        <w:t>, for appeals purposes,</w:t>
      </w:r>
      <w:r w:rsidR="008177BC" w:rsidRPr="008177BC">
        <w:rPr>
          <w:rFonts w:ascii="Avenir Next" w:hAnsi="Avenir Next"/>
        </w:rPr>
        <w:t xml:space="preserve"> a final order.</w:t>
      </w:r>
      <w:r w:rsidR="00093615">
        <w:rPr>
          <w:rStyle w:val="FootnoteReference"/>
          <w:rFonts w:ascii="Avenir Next" w:hAnsi="Avenir Next"/>
        </w:rPr>
        <w:footnoteReference w:id="14"/>
      </w:r>
      <w:r>
        <w:rPr>
          <w:rFonts w:ascii="Avenir Next" w:hAnsi="Avenir Next"/>
        </w:rPr>
        <w:t xml:space="preserve"> </w:t>
      </w:r>
    </w:p>
    <w:p w14:paraId="326477B4" w14:textId="77777777" w:rsidR="00093615" w:rsidRDefault="00093615" w:rsidP="00AF1193">
      <w:pPr>
        <w:pStyle w:val="AODocTxt"/>
        <w:spacing w:before="0" w:line="240" w:lineRule="auto"/>
        <w:rPr>
          <w:rFonts w:ascii="Avenir Next" w:hAnsi="Avenir Next"/>
        </w:rPr>
      </w:pPr>
    </w:p>
    <w:p w14:paraId="4BEFCFBB" w14:textId="0C32A58D" w:rsidR="00093615" w:rsidRDefault="008177BC" w:rsidP="00AF1193">
      <w:pPr>
        <w:pStyle w:val="AODocTxt"/>
        <w:spacing w:before="0" w:line="240" w:lineRule="auto"/>
        <w:rPr>
          <w:rFonts w:ascii="Avenir Next" w:hAnsi="Avenir Next"/>
        </w:rPr>
      </w:pPr>
      <w:r w:rsidRPr="008177BC">
        <w:rPr>
          <w:rFonts w:ascii="Avenir Next" w:hAnsi="Avenir Next"/>
        </w:rPr>
        <w:t>An order that is constitutionally final</w:t>
      </w:r>
      <w:r w:rsidR="00093615">
        <w:rPr>
          <w:rFonts w:ascii="Avenir Next" w:hAnsi="Avenir Next"/>
        </w:rPr>
        <w:t xml:space="preserve">, on the basis that </w:t>
      </w:r>
      <w:r w:rsidRPr="008177BC">
        <w:rPr>
          <w:rFonts w:ascii="Avenir Next" w:hAnsi="Avenir Next"/>
        </w:rPr>
        <w:t>the bankruptcy court had authority to enter it</w:t>
      </w:r>
      <w:r w:rsidR="00093615">
        <w:rPr>
          <w:rFonts w:ascii="Avenir Next" w:hAnsi="Avenir Next"/>
        </w:rPr>
        <w:t>,</w:t>
      </w:r>
      <w:r w:rsidRPr="008177BC">
        <w:rPr>
          <w:rFonts w:ascii="Avenir Next" w:hAnsi="Avenir Next"/>
        </w:rPr>
        <w:t xml:space="preserve"> </w:t>
      </w:r>
      <w:r w:rsidR="00093615">
        <w:rPr>
          <w:rFonts w:ascii="Avenir Next" w:hAnsi="Avenir Next"/>
        </w:rPr>
        <w:t>will not be, for the purpose of an appeal, final if the order did not resolve all of the issue in dispute, whereas an order resolving all of a dispute (which, thus, would be final for appeals purposes), may not be final, constitutionally speaking, if the parties did not give their consent to the jurisdiction of the bankruptcy court.</w:t>
      </w:r>
      <w:r w:rsidR="00093615">
        <w:rPr>
          <w:rStyle w:val="FootnoteReference"/>
          <w:rFonts w:ascii="Avenir Next" w:hAnsi="Avenir Next"/>
        </w:rPr>
        <w:footnoteReference w:id="15"/>
      </w:r>
    </w:p>
    <w:p w14:paraId="27C3D5E3" w14:textId="5403111C" w:rsidR="00093615" w:rsidRDefault="00093615" w:rsidP="00AF1193">
      <w:pPr>
        <w:pStyle w:val="AODocTxt"/>
        <w:spacing w:before="0" w:line="240" w:lineRule="auto"/>
        <w:rPr>
          <w:rFonts w:ascii="Avenir Next" w:hAnsi="Avenir Next"/>
        </w:rPr>
      </w:pPr>
    </w:p>
    <w:p w14:paraId="5C6BFF09" w14:textId="1ADD1860" w:rsidR="008625FB" w:rsidRPr="008625FB" w:rsidRDefault="008625FB" w:rsidP="00183210">
      <w:pPr>
        <w:pStyle w:val="AODocTxt"/>
        <w:spacing w:before="0" w:line="240" w:lineRule="auto"/>
        <w:rPr>
          <w:rFonts w:ascii="Avenir Next" w:hAnsi="Avenir Next"/>
        </w:rPr>
      </w:pPr>
      <w:r>
        <w:rPr>
          <w:rFonts w:ascii="Avenir Next" w:hAnsi="Avenir Next"/>
        </w:rPr>
        <w:t xml:space="preserve">Generally speaking, </w:t>
      </w:r>
      <w:r w:rsidRPr="008625FB">
        <w:rPr>
          <w:rFonts w:ascii="Avenir Next" w:hAnsi="Avenir Next"/>
        </w:rPr>
        <w:t xml:space="preserve">appeals from </w:t>
      </w:r>
      <w:r>
        <w:rPr>
          <w:rFonts w:ascii="Avenir Next" w:hAnsi="Avenir Next"/>
        </w:rPr>
        <w:t xml:space="preserve">decisions of the </w:t>
      </w:r>
      <w:r w:rsidRPr="008625FB">
        <w:rPr>
          <w:rFonts w:ascii="Avenir Next" w:hAnsi="Avenir Next"/>
        </w:rPr>
        <w:t xml:space="preserve">bankruptcy court are heard by the district court for the </w:t>
      </w:r>
      <w:r w:rsidR="00183210">
        <w:rPr>
          <w:rFonts w:ascii="Avenir Next" w:hAnsi="Avenir Next"/>
        </w:rPr>
        <w:t xml:space="preserve">same </w:t>
      </w:r>
      <w:r w:rsidRPr="008625FB">
        <w:rPr>
          <w:rFonts w:ascii="Avenir Next" w:hAnsi="Avenir Next"/>
        </w:rPr>
        <w:t>district</w:t>
      </w:r>
      <w:r w:rsidR="00183210">
        <w:rPr>
          <w:rFonts w:ascii="Avenir Next" w:hAnsi="Avenir Next"/>
        </w:rPr>
        <w:t xml:space="preserve"> </w:t>
      </w:r>
      <w:r w:rsidRPr="008625FB">
        <w:rPr>
          <w:rFonts w:ascii="Avenir Next" w:hAnsi="Avenir Next"/>
        </w:rPr>
        <w:t>in which the</w:t>
      </w:r>
      <w:r w:rsidR="00183210">
        <w:rPr>
          <w:rFonts w:ascii="Avenir Next" w:hAnsi="Avenir Next"/>
        </w:rPr>
        <w:t xml:space="preserve"> bankruptcy court sits, albeit that i</w:t>
      </w:r>
      <w:r w:rsidRPr="008625FB">
        <w:rPr>
          <w:rFonts w:ascii="Avenir Next" w:hAnsi="Avenir Next"/>
        </w:rPr>
        <w:t xml:space="preserve">n certain circuits </w:t>
      </w:r>
      <w:r w:rsidR="00183210">
        <w:rPr>
          <w:rFonts w:ascii="Avenir Next" w:hAnsi="Avenir Next"/>
        </w:rPr>
        <w:t>such</w:t>
      </w:r>
      <w:r w:rsidRPr="008625FB">
        <w:rPr>
          <w:rFonts w:ascii="Avenir Next" w:hAnsi="Avenir Next"/>
        </w:rPr>
        <w:t xml:space="preserve"> appeals are heard by a Bankruptcy</w:t>
      </w:r>
      <w:r w:rsidR="00183210">
        <w:rPr>
          <w:rFonts w:ascii="Avenir Next" w:hAnsi="Avenir Next"/>
        </w:rPr>
        <w:t xml:space="preserve"> </w:t>
      </w:r>
      <w:r w:rsidRPr="008625FB">
        <w:rPr>
          <w:rFonts w:ascii="Avenir Next" w:hAnsi="Avenir Next"/>
        </w:rPr>
        <w:t xml:space="preserve">Appellate Panel (BAP), </w:t>
      </w:r>
      <w:r w:rsidR="00183210">
        <w:rPr>
          <w:rFonts w:ascii="Avenir Next" w:hAnsi="Avenir Next"/>
        </w:rPr>
        <w:t>comprised</w:t>
      </w:r>
      <w:r w:rsidRPr="008625FB">
        <w:rPr>
          <w:rFonts w:ascii="Avenir Next" w:hAnsi="Avenir Next"/>
        </w:rPr>
        <w:t xml:space="preserve"> </w:t>
      </w:r>
      <w:r w:rsidR="00183210">
        <w:rPr>
          <w:rFonts w:ascii="Avenir Next" w:hAnsi="Avenir Next"/>
        </w:rPr>
        <w:t xml:space="preserve">of </w:t>
      </w:r>
      <w:r w:rsidRPr="008625FB">
        <w:rPr>
          <w:rFonts w:ascii="Avenir Next" w:hAnsi="Avenir Next"/>
        </w:rPr>
        <w:t>judges of the bankruptcy courts within the circuit.</w:t>
      </w:r>
      <w:r w:rsidR="00183210">
        <w:rPr>
          <w:rStyle w:val="FootnoteReference"/>
          <w:rFonts w:ascii="Avenir Next" w:hAnsi="Avenir Next"/>
        </w:rPr>
        <w:footnoteReference w:id="16"/>
      </w:r>
      <w:r w:rsidR="00183210">
        <w:rPr>
          <w:rFonts w:ascii="Avenir Next" w:hAnsi="Avenir Next"/>
        </w:rPr>
        <w:t xml:space="preserve"> In turn, a further right of appeal exists (if the initial order was appealable as of right) to the circuit court of appeals.</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11951E80"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0BFD28B" w14:textId="79FCE141" w:rsidR="00843A4B" w:rsidRDefault="00843A4B" w:rsidP="000778B1">
      <w:pPr>
        <w:pStyle w:val="AODocTxt"/>
        <w:spacing w:before="0" w:line="240" w:lineRule="auto"/>
        <w:rPr>
          <w:rFonts w:ascii="Avenir Next" w:hAnsi="Avenir Next"/>
        </w:rPr>
      </w:pPr>
    </w:p>
    <w:p w14:paraId="683BC000" w14:textId="37A02D14" w:rsidR="00EB1371" w:rsidRDefault="00E4465C" w:rsidP="00EB1371">
      <w:pPr>
        <w:pStyle w:val="AODocTxt"/>
        <w:spacing w:before="0" w:line="240" w:lineRule="auto"/>
        <w:rPr>
          <w:rFonts w:ascii="Avenir Next" w:hAnsi="Avenir Next"/>
        </w:rPr>
      </w:pPr>
      <w:r>
        <w:rPr>
          <w:rFonts w:ascii="Avenir Next" w:hAnsi="Avenir Next"/>
        </w:rPr>
        <w:t xml:space="preserve">A foreign representative is not entitled to use the avoidance </w:t>
      </w:r>
      <w:r w:rsidR="00BD527A">
        <w:rPr>
          <w:rFonts w:ascii="Avenir Next" w:hAnsi="Avenir Next"/>
        </w:rPr>
        <w:t>powers</w:t>
      </w:r>
      <w:r>
        <w:rPr>
          <w:rFonts w:ascii="Avenir Next" w:hAnsi="Avenir Next"/>
        </w:rPr>
        <w:t xml:space="preserve"> of the bankruptcy code, as per </w:t>
      </w:r>
      <w:r w:rsidR="00EB1371">
        <w:rPr>
          <w:rFonts w:ascii="Avenir Next" w:hAnsi="Avenir Next"/>
        </w:rPr>
        <w:t xml:space="preserve">US Title 11, Chapter 15, </w:t>
      </w:r>
      <w:r w:rsidR="00EB1371" w:rsidRPr="00EB1371">
        <w:rPr>
          <w:rFonts w:ascii="Avenir Next" w:hAnsi="Avenir Next"/>
        </w:rPr>
        <w:t>§</w:t>
      </w:r>
      <w:r w:rsidR="00EB1371">
        <w:rPr>
          <w:rFonts w:ascii="Avenir Next" w:hAnsi="Avenir Next"/>
        </w:rPr>
        <w:t xml:space="preserve"> 1521(a)(7): </w:t>
      </w:r>
      <w:r w:rsidR="00EB1371" w:rsidRPr="00EB1371">
        <w:rPr>
          <w:rFonts w:ascii="Avenir Next" w:hAnsi="Avenir Next"/>
          <w:i/>
        </w:rPr>
        <w:t xml:space="preserve">“Upon recognition of a foreign proceeding… the court may, at the request of the foreign representative, grant any appropriate relief, including… granting any additional relief that may be available to a trustee, </w:t>
      </w:r>
      <w:r w:rsidR="00EB1371" w:rsidRPr="00EB1371">
        <w:rPr>
          <w:rFonts w:ascii="Avenir Next" w:hAnsi="Avenir Next"/>
          <w:b/>
          <w:i/>
          <w:u w:val="single"/>
        </w:rPr>
        <w:t>except for</w:t>
      </w:r>
      <w:r w:rsidR="00EB1371" w:rsidRPr="00EB1371">
        <w:rPr>
          <w:rFonts w:ascii="Avenir Next" w:hAnsi="Avenir Next"/>
          <w:i/>
        </w:rPr>
        <w:t xml:space="preserve"> relief available under sections 522, 544, 545, 547, 548, 550, and 724(a)”</w:t>
      </w:r>
      <w:r w:rsidR="00EB1371">
        <w:rPr>
          <w:rFonts w:ascii="Avenir Next" w:hAnsi="Avenir Next"/>
        </w:rPr>
        <w:t xml:space="preserve"> (emphasis added). </w:t>
      </w:r>
    </w:p>
    <w:p w14:paraId="663C2810" w14:textId="27C9DB67" w:rsidR="00EB1371" w:rsidRDefault="00EB1371" w:rsidP="000778B1">
      <w:pPr>
        <w:pStyle w:val="AODocTxt"/>
        <w:spacing w:before="0" w:line="240" w:lineRule="auto"/>
        <w:rPr>
          <w:rFonts w:ascii="Avenir Next" w:hAnsi="Avenir Next"/>
        </w:rPr>
      </w:pPr>
    </w:p>
    <w:p w14:paraId="05F2C2E8" w14:textId="5A5DF971" w:rsidR="007D3DF5" w:rsidRDefault="004F28C9" w:rsidP="000778B1">
      <w:pPr>
        <w:pStyle w:val="AODocTxt"/>
        <w:spacing w:before="0" w:line="240" w:lineRule="auto"/>
        <w:rPr>
          <w:rFonts w:ascii="Avenir Next" w:hAnsi="Avenir Next"/>
        </w:rPr>
      </w:pPr>
      <w:r>
        <w:rPr>
          <w:rFonts w:ascii="Avenir Next" w:hAnsi="Avenir Next"/>
        </w:rPr>
        <w:t>Two means for obtaining equivalent relief are for the foreign representative (FR) to do so via a plenary proceeding in the event that:</w:t>
      </w:r>
    </w:p>
    <w:p w14:paraId="4A50DC38" w14:textId="0C28451C" w:rsidR="004F28C9" w:rsidRDefault="004F28C9" w:rsidP="004F28C9">
      <w:pPr>
        <w:pStyle w:val="AODocTxt"/>
        <w:numPr>
          <w:ilvl w:val="0"/>
          <w:numId w:val="40"/>
        </w:numPr>
        <w:spacing w:before="0" w:line="240" w:lineRule="auto"/>
        <w:ind w:left="567" w:hanging="567"/>
        <w:rPr>
          <w:rFonts w:ascii="Avenir Next" w:hAnsi="Avenir Next"/>
        </w:rPr>
      </w:pPr>
      <w:r>
        <w:rPr>
          <w:rFonts w:ascii="Avenir Next" w:hAnsi="Avenir Next"/>
        </w:rPr>
        <w:t>The proceeding was already commenced by the creditor(s) or debtor, prior to the FR’s recognition; or</w:t>
      </w:r>
    </w:p>
    <w:p w14:paraId="7FEFE868" w14:textId="7F10920C" w:rsidR="004F28C9" w:rsidRDefault="00682FEB" w:rsidP="004F28C9">
      <w:pPr>
        <w:pStyle w:val="AODocTxt"/>
        <w:numPr>
          <w:ilvl w:val="0"/>
          <w:numId w:val="40"/>
        </w:numPr>
        <w:spacing w:before="0" w:line="240" w:lineRule="auto"/>
        <w:ind w:left="567" w:hanging="567"/>
        <w:rPr>
          <w:rFonts w:ascii="Avenir Next" w:hAnsi="Avenir Next"/>
        </w:rPr>
      </w:pPr>
      <w:r>
        <w:rPr>
          <w:rFonts w:ascii="Avenir Next" w:hAnsi="Avenir Next"/>
        </w:rPr>
        <w:t>FR commences the plenary proceeding after the Chapter 15 recognition.</w:t>
      </w:r>
      <w:r>
        <w:rPr>
          <w:rStyle w:val="FootnoteReference"/>
          <w:rFonts w:ascii="Avenir Next" w:hAnsi="Avenir Next"/>
        </w:rPr>
        <w:footnoteReference w:id="17"/>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3058C88D" w:rsidR="00106CA8" w:rsidRDefault="00106CA8" w:rsidP="000778B1">
      <w:pPr>
        <w:pStyle w:val="AODocTxt"/>
        <w:spacing w:before="0" w:line="240" w:lineRule="auto"/>
        <w:rPr>
          <w:rFonts w:ascii="Avenir Next" w:hAnsi="Avenir Next"/>
        </w:rPr>
      </w:pPr>
    </w:p>
    <w:p w14:paraId="291A6932" w14:textId="3C9BBCEC" w:rsidR="006713DB" w:rsidRDefault="006713DB" w:rsidP="006713DB">
      <w:pPr>
        <w:pStyle w:val="AODocTxt"/>
        <w:numPr>
          <w:ilvl w:val="0"/>
          <w:numId w:val="41"/>
        </w:numPr>
        <w:spacing w:before="0" w:line="240" w:lineRule="auto"/>
        <w:rPr>
          <w:rFonts w:ascii="Avenir Next" w:hAnsi="Avenir Next"/>
        </w:rPr>
      </w:pPr>
      <w:r>
        <w:rPr>
          <w:rFonts w:ascii="Avenir Next" w:hAnsi="Avenir Next"/>
        </w:rPr>
        <w:t>Most obviously</w:t>
      </w:r>
      <w:r w:rsidR="001A522E">
        <w:rPr>
          <w:rFonts w:ascii="Avenir Next" w:hAnsi="Avenir Next"/>
        </w:rPr>
        <w:t>,</w:t>
      </w:r>
      <w:r>
        <w:rPr>
          <w:rFonts w:ascii="Avenir Next" w:hAnsi="Avenir Next"/>
        </w:rPr>
        <w:t xml:space="preserve"> the Bankruptcy Rules;</w:t>
      </w:r>
    </w:p>
    <w:p w14:paraId="0D2ADB5F" w14:textId="6632C6B1" w:rsidR="006713DB" w:rsidRDefault="006713DB" w:rsidP="006713DB">
      <w:pPr>
        <w:pStyle w:val="AODocTxt"/>
        <w:numPr>
          <w:ilvl w:val="0"/>
          <w:numId w:val="41"/>
        </w:numPr>
        <w:spacing w:before="0" w:line="240" w:lineRule="auto"/>
        <w:rPr>
          <w:rFonts w:ascii="Avenir Next" w:hAnsi="Avenir Next"/>
        </w:rPr>
      </w:pPr>
      <w:r>
        <w:rPr>
          <w:rFonts w:ascii="Avenir Next" w:hAnsi="Avenir Next"/>
        </w:rPr>
        <w:t>Federal Rules of Civil Procedure;</w:t>
      </w:r>
    </w:p>
    <w:p w14:paraId="44FD5841" w14:textId="16846299" w:rsidR="006713DB" w:rsidRDefault="006713DB" w:rsidP="006713DB">
      <w:pPr>
        <w:pStyle w:val="AODocTxt"/>
        <w:numPr>
          <w:ilvl w:val="0"/>
          <w:numId w:val="41"/>
        </w:numPr>
        <w:spacing w:before="0" w:line="240" w:lineRule="auto"/>
        <w:rPr>
          <w:rFonts w:ascii="Avenir Next" w:hAnsi="Avenir Next"/>
        </w:rPr>
      </w:pPr>
      <w:r>
        <w:rPr>
          <w:rFonts w:ascii="Avenir Next" w:hAnsi="Avenir Next"/>
        </w:rPr>
        <w:t xml:space="preserve">Any local rules of the bankruptcy court; </w:t>
      </w:r>
      <w:r w:rsidR="001A522E">
        <w:rPr>
          <w:rFonts w:ascii="Avenir Next" w:hAnsi="Avenir Next"/>
        </w:rPr>
        <w:t>and</w:t>
      </w:r>
    </w:p>
    <w:p w14:paraId="0EE5C836" w14:textId="4CDFB125" w:rsidR="006713DB" w:rsidRPr="001A522E" w:rsidRDefault="001A522E" w:rsidP="001A522E">
      <w:pPr>
        <w:pStyle w:val="AODocTxt"/>
        <w:numPr>
          <w:ilvl w:val="0"/>
          <w:numId w:val="41"/>
        </w:numPr>
        <w:spacing w:before="0" w:line="240" w:lineRule="auto"/>
        <w:rPr>
          <w:rFonts w:ascii="Avenir Next" w:hAnsi="Avenir Next"/>
        </w:rPr>
      </w:pPr>
      <w:r>
        <w:rPr>
          <w:rFonts w:ascii="Avenir Next" w:hAnsi="Avenir Next"/>
        </w:rPr>
        <w:t>The judge’s personal practices</w:t>
      </w:r>
      <w:r w:rsidR="006713DB" w:rsidRPr="001A522E">
        <w:rPr>
          <w:rFonts w:ascii="Avenir Next" w:hAnsi="Avenir Next"/>
        </w:rPr>
        <w:t>.</w:t>
      </w:r>
      <w:r w:rsidR="006713DB">
        <w:rPr>
          <w:rStyle w:val="FootnoteReference"/>
          <w:rFonts w:ascii="Avenir Next" w:hAnsi="Avenir Next"/>
        </w:rPr>
        <w:footnoteReference w:id="18"/>
      </w:r>
      <w:r w:rsidR="006713DB" w:rsidRPr="001A522E">
        <w:rPr>
          <w:rFonts w:ascii="Avenir Next" w:hAnsi="Avenir Next"/>
        </w:rPr>
        <w:t xml:space="preserve"> </w:t>
      </w:r>
    </w:p>
    <w:p w14:paraId="671A424A" w14:textId="24CD23A1" w:rsidR="001D3BAA" w:rsidRPr="002B5D64" w:rsidRDefault="001D3BAA" w:rsidP="001D3BAA">
      <w:pPr>
        <w:pStyle w:val="AODocTxt"/>
        <w:spacing w:before="0" w:line="240" w:lineRule="auto"/>
        <w:rPr>
          <w:rFonts w:ascii="Avenir Next" w:hAnsi="Avenir Next"/>
          <w:color w:val="808080" w:themeColor="background1" w:themeShade="80"/>
        </w:rPr>
      </w:pP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E0A9F49"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A26EE97" w14:textId="329BE083" w:rsidR="00C51703" w:rsidRDefault="00C51703" w:rsidP="000778B1">
      <w:pPr>
        <w:pStyle w:val="AODocTxt"/>
        <w:spacing w:before="0" w:line="240" w:lineRule="auto"/>
        <w:rPr>
          <w:rFonts w:ascii="Avenir Next" w:hAnsi="Avenir Next"/>
        </w:rPr>
      </w:pPr>
    </w:p>
    <w:p w14:paraId="6E141B1D" w14:textId="4BDCC17F" w:rsidR="00077C25" w:rsidRDefault="00077C25" w:rsidP="00077C25">
      <w:pPr>
        <w:pStyle w:val="AODocTxt"/>
        <w:spacing w:before="0" w:line="240" w:lineRule="auto"/>
        <w:rPr>
          <w:rFonts w:ascii="Avenir Next" w:hAnsi="Avenir Next"/>
        </w:rPr>
      </w:pPr>
      <w:r>
        <w:rPr>
          <w:rFonts w:ascii="Avenir Next" w:hAnsi="Avenir Next"/>
        </w:rPr>
        <w:t>In the ordinary course of business</w:t>
      </w:r>
      <w:r w:rsidR="00527858">
        <w:rPr>
          <w:rFonts w:ascii="Avenir Next" w:hAnsi="Avenir Next"/>
        </w:rPr>
        <w:t>,</w:t>
      </w:r>
      <w:r>
        <w:rPr>
          <w:rFonts w:ascii="Avenir Next" w:hAnsi="Avenir Next"/>
        </w:rPr>
        <w:t xml:space="preserve"> directors of Delaware corporations owe fiduciary duties to their corporation and its shareholders, consisting of the duty of loyalty to the best interests of the corporation and a duty of care in respect of educated decision-making.</w:t>
      </w:r>
      <w:r>
        <w:rPr>
          <w:rStyle w:val="FootnoteReference"/>
          <w:rFonts w:ascii="Avenir Next" w:hAnsi="Avenir Next"/>
        </w:rPr>
        <w:footnoteReference w:id="19"/>
      </w:r>
      <w:r>
        <w:rPr>
          <w:rFonts w:ascii="Avenir Next" w:hAnsi="Avenir Next"/>
        </w:rPr>
        <w:t xml:space="preserve"> Such duties remain during insolvency, but are not owed to creditors. As per the ruling of the Supreme Court of Delaware in </w:t>
      </w:r>
      <w:r w:rsidRPr="00077C25">
        <w:rPr>
          <w:rFonts w:ascii="Avenir Next" w:hAnsi="Avenir Next"/>
          <w:i/>
        </w:rPr>
        <w:t xml:space="preserve">North Am Catholic Educational Programming Foundation, Inc v </w:t>
      </w:r>
      <w:proofErr w:type="spellStart"/>
      <w:r w:rsidRPr="00077C25">
        <w:rPr>
          <w:rFonts w:ascii="Avenir Next" w:hAnsi="Avenir Next"/>
          <w:i/>
        </w:rPr>
        <w:t>Gheewalla</w:t>
      </w:r>
      <w:proofErr w:type="spellEnd"/>
      <w:r w:rsidRPr="00077C25">
        <w:rPr>
          <w:rFonts w:ascii="Avenir Next" w:hAnsi="Avenir Next"/>
        </w:rPr>
        <w:t>, 930 A.2d 92, 103 (Del 2007)</w:t>
      </w:r>
      <w:r>
        <w:rPr>
          <w:rFonts w:ascii="Avenir Next" w:hAnsi="Avenir Next"/>
        </w:rPr>
        <w:t xml:space="preserve">, </w:t>
      </w:r>
      <w:r w:rsidRPr="00077C25">
        <w:rPr>
          <w:rFonts w:ascii="Avenir Next" w:hAnsi="Avenir Next"/>
          <w:i/>
        </w:rPr>
        <w:t>“[I]</w:t>
      </w:r>
      <w:proofErr w:type="spellStart"/>
      <w:r w:rsidRPr="00077C25">
        <w:rPr>
          <w:rFonts w:ascii="Avenir Next" w:hAnsi="Avenir Next"/>
          <w:i/>
        </w:rPr>
        <w:t>ndividual</w:t>
      </w:r>
      <w:proofErr w:type="spellEnd"/>
      <w:r w:rsidRPr="00077C25">
        <w:rPr>
          <w:rFonts w:ascii="Avenir Next" w:hAnsi="Avenir Next"/>
          <w:i/>
        </w:rPr>
        <w:t xml:space="preserve"> creditors of an insolvent corporation have no right to assert direct claims for breach of fiduciary duty against corporate directors. Creditors may nonetheless protect their interest by bringing derivative claims on behalf of the insolvent corporation…”</w:t>
      </w:r>
      <w:r w:rsidRPr="00077C25">
        <w:rPr>
          <w:rFonts w:ascii="Avenir Next" w:hAnsi="Avenir Next"/>
        </w:rPr>
        <w:t>.</w:t>
      </w:r>
      <w:r>
        <w:rPr>
          <w:rStyle w:val="FootnoteReference"/>
          <w:rFonts w:ascii="Avenir Next" w:hAnsi="Avenir Next"/>
        </w:rPr>
        <w:footnoteReference w:id="20"/>
      </w:r>
    </w:p>
    <w:p w14:paraId="7A03B5A2" w14:textId="73938963" w:rsidR="001D3BAA" w:rsidRPr="002B5D64" w:rsidRDefault="001D3BAA" w:rsidP="001D3BAA">
      <w:pPr>
        <w:pStyle w:val="AODocTxt"/>
        <w:spacing w:before="0" w:line="240" w:lineRule="auto"/>
        <w:rPr>
          <w:rFonts w:ascii="Avenir Next" w:hAnsi="Avenir Next"/>
          <w:color w:val="808080" w:themeColor="background1" w:themeShade="80"/>
        </w:rPr>
      </w:pP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20BDFD2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33A697BE" w14:textId="08A58E93" w:rsidR="002F1752" w:rsidRDefault="002F1752" w:rsidP="000778B1">
      <w:pPr>
        <w:pStyle w:val="AODocTxt"/>
        <w:spacing w:before="0" w:line="240" w:lineRule="auto"/>
        <w:rPr>
          <w:rFonts w:ascii="Avenir Next" w:hAnsi="Avenir Next"/>
        </w:rPr>
      </w:pPr>
    </w:p>
    <w:p w14:paraId="762A7AD6" w14:textId="767C211B" w:rsidR="002F1752" w:rsidRDefault="002C7492" w:rsidP="00E96A92">
      <w:pPr>
        <w:pStyle w:val="AODocTxt"/>
        <w:numPr>
          <w:ilvl w:val="0"/>
          <w:numId w:val="41"/>
        </w:numPr>
        <w:spacing w:before="0" w:line="240" w:lineRule="auto"/>
        <w:ind w:left="284" w:hanging="284"/>
        <w:rPr>
          <w:rFonts w:ascii="Avenir Next" w:hAnsi="Avenir Next"/>
        </w:rPr>
      </w:pPr>
      <w:r>
        <w:rPr>
          <w:rFonts w:ascii="Avenir Next" w:hAnsi="Avenir Next"/>
        </w:rPr>
        <w:t>There is a general</w:t>
      </w:r>
      <w:r w:rsidR="00483DB1">
        <w:rPr>
          <w:rFonts w:ascii="Avenir Next" w:hAnsi="Avenir Next"/>
        </w:rPr>
        <w:t>, worldwide automatic</w:t>
      </w:r>
      <w:r>
        <w:rPr>
          <w:rFonts w:ascii="Avenir Next" w:hAnsi="Avenir Next"/>
        </w:rPr>
        <w:t xml:space="preserve"> stay</w:t>
      </w:r>
      <w:r w:rsidR="00483DB1">
        <w:rPr>
          <w:rFonts w:ascii="Avenir Next" w:hAnsi="Avenir Next"/>
        </w:rPr>
        <w:t>,</w:t>
      </w:r>
      <w:r w:rsidR="00483DB1">
        <w:rPr>
          <w:rStyle w:val="FootnoteReference"/>
          <w:rFonts w:ascii="Avenir Next" w:hAnsi="Avenir Next"/>
        </w:rPr>
        <w:footnoteReference w:id="21"/>
      </w:r>
      <w:r w:rsidR="00483DB1">
        <w:rPr>
          <w:rFonts w:ascii="Avenir Next" w:hAnsi="Avenir Next"/>
        </w:rPr>
        <w:t xml:space="preserve"> that would</w:t>
      </w:r>
      <w:r>
        <w:rPr>
          <w:rFonts w:ascii="Avenir Next" w:hAnsi="Avenir Next"/>
        </w:rPr>
        <w:t xml:space="preserve"> prevent the landlord from evicting iWork Ltd, unless the lease between iWork and the landlord has already expired;</w:t>
      </w:r>
      <w:r w:rsidR="00686FC6">
        <w:rPr>
          <w:rStyle w:val="FootnoteReference"/>
          <w:rFonts w:ascii="Avenir Next" w:hAnsi="Avenir Next"/>
        </w:rPr>
        <w:footnoteReference w:id="22"/>
      </w:r>
    </w:p>
    <w:p w14:paraId="3A561D55" w14:textId="31DA39A1" w:rsidR="0015025A" w:rsidRDefault="0015025A" w:rsidP="00E96A92">
      <w:pPr>
        <w:pStyle w:val="AODocTxt"/>
        <w:numPr>
          <w:ilvl w:val="0"/>
          <w:numId w:val="41"/>
        </w:numPr>
        <w:spacing w:before="0" w:line="240" w:lineRule="auto"/>
        <w:ind w:left="284" w:hanging="284"/>
        <w:rPr>
          <w:rFonts w:ascii="Avenir Next" w:hAnsi="Avenir Next"/>
        </w:rPr>
      </w:pPr>
      <w:r>
        <w:rPr>
          <w:rFonts w:ascii="Avenir Next" w:hAnsi="Avenir Next"/>
        </w:rPr>
        <w:t xml:space="preserve">In the event that the lease is unexpired, and obligations are still owed by iWork Ltd and the landlord to each other </w:t>
      </w:r>
      <w:proofErr w:type="spellStart"/>
      <w:r>
        <w:rPr>
          <w:rFonts w:ascii="Avenir Next" w:hAnsi="Avenir Next"/>
        </w:rPr>
        <w:t>etc</w:t>
      </w:r>
      <w:proofErr w:type="spellEnd"/>
      <w:r>
        <w:rPr>
          <w:rFonts w:ascii="Avenir Next" w:hAnsi="Avenir Next"/>
        </w:rPr>
        <w:t xml:space="preserve">, such that the lease is an executory contract, and in the context of a Chapter 7 case, iWork can Reject, Assume or </w:t>
      </w:r>
      <w:r w:rsidR="00694007">
        <w:rPr>
          <w:rFonts w:ascii="Avenir Next" w:hAnsi="Avenir Next"/>
        </w:rPr>
        <w:t>‘</w:t>
      </w:r>
      <w:r>
        <w:rPr>
          <w:rFonts w:ascii="Avenir Next" w:hAnsi="Avenir Next"/>
        </w:rPr>
        <w:t>Assume and Assign</w:t>
      </w:r>
      <w:r w:rsidR="00694007">
        <w:rPr>
          <w:rFonts w:ascii="Avenir Next" w:hAnsi="Avenir Next"/>
        </w:rPr>
        <w:t>’</w:t>
      </w:r>
      <w:r>
        <w:rPr>
          <w:rFonts w:ascii="Avenir Next" w:hAnsi="Avenir Next"/>
        </w:rPr>
        <w:t xml:space="preserve"> the lease; </w:t>
      </w:r>
    </w:p>
    <w:p w14:paraId="7BF6E5DD" w14:textId="1596F4FB" w:rsidR="00686FC6" w:rsidRDefault="0015025A" w:rsidP="00E96A92">
      <w:pPr>
        <w:pStyle w:val="AODocTxt"/>
        <w:numPr>
          <w:ilvl w:val="0"/>
          <w:numId w:val="41"/>
        </w:numPr>
        <w:spacing w:before="0" w:line="240" w:lineRule="auto"/>
        <w:ind w:left="284" w:hanging="284"/>
        <w:rPr>
          <w:rFonts w:ascii="Avenir Next" w:hAnsi="Avenir Next"/>
        </w:rPr>
      </w:pPr>
      <w:r>
        <w:rPr>
          <w:rFonts w:ascii="Avenir Next" w:hAnsi="Avenir Next"/>
        </w:rPr>
        <w:t>iWork’s decision (on assumption, assignment or reject</w:t>
      </w:r>
      <w:r w:rsidR="002A0056">
        <w:rPr>
          <w:rFonts w:ascii="Avenir Next" w:hAnsi="Avenir Next"/>
        </w:rPr>
        <w:t>ion</w:t>
      </w:r>
      <w:r>
        <w:rPr>
          <w:rFonts w:ascii="Avenir Next" w:hAnsi="Avenir Next"/>
        </w:rPr>
        <w:t>) about the unexpired lease</w:t>
      </w:r>
      <w:r w:rsidR="00441E1D">
        <w:rPr>
          <w:rFonts w:ascii="Avenir Next" w:hAnsi="Avenir Next"/>
        </w:rPr>
        <w:t xml:space="preserve"> (which is obviously non-residential property) </w:t>
      </w:r>
      <w:r>
        <w:rPr>
          <w:rFonts w:ascii="Avenir Next" w:hAnsi="Avenir Next"/>
        </w:rPr>
        <w:t xml:space="preserve">can be made within 120 days </w:t>
      </w:r>
      <w:r w:rsidRPr="0015025A">
        <w:rPr>
          <w:rFonts w:ascii="Avenir Next" w:hAnsi="Avenir Next"/>
          <w:i/>
        </w:rPr>
        <w:t>of the order for final relief</w:t>
      </w:r>
      <w:r>
        <w:rPr>
          <w:rFonts w:ascii="Avenir Next" w:hAnsi="Avenir Next"/>
        </w:rPr>
        <w:t xml:space="preserve">, rather than within 60 days </w:t>
      </w:r>
      <w:r>
        <w:rPr>
          <w:rFonts w:ascii="Avenir Next" w:hAnsi="Avenir Next"/>
          <w:i/>
        </w:rPr>
        <w:t>of the petition date</w:t>
      </w:r>
      <w:r w:rsidR="002C339F">
        <w:rPr>
          <w:rFonts w:ascii="Avenir Next" w:hAnsi="Avenir Next"/>
        </w:rPr>
        <w:t>;</w:t>
      </w:r>
      <w:r>
        <w:rPr>
          <w:rStyle w:val="FootnoteReference"/>
          <w:rFonts w:ascii="Avenir Next" w:hAnsi="Avenir Next"/>
        </w:rPr>
        <w:footnoteReference w:id="23"/>
      </w:r>
    </w:p>
    <w:p w14:paraId="3E2F1B25" w14:textId="4CFEDF35" w:rsidR="002C339F" w:rsidRDefault="002C339F" w:rsidP="00E96A92">
      <w:pPr>
        <w:pStyle w:val="AODocTxt"/>
        <w:numPr>
          <w:ilvl w:val="0"/>
          <w:numId w:val="41"/>
        </w:numPr>
        <w:spacing w:before="0" w:line="240" w:lineRule="auto"/>
        <w:ind w:left="284" w:hanging="284"/>
        <w:rPr>
          <w:rFonts w:ascii="Avenir Next" w:hAnsi="Avenir Next"/>
        </w:rPr>
      </w:pPr>
      <w:r>
        <w:rPr>
          <w:rFonts w:ascii="Avenir Next" w:hAnsi="Avenir Next"/>
        </w:rPr>
        <w:t>The election decision</w:t>
      </w:r>
      <w:r w:rsidR="00AE1D79">
        <w:rPr>
          <w:rFonts w:ascii="Avenir Next" w:hAnsi="Avenir Next"/>
        </w:rPr>
        <w:t xml:space="preserve"> regarding the lease</w:t>
      </w:r>
      <w:r>
        <w:rPr>
          <w:rFonts w:ascii="Avenir Next" w:hAnsi="Avenir Next"/>
        </w:rPr>
        <w:t xml:space="preserve"> is also insulated with significant legal tests for challenge, </w:t>
      </w:r>
      <w:r>
        <w:rPr>
          <w:rFonts w:ascii="Avenir Next" w:hAnsi="Avenir Next"/>
          <w:i/>
        </w:rPr>
        <w:t xml:space="preserve">i.e. </w:t>
      </w:r>
      <w:r>
        <w:rPr>
          <w:rFonts w:ascii="Avenir Next" w:hAnsi="Avenir Next"/>
        </w:rPr>
        <w:t>the Court can only interfere with the decision if it is not a reasonable exercise of business judgment or was not made in good faith;</w:t>
      </w:r>
      <w:r>
        <w:rPr>
          <w:rStyle w:val="FootnoteReference"/>
          <w:rFonts w:ascii="Avenir Next" w:hAnsi="Avenir Next"/>
        </w:rPr>
        <w:footnoteReference w:id="24"/>
      </w:r>
      <w:r w:rsidR="00FE5AD0">
        <w:rPr>
          <w:rFonts w:ascii="Avenir Next" w:hAnsi="Avenir Next"/>
        </w:rPr>
        <w:t xml:space="preserve"> </w:t>
      </w:r>
    </w:p>
    <w:p w14:paraId="14988613" w14:textId="3A5C3C8D" w:rsidR="00A84181" w:rsidRDefault="00A84181" w:rsidP="00E96A92">
      <w:pPr>
        <w:pStyle w:val="AODocTxt"/>
        <w:numPr>
          <w:ilvl w:val="0"/>
          <w:numId w:val="41"/>
        </w:numPr>
        <w:spacing w:before="0" w:line="240" w:lineRule="auto"/>
        <w:ind w:left="284" w:hanging="284"/>
        <w:rPr>
          <w:rFonts w:ascii="Avenir Next" w:hAnsi="Avenir Next"/>
        </w:rPr>
      </w:pPr>
      <w:r>
        <w:rPr>
          <w:rFonts w:ascii="Avenir Next" w:hAnsi="Avenir Next"/>
        </w:rPr>
        <w:t>The Bankruptcy Code also provides protection in that assignment can take place despite any contractual restriction on assignment;</w:t>
      </w:r>
      <w:r>
        <w:rPr>
          <w:rStyle w:val="FootnoteReference"/>
          <w:rFonts w:ascii="Avenir Next" w:hAnsi="Avenir Next"/>
        </w:rPr>
        <w:footnoteReference w:id="25"/>
      </w:r>
      <w:r>
        <w:rPr>
          <w:rFonts w:ascii="Avenir Next" w:hAnsi="Avenir Next"/>
        </w:rPr>
        <w:t xml:space="preserve"> and</w:t>
      </w:r>
    </w:p>
    <w:p w14:paraId="20052F38" w14:textId="46CFEA3A" w:rsidR="00FE5AD0" w:rsidRDefault="00A84181" w:rsidP="00E96A92">
      <w:pPr>
        <w:pStyle w:val="AODocTxt"/>
        <w:numPr>
          <w:ilvl w:val="0"/>
          <w:numId w:val="41"/>
        </w:numPr>
        <w:spacing w:before="0" w:line="240" w:lineRule="auto"/>
        <w:ind w:left="284" w:hanging="284"/>
        <w:rPr>
          <w:rFonts w:ascii="Avenir Next" w:hAnsi="Avenir Next"/>
        </w:rPr>
      </w:pPr>
      <w:r>
        <w:rPr>
          <w:rFonts w:ascii="Avenir Next" w:hAnsi="Avenir Next"/>
        </w:rPr>
        <w:t>Similarly</w:t>
      </w:r>
      <w:r w:rsidR="00393E28">
        <w:rPr>
          <w:rFonts w:ascii="Avenir Next" w:hAnsi="Avenir Next"/>
        </w:rPr>
        <w:t>,</w:t>
      </w:r>
      <w:r>
        <w:rPr>
          <w:rFonts w:ascii="Avenir Next" w:hAnsi="Avenir Next"/>
        </w:rPr>
        <w:t xml:space="preserve"> </w:t>
      </w:r>
      <w:r>
        <w:rPr>
          <w:rFonts w:ascii="Avenir Next" w:hAnsi="Avenir Next"/>
          <w:i/>
        </w:rPr>
        <w:t>ipso facto</w:t>
      </w:r>
      <w:r>
        <w:rPr>
          <w:rFonts w:ascii="Avenir Next" w:hAnsi="Avenir Next"/>
        </w:rPr>
        <w:t xml:space="preserve"> clauses are nullified.</w:t>
      </w:r>
      <w:r>
        <w:rPr>
          <w:rStyle w:val="FootnoteReference"/>
          <w:rFonts w:ascii="Avenir Next" w:hAnsi="Avenir Next"/>
        </w:rPr>
        <w:footnoteReference w:id="26"/>
      </w:r>
      <w:r>
        <w:rPr>
          <w:rFonts w:ascii="Avenir Next" w:hAnsi="Avenir Next"/>
        </w:rPr>
        <w:t xml:space="preserve"> </w:t>
      </w:r>
      <w:r w:rsidR="00FE5AD0">
        <w:rPr>
          <w:rFonts w:ascii="Avenir Next" w:hAnsi="Avenir Next"/>
        </w:rPr>
        <w:t xml:space="preserve"> </w:t>
      </w:r>
    </w:p>
    <w:p w14:paraId="179B5A0A" w14:textId="77777777" w:rsidR="007F276C" w:rsidRDefault="007F276C" w:rsidP="001D3BAA">
      <w:pPr>
        <w:pStyle w:val="AODocTxt"/>
        <w:spacing w:before="0" w:line="240" w:lineRule="auto"/>
        <w:rPr>
          <w:rFonts w:ascii="Avenir Next" w:hAnsi="Avenir Next"/>
          <w:color w:val="808080" w:themeColor="background1" w:themeShade="80"/>
        </w:rPr>
      </w:pPr>
    </w:p>
    <w:p w14:paraId="7D0BD596" w14:textId="61618863" w:rsidR="00884643" w:rsidRDefault="00884643" w:rsidP="000778B1">
      <w:pPr>
        <w:pStyle w:val="AODocTxt"/>
        <w:spacing w:before="0" w:line="240" w:lineRule="auto"/>
        <w:rPr>
          <w:rFonts w:ascii="Avenir Next Demi Bold" w:hAnsi="Avenir Next Demi Bold"/>
          <w:b/>
          <w:bCs/>
        </w:rPr>
      </w:pPr>
    </w:p>
    <w:p w14:paraId="75BA2F2E" w14:textId="77777777" w:rsidR="00680ABF" w:rsidRDefault="00680ABF"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01AE8106"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1E986546" w14:textId="5771FAB5" w:rsidR="003001F3" w:rsidRDefault="003001F3" w:rsidP="00A75D43">
      <w:pPr>
        <w:pStyle w:val="AODocTxt"/>
        <w:spacing w:before="0" w:line="240" w:lineRule="auto"/>
        <w:rPr>
          <w:rFonts w:ascii="Avenir Next" w:hAnsi="Avenir Next"/>
        </w:rPr>
      </w:pPr>
    </w:p>
    <w:p w14:paraId="4AABDF26" w14:textId="27C9D0BB" w:rsidR="003001F3" w:rsidRDefault="00616E1D" w:rsidP="00A75D43">
      <w:pPr>
        <w:pStyle w:val="AODocTxt"/>
        <w:spacing w:before="0" w:line="240" w:lineRule="auto"/>
        <w:rPr>
          <w:rFonts w:ascii="Avenir Next" w:hAnsi="Avenir Next"/>
        </w:rPr>
      </w:pPr>
      <w:r>
        <w:rPr>
          <w:rFonts w:ascii="Avenir Next" w:hAnsi="Avenir Next"/>
        </w:rPr>
        <w:t xml:space="preserve">Yes. A foreign representative would need to lodge a petition for recognition of the scheme of arrangement (SOA) as a foreign proceeding under Chapter 15. Whether the SOA is </w:t>
      </w:r>
      <w:proofErr w:type="spellStart"/>
      <w:r>
        <w:rPr>
          <w:rFonts w:ascii="Avenir Next" w:hAnsi="Avenir Next"/>
        </w:rPr>
        <w:t>recognised</w:t>
      </w:r>
      <w:proofErr w:type="spellEnd"/>
      <w:r>
        <w:rPr>
          <w:rFonts w:ascii="Avenir Next" w:hAnsi="Avenir Next"/>
        </w:rPr>
        <w:t xml:space="preserve"> as a foreign non-main proceeding (FNMP) or foreign main proceeding (FMP) is contingent upon whether the US Court determines the </w:t>
      </w:r>
      <w:proofErr w:type="spellStart"/>
      <w:r>
        <w:rPr>
          <w:rFonts w:ascii="Avenir Next" w:hAnsi="Avenir Next"/>
        </w:rPr>
        <w:t>centre</w:t>
      </w:r>
      <w:proofErr w:type="spellEnd"/>
      <w:r>
        <w:rPr>
          <w:rFonts w:ascii="Avenir Next" w:hAnsi="Avenir Next"/>
        </w:rPr>
        <w:t xml:space="preserve"> of most interest (COMI) to be in England or elsewhere</w:t>
      </w:r>
      <w:r w:rsidR="00C95CCD">
        <w:rPr>
          <w:rFonts w:ascii="Avenir Next" w:hAnsi="Avenir Next"/>
        </w:rPr>
        <w:t xml:space="preserve"> (</w:t>
      </w:r>
      <w:proofErr w:type="gramStart"/>
      <w:r w:rsidR="00C95CCD">
        <w:rPr>
          <w:rFonts w:ascii="Avenir Next" w:hAnsi="Avenir Next"/>
        </w:rPr>
        <w:t>a</w:t>
      </w:r>
      <w:proofErr w:type="gramEnd"/>
      <w:r w:rsidR="00C95CCD">
        <w:rPr>
          <w:rFonts w:ascii="Avenir Next" w:hAnsi="Avenir Next"/>
        </w:rPr>
        <w:t xml:space="preserve"> FMP is where the COMI is located: </w:t>
      </w:r>
      <w:r w:rsidR="00C95CCD" w:rsidRPr="00616E1D">
        <w:rPr>
          <w:rFonts w:ascii="Avenir Next" w:hAnsi="Avenir Next"/>
        </w:rPr>
        <w:t>11 USC, § 151</w:t>
      </w:r>
      <w:r w:rsidR="00C95CCD">
        <w:rPr>
          <w:rFonts w:ascii="Avenir Next" w:hAnsi="Avenir Next"/>
        </w:rPr>
        <w:t>7(b)(1))</w:t>
      </w:r>
      <w:r>
        <w:rPr>
          <w:rFonts w:ascii="Avenir Next" w:hAnsi="Avenir Next"/>
        </w:rPr>
        <w:t xml:space="preserve">. As per </w:t>
      </w:r>
      <w:r w:rsidRPr="00616E1D">
        <w:rPr>
          <w:rFonts w:ascii="Avenir Next" w:hAnsi="Avenir Next"/>
        </w:rPr>
        <w:t>11 USC, § 1516(c)</w:t>
      </w:r>
      <w:r>
        <w:rPr>
          <w:rFonts w:ascii="Avenir Next" w:hAnsi="Avenir Next"/>
        </w:rPr>
        <w:t>, the COMI is presumed to be located at the place of the debtor’s incorporation, such that, on the facts, the SOA would</w:t>
      </w:r>
      <w:r w:rsidR="0069085E">
        <w:rPr>
          <w:rFonts w:ascii="Avenir Next" w:hAnsi="Avenir Next"/>
        </w:rPr>
        <w:t xml:space="preserve"> </w:t>
      </w:r>
      <w:r w:rsidR="006A6A11" w:rsidRPr="006A6A11">
        <w:rPr>
          <w:rFonts w:ascii="Avenir Next" w:hAnsi="Avenir Next"/>
        </w:rPr>
        <w:t>be</w:t>
      </w:r>
      <w:r w:rsidR="006A6A11">
        <w:rPr>
          <w:rFonts w:ascii="Avenir Next" w:hAnsi="Avenir Next"/>
          <w:i/>
        </w:rPr>
        <w:t xml:space="preserve"> presumed</w:t>
      </w:r>
      <w:r>
        <w:rPr>
          <w:rFonts w:ascii="Avenir Next" w:hAnsi="Avenir Next"/>
        </w:rPr>
        <w:t xml:space="preserve"> </w:t>
      </w:r>
      <w:r w:rsidR="00C95CCD" w:rsidRPr="002D0AB9">
        <w:rPr>
          <w:rFonts w:ascii="Avenir Next" w:hAnsi="Avenir Next"/>
          <w:u w:val="single"/>
        </w:rPr>
        <w:t>not</w:t>
      </w:r>
      <w:r w:rsidR="00C95CCD" w:rsidRPr="002D0AB9">
        <w:rPr>
          <w:rFonts w:ascii="Avenir Next" w:hAnsi="Avenir Next"/>
        </w:rPr>
        <w:t xml:space="preserve"> </w:t>
      </w:r>
      <w:r w:rsidR="006A6A11">
        <w:rPr>
          <w:rFonts w:ascii="Avenir Next" w:hAnsi="Avenir Next"/>
        </w:rPr>
        <w:t xml:space="preserve">to </w:t>
      </w:r>
      <w:r w:rsidR="00C95CCD">
        <w:rPr>
          <w:rFonts w:ascii="Avenir Next" w:hAnsi="Avenir Next"/>
        </w:rPr>
        <w:t xml:space="preserve">be </w:t>
      </w:r>
      <w:proofErr w:type="gramStart"/>
      <w:r w:rsidR="00C95CCD">
        <w:rPr>
          <w:rFonts w:ascii="Avenir Next" w:hAnsi="Avenir Next"/>
        </w:rPr>
        <w:t>a</w:t>
      </w:r>
      <w:proofErr w:type="gramEnd"/>
      <w:r w:rsidR="00C95CCD">
        <w:rPr>
          <w:rFonts w:ascii="Avenir Next" w:hAnsi="Avenir Next"/>
        </w:rPr>
        <w:t xml:space="preserve"> FMP</w:t>
      </w:r>
      <w:r>
        <w:rPr>
          <w:rFonts w:ascii="Avenir Next" w:hAnsi="Avenir Next"/>
        </w:rPr>
        <w:t xml:space="preserve">, given that France is the place of Skin </w:t>
      </w:r>
      <w:proofErr w:type="spellStart"/>
      <w:r>
        <w:rPr>
          <w:rFonts w:ascii="Avenir Next" w:hAnsi="Avenir Next"/>
        </w:rPr>
        <w:t>Luxe’s</w:t>
      </w:r>
      <w:proofErr w:type="spellEnd"/>
      <w:r>
        <w:rPr>
          <w:rFonts w:ascii="Avenir Next" w:hAnsi="Avenir Next"/>
        </w:rPr>
        <w:t xml:space="preserve"> incorporation and principal place of business</w:t>
      </w:r>
      <w:r w:rsidR="0069085E">
        <w:rPr>
          <w:rFonts w:ascii="Avenir Next" w:hAnsi="Avenir Next"/>
        </w:rPr>
        <w:t>. That being said, the presumption is rebuttable</w:t>
      </w:r>
      <w:r w:rsidR="006A6A11">
        <w:rPr>
          <w:rFonts w:ascii="Avenir Next" w:hAnsi="Avenir Next"/>
        </w:rPr>
        <w:t>,</w:t>
      </w:r>
      <w:r w:rsidR="0069085E">
        <w:rPr>
          <w:rFonts w:ascii="Avenir Next" w:hAnsi="Avenir Next"/>
        </w:rPr>
        <w:t xml:space="preserve"> and one could argue</w:t>
      </w:r>
      <w:r w:rsidR="00D35F91">
        <w:rPr>
          <w:rFonts w:ascii="Avenir Next" w:hAnsi="Avenir Next"/>
        </w:rPr>
        <w:t xml:space="preserve"> that because the bonds are English-law governed </w:t>
      </w:r>
      <w:r w:rsidR="0069085E">
        <w:rPr>
          <w:rFonts w:ascii="Avenir Next" w:hAnsi="Avenir Next"/>
        </w:rPr>
        <w:t xml:space="preserve">the COMI is </w:t>
      </w:r>
      <w:r w:rsidR="006A6A11">
        <w:rPr>
          <w:rFonts w:ascii="Avenir Next" w:hAnsi="Avenir Next"/>
        </w:rPr>
        <w:t xml:space="preserve">in </w:t>
      </w:r>
      <w:r w:rsidR="0069085E">
        <w:rPr>
          <w:rFonts w:ascii="Avenir Next" w:hAnsi="Avenir Next"/>
        </w:rPr>
        <w:t>England, such that the SOA is in fact a FMP</w:t>
      </w:r>
      <w:r>
        <w:rPr>
          <w:rFonts w:ascii="Avenir Next" w:hAnsi="Avenir Next"/>
        </w:rPr>
        <w:t>.</w:t>
      </w:r>
      <w:r w:rsidR="00D35F91">
        <w:rPr>
          <w:rStyle w:val="FootnoteReference"/>
          <w:rFonts w:ascii="Avenir Next" w:hAnsi="Avenir Next"/>
        </w:rPr>
        <w:footnoteReference w:id="27"/>
      </w:r>
      <w:r>
        <w:rPr>
          <w:rFonts w:ascii="Avenir Next" w:hAnsi="Avenir Next"/>
        </w:rPr>
        <w:t xml:space="preserve"> </w:t>
      </w:r>
      <w:r w:rsidR="0069085E">
        <w:rPr>
          <w:rFonts w:ascii="Avenir Next" w:hAnsi="Avenir Next"/>
        </w:rPr>
        <w:t>In any event, the SOA could be a</w:t>
      </w:r>
      <w:r w:rsidR="00C95CCD">
        <w:rPr>
          <w:rFonts w:ascii="Avenir Next" w:hAnsi="Avenir Next"/>
        </w:rPr>
        <w:t xml:space="preserve"> FNMP </w:t>
      </w:r>
      <w:r>
        <w:rPr>
          <w:rFonts w:ascii="Avenir Next" w:hAnsi="Avenir Next"/>
        </w:rPr>
        <w:t xml:space="preserve">given that </w:t>
      </w:r>
      <w:r w:rsidR="00C95CCD">
        <w:rPr>
          <w:rFonts w:ascii="Avenir Next" w:hAnsi="Avenir Next"/>
        </w:rPr>
        <w:t>Skin Luxe</w:t>
      </w:r>
      <w:r>
        <w:rPr>
          <w:rFonts w:ascii="Avenir Next" w:hAnsi="Avenir Next"/>
        </w:rPr>
        <w:t xml:space="preserve"> has its own boutique in England</w:t>
      </w:r>
      <w:r w:rsidR="00C95CCD">
        <w:rPr>
          <w:rFonts w:ascii="Avenir Next" w:hAnsi="Avenir Next"/>
        </w:rPr>
        <w:t>, which</w:t>
      </w:r>
      <w:r>
        <w:rPr>
          <w:rFonts w:ascii="Avenir Next" w:hAnsi="Avenir Next"/>
        </w:rPr>
        <w:t xml:space="preserve"> is most likely an establishment (11 USC, </w:t>
      </w:r>
      <w:r w:rsidRPr="00616E1D">
        <w:rPr>
          <w:rFonts w:ascii="Avenir Next" w:hAnsi="Avenir Next"/>
        </w:rPr>
        <w:t>§ 1517</w:t>
      </w:r>
      <w:r>
        <w:rPr>
          <w:rFonts w:ascii="Avenir Next" w:hAnsi="Avenir Next"/>
        </w:rPr>
        <w:t>(b)(2)), given that a boutique selling products is plainly a</w:t>
      </w:r>
      <w:r w:rsidRPr="00616E1D">
        <w:rPr>
          <w:rFonts w:ascii="Avenir Next" w:hAnsi="Avenir Next"/>
        </w:rPr>
        <w:t xml:space="preserve"> </w:t>
      </w:r>
      <w:r w:rsidRPr="00175BFF">
        <w:rPr>
          <w:rFonts w:ascii="Avenir Next" w:hAnsi="Avenir Next"/>
          <w:i/>
        </w:rPr>
        <w:t>“place of operations where the debtor carries out a non</w:t>
      </w:r>
      <w:r w:rsidR="00175BFF" w:rsidRPr="00175BFF">
        <w:rPr>
          <w:rFonts w:ascii="Avenir Next" w:hAnsi="Avenir Next"/>
          <w:i/>
        </w:rPr>
        <w:t>-</w:t>
      </w:r>
      <w:r w:rsidRPr="00175BFF">
        <w:rPr>
          <w:rFonts w:ascii="Avenir Next" w:hAnsi="Avenir Next"/>
          <w:i/>
        </w:rPr>
        <w:t>transitory economic activity</w:t>
      </w:r>
      <w:r w:rsidR="00175BFF" w:rsidRPr="00175BFF">
        <w:rPr>
          <w:rFonts w:ascii="Avenir Next" w:hAnsi="Avenir Next"/>
          <w:i/>
        </w:rPr>
        <w:t>”</w:t>
      </w:r>
      <w:r w:rsidR="00175BFF">
        <w:rPr>
          <w:rFonts w:ascii="Avenir Next" w:hAnsi="Avenir Next"/>
          <w:i/>
        </w:rPr>
        <w:t xml:space="preserve"> </w:t>
      </w:r>
      <w:r w:rsidR="00175BFF">
        <w:rPr>
          <w:rFonts w:ascii="Avenir Next" w:hAnsi="Avenir Next"/>
        </w:rPr>
        <w:t xml:space="preserve">(11 USC, </w:t>
      </w:r>
      <w:r w:rsidR="00175BFF" w:rsidRPr="00616E1D">
        <w:rPr>
          <w:rFonts w:ascii="Avenir Next" w:hAnsi="Avenir Next"/>
        </w:rPr>
        <w:t>§ 15</w:t>
      </w:r>
      <w:r w:rsidR="00175BFF">
        <w:rPr>
          <w:rFonts w:ascii="Avenir Next" w:hAnsi="Avenir Next"/>
        </w:rPr>
        <w:t>02(2)).</w:t>
      </w:r>
      <w:r w:rsidR="00C95CCD">
        <w:rPr>
          <w:rFonts w:ascii="Avenir Next" w:hAnsi="Avenir Next"/>
        </w:rPr>
        <w:t xml:space="preserve"> The place of establishment </w:t>
      </w:r>
      <w:r w:rsidR="002D0AB9">
        <w:rPr>
          <w:rFonts w:ascii="Avenir Next" w:hAnsi="Avenir Next"/>
        </w:rPr>
        <w:t xml:space="preserve">would thus </w:t>
      </w:r>
      <w:r w:rsidR="00C95CCD">
        <w:rPr>
          <w:rFonts w:ascii="Avenir Next" w:hAnsi="Avenir Next"/>
        </w:rPr>
        <w:t xml:space="preserve">enable recognition </w:t>
      </w:r>
      <w:r w:rsidR="002D0AB9">
        <w:rPr>
          <w:rFonts w:ascii="Avenir Next" w:hAnsi="Avenir Next"/>
        </w:rPr>
        <w:t xml:space="preserve">of the SOA </w:t>
      </w:r>
      <w:r w:rsidR="00C95CCD">
        <w:rPr>
          <w:rFonts w:ascii="Avenir Next" w:hAnsi="Avenir Next"/>
        </w:rPr>
        <w:t xml:space="preserve">as a FNMP: </w:t>
      </w:r>
      <w:r w:rsidR="00C95CCD" w:rsidRPr="00616E1D">
        <w:rPr>
          <w:rFonts w:ascii="Avenir Next" w:hAnsi="Avenir Next"/>
        </w:rPr>
        <w:t>§ 1517</w:t>
      </w:r>
      <w:r w:rsidR="00C95CCD">
        <w:rPr>
          <w:rFonts w:ascii="Avenir Next" w:hAnsi="Avenir Next"/>
        </w:rPr>
        <w:t xml:space="preserve">(b)(2). </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4CB5A216" w:rsid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6F180FF0" w14:textId="09286440" w:rsidR="002428D9" w:rsidRDefault="002428D9" w:rsidP="00EC48D0">
      <w:pPr>
        <w:pStyle w:val="AODocTxt"/>
        <w:spacing w:before="0" w:line="240" w:lineRule="auto"/>
        <w:rPr>
          <w:rFonts w:ascii="Avenir Next" w:hAnsi="Avenir Next"/>
        </w:rPr>
      </w:pPr>
    </w:p>
    <w:p w14:paraId="6D9A9AAD" w14:textId="139E9C38" w:rsidR="002428D9" w:rsidRDefault="00272FC3" w:rsidP="002428D9">
      <w:pPr>
        <w:pStyle w:val="AODocTxt"/>
        <w:numPr>
          <w:ilvl w:val="0"/>
          <w:numId w:val="39"/>
        </w:numPr>
        <w:spacing w:before="0" w:line="240" w:lineRule="auto"/>
        <w:ind w:left="567" w:hanging="567"/>
        <w:rPr>
          <w:rFonts w:ascii="Avenir Next" w:hAnsi="Avenir Next"/>
        </w:rPr>
      </w:pPr>
      <w:r>
        <w:rPr>
          <w:rFonts w:ascii="Avenir Next" w:hAnsi="Avenir Next"/>
        </w:rPr>
        <w:t xml:space="preserve">Chapter 11 proceedings would not affect the DOJ investigation, given that an exception to the </w:t>
      </w:r>
      <w:r w:rsidR="00561C60">
        <w:rPr>
          <w:rFonts w:ascii="Avenir Next" w:hAnsi="Avenir Next"/>
        </w:rPr>
        <w:t xml:space="preserve">general </w:t>
      </w:r>
      <w:r>
        <w:rPr>
          <w:rFonts w:ascii="Avenir Next" w:hAnsi="Avenir Next"/>
        </w:rPr>
        <w:t>stay include</w:t>
      </w:r>
      <w:r w:rsidR="00FB3E35">
        <w:rPr>
          <w:rFonts w:ascii="Avenir Next" w:hAnsi="Avenir Next"/>
        </w:rPr>
        <w:t>s</w:t>
      </w:r>
      <w:r>
        <w:rPr>
          <w:rFonts w:ascii="Avenir Next" w:hAnsi="Avenir Next"/>
        </w:rPr>
        <w:t xml:space="preserve"> regulatory investigations.</w:t>
      </w:r>
      <w:r>
        <w:rPr>
          <w:rStyle w:val="FootnoteReference"/>
          <w:rFonts w:ascii="Avenir Next" w:hAnsi="Avenir Next"/>
        </w:rPr>
        <w:footnoteReference w:id="28"/>
      </w:r>
    </w:p>
    <w:p w14:paraId="6B3D1ACE" w14:textId="20A0E5B9" w:rsidR="002428D9" w:rsidRDefault="002428D9" w:rsidP="002428D9">
      <w:pPr>
        <w:pStyle w:val="AODocTxt"/>
        <w:numPr>
          <w:ilvl w:val="0"/>
          <w:numId w:val="39"/>
        </w:numPr>
        <w:spacing w:before="0" w:line="240" w:lineRule="auto"/>
        <w:ind w:left="567" w:hanging="567"/>
        <w:rPr>
          <w:rFonts w:ascii="Avenir Next" w:hAnsi="Avenir Next"/>
        </w:rPr>
      </w:pPr>
    </w:p>
    <w:p w14:paraId="2E071A99" w14:textId="5140E5DF" w:rsidR="002428D9" w:rsidRDefault="00E13F63" w:rsidP="002428D9">
      <w:pPr>
        <w:pStyle w:val="AODocTxt"/>
        <w:numPr>
          <w:ilvl w:val="0"/>
          <w:numId w:val="39"/>
        </w:numPr>
        <w:spacing w:before="0" w:line="240" w:lineRule="auto"/>
        <w:ind w:left="567" w:hanging="567"/>
        <w:rPr>
          <w:rFonts w:ascii="Avenir Next" w:hAnsi="Avenir Next"/>
        </w:rPr>
      </w:pPr>
      <w:r>
        <w:rPr>
          <w:rFonts w:ascii="Avenir Next" w:hAnsi="Avenir Next"/>
        </w:rPr>
        <w:t>The automatic stay would apply</w:t>
      </w:r>
      <w:r w:rsidR="00760F55">
        <w:rPr>
          <w:rFonts w:ascii="Avenir Next" w:hAnsi="Avenir Next"/>
        </w:rPr>
        <w:t xml:space="preserve"> to stop the landlord taking affirmative steps in respect of the lease, </w:t>
      </w:r>
      <w:r w:rsidR="00760F55">
        <w:rPr>
          <w:rFonts w:ascii="Avenir Next" w:hAnsi="Avenir Next"/>
          <w:i/>
        </w:rPr>
        <w:t xml:space="preserve">i.e. </w:t>
      </w:r>
      <w:r w:rsidR="00760F55">
        <w:rPr>
          <w:rFonts w:ascii="Avenir Next" w:hAnsi="Avenir Next"/>
        </w:rPr>
        <w:t>repossessing the property (provided the lease has not yet expired).</w:t>
      </w:r>
      <w:r w:rsidR="00760F55">
        <w:rPr>
          <w:rStyle w:val="FootnoteReference"/>
          <w:rFonts w:ascii="Avenir Next" w:hAnsi="Avenir Next"/>
        </w:rPr>
        <w:footnoteReference w:id="29"/>
      </w:r>
    </w:p>
    <w:p w14:paraId="02535A97" w14:textId="6149702A" w:rsidR="002428D9" w:rsidRPr="00E01803" w:rsidRDefault="00FE665B" w:rsidP="002428D9">
      <w:pPr>
        <w:pStyle w:val="AODocTxt"/>
        <w:numPr>
          <w:ilvl w:val="0"/>
          <w:numId w:val="39"/>
        </w:numPr>
        <w:spacing w:before="0" w:line="240" w:lineRule="auto"/>
        <w:ind w:left="567" w:hanging="567"/>
        <w:rPr>
          <w:rFonts w:ascii="Avenir Next" w:hAnsi="Avenir Next"/>
        </w:rPr>
      </w:pPr>
      <w:r>
        <w:rPr>
          <w:rFonts w:ascii="Avenir Next" w:hAnsi="Avenir Next"/>
        </w:rPr>
        <w:t>The employment litigation would be caught by the general stay</w:t>
      </w:r>
      <w:r w:rsidR="003E0B02">
        <w:rPr>
          <w:rFonts w:ascii="Avenir Next" w:hAnsi="Avenir Next"/>
        </w:rPr>
        <w:t xml:space="preserve">. </w:t>
      </w:r>
      <w:r>
        <w:rPr>
          <w:rFonts w:ascii="Avenir Next" w:hAnsi="Avenir Next"/>
        </w:rPr>
        <w:t xml:space="preserve"> </w:t>
      </w:r>
    </w:p>
    <w:p w14:paraId="51844BC4" w14:textId="45384EFE" w:rsidR="001D3BAA" w:rsidRDefault="001D3BAA" w:rsidP="001D3BAA">
      <w:pPr>
        <w:pStyle w:val="AODocTxt"/>
        <w:spacing w:before="0" w:line="240" w:lineRule="auto"/>
        <w:rPr>
          <w:rFonts w:ascii="Avenir Next" w:hAnsi="Avenir Next"/>
          <w:color w:val="808080" w:themeColor="background1" w:themeShade="80"/>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1"/>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970E2" w14:textId="77777777" w:rsidR="00741CBF" w:rsidRDefault="00741CBF" w:rsidP="00241B44">
      <w:r>
        <w:separator/>
      </w:r>
    </w:p>
  </w:endnote>
  <w:endnote w:type="continuationSeparator" w:id="0">
    <w:p w14:paraId="3663DBB8" w14:textId="77777777" w:rsidR="00741CBF" w:rsidRDefault="00741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669A2E90" w:rsidR="00241FA3" w:rsidRPr="00494B81" w:rsidRDefault="00A9088B" w:rsidP="009B4976">
    <w:pPr>
      <w:pStyle w:val="Footer"/>
      <w:ind w:right="360"/>
      <w:rPr>
        <w:rFonts w:ascii="Avenir Next" w:hAnsi="Avenir Next" w:cs="Arial"/>
        <w:sz w:val="22"/>
        <w:szCs w:val="22"/>
        <w:lang w:val="en-GB"/>
      </w:rPr>
    </w:pPr>
    <w:r w:rsidRPr="00A9088B">
      <w:rPr>
        <w:rFonts w:ascii="Avenir Next" w:hAnsi="Avenir Next" w:cs="Arial"/>
        <w:sz w:val="22"/>
        <w:szCs w:val="22"/>
        <w:lang w:val="en-GB"/>
      </w:rPr>
      <w:t>FC202324-1447</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3EF43" w14:textId="77777777" w:rsidR="00741CBF" w:rsidRDefault="00741CBF" w:rsidP="00241B44">
      <w:r>
        <w:separator/>
      </w:r>
    </w:p>
  </w:footnote>
  <w:footnote w:type="continuationSeparator" w:id="0">
    <w:p w14:paraId="1CD424EA" w14:textId="77777777" w:rsidR="00741CBF" w:rsidRDefault="00741CBF" w:rsidP="00241B44">
      <w:r>
        <w:continuationSeparator/>
      </w:r>
    </w:p>
  </w:footnote>
  <w:footnote w:id="1">
    <w:p w14:paraId="16DAFBFB" w14:textId="2D770148" w:rsidR="00E01973" w:rsidRDefault="00E01973">
      <w:pPr>
        <w:pStyle w:val="FootnoteText"/>
      </w:pPr>
      <w:r>
        <w:rPr>
          <w:rStyle w:val="FootnoteReference"/>
        </w:rPr>
        <w:footnoteRef/>
      </w:r>
      <w:r>
        <w:t xml:space="preserve"> </w:t>
      </w:r>
      <w:r w:rsidR="00D32738">
        <w:t>Module 3A Guidance Text, p 59.</w:t>
      </w:r>
    </w:p>
  </w:footnote>
  <w:footnote w:id="2">
    <w:p w14:paraId="102253D9" w14:textId="640D20BC" w:rsidR="00D32738" w:rsidRDefault="00D32738">
      <w:pPr>
        <w:pStyle w:val="FootnoteText"/>
      </w:pPr>
      <w:r>
        <w:rPr>
          <w:rStyle w:val="FootnoteReference"/>
        </w:rPr>
        <w:footnoteRef/>
      </w:r>
      <w:r>
        <w:t xml:space="preserve"> Ibid</w:t>
      </w:r>
    </w:p>
  </w:footnote>
  <w:footnote w:id="3">
    <w:p w14:paraId="35B122FE" w14:textId="10D37E39" w:rsidR="00282BF8" w:rsidRDefault="00282BF8">
      <w:pPr>
        <w:pStyle w:val="FootnoteText"/>
      </w:pPr>
      <w:r>
        <w:rPr>
          <w:rStyle w:val="FootnoteReference"/>
        </w:rPr>
        <w:footnoteRef/>
      </w:r>
      <w:r>
        <w:t xml:space="preserve"> Ibid, p 30. </w:t>
      </w:r>
    </w:p>
  </w:footnote>
  <w:footnote w:id="4">
    <w:p w14:paraId="090BD395" w14:textId="3DC90D09" w:rsidR="004B5A5C" w:rsidRDefault="004B5A5C">
      <w:pPr>
        <w:pStyle w:val="FootnoteText"/>
      </w:pPr>
      <w:r>
        <w:rPr>
          <w:rStyle w:val="FootnoteReference"/>
        </w:rPr>
        <w:footnoteRef/>
      </w:r>
      <w:r>
        <w:t xml:space="preserve"> Ibid. </w:t>
      </w:r>
    </w:p>
  </w:footnote>
  <w:footnote w:id="5">
    <w:p w14:paraId="55AEF6ED" w14:textId="441C7175" w:rsidR="00BC547D" w:rsidRDefault="00BC547D">
      <w:pPr>
        <w:pStyle w:val="FootnoteText"/>
      </w:pPr>
      <w:r>
        <w:rPr>
          <w:rStyle w:val="FootnoteReference"/>
        </w:rPr>
        <w:footnoteRef/>
      </w:r>
      <w:r>
        <w:t xml:space="preserve"> Ibid, 26.</w:t>
      </w:r>
    </w:p>
  </w:footnote>
  <w:footnote w:id="6">
    <w:p w14:paraId="3E43ADBB" w14:textId="6E6A25FC" w:rsidR="00BC547D" w:rsidRDefault="00BC547D">
      <w:pPr>
        <w:pStyle w:val="FootnoteText"/>
      </w:pPr>
      <w:r>
        <w:rPr>
          <w:rStyle w:val="FootnoteReference"/>
        </w:rPr>
        <w:footnoteRef/>
      </w:r>
      <w:r>
        <w:t xml:space="preserve"> Ibid. </w:t>
      </w:r>
    </w:p>
  </w:footnote>
  <w:footnote w:id="7">
    <w:p w14:paraId="533E9D4C" w14:textId="5A4C96B5" w:rsidR="00452D28" w:rsidRDefault="00452D28">
      <w:pPr>
        <w:pStyle w:val="FootnoteText"/>
      </w:pPr>
      <w:r>
        <w:rPr>
          <w:rStyle w:val="FootnoteReference"/>
        </w:rPr>
        <w:footnoteRef/>
      </w:r>
      <w:r>
        <w:t xml:space="preserve"> Ibid, 40. </w:t>
      </w:r>
    </w:p>
  </w:footnote>
  <w:footnote w:id="8">
    <w:p w14:paraId="2E3EA45F" w14:textId="13280D91" w:rsidR="00DC4E7A" w:rsidRDefault="00DC4E7A">
      <w:pPr>
        <w:pStyle w:val="FootnoteText"/>
      </w:pPr>
      <w:r>
        <w:rPr>
          <w:rStyle w:val="FootnoteReference"/>
        </w:rPr>
        <w:footnoteRef/>
      </w:r>
      <w:r>
        <w:t xml:space="preserve"> Ibid, 51-52. </w:t>
      </w:r>
    </w:p>
  </w:footnote>
  <w:footnote w:id="9">
    <w:p w14:paraId="39834BF8" w14:textId="7019E3CD" w:rsidR="006F13B4" w:rsidRDefault="006F13B4">
      <w:pPr>
        <w:pStyle w:val="FootnoteText"/>
      </w:pPr>
      <w:r>
        <w:rPr>
          <w:rStyle w:val="FootnoteReference"/>
        </w:rPr>
        <w:footnoteRef/>
      </w:r>
      <w:r>
        <w:t xml:space="preserve"> Ibid, 58. </w:t>
      </w:r>
    </w:p>
  </w:footnote>
  <w:footnote w:id="10">
    <w:p w14:paraId="07419DAF" w14:textId="6CA5FBF6" w:rsidR="00DC4E7A" w:rsidRDefault="00DC4E7A">
      <w:pPr>
        <w:pStyle w:val="FootnoteText"/>
      </w:pPr>
      <w:r>
        <w:rPr>
          <w:rStyle w:val="FootnoteReference"/>
        </w:rPr>
        <w:footnoteRef/>
      </w:r>
      <w:r>
        <w:t xml:space="preserve"> Ibid, 57</w:t>
      </w:r>
    </w:p>
  </w:footnote>
  <w:footnote w:id="11">
    <w:p w14:paraId="6131911D" w14:textId="1A093F2F" w:rsidR="00AF1193" w:rsidRDefault="00AF1193">
      <w:pPr>
        <w:pStyle w:val="FootnoteText"/>
      </w:pPr>
      <w:r>
        <w:rPr>
          <w:rStyle w:val="FootnoteReference"/>
        </w:rPr>
        <w:footnoteRef/>
      </w:r>
      <w:r>
        <w:t xml:space="preserve"> Ibid, 19. </w:t>
      </w:r>
    </w:p>
  </w:footnote>
  <w:footnote w:id="12">
    <w:p w14:paraId="42EAC3D2" w14:textId="32314CB7" w:rsidR="00AF1193" w:rsidRDefault="00AF1193">
      <w:pPr>
        <w:pStyle w:val="FootnoteText"/>
      </w:pPr>
      <w:r>
        <w:rPr>
          <w:rStyle w:val="FootnoteReference"/>
        </w:rPr>
        <w:footnoteRef/>
      </w:r>
      <w:r>
        <w:t xml:space="preserve"> Ibid.</w:t>
      </w:r>
    </w:p>
  </w:footnote>
  <w:footnote w:id="13">
    <w:p w14:paraId="04DC65C5" w14:textId="0C63B8BE" w:rsidR="00093615" w:rsidRDefault="00093615">
      <w:pPr>
        <w:pStyle w:val="FootnoteText"/>
      </w:pPr>
      <w:r>
        <w:rPr>
          <w:rStyle w:val="FootnoteReference"/>
        </w:rPr>
        <w:footnoteRef/>
      </w:r>
      <w:r>
        <w:t xml:space="preserve"> Ibid 20. </w:t>
      </w:r>
    </w:p>
  </w:footnote>
  <w:footnote w:id="14">
    <w:p w14:paraId="62C5428D" w14:textId="4A4E7A31" w:rsidR="00093615" w:rsidRDefault="00093615">
      <w:pPr>
        <w:pStyle w:val="FootnoteText"/>
      </w:pPr>
      <w:r>
        <w:rPr>
          <w:rStyle w:val="FootnoteReference"/>
        </w:rPr>
        <w:footnoteRef/>
      </w:r>
      <w:r>
        <w:t xml:space="preserve"> Ibid. </w:t>
      </w:r>
    </w:p>
  </w:footnote>
  <w:footnote w:id="15">
    <w:p w14:paraId="0E05B8F7" w14:textId="5905885E" w:rsidR="00093615" w:rsidRDefault="00093615">
      <w:pPr>
        <w:pStyle w:val="FootnoteText"/>
      </w:pPr>
      <w:r>
        <w:rPr>
          <w:rStyle w:val="FootnoteReference"/>
        </w:rPr>
        <w:footnoteRef/>
      </w:r>
      <w:r>
        <w:t xml:space="preserve"> Ibid. </w:t>
      </w:r>
    </w:p>
  </w:footnote>
  <w:footnote w:id="16">
    <w:p w14:paraId="656926B5" w14:textId="15227091" w:rsidR="00183210" w:rsidRDefault="00183210">
      <w:pPr>
        <w:pStyle w:val="FootnoteText"/>
      </w:pPr>
      <w:r>
        <w:rPr>
          <w:rStyle w:val="FootnoteReference"/>
        </w:rPr>
        <w:footnoteRef/>
      </w:r>
      <w:r>
        <w:t xml:space="preserve"> Ibid.</w:t>
      </w:r>
    </w:p>
  </w:footnote>
  <w:footnote w:id="17">
    <w:p w14:paraId="39BFDF41" w14:textId="740576A7" w:rsidR="00682FEB" w:rsidRDefault="00682FEB">
      <w:pPr>
        <w:pStyle w:val="FootnoteText"/>
      </w:pPr>
      <w:r>
        <w:rPr>
          <w:rStyle w:val="FootnoteReference"/>
        </w:rPr>
        <w:footnoteRef/>
      </w:r>
      <w:r>
        <w:t xml:space="preserve"> Ibid, 66.</w:t>
      </w:r>
    </w:p>
  </w:footnote>
  <w:footnote w:id="18">
    <w:p w14:paraId="2B019A8F" w14:textId="5B01F5B3" w:rsidR="006713DB" w:rsidRDefault="006713DB">
      <w:pPr>
        <w:pStyle w:val="FootnoteText"/>
      </w:pPr>
      <w:r>
        <w:rPr>
          <w:rStyle w:val="FootnoteReference"/>
        </w:rPr>
        <w:footnoteRef/>
      </w:r>
      <w:r>
        <w:t xml:space="preserve"> Ibid</w:t>
      </w:r>
      <w:r w:rsidR="00D8680E">
        <w:t xml:space="preserve"> 7-8,</w:t>
      </w:r>
      <w:r>
        <w:t xml:space="preserve"> 73. </w:t>
      </w:r>
    </w:p>
  </w:footnote>
  <w:footnote w:id="19">
    <w:p w14:paraId="4140F5C4" w14:textId="6B590719" w:rsidR="00077C25" w:rsidRDefault="00077C25">
      <w:pPr>
        <w:pStyle w:val="FootnoteText"/>
      </w:pPr>
      <w:r>
        <w:rPr>
          <w:rStyle w:val="FootnoteReference"/>
        </w:rPr>
        <w:footnoteRef/>
      </w:r>
      <w:r>
        <w:t xml:space="preserve"> Ibid, p 60. </w:t>
      </w:r>
    </w:p>
  </w:footnote>
  <w:footnote w:id="20">
    <w:p w14:paraId="0B1FBA88" w14:textId="5D82DEAD" w:rsidR="00077C25" w:rsidRDefault="00077C25">
      <w:pPr>
        <w:pStyle w:val="FootnoteText"/>
      </w:pPr>
      <w:r>
        <w:rPr>
          <w:rStyle w:val="FootnoteReference"/>
        </w:rPr>
        <w:footnoteRef/>
      </w:r>
      <w:r>
        <w:t xml:space="preserve"> Ibid. </w:t>
      </w:r>
    </w:p>
  </w:footnote>
  <w:footnote w:id="21">
    <w:p w14:paraId="130EFC6D" w14:textId="62E5D9EA" w:rsidR="00483DB1" w:rsidRDefault="00483DB1">
      <w:pPr>
        <w:pStyle w:val="FootnoteText"/>
      </w:pPr>
      <w:r>
        <w:rPr>
          <w:rStyle w:val="FootnoteReference"/>
        </w:rPr>
        <w:footnoteRef/>
      </w:r>
      <w:r>
        <w:t xml:space="preserve"> Ibid, 8.</w:t>
      </w:r>
    </w:p>
  </w:footnote>
  <w:footnote w:id="22">
    <w:p w14:paraId="4AC939F3" w14:textId="0F9B6AE4" w:rsidR="00686FC6" w:rsidRDefault="00686FC6">
      <w:pPr>
        <w:pStyle w:val="FootnoteText"/>
      </w:pPr>
      <w:r>
        <w:rPr>
          <w:rStyle w:val="FootnoteReference"/>
        </w:rPr>
        <w:footnoteRef/>
      </w:r>
      <w:r>
        <w:t xml:space="preserve"> Ibid, 23. </w:t>
      </w:r>
    </w:p>
  </w:footnote>
  <w:footnote w:id="23">
    <w:p w14:paraId="7F1A7BC3" w14:textId="29597B5E" w:rsidR="0015025A" w:rsidRDefault="0015025A">
      <w:pPr>
        <w:pStyle w:val="FootnoteText"/>
      </w:pPr>
      <w:r>
        <w:rPr>
          <w:rStyle w:val="FootnoteReference"/>
        </w:rPr>
        <w:footnoteRef/>
      </w:r>
      <w:r>
        <w:t xml:space="preserve"> Ibid 31.</w:t>
      </w:r>
    </w:p>
  </w:footnote>
  <w:footnote w:id="24">
    <w:p w14:paraId="69FA5BDD" w14:textId="423A3D81" w:rsidR="002C339F" w:rsidRDefault="002C339F">
      <w:pPr>
        <w:pStyle w:val="FootnoteText"/>
      </w:pPr>
      <w:r>
        <w:rPr>
          <w:rStyle w:val="FootnoteReference"/>
        </w:rPr>
        <w:footnoteRef/>
      </w:r>
      <w:r>
        <w:t xml:space="preserve"> Ibid. </w:t>
      </w:r>
    </w:p>
  </w:footnote>
  <w:footnote w:id="25">
    <w:p w14:paraId="7F8BC928" w14:textId="76C3A82A" w:rsidR="00A84181" w:rsidRDefault="00A84181">
      <w:pPr>
        <w:pStyle w:val="FootnoteText"/>
      </w:pPr>
      <w:r>
        <w:rPr>
          <w:rStyle w:val="FootnoteReference"/>
        </w:rPr>
        <w:footnoteRef/>
      </w:r>
      <w:r>
        <w:t xml:space="preserve"> Ibid 32.</w:t>
      </w:r>
    </w:p>
  </w:footnote>
  <w:footnote w:id="26">
    <w:p w14:paraId="26FEB45B" w14:textId="58343EC0" w:rsidR="00A84181" w:rsidRDefault="00A84181">
      <w:pPr>
        <w:pStyle w:val="FootnoteText"/>
      </w:pPr>
      <w:r>
        <w:rPr>
          <w:rStyle w:val="FootnoteReference"/>
        </w:rPr>
        <w:footnoteRef/>
      </w:r>
      <w:r>
        <w:t xml:space="preserve"> </w:t>
      </w:r>
      <w:r w:rsidR="003728E8">
        <w:t>I</w:t>
      </w:r>
      <w:r>
        <w:t>b</w:t>
      </w:r>
      <w:r w:rsidR="003728E8">
        <w:t>i</w:t>
      </w:r>
      <w:r>
        <w:t xml:space="preserve">d 33. </w:t>
      </w:r>
    </w:p>
  </w:footnote>
  <w:footnote w:id="27">
    <w:p w14:paraId="39FCA1CD" w14:textId="6180C656" w:rsidR="00D35F91" w:rsidRPr="001115A4" w:rsidRDefault="00D35F91">
      <w:pPr>
        <w:pStyle w:val="FootnoteText"/>
      </w:pPr>
      <w:r>
        <w:rPr>
          <w:rStyle w:val="FootnoteReference"/>
        </w:rPr>
        <w:footnoteRef/>
      </w:r>
      <w:r>
        <w:t xml:space="preserve"> </w:t>
      </w:r>
      <w:r w:rsidR="00760F55">
        <w:t>S</w:t>
      </w:r>
      <w:r>
        <w:t xml:space="preserve">ee Ibid, p 63, footnote 202, </w:t>
      </w:r>
      <w:r>
        <w:rPr>
          <w:i/>
        </w:rPr>
        <w:t xml:space="preserve">i.e. </w:t>
      </w:r>
      <w:r w:rsidRPr="00D35F91">
        <w:rPr>
          <w:i/>
        </w:rPr>
        <w:t xml:space="preserve">In re SPhinX, Ltd, </w:t>
      </w:r>
      <w:r w:rsidRPr="001115A4">
        <w:t>351 BR 103, 117 (Bankr SDNY 2006)</w:t>
      </w:r>
    </w:p>
  </w:footnote>
  <w:footnote w:id="28">
    <w:p w14:paraId="08B2C97D" w14:textId="50D3871B" w:rsidR="00272FC3" w:rsidRDefault="00272FC3">
      <w:pPr>
        <w:pStyle w:val="FootnoteText"/>
      </w:pPr>
      <w:r>
        <w:rPr>
          <w:rStyle w:val="FootnoteReference"/>
        </w:rPr>
        <w:footnoteRef/>
      </w:r>
      <w:r>
        <w:t xml:space="preserve"> Ibid, 23</w:t>
      </w:r>
    </w:p>
  </w:footnote>
  <w:footnote w:id="29">
    <w:p w14:paraId="6091BD11" w14:textId="57D544D4" w:rsidR="00760F55" w:rsidRDefault="00760F55">
      <w:pPr>
        <w:pStyle w:val="FootnoteText"/>
      </w:pPr>
      <w:r>
        <w:rPr>
          <w:rStyle w:val="FootnoteReference"/>
        </w:rPr>
        <w:footnoteRef/>
      </w:r>
      <w:r>
        <w:t xml:space="preserve"> Ibid, 22-23.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838"/>
    <w:multiLevelType w:val="hybridMultilevel"/>
    <w:tmpl w:val="A314D5E8"/>
    <w:lvl w:ilvl="0" w:tplc="C23AA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FC0554"/>
    <w:multiLevelType w:val="hybridMultilevel"/>
    <w:tmpl w:val="6CDCBA58"/>
    <w:lvl w:ilvl="0" w:tplc="9814D2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57177"/>
    <w:multiLevelType w:val="hybridMultilevel"/>
    <w:tmpl w:val="028AB214"/>
    <w:lvl w:ilvl="0" w:tplc="2C18E69E">
      <w:numFmt w:val="bullet"/>
      <w:lvlText w:val="-"/>
      <w:lvlJc w:val="left"/>
      <w:pPr>
        <w:ind w:left="720" w:hanging="360"/>
      </w:pPr>
      <w:rPr>
        <w:rFonts w:ascii="Avenir Next" w:eastAsiaTheme="minorHAnsi"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6065A5"/>
    <w:multiLevelType w:val="hybridMultilevel"/>
    <w:tmpl w:val="5CAC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abstractNumId w:val="26"/>
  </w:num>
  <w:num w:numId="2">
    <w:abstractNumId w:val="30"/>
  </w:num>
  <w:num w:numId="3">
    <w:abstractNumId w:val="6"/>
  </w:num>
  <w:num w:numId="4">
    <w:abstractNumId w:val="10"/>
  </w:num>
  <w:num w:numId="5">
    <w:abstractNumId w:val="13"/>
  </w:num>
  <w:num w:numId="6">
    <w:abstractNumId w:val="34"/>
  </w:num>
  <w:num w:numId="7">
    <w:abstractNumId w:val="7"/>
  </w:num>
  <w:num w:numId="8">
    <w:abstractNumId w:val="37"/>
  </w:num>
  <w:num w:numId="9">
    <w:abstractNumId w:val="14"/>
  </w:num>
  <w:num w:numId="10">
    <w:abstractNumId w:val="29"/>
  </w:num>
  <w:num w:numId="11">
    <w:abstractNumId w:val="16"/>
  </w:num>
  <w:num w:numId="12">
    <w:abstractNumId w:val="25"/>
  </w:num>
  <w:num w:numId="13">
    <w:abstractNumId w:val="1"/>
  </w:num>
  <w:num w:numId="14">
    <w:abstractNumId w:val="12"/>
  </w:num>
  <w:num w:numId="15">
    <w:abstractNumId w:val="20"/>
  </w:num>
  <w:num w:numId="16">
    <w:abstractNumId w:val="9"/>
  </w:num>
  <w:num w:numId="17">
    <w:abstractNumId w:val="5"/>
  </w:num>
  <w:num w:numId="18">
    <w:abstractNumId w:val="4"/>
  </w:num>
  <w:num w:numId="19">
    <w:abstractNumId w:val="31"/>
  </w:num>
  <w:num w:numId="20">
    <w:abstractNumId w:val="8"/>
  </w:num>
  <w:num w:numId="21">
    <w:abstractNumId w:val="28"/>
  </w:num>
  <w:num w:numId="22">
    <w:abstractNumId w:val="39"/>
  </w:num>
  <w:num w:numId="23">
    <w:abstractNumId w:val="15"/>
  </w:num>
  <w:num w:numId="24">
    <w:abstractNumId w:val="32"/>
  </w:num>
  <w:num w:numId="25">
    <w:abstractNumId w:val="22"/>
  </w:num>
  <w:num w:numId="26">
    <w:abstractNumId w:val="23"/>
  </w:num>
  <w:num w:numId="27">
    <w:abstractNumId w:val="18"/>
  </w:num>
  <w:num w:numId="28">
    <w:abstractNumId w:val="35"/>
  </w:num>
  <w:num w:numId="29">
    <w:abstractNumId w:val="2"/>
  </w:num>
  <w:num w:numId="30">
    <w:abstractNumId w:val="19"/>
  </w:num>
  <w:num w:numId="31">
    <w:abstractNumId w:val="24"/>
  </w:num>
  <w:num w:numId="32">
    <w:abstractNumId w:val="40"/>
  </w:num>
  <w:num w:numId="33">
    <w:abstractNumId w:val="17"/>
  </w:num>
  <w:num w:numId="34">
    <w:abstractNumId w:val="3"/>
  </w:num>
  <w:num w:numId="35">
    <w:abstractNumId w:val="36"/>
  </w:num>
  <w:num w:numId="36">
    <w:abstractNumId w:val="38"/>
  </w:num>
  <w:num w:numId="37">
    <w:abstractNumId w:val="11"/>
  </w:num>
  <w:num w:numId="38">
    <w:abstractNumId w:val="0"/>
  </w:num>
  <w:num w:numId="39">
    <w:abstractNumId w:val="21"/>
  </w:num>
  <w:num w:numId="40">
    <w:abstractNumId w:val="33"/>
  </w:num>
  <w:num w:numId="4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14F66"/>
    <w:rsid w:val="00020557"/>
    <w:rsid w:val="00021FC2"/>
    <w:rsid w:val="00022E00"/>
    <w:rsid w:val="000250C7"/>
    <w:rsid w:val="00026F16"/>
    <w:rsid w:val="000346E7"/>
    <w:rsid w:val="00037621"/>
    <w:rsid w:val="00037671"/>
    <w:rsid w:val="00044D46"/>
    <w:rsid w:val="00045088"/>
    <w:rsid w:val="00045904"/>
    <w:rsid w:val="000502FD"/>
    <w:rsid w:val="00056028"/>
    <w:rsid w:val="000618CD"/>
    <w:rsid w:val="000643AB"/>
    <w:rsid w:val="00065166"/>
    <w:rsid w:val="00074227"/>
    <w:rsid w:val="000778B1"/>
    <w:rsid w:val="00077C25"/>
    <w:rsid w:val="000810B2"/>
    <w:rsid w:val="00082609"/>
    <w:rsid w:val="00082A08"/>
    <w:rsid w:val="000851CC"/>
    <w:rsid w:val="00093615"/>
    <w:rsid w:val="00093BE8"/>
    <w:rsid w:val="000968D6"/>
    <w:rsid w:val="00097B45"/>
    <w:rsid w:val="00097D56"/>
    <w:rsid w:val="000A407B"/>
    <w:rsid w:val="000A636A"/>
    <w:rsid w:val="000A68ED"/>
    <w:rsid w:val="000A7A3D"/>
    <w:rsid w:val="000B2B06"/>
    <w:rsid w:val="000B5FF1"/>
    <w:rsid w:val="000B609F"/>
    <w:rsid w:val="000B6AED"/>
    <w:rsid w:val="000C3F72"/>
    <w:rsid w:val="000C4C5B"/>
    <w:rsid w:val="000D55A8"/>
    <w:rsid w:val="000D569D"/>
    <w:rsid w:val="000E4841"/>
    <w:rsid w:val="000F1677"/>
    <w:rsid w:val="000F3D6C"/>
    <w:rsid w:val="000F4C70"/>
    <w:rsid w:val="000F7FC2"/>
    <w:rsid w:val="00101707"/>
    <w:rsid w:val="00102CC9"/>
    <w:rsid w:val="00106CA8"/>
    <w:rsid w:val="001109FE"/>
    <w:rsid w:val="001115A4"/>
    <w:rsid w:val="0011473D"/>
    <w:rsid w:val="00115C85"/>
    <w:rsid w:val="0012224B"/>
    <w:rsid w:val="00123855"/>
    <w:rsid w:val="00126A4D"/>
    <w:rsid w:val="0014171F"/>
    <w:rsid w:val="001437A8"/>
    <w:rsid w:val="001445EF"/>
    <w:rsid w:val="0014622C"/>
    <w:rsid w:val="0015025A"/>
    <w:rsid w:val="00152348"/>
    <w:rsid w:val="0015456D"/>
    <w:rsid w:val="00155FA2"/>
    <w:rsid w:val="00160679"/>
    <w:rsid w:val="00161F1B"/>
    <w:rsid w:val="00162829"/>
    <w:rsid w:val="001647AD"/>
    <w:rsid w:val="00175BFF"/>
    <w:rsid w:val="00180548"/>
    <w:rsid w:val="00180AC4"/>
    <w:rsid w:val="00180CCE"/>
    <w:rsid w:val="0018267A"/>
    <w:rsid w:val="00182779"/>
    <w:rsid w:val="001830DF"/>
    <w:rsid w:val="00183210"/>
    <w:rsid w:val="001966D9"/>
    <w:rsid w:val="00197E4B"/>
    <w:rsid w:val="001A3958"/>
    <w:rsid w:val="001A522E"/>
    <w:rsid w:val="001A7E9A"/>
    <w:rsid w:val="001B0F70"/>
    <w:rsid w:val="001B142D"/>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26B42"/>
    <w:rsid w:val="0024116D"/>
    <w:rsid w:val="00241B44"/>
    <w:rsid w:val="00241FA3"/>
    <w:rsid w:val="002423AC"/>
    <w:rsid w:val="002428D9"/>
    <w:rsid w:val="00245EFB"/>
    <w:rsid w:val="002512E3"/>
    <w:rsid w:val="0025386E"/>
    <w:rsid w:val="00256B74"/>
    <w:rsid w:val="002638B0"/>
    <w:rsid w:val="00263B20"/>
    <w:rsid w:val="0026647A"/>
    <w:rsid w:val="002668D3"/>
    <w:rsid w:val="00272084"/>
    <w:rsid w:val="0027299F"/>
    <w:rsid w:val="00272FC3"/>
    <w:rsid w:val="00274119"/>
    <w:rsid w:val="00282BF8"/>
    <w:rsid w:val="00284EBE"/>
    <w:rsid w:val="0028775A"/>
    <w:rsid w:val="002903A7"/>
    <w:rsid w:val="00291367"/>
    <w:rsid w:val="0029433F"/>
    <w:rsid w:val="00294829"/>
    <w:rsid w:val="0029690F"/>
    <w:rsid w:val="00297C8A"/>
    <w:rsid w:val="002A0056"/>
    <w:rsid w:val="002A16B3"/>
    <w:rsid w:val="002A2A60"/>
    <w:rsid w:val="002A37BB"/>
    <w:rsid w:val="002B1C45"/>
    <w:rsid w:val="002B5D64"/>
    <w:rsid w:val="002C13C8"/>
    <w:rsid w:val="002C339F"/>
    <w:rsid w:val="002C3547"/>
    <w:rsid w:val="002C7492"/>
    <w:rsid w:val="002D0021"/>
    <w:rsid w:val="002D0AB9"/>
    <w:rsid w:val="002D2149"/>
    <w:rsid w:val="002D299D"/>
    <w:rsid w:val="002D3473"/>
    <w:rsid w:val="002D6789"/>
    <w:rsid w:val="002D78C5"/>
    <w:rsid w:val="002F1752"/>
    <w:rsid w:val="002F1956"/>
    <w:rsid w:val="002F3440"/>
    <w:rsid w:val="002F75A3"/>
    <w:rsid w:val="003001F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263"/>
    <w:rsid w:val="00341AA6"/>
    <w:rsid w:val="00345BAA"/>
    <w:rsid w:val="003502EB"/>
    <w:rsid w:val="00352E16"/>
    <w:rsid w:val="0036099C"/>
    <w:rsid w:val="00361A0A"/>
    <w:rsid w:val="00364836"/>
    <w:rsid w:val="0036565C"/>
    <w:rsid w:val="0036625E"/>
    <w:rsid w:val="0036662D"/>
    <w:rsid w:val="003728E8"/>
    <w:rsid w:val="0037465A"/>
    <w:rsid w:val="00380ED3"/>
    <w:rsid w:val="00382261"/>
    <w:rsid w:val="00382C98"/>
    <w:rsid w:val="00383458"/>
    <w:rsid w:val="003840CA"/>
    <w:rsid w:val="0038533C"/>
    <w:rsid w:val="00386568"/>
    <w:rsid w:val="00390B57"/>
    <w:rsid w:val="00393E28"/>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02"/>
    <w:rsid w:val="003E0B16"/>
    <w:rsid w:val="003E67D1"/>
    <w:rsid w:val="00404329"/>
    <w:rsid w:val="00405DC1"/>
    <w:rsid w:val="00415F1F"/>
    <w:rsid w:val="004172DA"/>
    <w:rsid w:val="0042108F"/>
    <w:rsid w:val="004248F6"/>
    <w:rsid w:val="004273B0"/>
    <w:rsid w:val="00430FED"/>
    <w:rsid w:val="00434A8C"/>
    <w:rsid w:val="00435733"/>
    <w:rsid w:val="00437297"/>
    <w:rsid w:val="00441E1D"/>
    <w:rsid w:val="00444284"/>
    <w:rsid w:val="00445CE6"/>
    <w:rsid w:val="00446B61"/>
    <w:rsid w:val="00452D28"/>
    <w:rsid w:val="004534C2"/>
    <w:rsid w:val="0045446F"/>
    <w:rsid w:val="00455018"/>
    <w:rsid w:val="0045683E"/>
    <w:rsid w:val="00477C72"/>
    <w:rsid w:val="004830F8"/>
    <w:rsid w:val="00483DB1"/>
    <w:rsid w:val="00484B73"/>
    <w:rsid w:val="00491675"/>
    <w:rsid w:val="00493855"/>
    <w:rsid w:val="00494B81"/>
    <w:rsid w:val="00495E79"/>
    <w:rsid w:val="004A57DD"/>
    <w:rsid w:val="004A7B51"/>
    <w:rsid w:val="004A7D71"/>
    <w:rsid w:val="004A7EF3"/>
    <w:rsid w:val="004B11FD"/>
    <w:rsid w:val="004B23A2"/>
    <w:rsid w:val="004B5A5C"/>
    <w:rsid w:val="004C1F61"/>
    <w:rsid w:val="004D1A5A"/>
    <w:rsid w:val="004D2FFF"/>
    <w:rsid w:val="004D36D5"/>
    <w:rsid w:val="004D3721"/>
    <w:rsid w:val="004D4255"/>
    <w:rsid w:val="004D64F9"/>
    <w:rsid w:val="004E1F4B"/>
    <w:rsid w:val="004E3A6B"/>
    <w:rsid w:val="004E5AF5"/>
    <w:rsid w:val="004E622C"/>
    <w:rsid w:val="004F28C9"/>
    <w:rsid w:val="004F49B5"/>
    <w:rsid w:val="004F5FDF"/>
    <w:rsid w:val="004F7B99"/>
    <w:rsid w:val="00515810"/>
    <w:rsid w:val="005177FE"/>
    <w:rsid w:val="00521F05"/>
    <w:rsid w:val="0052263B"/>
    <w:rsid w:val="00524728"/>
    <w:rsid w:val="00524AC2"/>
    <w:rsid w:val="00527858"/>
    <w:rsid w:val="00531377"/>
    <w:rsid w:val="005331CA"/>
    <w:rsid w:val="005344F8"/>
    <w:rsid w:val="00537032"/>
    <w:rsid w:val="00537970"/>
    <w:rsid w:val="00540E3A"/>
    <w:rsid w:val="00543CCE"/>
    <w:rsid w:val="00544127"/>
    <w:rsid w:val="005463A9"/>
    <w:rsid w:val="00553EB2"/>
    <w:rsid w:val="00560534"/>
    <w:rsid w:val="00561C60"/>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16E1D"/>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0F2C"/>
    <w:rsid w:val="006713DB"/>
    <w:rsid w:val="00676F12"/>
    <w:rsid w:val="00677AEB"/>
    <w:rsid w:val="00680ABF"/>
    <w:rsid w:val="00680EF2"/>
    <w:rsid w:val="00682FEB"/>
    <w:rsid w:val="006844A8"/>
    <w:rsid w:val="00684BE5"/>
    <w:rsid w:val="00686FC6"/>
    <w:rsid w:val="00687A1D"/>
    <w:rsid w:val="0069085E"/>
    <w:rsid w:val="00694007"/>
    <w:rsid w:val="0069730B"/>
    <w:rsid w:val="00697EA1"/>
    <w:rsid w:val="006A2646"/>
    <w:rsid w:val="006A42F8"/>
    <w:rsid w:val="006A6530"/>
    <w:rsid w:val="006A6A11"/>
    <w:rsid w:val="006B3571"/>
    <w:rsid w:val="006B435A"/>
    <w:rsid w:val="006B4C64"/>
    <w:rsid w:val="006C65F4"/>
    <w:rsid w:val="006D6BD5"/>
    <w:rsid w:val="006E481A"/>
    <w:rsid w:val="006E5298"/>
    <w:rsid w:val="006F13B4"/>
    <w:rsid w:val="006F4A78"/>
    <w:rsid w:val="006F4F50"/>
    <w:rsid w:val="006F6655"/>
    <w:rsid w:val="006F734A"/>
    <w:rsid w:val="00700D83"/>
    <w:rsid w:val="00704852"/>
    <w:rsid w:val="007074E9"/>
    <w:rsid w:val="00713DA4"/>
    <w:rsid w:val="00714BF1"/>
    <w:rsid w:val="00717011"/>
    <w:rsid w:val="00717C2C"/>
    <w:rsid w:val="00721383"/>
    <w:rsid w:val="0072569E"/>
    <w:rsid w:val="00730B0A"/>
    <w:rsid w:val="0073158B"/>
    <w:rsid w:val="007333CC"/>
    <w:rsid w:val="0073399A"/>
    <w:rsid w:val="00740655"/>
    <w:rsid w:val="00741CBF"/>
    <w:rsid w:val="007603F5"/>
    <w:rsid w:val="00760F55"/>
    <w:rsid w:val="00764608"/>
    <w:rsid w:val="00764DB0"/>
    <w:rsid w:val="0076764D"/>
    <w:rsid w:val="00767C70"/>
    <w:rsid w:val="0077498C"/>
    <w:rsid w:val="00776E08"/>
    <w:rsid w:val="00777C53"/>
    <w:rsid w:val="007809BC"/>
    <w:rsid w:val="00784128"/>
    <w:rsid w:val="00787BCC"/>
    <w:rsid w:val="00793173"/>
    <w:rsid w:val="00796398"/>
    <w:rsid w:val="007A2A33"/>
    <w:rsid w:val="007B0809"/>
    <w:rsid w:val="007B5C89"/>
    <w:rsid w:val="007C1FCC"/>
    <w:rsid w:val="007C6201"/>
    <w:rsid w:val="007C690E"/>
    <w:rsid w:val="007D0192"/>
    <w:rsid w:val="007D23F3"/>
    <w:rsid w:val="007D3DF5"/>
    <w:rsid w:val="007D6135"/>
    <w:rsid w:val="007D7C92"/>
    <w:rsid w:val="007E1154"/>
    <w:rsid w:val="007E6BA4"/>
    <w:rsid w:val="007F12AB"/>
    <w:rsid w:val="007F276C"/>
    <w:rsid w:val="007F41F8"/>
    <w:rsid w:val="007F659B"/>
    <w:rsid w:val="0080454E"/>
    <w:rsid w:val="00804C32"/>
    <w:rsid w:val="00805305"/>
    <w:rsid w:val="00806302"/>
    <w:rsid w:val="00807119"/>
    <w:rsid w:val="008177BC"/>
    <w:rsid w:val="00821F0A"/>
    <w:rsid w:val="0082483F"/>
    <w:rsid w:val="008279C0"/>
    <w:rsid w:val="00831C4C"/>
    <w:rsid w:val="00834F92"/>
    <w:rsid w:val="0083721E"/>
    <w:rsid w:val="00837A43"/>
    <w:rsid w:val="0084319C"/>
    <w:rsid w:val="00843A4B"/>
    <w:rsid w:val="00853272"/>
    <w:rsid w:val="00855BA7"/>
    <w:rsid w:val="008625FB"/>
    <w:rsid w:val="0087116D"/>
    <w:rsid w:val="008723F3"/>
    <w:rsid w:val="00872711"/>
    <w:rsid w:val="00875912"/>
    <w:rsid w:val="00881DE6"/>
    <w:rsid w:val="008837A6"/>
    <w:rsid w:val="00884643"/>
    <w:rsid w:val="0089145D"/>
    <w:rsid w:val="0089582E"/>
    <w:rsid w:val="00895EF1"/>
    <w:rsid w:val="008A4DF2"/>
    <w:rsid w:val="008A5B9C"/>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370E3"/>
    <w:rsid w:val="00942123"/>
    <w:rsid w:val="009427E0"/>
    <w:rsid w:val="0095207B"/>
    <w:rsid w:val="00962045"/>
    <w:rsid w:val="00963D77"/>
    <w:rsid w:val="00964224"/>
    <w:rsid w:val="00980E61"/>
    <w:rsid w:val="00991428"/>
    <w:rsid w:val="00992676"/>
    <w:rsid w:val="009954B2"/>
    <w:rsid w:val="00996691"/>
    <w:rsid w:val="009A2F63"/>
    <w:rsid w:val="009B0723"/>
    <w:rsid w:val="009B07AD"/>
    <w:rsid w:val="009B0883"/>
    <w:rsid w:val="009B15E2"/>
    <w:rsid w:val="009B4976"/>
    <w:rsid w:val="009B6B6E"/>
    <w:rsid w:val="009C0B8E"/>
    <w:rsid w:val="009C1BC8"/>
    <w:rsid w:val="009C2442"/>
    <w:rsid w:val="009D0811"/>
    <w:rsid w:val="009D0EE1"/>
    <w:rsid w:val="009D5B73"/>
    <w:rsid w:val="009E2AEB"/>
    <w:rsid w:val="009E2E27"/>
    <w:rsid w:val="009E45DF"/>
    <w:rsid w:val="009E4DE3"/>
    <w:rsid w:val="009F275E"/>
    <w:rsid w:val="009F7EA6"/>
    <w:rsid w:val="00A024E7"/>
    <w:rsid w:val="00A047EE"/>
    <w:rsid w:val="00A04D79"/>
    <w:rsid w:val="00A2274A"/>
    <w:rsid w:val="00A235B7"/>
    <w:rsid w:val="00A27A7A"/>
    <w:rsid w:val="00A3165E"/>
    <w:rsid w:val="00A34ABE"/>
    <w:rsid w:val="00A407EF"/>
    <w:rsid w:val="00A42344"/>
    <w:rsid w:val="00A46B4C"/>
    <w:rsid w:val="00A5117B"/>
    <w:rsid w:val="00A51F2C"/>
    <w:rsid w:val="00A56D34"/>
    <w:rsid w:val="00A60074"/>
    <w:rsid w:val="00A6313C"/>
    <w:rsid w:val="00A64C6C"/>
    <w:rsid w:val="00A6627C"/>
    <w:rsid w:val="00A67795"/>
    <w:rsid w:val="00A71019"/>
    <w:rsid w:val="00A75D43"/>
    <w:rsid w:val="00A77C98"/>
    <w:rsid w:val="00A81029"/>
    <w:rsid w:val="00A81F08"/>
    <w:rsid w:val="00A82B32"/>
    <w:rsid w:val="00A84181"/>
    <w:rsid w:val="00A9088B"/>
    <w:rsid w:val="00A94F58"/>
    <w:rsid w:val="00A95463"/>
    <w:rsid w:val="00A96489"/>
    <w:rsid w:val="00AA0280"/>
    <w:rsid w:val="00AA7BE3"/>
    <w:rsid w:val="00AB1B65"/>
    <w:rsid w:val="00AB2425"/>
    <w:rsid w:val="00AB685C"/>
    <w:rsid w:val="00AB6C2D"/>
    <w:rsid w:val="00AC08F7"/>
    <w:rsid w:val="00AC3839"/>
    <w:rsid w:val="00AC7082"/>
    <w:rsid w:val="00AD4BE8"/>
    <w:rsid w:val="00AE1D79"/>
    <w:rsid w:val="00AF1193"/>
    <w:rsid w:val="00AF228E"/>
    <w:rsid w:val="00B016A8"/>
    <w:rsid w:val="00B01E81"/>
    <w:rsid w:val="00B10961"/>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87E5B"/>
    <w:rsid w:val="00B9639B"/>
    <w:rsid w:val="00BA6DB8"/>
    <w:rsid w:val="00BA74EF"/>
    <w:rsid w:val="00BB0F2B"/>
    <w:rsid w:val="00BB2889"/>
    <w:rsid w:val="00BC547D"/>
    <w:rsid w:val="00BD4A58"/>
    <w:rsid w:val="00BD527A"/>
    <w:rsid w:val="00BD7337"/>
    <w:rsid w:val="00BE4FF3"/>
    <w:rsid w:val="00BF0003"/>
    <w:rsid w:val="00BF1B3E"/>
    <w:rsid w:val="00BF50F7"/>
    <w:rsid w:val="00BF6B84"/>
    <w:rsid w:val="00C02F29"/>
    <w:rsid w:val="00C05A9F"/>
    <w:rsid w:val="00C0697B"/>
    <w:rsid w:val="00C20AFE"/>
    <w:rsid w:val="00C22A25"/>
    <w:rsid w:val="00C24FAB"/>
    <w:rsid w:val="00C32CF3"/>
    <w:rsid w:val="00C35671"/>
    <w:rsid w:val="00C35B77"/>
    <w:rsid w:val="00C362AA"/>
    <w:rsid w:val="00C376EB"/>
    <w:rsid w:val="00C418C0"/>
    <w:rsid w:val="00C452BC"/>
    <w:rsid w:val="00C46A92"/>
    <w:rsid w:val="00C46EC1"/>
    <w:rsid w:val="00C50B31"/>
    <w:rsid w:val="00C51703"/>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5CCD"/>
    <w:rsid w:val="00C963D3"/>
    <w:rsid w:val="00CB1983"/>
    <w:rsid w:val="00CB2CBB"/>
    <w:rsid w:val="00CB6578"/>
    <w:rsid w:val="00CB7CAC"/>
    <w:rsid w:val="00CC4818"/>
    <w:rsid w:val="00CC5335"/>
    <w:rsid w:val="00CC5BA4"/>
    <w:rsid w:val="00CD4565"/>
    <w:rsid w:val="00CD4998"/>
    <w:rsid w:val="00CD4AA9"/>
    <w:rsid w:val="00CE0ECD"/>
    <w:rsid w:val="00CE1035"/>
    <w:rsid w:val="00CE181B"/>
    <w:rsid w:val="00CE6E50"/>
    <w:rsid w:val="00CF12B2"/>
    <w:rsid w:val="00CF2819"/>
    <w:rsid w:val="00CF4001"/>
    <w:rsid w:val="00CF4F9D"/>
    <w:rsid w:val="00CF70DC"/>
    <w:rsid w:val="00D041E0"/>
    <w:rsid w:val="00D04AFE"/>
    <w:rsid w:val="00D11729"/>
    <w:rsid w:val="00D14336"/>
    <w:rsid w:val="00D148DC"/>
    <w:rsid w:val="00D17FDC"/>
    <w:rsid w:val="00D21021"/>
    <w:rsid w:val="00D21D8C"/>
    <w:rsid w:val="00D221F8"/>
    <w:rsid w:val="00D2621C"/>
    <w:rsid w:val="00D316F2"/>
    <w:rsid w:val="00D32738"/>
    <w:rsid w:val="00D34584"/>
    <w:rsid w:val="00D35F91"/>
    <w:rsid w:val="00D407CB"/>
    <w:rsid w:val="00D53719"/>
    <w:rsid w:val="00D61CC1"/>
    <w:rsid w:val="00D6273C"/>
    <w:rsid w:val="00D63EFD"/>
    <w:rsid w:val="00D73884"/>
    <w:rsid w:val="00D7456A"/>
    <w:rsid w:val="00D84752"/>
    <w:rsid w:val="00D85559"/>
    <w:rsid w:val="00D85AF6"/>
    <w:rsid w:val="00D8680E"/>
    <w:rsid w:val="00D86B3B"/>
    <w:rsid w:val="00D8748A"/>
    <w:rsid w:val="00D93196"/>
    <w:rsid w:val="00D9565D"/>
    <w:rsid w:val="00DA0DC0"/>
    <w:rsid w:val="00DA1D45"/>
    <w:rsid w:val="00DB0D9E"/>
    <w:rsid w:val="00DB243C"/>
    <w:rsid w:val="00DB466A"/>
    <w:rsid w:val="00DB482A"/>
    <w:rsid w:val="00DB50FB"/>
    <w:rsid w:val="00DB56F2"/>
    <w:rsid w:val="00DB6EF5"/>
    <w:rsid w:val="00DC3089"/>
    <w:rsid w:val="00DC359F"/>
    <w:rsid w:val="00DC4420"/>
    <w:rsid w:val="00DC4E7A"/>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1973"/>
    <w:rsid w:val="00E07C5A"/>
    <w:rsid w:val="00E13F63"/>
    <w:rsid w:val="00E15ACE"/>
    <w:rsid w:val="00E15BA9"/>
    <w:rsid w:val="00E239B8"/>
    <w:rsid w:val="00E26E10"/>
    <w:rsid w:val="00E26E19"/>
    <w:rsid w:val="00E30E60"/>
    <w:rsid w:val="00E31DF3"/>
    <w:rsid w:val="00E421C6"/>
    <w:rsid w:val="00E4465C"/>
    <w:rsid w:val="00E450A4"/>
    <w:rsid w:val="00E506BE"/>
    <w:rsid w:val="00E55547"/>
    <w:rsid w:val="00E6302B"/>
    <w:rsid w:val="00E6452F"/>
    <w:rsid w:val="00E64F45"/>
    <w:rsid w:val="00E663B5"/>
    <w:rsid w:val="00E6742D"/>
    <w:rsid w:val="00E71CB0"/>
    <w:rsid w:val="00E77C3D"/>
    <w:rsid w:val="00E90991"/>
    <w:rsid w:val="00E909F0"/>
    <w:rsid w:val="00E90D47"/>
    <w:rsid w:val="00E91BE5"/>
    <w:rsid w:val="00E93993"/>
    <w:rsid w:val="00E9597C"/>
    <w:rsid w:val="00E96A92"/>
    <w:rsid w:val="00EA0913"/>
    <w:rsid w:val="00EA5B00"/>
    <w:rsid w:val="00EA78AC"/>
    <w:rsid w:val="00EB1371"/>
    <w:rsid w:val="00EB146B"/>
    <w:rsid w:val="00EB2BE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1F04"/>
    <w:rsid w:val="00F033DA"/>
    <w:rsid w:val="00F13691"/>
    <w:rsid w:val="00F13FB1"/>
    <w:rsid w:val="00F24F7B"/>
    <w:rsid w:val="00F27CD8"/>
    <w:rsid w:val="00F30351"/>
    <w:rsid w:val="00F3323E"/>
    <w:rsid w:val="00F341F4"/>
    <w:rsid w:val="00F34F9D"/>
    <w:rsid w:val="00F35CCE"/>
    <w:rsid w:val="00F418CA"/>
    <w:rsid w:val="00F5524B"/>
    <w:rsid w:val="00F60538"/>
    <w:rsid w:val="00F60CAB"/>
    <w:rsid w:val="00F61DD2"/>
    <w:rsid w:val="00F63187"/>
    <w:rsid w:val="00F66AFF"/>
    <w:rsid w:val="00F71246"/>
    <w:rsid w:val="00F71433"/>
    <w:rsid w:val="00F92140"/>
    <w:rsid w:val="00F97C5B"/>
    <w:rsid w:val="00FA3D50"/>
    <w:rsid w:val="00FB2838"/>
    <w:rsid w:val="00FB3E35"/>
    <w:rsid w:val="00FB5CAD"/>
    <w:rsid w:val="00FB7FBD"/>
    <w:rsid w:val="00FC374A"/>
    <w:rsid w:val="00FC43EC"/>
    <w:rsid w:val="00FC7AC7"/>
    <w:rsid w:val="00FC7B47"/>
    <w:rsid w:val="00FD035C"/>
    <w:rsid w:val="00FD1A35"/>
    <w:rsid w:val="00FD2EA4"/>
    <w:rsid w:val="00FD36C5"/>
    <w:rsid w:val="00FD50CD"/>
    <w:rsid w:val="00FD6310"/>
    <w:rsid w:val="00FD7C7B"/>
    <w:rsid w:val="00FE1D12"/>
    <w:rsid w:val="00FE2122"/>
    <w:rsid w:val="00FE2A86"/>
    <w:rsid w:val="00FE2DE2"/>
    <w:rsid w:val="00FE45A4"/>
    <w:rsid w:val="00FE5AD0"/>
    <w:rsid w:val="00FE5DB8"/>
    <w:rsid w:val="00FE665B"/>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6640006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61221-2F21-4ABE-ABC2-D5F1EB94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Sellick</cp:lastModifiedBy>
  <cp:revision>2</cp:revision>
  <cp:lastPrinted>2019-08-27T05:42:00Z</cp:lastPrinted>
  <dcterms:created xsi:type="dcterms:W3CDTF">2024-02-29T15:12:00Z</dcterms:created>
  <dcterms:modified xsi:type="dcterms:W3CDTF">2024-02-29T15:12:00Z</dcterms:modified>
</cp:coreProperties>
</file>