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bookmarkStart w:id="0" w:name="_GoBack"/>
      <w:bookmarkEnd w:id="0"/>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514BB5">
        <w:rPr>
          <w:rFonts w:ascii="Avenir Next" w:hAnsi="Avenir Next" w:cs="Arial"/>
          <w:sz w:val="22"/>
          <w:szCs w:val="22"/>
          <w:highlight w:val="yellow"/>
          <w:lang w:val="en-GB"/>
        </w:rPr>
        <w:t>w</w:t>
      </w:r>
      <w:r w:rsidR="00C91062" w:rsidRPr="00514BB5">
        <w:rPr>
          <w:rFonts w:ascii="Avenir Next" w:hAnsi="Avenir Next" w:cs="Arial"/>
          <w:sz w:val="22"/>
          <w:szCs w:val="22"/>
          <w:highlight w:val="yellow"/>
          <w:lang w:val="en-GB"/>
        </w:rPr>
        <w:t xml:space="preserve">ithin </w:t>
      </w:r>
      <w:r w:rsidR="00733A34" w:rsidRPr="00514BB5">
        <w:rPr>
          <w:rFonts w:ascii="Avenir Next" w:hAnsi="Avenir Next" w:cs="Arial"/>
          <w:sz w:val="22"/>
          <w:szCs w:val="22"/>
          <w:highlight w:val="yellow"/>
          <w:lang w:val="en-GB"/>
        </w:rPr>
        <w:t>eight</w:t>
      </w:r>
      <w:r w:rsidR="00C91062" w:rsidRPr="00514BB5">
        <w:rPr>
          <w:rFonts w:ascii="Avenir Next" w:hAnsi="Avenir Next" w:cs="Arial"/>
          <w:sz w:val="22"/>
          <w:szCs w:val="22"/>
          <w:highlight w:val="yellow"/>
          <w:lang w:val="en-GB"/>
        </w:rPr>
        <w:t xml:space="preserve"> weeks of the commencement of the administration</w:t>
      </w:r>
      <w:r w:rsidR="00763348" w:rsidRPr="00514BB5">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8A50C8">
        <w:rPr>
          <w:rFonts w:ascii="Avenir Next" w:hAnsi="Avenir Next" w:cs="Arial"/>
          <w:sz w:val="22"/>
          <w:szCs w:val="22"/>
          <w:highlight w:val="yellow"/>
          <w:lang w:val="en-GB"/>
        </w:rPr>
        <w:t>One year</w:t>
      </w:r>
      <w:r w:rsidR="00763348" w:rsidRPr="008A50C8">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BE4A69">
        <w:rPr>
          <w:rFonts w:ascii="Avenir Next" w:hAnsi="Avenir Next" w:cs="Arial"/>
          <w:sz w:val="22"/>
          <w:szCs w:val="22"/>
          <w:highlight w:val="yellow"/>
          <w:lang w:val="en-GB"/>
        </w:rPr>
        <w:t>T</w:t>
      </w:r>
      <w:r w:rsidR="008D1616" w:rsidRPr="00BE4A69">
        <w:rPr>
          <w:rFonts w:ascii="Avenir Next" w:hAnsi="Avenir Next" w:cs="Arial"/>
          <w:sz w:val="22"/>
          <w:szCs w:val="22"/>
          <w:highlight w:val="yellow"/>
          <w:lang w:val="en-GB"/>
        </w:rPr>
        <w:t>he company is, or is likely to become, unable to pay their debts, as defined under s</w:t>
      </w:r>
      <w:r w:rsidR="00E833F4" w:rsidRPr="00BE4A69">
        <w:rPr>
          <w:rFonts w:ascii="Avenir Next" w:hAnsi="Avenir Next" w:cs="Arial"/>
          <w:sz w:val="22"/>
          <w:szCs w:val="22"/>
          <w:highlight w:val="yellow"/>
          <w:lang w:val="en-GB"/>
        </w:rPr>
        <w:t>ection</w:t>
      </w:r>
      <w:r w:rsidR="008D1616" w:rsidRPr="00BE4A69">
        <w:rPr>
          <w:rFonts w:ascii="Avenir Next" w:hAnsi="Avenir Next" w:cs="Arial"/>
          <w:sz w:val="22"/>
          <w:szCs w:val="22"/>
          <w:highlight w:val="yellow"/>
          <w:lang w:val="en-GB"/>
        </w:rPr>
        <w:t xml:space="preserve"> 123 of the Insolvency Act 1986</w:t>
      </w:r>
      <w:r w:rsidR="00763348" w:rsidRPr="00BE4A69">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9C5DEB">
        <w:rPr>
          <w:rFonts w:ascii="Avenir Next" w:hAnsi="Avenir Next" w:cs="Arial"/>
          <w:sz w:val="22"/>
          <w:szCs w:val="22"/>
          <w:highlight w:val="yellow"/>
          <w:lang w:val="en-GB"/>
        </w:rPr>
        <w:t>The purchaser</w:t>
      </w:r>
      <w:r w:rsidR="00763348" w:rsidRPr="009C5DEB">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F663C9">
        <w:rPr>
          <w:rFonts w:ascii="Avenir Next" w:hAnsi="Avenir Next" w:cs="Arial"/>
          <w:sz w:val="22"/>
          <w:szCs w:val="22"/>
          <w:highlight w:val="yellow"/>
          <w:lang w:val="en-GB"/>
        </w:rPr>
        <w:t>Administration</w:t>
      </w:r>
      <w:r w:rsidR="00763348" w:rsidRPr="00F663C9">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AB1568">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9A5D86">
        <w:rPr>
          <w:rFonts w:ascii="Avenir Next" w:hAnsi="Avenir Next" w:cs="Arial"/>
          <w:sz w:val="22"/>
          <w:szCs w:val="22"/>
          <w:highlight w:val="yellow"/>
          <w:lang w:val="en-GB"/>
        </w:rPr>
        <w:t>Breach of fiduciary duty</w:t>
      </w:r>
      <w:r w:rsidR="00763348" w:rsidRPr="009A5D86">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422938">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04551C">
        <w:rPr>
          <w:rFonts w:ascii="Avenir Next" w:hAnsi="Avenir Next" w:cs="Arial"/>
          <w:sz w:val="22"/>
          <w:szCs w:val="22"/>
          <w:highlight w:val="yellow"/>
          <w:lang w:val="en-GB"/>
        </w:rPr>
        <w:t>A</w:t>
      </w:r>
      <w:r w:rsidR="000D10C6" w:rsidRPr="0004551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 xml:space="preserve">appointed after Brexit may apply to a UK court for recognition under the </w:t>
      </w:r>
      <w:proofErr w:type="gramStart"/>
      <w:r w:rsidR="00AC317D" w:rsidRPr="00197F24">
        <w:rPr>
          <w:rFonts w:ascii="Avenir Next" w:hAnsi="Avenir Next" w:cs="Arial"/>
          <w:sz w:val="22"/>
          <w:szCs w:val="22"/>
          <w:lang w:val="en-GB"/>
        </w:rPr>
        <w:t>Cross Border</w:t>
      </w:r>
      <w:proofErr w:type="gramEnd"/>
      <w:r w:rsidR="00AC317D" w:rsidRPr="00197F24">
        <w:rPr>
          <w:rFonts w:ascii="Avenir Next" w:hAnsi="Avenir Next" w:cs="Arial"/>
          <w:sz w:val="22"/>
          <w:szCs w:val="22"/>
          <w:lang w:val="en-GB"/>
        </w:rPr>
        <w:t xml:space="preserve">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840C85">
        <w:rPr>
          <w:rFonts w:ascii="Avenir Next" w:hAnsi="Avenir Next" w:cs="Arial"/>
          <w:sz w:val="22"/>
          <w:szCs w:val="22"/>
          <w:highlight w:val="yellow"/>
          <w:lang w:val="en-GB"/>
        </w:rPr>
        <w:t>Twelve</w:t>
      </w:r>
      <w:r w:rsidR="004C7A8F" w:rsidRPr="00840C85">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27D7BAFA" w:rsidR="0020090A" w:rsidRDefault="0020090A" w:rsidP="002A37BB">
      <w:pPr>
        <w:ind w:left="720" w:hanging="720"/>
        <w:jc w:val="both"/>
        <w:rPr>
          <w:rFonts w:ascii="Avenir Next" w:hAnsi="Avenir Next" w:cs="Arial"/>
          <w:sz w:val="22"/>
          <w:szCs w:val="22"/>
          <w:lang w:val="en-GB"/>
        </w:rPr>
      </w:pPr>
    </w:p>
    <w:p w14:paraId="1A2CC391" w14:textId="1CF1AF62" w:rsidR="00881325" w:rsidRDefault="008C4113" w:rsidP="00427ADE">
      <w:pPr>
        <w:pStyle w:val="ListParagraph"/>
        <w:numPr>
          <w:ilvl w:val="0"/>
          <w:numId w:val="18"/>
        </w:numPr>
        <w:ind w:left="567" w:hanging="567"/>
        <w:jc w:val="both"/>
        <w:rPr>
          <w:rFonts w:ascii="Avenir Next" w:hAnsi="Avenir Next" w:cs="Arial"/>
          <w:sz w:val="22"/>
          <w:szCs w:val="22"/>
          <w:lang w:val="en-GB"/>
        </w:rPr>
      </w:pPr>
      <w:r>
        <w:rPr>
          <w:rFonts w:ascii="Avenir Next" w:hAnsi="Avenir Next" w:cs="Arial"/>
          <w:sz w:val="22"/>
          <w:szCs w:val="22"/>
          <w:lang w:val="en-GB"/>
        </w:rPr>
        <w:t>Administrator or liquidator</w:t>
      </w:r>
      <w:r w:rsidR="00692F23">
        <w:rPr>
          <w:rFonts w:ascii="Avenir Next" w:hAnsi="Avenir Next" w:cs="Arial"/>
          <w:sz w:val="22"/>
          <w:szCs w:val="22"/>
          <w:lang w:val="en-GB"/>
        </w:rPr>
        <w:t>;</w:t>
      </w:r>
    </w:p>
    <w:p w14:paraId="5ED869C0" w14:textId="7EE1F52D" w:rsidR="00881325" w:rsidRDefault="00C030F9" w:rsidP="00427ADE">
      <w:pPr>
        <w:pStyle w:val="ListParagraph"/>
        <w:numPr>
          <w:ilvl w:val="0"/>
          <w:numId w:val="18"/>
        </w:numPr>
        <w:ind w:left="567" w:hanging="567"/>
        <w:jc w:val="both"/>
        <w:rPr>
          <w:rFonts w:ascii="Avenir Next" w:hAnsi="Avenir Next" w:cs="Arial"/>
          <w:sz w:val="22"/>
          <w:szCs w:val="22"/>
          <w:lang w:val="en-GB"/>
        </w:rPr>
      </w:pPr>
      <w:r>
        <w:rPr>
          <w:rFonts w:ascii="Avenir Next" w:hAnsi="Avenir Next" w:cs="Arial"/>
          <w:sz w:val="22"/>
          <w:szCs w:val="22"/>
          <w:lang w:val="en-GB"/>
        </w:rPr>
        <w:t xml:space="preserve">Secretary of State or Official Receiver </w:t>
      </w:r>
      <w:r w:rsidR="009D5B66">
        <w:rPr>
          <w:rFonts w:ascii="Avenir Next" w:hAnsi="Avenir Next" w:cs="Arial"/>
          <w:sz w:val="22"/>
          <w:szCs w:val="22"/>
          <w:lang w:val="en-GB"/>
        </w:rPr>
        <w:t>on</w:t>
      </w:r>
      <w:r>
        <w:rPr>
          <w:rFonts w:ascii="Avenir Next" w:hAnsi="Avenir Next" w:cs="Arial"/>
          <w:sz w:val="22"/>
          <w:szCs w:val="22"/>
          <w:lang w:val="en-GB"/>
        </w:rPr>
        <w:t xml:space="preserve"> instructions of Secretary of State (where the company in question has been, by way of court order, wound up)</w:t>
      </w:r>
      <w:r w:rsidR="00692F23">
        <w:rPr>
          <w:rFonts w:ascii="Avenir Next" w:hAnsi="Avenir Next" w:cs="Arial"/>
          <w:sz w:val="22"/>
          <w:szCs w:val="22"/>
          <w:lang w:val="en-GB"/>
        </w:rPr>
        <w:t>;</w:t>
      </w:r>
      <w:r>
        <w:rPr>
          <w:rStyle w:val="FootnoteReference"/>
          <w:rFonts w:ascii="Avenir Next" w:hAnsi="Avenir Next" w:cs="Arial"/>
          <w:sz w:val="22"/>
          <w:szCs w:val="22"/>
          <w:lang w:val="en-GB"/>
        </w:rPr>
        <w:footnoteReference w:id="1"/>
      </w:r>
    </w:p>
    <w:p w14:paraId="38172009" w14:textId="3D87B07D" w:rsidR="00C030F9" w:rsidRDefault="004821C4" w:rsidP="00427ADE">
      <w:pPr>
        <w:pStyle w:val="ListParagraph"/>
        <w:numPr>
          <w:ilvl w:val="0"/>
          <w:numId w:val="18"/>
        </w:numPr>
        <w:ind w:left="567" w:hanging="567"/>
        <w:jc w:val="both"/>
        <w:rPr>
          <w:rFonts w:ascii="Avenir Next" w:hAnsi="Avenir Next" w:cs="Arial"/>
          <w:sz w:val="22"/>
          <w:szCs w:val="22"/>
          <w:lang w:val="en-GB"/>
        </w:rPr>
      </w:pPr>
      <w:r>
        <w:rPr>
          <w:rFonts w:ascii="Avenir Next" w:hAnsi="Avenir Next" w:cs="Arial"/>
          <w:sz w:val="22"/>
          <w:szCs w:val="22"/>
          <w:lang w:val="en-GB"/>
        </w:rPr>
        <w:t>Administrator or liquidator</w:t>
      </w:r>
      <w:r w:rsidR="00692F23">
        <w:rPr>
          <w:rFonts w:ascii="Avenir Next" w:hAnsi="Avenir Next" w:cs="Arial"/>
          <w:sz w:val="22"/>
          <w:szCs w:val="22"/>
          <w:lang w:val="en-GB"/>
        </w:rPr>
        <w:t>;</w:t>
      </w:r>
    </w:p>
    <w:p w14:paraId="50BE23B9" w14:textId="7ABC552C" w:rsidR="00FA4608" w:rsidRPr="00FA4608" w:rsidRDefault="00FA4608" w:rsidP="00427ADE">
      <w:pPr>
        <w:pStyle w:val="ListParagraph"/>
        <w:numPr>
          <w:ilvl w:val="0"/>
          <w:numId w:val="18"/>
        </w:numPr>
        <w:ind w:left="567" w:hanging="567"/>
        <w:jc w:val="both"/>
        <w:rPr>
          <w:rFonts w:ascii="Avenir Next" w:hAnsi="Avenir Next" w:cs="Arial"/>
          <w:sz w:val="22"/>
          <w:szCs w:val="22"/>
          <w:lang w:val="en-GB"/>
        </w:rPr>
      </w:pPr>
      <w:r w:rsidRPr="00FA4608">
        <w:rPr>
          <w:rFonts w:ascii="Avenir Next" w:hAnsi="Avenir Next" w:cs="Arial"/>
          <w:i/>
          <w:sz w:val="22"/>
          <w:szCs w:val="22"/>
          <w:lang w:val="en-GB"/>
        </w:rPr>
        <w:t>“</w:t>
      </w:r>
      <w:r w:rsidRPr="00FA4608">
        <w:rPr>
          <w:rFonts w:ascii="Avenir Next" w:hAnsi="Avenir Next" w:cs="Arial"/>
          <w:i/>
          <w:sz w:val="22"/>
          <w:szCs w:val="22"/>
        </w:rPr>
        <w:t>A company against which a winding-up petition has been presented. Any interested party to a transaction with a company against which a winding-up petition has been presented (Re Argentum Reductions (UK) Ltd [1975] 1 WLR 186)”</w:t>
      </w:r>
      <w:r w:rsidRPr="00FA4608">
        <w:rPr>
          <w:rFonts w:ascii="Avenir Next" w:hAnsi="Avenir Next" w:cs="Arial"/>
          <w:sz w:val="22"/>
          <w:szCs w:val="22"/>
        </w:rPr>
        <w:t>.</w:t>
      </w:r>
      <w:r>
        <w:rPr>
          <w:rStyle w:val="FootnoteReference"/>
          <w:rFonts w:ascii="Avenir Next" w:hAnsi="Avenir Next" w:cs="Arial"/>
          <w:sz w:val="22"/>
          <w:szCs w:val="22"/>
        </w:rPr>
        <w:footnoteReference w:id="2"/>
      </w:r>
    </w:p>
    <w:p w14:paraId="22C610C9" w14:textId="4EB6ACC1" w:rsidR="00DE03AF" w:rsidRPr="00197F24" w:rsidRDefault="00DE03AF" w:rsidP="002A37BB">
      <w:pPr>
        <w:jc w:val="both"/>
        <w:rPr>
          <w:rFonts w:ascii="Avenir Next" w:hAnsi="Avenir Next" w:cs="Arial"/>
          <w:color w:val="7B7B7B" w:themeColor="accent3" w:themeShade="BF"/>
          <w:sz w:val="22"/>
          <w:szCs w:val="22"/>
          <w:lang w:val="en-GB"/>
        </w:rPr>
      </w:pP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02806CAB" w:rsidR="008B58D5" w:rsidRDefault="008B58D5" w:rsidP="008B58D5">
      <w:pPr>
        <w:jc w:val="both"/>
        <w:rPr>
          <w:rFonts w:ascii="Avenir Next" w:hAnsi="Avenir Next" w:cs="Arial"/>
          <w:sz w:val="22"/>
          <w:szCs w:val="22"/>
          <w:lang w:val="en-GB"/>
        </w:rPr>
      </w:pPr>
    </w:p>
    <w:p w14:paraId="13D58902" w14:textId="5A19352D" w:rsidR="001C1E3F" w:rsidRDefault="00DA34E1" w:rsidP="00DA34E1">
      <w:pPr>
        <w:pStyle w:val="ListParagraph"/>
        <w:numPr>
          <w:ilvl w:val="0"/>
          <w:numId w:val="19"/>
        </w:numPr>
        <w:ind w:left="567" w:hanging="567"/>
        <w:jc w:val="both"/>
        <w:rPr>
          <w:rFonts w:ascii="Avenir Next" w:hAnsi="Avenir Next" w:cs="Arial"/>
          <w:sz w:val="22"/>
          <w:szCs w:val="22"/>
          <w:lang w:val="en-GB"/>
        </w:rPr>
      </w:pPr>
      <w:r>
        <w:rPr>
          <w:rFonts w:ascii="Avenir Next" w:hAnsi="Avenir Next" w:cs="Arial"/>
          <w:sz w:val="22"/>
          <w:szCs w:val="22"/>
          <w:lang w:val="en-GB"/>
        </w:rPr>
        <w:t xml:space="preserve">Remuneration of the monitor; </w:t>
      </w:r>
    </w:p>
    <w:p w14:paraId="1419F224" w14:textId="1CD520EB" w:rsidR="00DA34E1" w:rsidRDefault="00DA34E1" w:rsidP="00DA34E1">
      <w:pPr>
        <w:pStyle w:val="ListParagraph"/>
        <w:numPr>
          <w:ilvl w:val="0"/>
          <w:numId w:val="19"/>
        </w:numPr>
        <w:ind w:left="567" w:hanging="567"/>
        <w:jc w:val="both"/>
        <w:rPr>
          <w:rFonts w:ascii="Avenir Next" w:hAnsi="Avenir Next" w:cs="Arial"/>
          <w:sz w:val="22"/>
          <w:szCs w:val="22"/>
          <w:lang w:val="en-GB"/>
        </w:rPr>
      </w:pPr>
      <w:r>
        <w:rPr>
          <w:rFonts w:ascii="Avenir Next" w:hAnsi="Avenir Next" w:cs="Arial"/>
          <w:sz w:val="22"/>
          <w:szCs w:val="22"/>
          <w:lang w:val="en-GB"/>
        </w:rPr>
        <w:t>Services or goods supplied during the Moratorium;</w:t>
      </w:r>
    </w:p>
    <w:p w14:paraId="7CB42939" w14:textId="375CA094" w:rsidR="00DA34E1" w:rsidRDefault="00DA34E1" w:rsidP="00DA34E1">
      <w:pPr>
        <w:pStyle w:val="ListParagraph"/>
        <w:numPr>
          <w:ilvl w:val="0"/>
          <w:numId w:val="19"/>
        </w:numPr>
        <w:ind w:left="567" w:hanging="567"/>
        <w:jc w:val="both"/>
        <w:rPr>
          <w:rFonts w:ascii="Avenir Next" w:hAnsi="Avenir Next" w:cs="Arial"/>
          <w:sz w:val="22"/>
          <w:szCs w:val="22"/>
          <w:lang w:val="en-GB"/>
        </w:rPr>
      </w:pPr>
      <w:r>
        <w:rPr>
          <w:rFonts w:ascii="Avenir Next" w:hAnsi="Avenir Next" w:cs="Arial"/>
          <w:sz w:val="22"/>
          <w:szCs w:val="22"/>
          <w:lang w:val="en-GB"/>
        </w:rPr>
        <w:t xml:space="preserve">Rent in regard to a period during the Moratorium; </w:t>
      </w:r>
    </w:p>
    <w:p w14:paraId="778912FF" w14:textId="6D37743F" w:rsidR="00DA34E1" w:rsidRDefault="00DA34E1" w:rsidP="00DA34E1">
      <w:pPr>
        <w:pStyle w:val="ListParagraph"/>
        <w:numPr>
          <w:ilvl w:val="0"/>
          <w:numId w:val="19"/>
        </w:numPr>
        <w:ind w:left="567" w:hanging="567"/>
        <w:jc w:val="both"/>
        <w:rPr>
          <w:rFonts w:ascii="Avenir Next" w:hAnsi="Avenir Next" w:cs="Arial"/>
          <w:sz w:val="22"/>
          <w:szCs w:val="22"/>
          <w:lang w:val="en-GB"/>
        </w:rPr>
      </w:pPr>
      <w:r>
        <w:rPr>
          <w:rFonts w:ascii="Avenir Next" w:hAnsi="Avenir Next" w:cs="Arial"/>
          <w:sz w:val="22"/>
          <w:szCs w:val="22"/>
          <w:lang w:val="en-GB"/>
        </w:rPr>
        <w:t>Salary or wages arising under a contract of employment; and</w:t>
      </w:r>
    </w:p>
    <w:p w14:paraId="39138EDE" w14:textId="25D9E720" w:rsidR="00DA34E1" w:rsidRPr="00DA34E1" w:rsidRDefault="00DA34E1" w:rsidP="00DA34E1">
      <w:pPr>
        <w:pStyle w:val="ListParagraph"/>
        <w:numPr>
          <w:ilvl w:val="0"/>
          <w:numId w:val="19"/>
        </w:numPr>
        <w:ind w:left="567" w:hanging="567"/>
        <w:jc w:val="both"/>
        <w:rPr>
          <w:rFonts w:ascii="Avenir Next" w:hAnsi="Avenir Next" w:cs="Arial"/>
          <w:sz w:val="22"/>
          <w:szCs w:val="22"/>
          <w:lang w:val="en-GB"/>
        </w:rPr>
      </w:pPr>
      <w:r>
        <w:rPr>
          <w:rFonts w:ascii="Avenir Next" w:hAnsi="Avenir Next" w:cs="Arial"/>
          <w:sz w:val="22"/>
          <w:szCs w:val="22"/>
          <w:lang w:val="en-GB"/>
        </w:rPr>
        <w:t>Payments in respect of redundancy.</w:t>
      </w:r>
      <w:r>
        <w:rPr>
          <w:rStyle w:val="FootnoteReference"/>
          <w:rFonts w:ascii="Avenir Next" w:hAnsi="Avenir Next" w:cs="Arial"/>
          <w:sz w:val="22"/>
          <w:szCs w:val="22"/>
          <w:lang w:val="en-GB"/>
        </w:rPr>
        <w:footnoteReference w:id="3"/>
      </w:r>
    </w:p>
    <w:p w14:paraId="4B78F1A1" w14:textId="77777777" w:rsidR="001C1E3F" w:rsidRPr="006925C1" w:rsidRDefault="001C1E3F" w:rsidP="008B58D5">
      <w:pPr>
        <w:jc w:val="both"/>
        <w:rPr>
          <w:rFonts w:ascii="Avenir Next" w:hAnsi="Avenir Next" w:cs="Arial"/>
          <w:sz w:val="22"/>
          <w:szCs w:val="22"/>
          <w:lang w:val="en-GB"/>
        </w:rPr>
      </w:pP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0E9387DD"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CCFD27F" w14:textId="5BCB283A" w:rsidR="0092701F" w:rsidRDefault="0092701F" w:rsidP="00FA417D">
      <w:pPr>
        <w:jc w:val="both"/>
        <w:rPr>
          <w:rFonts w:ascii="Avenir Next" w:hAnsi="Avenir Next" w:cs="Arial"/>
          <w:sz w:val="22"/>
          <w:szCs w:val="22"/>
          <w:lang w:val="en-GB"/>
        </w:rPr>
      </w:pPr>
    </w:p>
    <w:p w14:paraId="57659130" w14:textId="3C5B9FEB" w:rsidR="00ED50FB" w:rsidRPr="00E14B90" w:rsidRDefault="0092701F" w:rsidP="00310345">
      <w:pPr>
        <w:jc w:val="both"/>
        <w:rPr>
          <w:rFonts w:ascii="Avenir Next" w:hAnsi="Avenir Next" w:cs="Arial"/>
          <w:sz w:val="22"/>
          <w:szCs w:val="22"/>
          <w:lang w:val="en-GB"/>
        </w:rPr>
      </w:pPr>
      <w:r>
        <w:rPr>
          <w:rFonts w:ascii="Avenir Next" w:hAnsi="Avenir Next" w:cs="Arial"/>
          <w:sz w:val="22"/>
          <w:szCs w:val="22"/>
          <w:lang w:val="en-GB"/>
        </w:rPr>
        <w:t>Yes</w:t>
      </w:r>
      <w:r w:rsidR="00C37366">
        <w:rPr>
          <w:rFonts w:ascii="Avenir Next" w:hAnsi="Avenir Next" w:cs="Arial"/>
          <w:sz w:val="22"/>
          <w:szCs w:val="22"/>
          <w:lang w:val="en-GB"/>
        </w:rPr>
        <w:t xml:space="preserve">. </w:t>
      </w:r>
      <w:r w:rsidR="001D2C69">
        <w:rPr>
          <w:rFonts w:ascii="Avenir Next" w:hAnsi="Avenir Next" w:cs="Arial"/>
          <w:sz w:val="22"/>
          <w:szCs w:val="22"/>
          <w:lang w:val="en-GB"/>
        </w:rPr>
        <w:t>T</w:t>
      </w:r>
      <w:r w:rsidR="00ED50FB">
        <w:rPr>
          <w:rFonts w:ascii="Avenir Next" w:hAnsi="Avenir Next" w:cs="Arial"/>
          <w:sz w:val="22"/>
          <w:szCs w:val="22"/>
          <w:lang w:val="en-GB"/>
        </w:rPr>
        <w:t xml:space="preserve">he Insolvency Act 1986, section 233 (which, as per 233(3), applies to </w:t>
      </w:r>
      <w:r w:rsidR="001D2C69">
        <w:rPr>
          <w:rFonts w:ascii="Avenir Next" w:hAnsi="Avenir Next" w:cs="Arial"/>
          <w:sz w:val="22"/>
          <w:szCs w:val="22"/>
          <w:lang w:val="en-GB"/>
        </w:rPr>
        <w:t xml:space="preserve">the </w:t>
      </w:r>
      <w:r w:rsidR="00ED50FB" w:rsidRPr="00ED50FB">
        <w:rPr>
          <w:rFonts w:ascii="Avenir Next" w:hAnsi="Avenir Next" w:cs="Arial"/>
          <w:sz w:val="22"/>
          <w:szCs w:val="22"/>
          <w:lang w:val="en-GB"/>
        </w:rPr>
        <w:t>supply of gas, electricity, water and communications services</w:t>
      </w:r>
      <w:r w:rsidR="00ED50FB">
        <w:rPr>
          <w:rFonts w:ascii="Avenir Next" w:hAnsi="Avenir Next" w:cs="Arial"/>
          <w:sz w:val="22"/>
          <w:szCs w:val="22"/>
          <w:lang w:val="en-GB"/>
        </w:rPr>
        <w:t>)</w:t>
      </w:r>
      <w:r w:rsidR="001D2C69">
        <w:rPr>
          <w:rFonts w:ascii="Avenir Next" w:hAnsi="Avenir Next" w:cs="Arial"/>
          <w:sz w:val="22"/>
          <w:szCs w:val="22"/>
          <w:lang w:val="en-GB"/>
        </w:rPr>
        <w:t>, stipulates that if a request is made by the administrator after the effective date (</w:t>
      </w:r>
      <w:r w:rsidR="001D2C69">
        <w:rPr>
          <w:rFonts w:ascii="Avenir Next" w:hAnsi="Avenir Next" w:cs="Arial"/>
          <w:i/>
          <w:sz w:val="22"/>
          <w:szCs w:val="22"/>
          <w:lang w:val="en-GB"/>
        </w:rPr>
        <w:t xml:space="preserve">i.e. </w:t>
      </w:r>
      <w:r w:rsidR="001D2C69">
        <w:rPr>
          <w:rFonts w:ascii="Avenir Next" w:hAnsi="Avenir Next" w:cs="Arial"/>
          <w:sz w:val="22"/>
          <w:szCs w:val="22"/>
          <w:lang w:val="en-GB"/>
        </w:rPr>
        <w:t xml:space="preserve">as per s 233(4)(a), the date the administration commenced), the supplier </w:t>
      </w:r>
      <w:r w:rsidR="001D2C69">
        <w:rPr>
          <w:rFonts w:ascii="Avenir Next" w:hAnsi="Avenir Next" w:cs="Arial"/>
          <w:i/>
          <w:sz w:val="22"/>
          <w:szCs w:val="22"/>
          <w:lang w:val="en-GB"/>
        </w:rPr>
        <w:t>“</w:t>
      </w:r>
      <w:r w:rsidR="001D2C69" w:rsidRPr="001D2C69">
        <w:rPr>
          <w:rFonts w:ascii="Avenir Next" w:hAnsi="Avenir Next" w:cs="Arial"/>
          <w:i/>
          <w:sz w:val="22"/>
          <w:szCs w:val="22"/>
          <w:lang w:val="en-GB"/>
        </w:rPr>
        <w:t>shall not make it a condition of the giving of the supply, or do anything which has the</w:t>
      </w:r>
      <w:r w:rsidR="00523CA8">
        <w:rPr>
          <w:rFonts w:ascii="Avenir Next" w:hAnsi="Avenir Next" w:cs="Arial"/>
          <w:i/>
          <w:sz w:val="22"/>
          <w:szCs w:val="22"/>
          <w:lang w:val="en-GB"/>
        </w:rPr>
        <w:t xml:space="preserve"> </w:t>
      </w:r>
      <w:r w:rsidR="001D2C69" w:rsidRPr="001D2C69">
        <w:rPr>
          <w:rFonts w:ascii="Avenir Next" w:hAnsi="Avenir Next" w:cs="Arial"/>
          <w:i/>
          <w:sz w:val="22"/>
          <w:szCs w:val="22"/>
          <w:lang w:val="en-GB"/>
        </w:rPr>
        <w:t>effect of making it a condition of the giving of the supply, that any outstanding charges in</w:t>
      </w:r>
      <w:r w:rsidR="00523CA8">
        <w:rPr>
          <w:rFonts w:ascii="Avenir Next" w:hAnsi="Avenir Next" w:cs="Arial"/>
          <w:i/>
          <w:sz w:val="22"/>
          <w:szCs w:val="22"/>
          <w:lang w:val="en-GB"/>
        </w:rPr>
        <w:t xml:space="preserve"> </w:t>
      </w:r>
      <w:r w:rsidR="001D2C69" w:rsidRPr="001D2C69">
        <w:rPr>
          <w:rFonts w:ascii="Avenir Next" w:hAnsi="Avenir Next" w:cs="Arial"/>
          <w:i/>
          <w:sz w:val="22"/>
          <w:szCs w:val="22"/>
          <w:lang w:val="en-GB"/>
        </w:rPr>
        <w:t>respect of a supply given to the company before the effective date are paid</w:t>
      </w:r>
      <w:r w:rsidR="001D2C69">
        <w:rPr>
          <w:rFonts w:ascii="Avenir Next" w:hAnsi="Avenir Next" w:cs="Arial"/>
          <w:i/>
          <w:sz w:val="22"/>
          <w:szCs w:val="22"/>
          <w:lang w:val="en-GB"/>
        </w:rPr>
        <w:t xml:space="preserve">” </w:t>
      </w:r>
      <w:r w:rsidR="001D2C69">
        <w:rPr>
          <w:rFonts w:ascii="Avenir Next" w:hAnsi="Avenir Next" w:cs="Arial"/>
          <w:sz w:val="22"/>
          <w:szCs w:val="22"/>
          <w:lang w:val="en-GB"/>
        </w:rPr>
        <w:t>(233(2)(b)), but</w:t>
      </w:r>
      <w:r w:rsidR="00E14B90">
        <w:rPr>
          <w:rFonts w:ascii="Avenir Next" w:hAnsi="Avenir Next" w:cs="Arial"/>
          <w:sz w:val="22"/>
          <w:szCs w:val="22"/>
          <w:lang w:val="en-GB"/>
        </w:rPr>
        <w:t xml:space="preserve"> the supplier</w:t>
      </w:r>
      <w:r w:rsidR="001D2C69">
        <w:rPr>
          <w:rFonts w:ascii="Avenir Next" w:hAnsi="Avenir Next" w:cs="Arial"/>
          <w:sz w:val="22"/>
          <w:szCs w:val="22"/>
          <w:lang w:val="en-GB"/>
        </w:rPr>
        <w:t xml:space="preserve"> can make it a condition of the giving of the new supply that the administrator personally guarantees the payment of any charges </w:t>
      </w:r>
      <w:r w:rsidR="001D2C69">
        <w:rPr>
          <w:rFonts w:ascii="Avenir Next" w:hAnsi="Avenir Next" w:cs="Arial"/>
          <w:sz w:val="22"/>
          <w:szCs w:val="22"/>
          <w:lang w:val="en-GB"/>
        </w:rPr>
        <w:lastRenderedPageBreak/>
        <w:t>in respect of the supply (s 233(2)(a)).</w:t>
      </w:r>
      <w:r w:rsidR="00310345">
        <w:rPr>
          <w:rFonts w:ascii="Avenir Next" w:hAnsi="Avenir Next" w:cs="Arial"/>
          <w:sz w:val="22"/>
          <w:szCs w:val="22"/>
          <w:lang w:val="en-GB"/>
        </w:rPr>
        <w:t xml:space="preserve"> In this regard, however, </w:t>
      </w:r>
      <w:r w:rsidR="00310345">
        <w:rPr>
          <w:rFonts w:ascii="Avenir Next" w:hAnsi="Avenir Next" w:cs="Arial"/>
          <w:i/>
          <w:sz w:val="22"/>
          <w:szCs w:val="22"/>
          <w:lang w:val="en-GB"/>
        </w:rPr>
        <w:t xml:space="preserve">“communication services”, </w:t>
      </w:r>
      <w:r w:rsidR="00310345" w:rsidRPr="00310345">
        <w:rPr>
          <w:rFonts w:ascii="Avenir Next" w:hAnsi="Avenir Next" w:cs="Arial"/>
          <w:sz w:val="22"/>
          <w:szCs w:val="22"/>
          <w:lang w:val="en-GB"/>
        </w:rPr>
        <w:t xml:space="preserve">as per </w:t>
      </w:r>
      <w:r w:rsidR="00310345">
        <w:rPr>
          <w:rFonts w:ascii="Avenir Next" w:hAnsi="Avenir Next" w:cs="Arial"/>
          <w:sz w:val="22"/>
          <w:szCs w:val="22"/>
          <w:lang w:val="en-GB"/>
        </w:rPr>
        <w:t xml:space="preserve">s </w:t>
      </w:r>
      <w:r w:rsidR="00310345" w:rsidRPr="00310345">
        <w:rPr>
          <w:rFonts w:ascii="Avenir Next" w:hAnsi="Avenir Next" w:cs="Arial"/>
          <w:sz w:val="22"/>
          <w:szCs w:val="22"/>
          <w:lang w:val="en-GB"/>
        </w:rPr>
        <w:t>233(5)(d)</w:t>
      </w:r>
      <w:r w:rsidR="00310345">
        <w:rPr>
          <w:rFonts w:ascii="Avenir Next" w:hAnsi="Avenir Next" w:cs="Arial"/>
          <w:sz w:val="22"/>
          <w:szCs w:val="22"/>
          <w:lang w:val="en-GB"/>
        </w:rPr>
        <w:t xml:space="preserve">, </w:t>
      </w:r>
      <w:r w:rsidR="00310345">
        <w:rPr>
          <w:rFonts w:ascii="Avenir Next" w:hAnsi="Avenir Next" w:cs="Arial"/>
          <w:i/>
          <w:sz w:val="22"/>
          <w:szCs w:val="22"/>
          <w:lang w:val="en-GB"/>
        </w:rPr>
        <w:t>“</w:t>
      </w:r>
      <w:r w:rsidR="00310345" w:rsidRPr="00310345">
        <w:rPr>
          <w:rFonts w:ascii="Avenir Next" w:hAnsi="Avenir Next" w:cs="Arial"/>
          <w:i/>
          <w:sz w:val="22"/>
          <w:szCs w:val="22"/>
          <w:lang w:val="en-GB"/>
        </w:rPr>
        <w:t>do not include electronic communications services to the</w:t>
      </w:r>
      <w:r w:rsidR="00310345">
        <w:rPr>
          <w:rFonts w:ascii="Avenir Next" w:hAnsi="Avenir Next" w:cs="Arial"/>
          <w:i/>
          <w:sz w:val="22"/>
          <w:szCs w:val="22"/>
          <w:lang w:val="en-GB"/>
        </w:rPr>
        <w:t xml:space="preserve"> </w:t>
      </w:r>
      <w:r w:rsidR="00310345" w:rsidRPr="00310345">
        <w:rPr>
          <w:rFonts w:ascii="Avenir Next" w:hAnsi="Avenir Next" w:cs="Arial"/>
          <w:i/>
          <w:sz w:val="22"/>
          <w:szCs w:val="22"/>
          <w:lang w:val="en-GB"/>
        </w:rPr>
        <w:t>extent that they are used to broadcast or otherwise transmit programme services (within the</w:t>
      </w:r>
      <w:r w:rsidR="00310345">
        <w:rPr>
          <w:rFonts w:ascii="Avenir Next" w:hAnsi="Avenir Next" w:cs="Arial"/>
          <w:i/>
          <w:sz w:val="22"/>
          <w:szCs w:val="22"/>
          <w:lang w:val="en-GB"/>
        </w:rPr>
        <w:t xml:space="preserve"> </w:t>
      </w:r>
      <w:r w:rsidR="00310345" w:rsidRPr="00310345">
        <w:rPr>
          <w:rFonts w:ascii="Avenir Next" w:hAnsi="Avenir Next" w:cs="Arial"/>
          <w:i/>
          <w:sz w:val="22"/>
          <w:szCs w:val="22"/>
          <w:lang w:val="en-GB"/>
        </w:rPr>
        <w:t>meaning of the Communications Act 2003)</w:t>
      </w:r>
      <w:r w:rsidR="00310345">
        <w:rPr>
          <w:rFonts w:ascii="Avenir Next" w:hAnsi="Avenir Next" w:cs="Arial"/>
          <w:i/>
          <w:sz w:val="22"/>
          <w:szCs w:val="22"/>
          <w:lang w:val="en-GB"/>
        </w:rPr>
        <w:t>”</w:t>
      </w:r>
      <w:r w:rsidR="00E14B90">
        <w:rPr>
          <w:rFonts w:ascii="Avenir Next" w:hAnsi="Avenir Next" w:cs="Arial"/>
          <w:sz w:val="22"/>
          <w:szCs w:val="22"/>
          <w:lang w:val="en-GB"/>
        </w:rPr>
        <w:t xml:space="preserve">. </w:t>
      </w:r>
    </w:p>
    <w:p w14:paraId="0177AADA" w14:textId="63A2913C" w:rsidR="00ED50FB" w:rsidRDefault="00ED50FB" w:rsidP="00FA417D">
      <w:pPr>
        <w:jc w:val="both"/>
        <w:rPr>
          <w:rFonts w:ascii="Avenir Next" w:hAnsi="Avenir Next" w:cs="Arial"/>
          <w:sz w:val="22"/>
          <w:szCs w:val="22"/>
          <w:lang w:val="en-GB"/>
        </w:rPr>
      </w:pPr>
    </w:p>
    <w:p w14:paraId="5398E0FF" w14:textId="4572A3AA" w:rsidR="00ED50FB" w:rsidRDefault="001D2C69" w:rsidP="00ED50FB">
      <w:pPr>
        <w:jc w:val="both"/>
        <w:rPr>
          <w:rFonts w:ascii="Avenir Next" w:hAnsi="Avenir Next" w:cs="Arial"/>
          <w:sz w:val="22"/>
          <w:szCs w:val="22"/>
          <w:lang w:val="en-GB"/>
        </w:rPr>
      </w:pPr>
      <w:r>
        <w:rPr>
          <w:rFonts w:ascii="Avenir Next" w:hAnsi="Avenir Next" w:cs="Arial"/>
          <w:sz w:val="22"/>
          <w:szCs w:val="22"/>
          <w:lang w:val="en-GB"/>
        </w:rPr>
        <w:t>Furthermore, under section 233A the supplier, barring certain exceptions (</w:t>
      </w:r>
      <w:r>
        <w:rPr>
          <w:rFonts w:ascii="Avenir Next" w:hAnsi="Avenir Next" w:cs="Arial"/>
          <w:i/>
          <w:sz w:val="22"/>
          <w:szCs w:val="22"/>
          <w:lang w:val="en-GB"/>
        </w:rPr>
        <w:t xml:space="preserve">i.e. </w:t>
      </w:r>
      <w:r>
        <w:rPr>
          <w:rFonts w:ascii="Avenir Next" w:hAnsi="Avenir Next" w:cs="Arial"/>
          <w:sz w:val="22"/>
          <w:szCs w:val="22"/>
          <w:lang w:val="en-GB"/>
        </w:rPr>
        <w:t>see s 233</w:t>
      </w:r>
      <w:proofErr w:type="gramStart"/>
      <w:r>
        <w:rPr>
          <w:rFonts w:ascii="Avenir Next" w:hAnsi="Avenir Next" w:cs="Arial"/>
          <w:sz w:val="22"/>
          <w:szCs w:val="22"/>
          <w:lang w:val="en-GB"/>
        </w:rPr>
        <w:t>A(</w:t>
      </w:r>
      <w:proofErr w:type="gramEnd"/>
      <w:r>
        <w:rPr>
          <w:rFonts w:ascii="Avenir Next" w:hAnsi="Avenir Next" w:cs="Arial"/>
          <w:sz w:val="22"/>
          <w:szCs w:val="22"/>
          <w:lang w:val="en-GB"/>
        </w:rPr>
        <w:t xml:space="preserve">2)), cannot rely upon an </w:t>
      </w:r>
      <w:r w:rsidR="00ED50FB" w:rsidRPr="001D2C69">
        <w:rPr>
          <w:rFonts w:ascii="Avenir Next" w:hAnsi="Avenir Next" w:cs="Arial"/>
          <w:i/>
          <w:sz w:val="22"/>
          <w:szCs w:val="22"/>
          <w:lang w:val="en-GB"/>
        </w:rPr>
        <w:t>“insolvency-related term”</w:t>
      </w:r>
      <w:r w:rsidR="00ED50FB" w:rsidRPr="00ED50FB">
        <w:rPr>
          <w:rFonts w:ascii="Avenir Next" w:hAnsi="Avenir Next" w:cs="Arial"/>
          <w:sz w:val="22"/>
          <w:szCs w:val="22"/>
          <w:lang w:val="en-GB"/>
        </w:rPr>
        <w:t xml:space="preserve"> in a </w:t>
      </w:r>
      <w:r>
        <w:rPr>
          <w:rFonts w:ascii="Avenir Next" w:hAnsi="Avenir Next" w:cs="Arial"/>
          <w:sz w:val="22"/>
          <w:szCs w:val="22"/>
          <w:lang w:val="en-GB"/>
        </w:rPr>
        <w:t>supply contract</w:t>
      </w:r>
      <w:r w:rsidR="00ED50FB" w:rsidRPr="00ED50FB">
        <w:rPr>
          <w:rFonts w:ascii="Avenir Next" w:hAnsi="Avenir Next" w:cs="Arial"/>
          <w:sz w:val="22"/>
          <w:szCs w:val="22"/>
          <w:lang w:val="en-GB"/>
        </w:rPr>
        <w:t xml:space="preserve"> </w:t>
      </w:r>
      <w:r>
        <w:rPr>
          <w:rFonts w:ascii="Avenir Next" w:hAnsi="Avenir Next" w:cs="Arial"/>
          <w:sz w:val="22"/>
          <w:szCs w:val="22"/>
          <w:lang w:val="en-GB"/>
        </w:rPr>
        <w:t>if it would</w:t>
      </w:r>
      <w:r w:rsidR="00ED50FB" w:rsidRPr="00ED50FB">
        <w:rPr>
          <w:rFonts w:ascii="Avenir Next" w:hAnsi="Avenir Next" w:cs="Arial"/>
          <w:sz w:val="22"/>
          <w:szCs w:val="22"/>
          <w:lang w:val="en-GB"/>
        </w:rPr>
        <w:t xml:space="preserve"> otherwise entitle the supplier to alter the terms of the supply</w:t>
      </w:r>
      <w:r>
        <w:rPr>
          <w:rFonts w:ascii="Avenir Next" w:hAnsi="Avenir Next" w:cs="Arial"/>
          <w:sz w:val="22"/>
          <w:szCs w:val="22"/>
          <w:lang w:val="en-GB"/>
        </w:rPr>
        <w:t xml:space="preserve">, </w:t>
      </w:r>
      <w:r w:rsidRPr="00ED50FB">
        <w:rPr>
          <w:rFonts w:ascii="Avenir Next" w:hAnsi="Avenir Next" w:cs="Arial"/>
          <w:sz w:val="22"/>
          <w:szCs w:val="22"/>
          <w:lang w:val="en-GB"/>
        </w:rPr>
        <w:t>terminate the supply</w:t>
      </w:r>
      <w:r w:rsidR="00ED50FB" w:rsidRPr="00ED50FB">
        <w:rPr>
          <w:rFonts w:ascii="Avenir Next" w:hAnsi="Avenir Next" w:cs="Arial"/>
          <w:sz w:val="22"/>
          <w:szCs w:val="22"/>
          <w:lang w:val="en-GB"/>
        </w:rPr>
        <w:t xml:space="preserve"> or </w:t>
      </w:r>
      <w:r>
        <w:rPr>
          <w:rFonts w:ascii="Avenir Next" w:hAnsi="Avenir Next" w:cs="Arial"/>
          <w:sz w:val="22"/>
          <w:szCs w:val="22"/>
          <w:lang w:val="en-GB"/>
        </w:rPr>
        <w:t>require</w:t>
      </w:r>
      <w:r w:rsidR="00ED50FB" w:rsidRPr="00ED50FB">
        <w:rPr>
          <w:rFonts w:ascii="Avenir Next" w:hAnsi="Avenir Next" w:cs="Arial"/>
          <w:sz w:val="22"/>
          <w:szCs w:val="22"/>
          <w:lang w:val="en-GB"/>
        </w:rPr>
        <w:t xml:space="preserve"> higher payments for continued</w:t>
      </w:r>
      <w:r w:rsidR="00E14B90">
        <w:rPr>
          <w:rFonts w:ascii="Avenir Next" w:hAnsi="Avenir Next" w:cs="Arial"/>
          <w:sz w:val="22"/>
          <w:szCs w:val="22"/>
          <w:lang w:val="en-GB"/>
        </w:rPr>
        <w:t xml:space="preserve"> </w:t>
      </w:r>
      <w:r w:rsidR="00ED50FB" w:rsidRPr="00ED50FB">
        <w:rPr>
          <w:rFonts w:ascii="Avenir Next" w:hAnsi="Avenir Next" w:cs="Arial"/>
          <w:sz w:val="22"/>
          <w:szCs w:val="22"/>
          <w:lang w:val="en-GB"/>
        </w:rPr>
        <w:t>supply.</w:t>
      </w:r>
      <w:r>
        <w:rPr>
          <w:rStyle w:val="FootnoteReference"/>
          <w:rFonts w:ascii="Avenir Next" w:hAnsi="Avenir Next" w:cs="Arial"/>
          <w:sz w:val="22"/>
          <w:szCs w:val="22"/>
          <w:lang w:val="en-GB"/>
        </w:rPr>
        <w:footnoteReference w:id="4"/>
      </w:r>
    </w:p>
    <w:p w14:paraId="332016B9" w14:textId="77777777" w:rsidR="00ED50FB" w:rsidRDefault="00ED50FB" w:rsidP="00FA417D">
      <w:pPr>
        <w:jc w:val="both"/>
        <w:rPr>
          <w:rFonts w:ascii="Avenir Next" w:hAnsi="Avenir Next" w:cs="Arial"/>
          <w:sz w:val="22"/>
          <w:szCs w:val="22"/>
          <w:lang w:val="en-GB"/>
        </w:rPr>
      </w:pPr>
    </w:p>
    <w:p w14:paraId="1765DF3E" w14:textId="3C441331" w:rsidR="00BE1468" w:rsidRPr="00BE1468" w:rsidRDefault="00BE1468" w:rsidP="00BE1468">
      <w:pPr>
        <w:jc w:val="both"/>
        <w:rPr>
          <w:rFonts w:ascii="Avenir Next" w:hAnsi="Avenir Next" w:cs="Arial"/>
          <w:i/>
          <w:sz w:val="22"/>
          <w:szCs w:val="22"/>
          <w:lang w:val="en-GB"/>
        </w:rPr>
      </w:pPr>
      <w:r>
        <w:rPr>
          <w:rFonts w:ascii="Avenir Next" w:hAnsi="Avenir Next" w:cs="Arial"/>
          <w:sz w:val="22"/>
          <w:szCs w:val="22"/>
          <w:lang w:val="en-GB"/>
        </w:rPr>
        <w:t>Section 233</w:t>
      </w:r>
      <w:proofErr w:type="gramStart"/>
      <w:r>
        <w:rPr>
          <w:rFonts w:ascii="Avenir Next" w:hAnsi="Avenir Next" w:cs="Arial"/>
          <w:sz w:val="22"/>
          <w:szCs w:val="22"/>
          <w:lang w:val="en-GB"/>
        </w:rPr>
        <w:t>B(</w:t>
      </w:r>
      <w:proofErr w:type="gramEnd"/>
      <w:r>
        <w:rPr>
          <w:rFonts w:ascii="Avenir Next" w:hAnsi="Avenir Next" w:cs="Arial"/>
          <w:sz w:val="22"/>
          <w:szCs w:val="22"/>
          <w:lang w:val="en-GB"/>
        </w:rPr>
        <w:t xml:space="preserve">3) also states that </w:t>
      </w:r>
      <w:r w:rsidRPr="00BE1468">
        <w:rPr>
          <w:rFonts w:ascii="Avenir Next" w:hAnsi="Avenir Next" w:cs="Arial"/>
          <w:i/>
          <w:sz w:val="22"/>
          <w:szCs w:val="22"/>
          <w:lang w:val="en-GB"/>
        </w:rPr>
        <w:t>“A provision of a contract for the supply of goods or services to the company ceases to have effect when the company becomes subject to the relevant insolvency procedure if and to the extent that, under the provision—</w:t>
      </w:r>
    </w:p>
    <w:p w14:paraId="3A3206B2" w14:textId="77777777" w:rsidR="00BE1468" w:rsidRPr="00BE1468" w:rsidRDefault="00BE1468" w:rsidP="00BE1468">
      <w:pPr>
        <w:jc w:val="both"/>
        <w:rPr>
          <w:rFonts w:ascii="Avenir Next" w:hAnsi="Avenir Next" w:cs="Arial"/>
          <w:i/>
          <w:sz w:val="22"/>
          <w:szCs w:val="22"/>
          <w:lang w:val="en-GB"/>
        </w:rPr>
      </w:pPr>
      <w:r w:rsidRPr="00BE1468">
        <w:rPr>
          <w:rFonts w:ascii="Avenir Next" w:hAnsi="Avenir Next" w:cs="Arial"/>
          <w:i/>
          <w:sz w:val="22"/>
          <w:szCs w:val="22"/>
          <w:lang w:val="en-GB"/>
        </w:rPr>
        <w:t>(a) the contract or the supply would terminate, or any other thing would take place, because</w:t>
      </w:r>
    </w:p>
    <w:p w14:paraId="2C37A4D8" w14:textId="77777777" w:rsidR="00BE1468" w:rsidRPr="00BE1468" w:rsidRDefault="00BE1468" w:rsidP="00BE1468">
      <w:pPr>
        <w:jc w:val="both"/>
        <w:rPr>
          <w:rFonts w:ascii="Avenir Next" w:hAnsi="Avenir Next" w:cs="Arial"/>
          <w:i/>
          <w:sz w:val="22"/>
          <w:szCs w:val="22"/>
          <w:lang w:val="en-GB"/>
        </w:rPr>
      </w:pPr>
      <w:r w:rsidRPr="00BE1468">
        <w:rPr>
          <w:rFonts w:ascii="Avenir Next" w:hAnsi="Avenir Next" w:cs="Arial"/>
          <w:i/>
          <w:sz w:val="22"/>
          <w:szCs w:val="22"/>
          <w:lang w:val="en-GB"/>
        </w:rPr>
        <w:t>the company becomes subject to the relevant insolvency procedure, or</w:t>
      </w:r>
    </w:p>
    <w:p w14:paraId="6DBBC590" w14:textId="77777777" w:rsidR="00BE1468" w:rsidRPr="00BE1468" w:rsidRDefault="00BE1468" w:rsidP="00BE1468">
      <w:pPr>
        <w:jc w:val="both"/>
        <w:rPr>
          <w:rFonts w:ascii="Avenir Next" w:hAnsi="Avenir Next" w:cs="Arial"/>
          <w:i/>
          <w:sz w:val="22"/>
          <w:szCs w:val="22"/>
          <w:lang w:val="en-GB"/>
        </w:rPr>
      </w:pPr>
      <w:r w:rsidRPr="00BE1468">
        <w:rPr>
          <w:rFonts w:ascii="Avenir Next" w:hAnsi="Avenir Next" w:cs="Arial"/>
          <w:i/>
          <w:sz w:val="22"/>
          <w:szCs w:val="22"/>
          <w:lang w:val="en-GB"/>
        </w:rPr>
        <w:t>(b) the supplier would be entitled to terminate the contract or the supply, or to do any other</w:t>
      </w:r>
    </w:p>
    <w:p w14:paraId="3CF36C32" w14:textId="6B7C454E" w:rsidR="00ED50FB" w:rsidRPr="00BE1468" w:rsidRDefault="00BE1468" w:rsidP="00BE1468">
      <w:pPr>
        <w:jc w:val="both"/>
        <w:rPr>
          <w:rFonts w:ascii="Avenir Next" w:hAnsi="Avenir Next" w:cs="Arial"/>
          <w:i/>
          <w:sz w:val="22"/>
          <w:szCs w:val="22"/>
          <w:lang w:val="en-GB"/>
        </w:rPr>
      </w:pPr>
      <w:r w:rsidRPr="00BE1468">
        <w:rPr>
          <w:rFonts w:ascii="Avenir Next" w:hAnsi="Avenir Next" w:cs="Arial"/>
          <w:i/>
          <w:sz w:val="22"/>
          <w:szCs w:val="22"/>
          <w:lang w:val="en-GB"/>
        </w:rPr>
        <w:t>thing, because the company becomes subject to the relevant insolvency procedure.”</w:t>
      </w:r>
    </w:p>
    <w:p w14:paraId="2ABF4E0D" w14:textId="08221FF1" w:rsidR="0092701F" w:rsidRDefault="0092701F" w:rsidP="00FA417D">
      <w:pPr>
        <w:jc w:val="both"/>
        <w:rPr>
          <w:rFonts w:ascii="Avenir Next" w:hAnsi="Avenir Next" w:cs="Arial"/>
          <w:sz w:val="22"/>
          <w:szCs w:val="22"/>
          <w:lang w:val="en-GB"/>
        </w:rPr>
      </w:pPr>
    </w:p>
    <w:p w14:paraId="70BECF44" w14:textId="6CF166A8" w:rsidR="0063381C" w:rsidRDefault="00BE1468" w:rsidP="002A37BB">
      <w:pPr>
        <w:jc w:val="both"/>
        <w:rPr>
          <w:rFonts w:ascii="Avenir Next" w:hAnsi="Avenir Next" w:cs="Arial"/>
          <w:sz w:val="22"/>
          <w:szCs w:val="22"/>
        </w:rPr>
      </w:pPr>
      <w:r>
        <w:rPr>
          <w:rFonts w:ascii="Avenir Next" w:hAnsi="Avenir Next" w:cs="Arial"/>
          <w:sz w:val="22"/>
          <w:szCs w:val="22"/>
        </w:rPr>
        <w:t>Lastly, section 233</w:t>
      </w:r>
      <w:proofErr w:type="gramStart"/>
      <w:r>
        <w:rPr>
          <w:rFonts w:ascii="Avenir Next" w:hAnsi="Avenir Next" w:cs="Arial"/>
          <w:sz w:val="22"/>
          <w:szCs w:val="22"/>
        </w:rPr>
        <w:t>B(</w:t>
      </w:r>
      <w:proofErr w:type="gramEnd"/>
      <w:r>
        <w:rPr>
          <w:rFonts w:ascii="Avenir Next" w:hAnsi="Avenir Next" w:cs="Arial"/>
          <w:sz w:val="22"/>
          <w:szCs w:val="22"/>
        </w:rPr>
        <w:t>7) stipulates that:</w:t>
      </w:r>
    </w:p>
    <w:p w14:paraId="6798AC6B" w14:textId="3CED10FF" w:rsidR="00BE1468" w:rsidRPr="00BE1468" w:rsidRDefault="00BE1468" w:rsidP="00BE1468">
      <w:pPr>
        <w:jc w:val="both"/>
        <w:rPr>
          <w:rFonts w:ascii="Avenir Next" w:hAnsi="Avenir Next" w:cs="Arial"/>
          <w:i/>
          <w:sz w:val="22"/>
          <w:szCs w:val="22"/>
        </w:rPr>
      </w:pPr>
      <w:r w:rsidRPr="00BE1468">
        <w:rPr>
          <w:rFonts w:ascii="Avenir Next" w:hAnsi="Avenir Next" w:cs="Arial"/>
          <w:i/>
          <w:sz w:val="22"/>
          <w:szCs w:val="22"/>
        </w:rPr>
        <w:t>“The supplier shall not make it a condition of any supply of goods and services after the time</w:t>
      </w:r>
    </w:p>
    <w:p w14:paraId="671B7AF5" w14:textId="77777777" w:rsidR="00BE1468" w:rsidRPr="00BE1468" w:rsidRDefault="00BE1468" w:rsidP="00BE1468">
      <w:pPr>
        <w:jc w:val="both"/>
        <w:rPr>
          <w:rFonts w:ascii="Avenir Next" w:hAnsi="Avenir Next" w:cs="Arial"/>
          <w:i/>
          <w:sz w:val="22"/>
          <w:szCs w:val="22"/>
        </w:rPr>
      </w:pPr>
      <w:r w:rsidRPr="00BE1468">
        <w:rPr>
          <w:rFonts w:ascii="Avenir Next" w:hAnsi="Avenir Next" w:cs="Arial"/>
          <w:i/>
          <w:sz w:val="22"/>
          <w:szCs w:val="22"/>
        </w:rPr>
        <w:t>when the company becomes subject to the relevant insolvency procedure, or do anything which</w:t>
      </w:r>
    </w:p>
    <w:p w14:paraId="2448ED09" w14:textId="77777777" w:rsidR="00BE1468" w:rsidRPr="00BE1468" w:rsidRDefault="00BE1468" w:rsidP="00BE1468">
      <w:pPr>
        <w:jc w:val="both"/>
        <w:rPr>
          <w:rFonts w:ascii="Avenir Next" w:hAnsi="Avenir Next" w:cs="Arial"/>
          <w:i/>
          <w:sz w:val="22"/>
          <w:szCs w:val="22"/>
        </w:rPr>
      </w:pPr>
      <w:r w:rsidRPr="00BE1468">
        <w:rPr>
          <w:rFonts w:ascii="Avenir Next" w:hAnsi="Avenir Next" w:cs="Arial"/>
          <w:i/>
          <w:sz w:val="22"/>
          <w:szCs w:val="22"/>
        </w:rPr>
        <w:t xml:space="preserve">has the effect of making it a condition of such a supply, that any outstanding charges in respect </w:t>
      </w:r>
      <w:proofErr w:type="gramStart"/>
      <w:r w:rsidRPr="00BE1468">
        <w:rPr>
          <w:rFonts w:ascii="Avenir Next" w:hAnsi="Avenir Next" w:cs="Arial"/>
          <w:i/>
          <w:sz w:val="22"/>
          <w:szCs w:val="22"/>
        </w:rPr>
        <w:t>of</w:t>
      </w:r>
      <w:proofErr w:type="gramEnd"/>
    </w:p>
    <w:p w14:paraId="03FC2D3A" w14:textId="35BCA2A5" w:rsidR="00BE1468" w:rsidRPr="00BE1468" w:rsidRDefault="00BE1468" w:rsidP="00BE1468">
      <w:pPr>
        <w:jc w:val="both"/>
        <w:rPr>
          <w:rFonts w:ascii="Avenir Next" w:hAnsi="Avenir Next" w:cs="Arial"/>
          <w:i/>
          <w:sz w:val="22"/>
          <w:szCs w:val="22"/>
        </w:rPr>
      </w:pPr>
      <w:r w:rsidRPr="00BE1468">
        <w:rPr>
          <w:rFonts w:ascii="Avenir Next" w:hAnsi="Avenir Next" w:cs="Arial"/>
          <w:i/>
          <w:sz w:val="22"/>
          <w:szCs w:val="22"/>
        </w:rPr>
        <w:t>a supply made to the company before that time are paid.”</w:t>
      </w:r>
    </w:p>
    <w:p w14:paraId="7BEC46D7" w14:textId="3266AFAD" w:rsidR="00BE1468" w:rsidRDefault="00BE1468" w:rsidP="002A37BB">
      <w:pPr>
        <w:jc w:val="both"/>
        <w:rPr>
          <w:rFonts w:ascii="Avenir Next" w:hAnsi="Avenir Next" w:cs="Arial"/>
          <w:sz w:val="22"/>
          <w:szCs w:val="22"/>
        </w:rPr>
      </w:pPr>
    </w:p>
    <w:p w14:paraId="286E4635" w14:textId="77777777" w:rsidR="00BE1468" w:rsidRPr="006925C1" w:rsidRDefault="00BE1468"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34AD8300" w14:textId="03F55764" w:rsidR="007F166B" w:rsidRDefault="007F166B" w:rsidP="002A37BB">
      <w:pPr>
        <w:jc w:val="both"/>
        <w:rPr>
          <w:rFonts w:ascii="Avenir Next" w:hAnsi="Avenir Next" w:cs="Arial"/>
          <w:sz w:val="22"/>
          <w:szCs w:val="22"/>
        </w:rPr>
      </w:pPr>
    </w:p>
    <w:p w14:paraId="76264661" w14:textId="2F4C33F4" w:rsidR="001A4DE2" w:rsidRPr="001A4DE2" w:rsidRDefault="001A4DE2" w:rsidP="002A37BB">
      <w:pPr>
        <w:jc w:val="both"/>
        <w:rPr>
          <w:rFonts w:ascii="Avenir Next" w:hAnsi="Avenir Next" w:cs="Arial"/>
          <w:sz w:val="22"/>
          <w:szCs w:val="22"/>
          <w:u w:val="single"/>
        </w:rPr>
      </w:pPr>
      <w:r>
        <w:rPr>
          <w:rFonts w:ascii="Avenir Next" w:hAnsi="Avenir Next" w:cs="Arial"/>
          <w:sz w:val="22"/>
          <w:szCs w:val="22"/>
          <w:u w:val="single"/>
        </w:rPr>
        <w:t>Answer Excluding Part A1</w:t>
      </w:r>
    </w:p>
    <w:p w14:paraId="3F464CA6" w14:textId="3C89FCCC" w:rsidR="00B8129B" w:rsidRDefault="003222B2" w:rsidP="002A37BB">
      <w:pPr>
        <w:jc w:val="both"/>
        <w:rPr>
          <w:rFonts w:ascii="Avenir Next" w:hAnsi="Avenir Next" w:cs="Arial"/>
          <w:sz w:val="22"/>
          <w:szCs w:val="22"/>
        </w:rPr>
      </w:pPr>
      <w:r>
        <w:rPr>
          <w:rFonts w:ascii="Avenir Next" w:hAnsi="Avenir Next" w:cs="Arial"/>
          <w:sz w:val="22"/>
          <w:szCs w:val="22"/>
        </w:rPr>
        <w:t>To begin with,</w:t>
      </w:r>
      <w:r w:rsidR="00314CE2">
        <w:rPr>
          <w:rFonts w:ascii="Avenir Next" w:hAnsi="Avenir Next" w:cs="Arial"/>
          <w:sz w:val="22"/>
          <w:szCs w:val="22"/>
        </w:rPr>
        <w:t xml:space="preserve"> and approaching matters initially without reference to Part A1,</w:t>
      </w:r>
      <w:r>
        <w:rPr>
          <w:rFonts w:ascii="Avenir Next" w:hAnsi="Avenir Next" w:cs="Arial"/>
          <w:sz w:val="22"/>
          <w:szCs w:val="22"/>
        </w:rPr>
        <w:t xml:space="preserve"> v</w:t>
      </w:r>
      <w:r w:rsidR="006657C3">
        <w:rPr>
          <w:rFonts w:ascii="Avenir Next" w:hAnsi="Avenir Next" w:cs="Arial"/>
          <w:sz w:val="22"/>
          <w:szCs w:val="22"/>
        </w:rPr>
        <w:t>arious expenses have priority – even above and beyond the company’s preferential creditors and any holders of floating charges and, of course, the company’s unsecured creditors.</w:t>
      </w:r>
      <w:r w:rsidR="006657C3">
        <w:rPr>
          <w:rStyle w:val="FootnoteReference"/>
          <w:rFonts w:ascii="Avenir Next" w:hAnsi="Avenir Next" w:cs="Arial"/>
          <w:sz w:val="22"/>
          <w:szCs w:val="22"/>
        </w:rPr>
        <w:footnoteReference w:id="5"/>
      </w:r>
      <w:r>
        <w:rPr>
          <w:rFonts w:ascii="Avenir Next" w:hAnsi="Avenir Next" w:cs="Arial"/>
          <w:sz w:val="22"/>
          <w:szCs w:val="22"/>
        </w:rPr>
        <w:t xml:space="preserve"> In particular, the </w:t>
      </w:r>
      <w:r w:rsidR="00B8129B">
        <w:rPr>
          <w:rFonts w:ascii="Avenir Next" w:hAnsi="Avenir Next" w:cs="Arial"/>
          <w:sz w:val="22"/>
          <w:szCs w:val="22"/>
        </w:rPr>
        <w:t xml:space="preserve">Insolvency Act 1986 (‘IA86’), s 115 states that: </w:t>
      </w:r>
    </w:p>
    <w:p w14:paraId="39FBF148" w14:textId="77777777" w:rsidR="003222B2" w:rsidRDefault="003222B2" w:rsidP="00B8129B">
      <w:pPr>
        <w:jc w:val="both"/>
        <w:rPr>
          <w:rFonts w:ascii="Avenir Next" w:hAnsi="Avenir Next" w:cs="Arial"/>
          <w:i/>
          <w:sz w:val="22"/>
          <w:szCs w:val="22"/>
        </w:rPr>
      </w:pPr>
    </w:p>
    <w:p w14:paraId="27EE03F4" w14:textId="5B6482D4" w:rsidR="00B8129B" w:rsidRPr="00B8129B" w:rsidRDefault="00B8129B" w:rsidP="00B8129B">
      <w:pPr>
        <w:jc w:val="both"/>
        <w:rPr>
          <w:rFonts w:ascii="Avenir Next" w:hAnsi="Avenir Next" w:cs="Arial"/>
          <w:b/>
          <w:i/>
          <w:sz w:val="22"/>
          <w:szCs w:val="22"/>
        </w:rPr>
      </w:pPr>
      <w:r w:rsidRPr="00B8129B">
        <w:rPr>
          <w:rFonts w:ascii="Avenir Next" w:hAnsi="Avenir Next" w:cs="Arial"/>
          <w:i/>
          <w:sz w:val="22"/>
          <w:szCs w:val="22"/>
        </w:rPr>
        <w:t>“</w:t>
      </w:r>
      <w:r w:rsidRPr="00B8129B">
        <w:rPr>
          <w:rFonts w:ascii="Avenir Next" w:hAnsi="Avenir Next" w:cs="Arial"/>
          <w:b/>
          <w:i/>
          <w:sz w:val="22"/>
          <w:szCs w:val="22"/>
        </w:rPr>
        <w:t>Expenses of voluntary winding up.</w:t>
      </w:r>
    </w:p>
    <w:p w14:paraId="596B9E37" w14:textId="7026CA41" w:rsidR="00B8129B" w:rsidRPr="00833439" w:rsidRDefault="00B8129B" w:rsidP="00B8129B">
      <w:pPr>
        <w:jc w:val="both"/>
        <w:rPr>
          <w:rFonts w:ascii="Avenir Next" w:hAnsi="Avenir Next" w:cs="Arial"/>
          <w:sz w:val="22"/>
          <w:szCs w:val="22"/>
        </w:rPr>
      </w:pPr>
      <w:r w:rsidRPr="00B8129B">
        <w:rPr>
          <w:rFonts w:ascii="Avenir Next" w:hAnsi="Avenir Next" w:cs="Arial"/>
          <w:i/>
          <w:sz w:val="22"/>
          <w:szCs w:val="22"/>
        </w:rPr>
        <w:t>After the payment of any liabilities to which section 174A applies</w:t>
      </w:r>
      <w:r w:rsidR="000E33B7">
        <w:rPr>
          <w:rFonts w:ascii="Avenir Next" w:hAnsi="Avenir Next" w:cs="Arial"/>
          <w:i/>
          <w:sz w:val="22"/>
          <w:szCs w:val="22"/>
        </w:rPr>
        <w:t xml:space="preserve"> </w:t>
      </w:r>
      <w:r w:rsidR="000E33B7">
        <w:rPr>
          <w:rFonts w:ascii="Avenir Next" w:hAnsi="Avenir Next" w:cs="Arial"/>
          <w:b/>
          <w:i/>
          <w:sz w:val="22"/>
          <w:szCs w:val="22"/>
        </w:rPr>
        <w:t xml:space="preserve">[i.e. </w:t>
      </w:r>
      <w:r w:rsidR="000E33B7" w:rsidRPr="000E33B7">
        <w:rPr>
          <w:rFonts w:ascii="Avenir Next" w:hAnsi="Avenir Next" w:cs="Arial"/>
          <w:b/>
          <w:i/>
          <w:sz w:val="22"/>
          <w:szCs w:val="22"/>
        </w:rPr>
        <w:t xml:space="preserve">Moratorium debts </w:t>
      </w:r>
      <w:proofErr w:type="spellStart"/>
      <w:r w:rsidR="000E33B7" w:rsidRPr="000E33B7">
        <w:rPr>
          <w:rFonts w:ascii="Avenir Next" w:hAnsi="Avenir Next" w:cs="Arial"/>
          <w:b/>
          <w:i/>
          <w:sz w:val="22"/>
          <w:szCs w:val="22"/>
        </w:rPr>
        <w:t>etc</w:t>
      </w:r>
      <w:proofErr w:type="spellEnd"/>
      <w:r w:rsidR="000E33B7" w:rsidRPr="000E33B7">
        <w:rPr>
          <w:rFonts w:ascii="Avenir Next" w:hAnsi="Avenir Next" w:cs="Arial"/>
          <w:b/>
          <w:i/>
          <w:sz w:val="22"/>
          <w:szCs w:val="22"/>
        </w:rPr>
        <w:t>: priority</w:t>
      </w:r>
      <w:r w:rsidR="000E33B7">
        <w:rPr>
          <w:rFonts w:ascii="Avenir Next" w:hAnsi="Avenir Next" w:cs="Arial"/>
          <w:b/>
          <w:i/>
          <w:sz w:val="22"/>
          <w:szCs w:val="22"/>
        </w:rPr>
        <w:t>]</w:t>
      </w:r>
      <w:r w:rsidRPr="00B8129B">
        <w:rPr>
          <w:rFonts w:ascii="Avenir Next" w:hAnsi="Avenir Next" w:cs="Arial"/>
          <w:i/>
          <w:sz w:val="22"/>
          <w:szCs w:val="22"/>
        </w:rPr>
        <w:t>, all expenses properly incurred</w:t>
      </w:r>
      <w:r w:rsidR="000E33B7">
        <w:rPr>
          <w:rFonts w:ascii="Avenir Next" w:hAnsi="Avenir Next" w:cs="Arial"/>
          <w:i/>
          <w:sz w:val="22"/>
          <w:szCs w:val="22"/>
        </w:rPr>
        <w:t xml:space="preserve"> </w:t>
      </w:r>
      <w:r w:rsidRPr="00B8129B">
        <w:rPr>
          <w:rFonts w:ascii="Avenir Next" w:hAnsi="Avenir Next" w:cs="Arial"/>
          <w:i/>
          <w:sz w:val="22"/>
          <w:szCs w:val="22"/>
        </w:rPr>
        <w:t>in the winding up, including the remuneration of the liquidator, are payable out of the company's</w:t>
      </w:r>
      <w:r w:rsidR="000E33B7">
        <w:rPr>
          <w:rFonts w:ascii="Avenir Next" w:hAnsi="Avenir Next" w:cs="Arial"/>
          <w:i/>
          <w:sz w:val="22"/>
          <w:szCs w:val="22"/>
        </w:rPr>
        <w:t xml:space="preserve"> </w:t>
      </w:r>
      <w:r w:rsidRPr="00B8129B">
        <w:rPr>
          <w:rFonts w:ascii="Avenir Next" w:hAnsi="Avenir Next" w:cs="Arial"/>
          <w:i/>
          <w:sz w:val="22"/>
          <w:szCs w:val="22"/>
        </w:rPr>
        <w:t xml:space="preserve">assets in priority to </w:t>
      </w:r>
      <w:r w:rsidRPr="00833439">
        <w:rPr>
          <w:rFonts w:ascii="Avenir Next" w:hAnsi="Avenir Next" w:cs="Arial"/>
          <w:b/>
          <w:i/>
          <w:sz w:val="22"/>
          <w:szCs w:val="22"/>
          <w:u w:val="single"/>
        </w:rPr>
        <w:t>all other claims</w:t>
      </w:r>
      <w:r w:rsidRPr="00B8129B">
        <w:rPr>
          <w:rFonts w:ascii="Avenir Next" w:hAnsi="Avenir Next" w:cs="Arial"/>
          <w:i/>
          <w:sz w:val="22"/>
          <w:szCs w:val="22"/>
        </w:rPr>
        <w:t>”</w:t>
      </w:r>
      <w:r w:rsidR="00833439">
        <w:rPr>
          <w:rFonts w:ascii="Avenir Next" w:hAnsi="Avenir Next" w:cs="Arial"/>
          <w:i/>
          <w:sz w:val="22"/>
          <w:szCs w:val="22"/>
        </w:rPr>
        <w:t xml:space="preserve"> </w:t>
      </w:r>
      <w:r w:rsidR="00833439">
        <w:rPr>
          <w:rFonts w:ascii="Avenir Next" w:hAnsi="Avenir Next" w:cs="Arial"/>
          <w:sz w:val="22"/>
          <w:szCs w:val="22"/>
        </w:rPr>
        <w:t xml:space="preserve">(my emphasis added). </w:t>
      </w:r>
    </w:p>
    <w:p w14:paraId="35D7734A" w14:textId="088F85F1" w:rsidR="00B8129B" w:rsidRDefault="00B8129B" w:rsidP="002A37BB">
      <w:pPr>
        <w:jc w:val="both"/>
        <w:rPr>
          <w:rFonts w:ascii="Avenir Next" w:hAnsi="Avenir Next" w:cs="Arial"/>
          <w:sz w:val="22"/>
          <w:szCs w:val="22"/>
        </w:rPr>
      </w:pPr>
    </w:p>
    <w:p w14:paraId="0512196A" w14:textId="43E1AF60" w:rsidR="0062510E" w:rsidRDefault="0062510E" w:rsidP="002A37BB">
      <w:pPr>
        <w:jc w:val="both"/>
        <w:rPr>
          <w:rFonts w:ascii="Avenir Next" w:hAnsi="Avenir Next" w:cs="Arial"/>
          <w:sz w:val="22"/>
          <w:szCs w:val="22"/>
        </w:rPr>
      </w:pPr>
      <w:r>
        <w:rPr>
          <w:rFonts w:ascii="Avenir Next" w:hAnsi="Avenir Next" w:cs="Arial"/>
          <w:sz w:val="22"/>
          <w:szCs w:val="22"/>
        </w:rPr>
        <w:t xml:space="preserve">In turn, the </w:t>
      </w:r>
      <w:r w:rsidRPr="0062510E">
        <w:rPr>
          <w:rFonts w:ascii="Avenir Next" w:hAnsi="Avenir Next" w:cs="Arial"/>
          <w:sz w:val="22"/>
          <w:szCs w:val="22"/>
        </w:rPr>
        <w:t>Insolvency (England and Wales) Rules 2016/1024</w:t>
      </w:r>
      <w:r w:rsidR="00D87680">
        <w:rPr>
          <w:rFonts w:ascii="Avenir Next" w:hAnsi="Avenir Next" w:cs="Arial"/>
          <w:sz w:val="22"/>
          <w:szCs w:val="22"/>
        </w:rPr>
        <w:t xml:space="preserve"> (‘the IRs’)</w:t>
      </w:r>
      <w:r>
        <w:rPr>
          <w:rFonts w:ascii="Avenir Next" w:hAnsi="Avenir Next" w:cs="Arial"/>
          <w:sz w:val="22"/>
          <w:szCs w:val="22"/>
        </w:rPr>
        <w:t>, Rule 6.42(2) states</w:t>
      </w:r>
      <w:r w:rsidR="0061277D">
        <w:rPr>
          <w:rFonts w:ascii="Avenir Next" w:hAnsi="Avenir Next" w:cs="Arial"/>
          <w:sz w:val="22"/>
          <w:szCs w:val="22"/>
        </w:rPr>
        <w:t xml:space="preserve"> (in the context of Rule 6 – Creditors Voluntary Winding Up)</w:t>
      </w:r>
      <w:r>
        <w:rPr>
          <w:rFonts w:ascii="Avenir Next" w:hAnsi="Avenir Next" w:cs="Arial"/>
          <w:sz w:val="22"/>
          <w:szCs w:val="22"/>
        </w:rPr>
        <w:t xml:space="preserve"> that:</w:t>
      </w:r>
    </w:p>
    <w:p w14:paraId="533DF3EB" w14:textId="0AC36181" w:rsidR="0062510E" w:rsidRDefault="0062510E" w:rsidP="002A37BB">
      <w:pPr>
        <w:jc w:val="both"/>
        <w:rPr>
          <w:rFonts w:ascii="Avenir Next" w:hAnsi="Avenir Next" w:cs="Arial"/>
          <w:sz w:val="22"/>
          <w:szCs w:val="22"/>
        </w:rPr>
      </w:pPr>
    </w:p>
    <w:p w14:paraId="04805142" w14:textId="2EBC379D" w:rsidR="0062510E" w:rsidRPr="0062510E" w:rsidRDefault="0062510E" w:rsidP="002A37BB">
      <w:pPr>
        <w:jc w:val="both"/>
        <w:rPr>
          <w:rFonts w:ascii="Avenir Next" w:hAnsi="Avenir Next" w:cs="Arial"/>
          <w:i/>
          <w:sz w:val="22"/>
          <w:szCs w:val="22"/>
        </w:rPr>
      </w:pPr>
      <w:r w:rsidRPr="0062510E">
        <w:rPr>
          <w:rFonts w:ascii="Avenir Next" w:hAnsi="Avenir Next" w:cs="Arial"/>
          <w:i/>
          <w:sz w:val="22"/>
          <w:szCs w:val="22"/>
        </w:rPr>
        <w:t>“(1</w:t>
      </w:r>
      <w:proofErr w:type="gramStart"/>
      <w:r w:rsidRPr="0062510E">
        <w:rPr>
          <w:rFonts w:ascii="Avenir Next" w:hAnsi="Avenir Next" w:cs="Arial"/>
          <w:i/>
          <w:sz w:val="22"/>
          <w:szCs w:val="22"/>
        </w:rPr>
        <w:t>)  All</w:t>
      </w:r>
      <w:proofErr w:type="gramEnd"/>
      <w:r w:rsidRPr="0062510E">
        <w:rPr>
          <w:rFonts w:ascii="Avenir Next" w:hAnsi="Avenir Next" w:cs="Arial"/>
          <w:i/>
          <w:sz w:val="22"/>
          <w:szCs w:val="22"/>
        </w:rPr>
        <w:t xml:space="preserve"> fees, costs, charges and other expenses incurred in the course of the winding up are to be treated as expenses of the winding up.</w:t>
      </w:r>
    </w:p>
    <w:p w14:paraId="05AE54D6" w14:textId="666EF86A" w:rsidR="0062510E" w:rsidRPr="0062510E" w:rsidRDefault="0062510E" w:rsidP="002A37BB">
      <w:pPr>
        <w:jc w:val="both"/>
        <w:rPr>
          <w:rFonts w:ascii="Avenir Next" w:hAnsi="Avenir Next" w:cs="Arial"/>
          <w:i/>
          <w:sz w:val="22"/>
          <w:szCs w:val="22"/>
        </w:rPr>
      </w:pPr>
      <w:r w:rsidRPr="0062510E">
        <w:rPr>
          <w:rFonts w:ascii="Avenir Next" w:hAnsi="Avenir Next" w:cs="Arial"/>
          <w:i/>
          <w:sz w:val="22"/>
          <w:szCs w:val="22"/>
        </w:rPr>
        <w:t>[…]</w:t>
      </w:r>
    </w:p>
    <w:p w14:paraId="0A9BDBE4" w14:textId="77777777" w:rsidR="0062510E" w:rsidRPr="0062510E" w:rsidRDefault="0062510E" w:rsidP="0062510E">
      <w:pPr>
        <w:jc w:val="both"/>
        <w:rPr>
          <w:rFonts w:ascii="Avenir Next" w:hAnsi="Avenir Next" w:cs="Arial"/>
          <w:i/>
          <w:sz w:val="22"/>
          <w:szCs w:val="22"/>
        </w:rPr>
      </w:pPr>
      <w:r w:rsidRPr="0062510E">
        <w:rPr>
          <w:rFonts w:ascii="Avenir Next" w:hAnsi="Avenir Next" w:cs="Arial"/>
          <w:i/>
          <w:sz w:val="22"/>
          <w:szCs w:val="22"/>
        </w:rPr>
        <w:lastRenderedPageBreak/>
        <w:t>(4)  Subject as provided in rules 6.44 to 6.48, the expenses are payable in the following order of priority—</w:t>
      </w:r>
    </w:p>
    <w:p w14:paraId="5FF2CDC3" w14:textId="00CC93A0"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 xml:space="preserve">(a)  expenses which are properly chargeable or incurred by the liquidator in preserving, </w:t>
      </w:r>
      <w:proofErr w:type="spellStart"/>
      <w:r w:rsidRPr="0062510E">
        <w:rPr>
          <w:rFonts w:ascii="Avenir Next" w:hAnsi="Avenir Next" w:cs="Arial"/>
          <w:i/>
          <w:sz w:val="22"/>
          <w:szCs w:val="22"/>
        </w:rPr>
        <w:t>realising</w:t>
      </w:r>
      <w:proofErr w:type="spellEnd"/>
      <w:r w:rsidRPr="0062510E">
        <w:rPr>
          <w:rFonts w:ascii="Avenir Next" w:hAnsi="Avenir Next" w:cs="Arial"/>
          <w:i/>
          <w:sz w:val="22"/>
          <w:szCs w:val="22"/>
        </w:rPr>
        <w:t xml:space="preserve"> or getting in any of the assets of the…;</w:t>
      </w:r>
    </w:p>
    <w:p w14:paraId="396EE307" w14:textId="5EB5E0F3"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(b)  the cost of any security provided by the liquidator…;</w:t>
      </w:r>
    </w:p>
    <w:p w14:paraId="6E084FE4" w14:textId="77777777"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(c)  the remuneration of the special manager (if any);</w:t>
      </w:r>
    </w:p>
    <w:p w14:paraId="4FEDE18D" w14:textId="77777777"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 xml:space="preserve">(d)  any amount payable to a person employed or </w:t>
      </w:r>
      <w:proofErr w:type="spellStart"/>
      <w:r w:rsidRPr="0062510E">
        <w:rPr>
          <w:rFonts w:ascii="Avenir Next" w:hAnsi="Avenir Next" w:cs="Arial"/>
          <w:i/>
          <w:sz w:val="22"/>
          <w:szCs w:val="22"/>
        </w:rPr>
        <w:t>authorised</w:t>
      </w:r>
      <w:proofErr w:type="spellEnd"/>
      <w:r w:rsidRPr="0062510E">
        <w:rPr>
          <w:rFonts w:ascii="Avenir Next" w:hAnsi="Avenir Next" w:cs="Arial"/>
          <w:i/>
          <w:sz w:val="22"/>
          <w:szCs w:val="22"/>
        </w:rPr>
        <w:t>, under Chapter 2 of this Part, to assist in the preparation of a statement of affairs or of accounts;</w:t>
      </w:r>
    </w:p>
    <w:p w14:paraId="73F2C4A6" w14:textId="77777777"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(e)  the costs of employing a shorthand writer on the application of the liquidator;</w:t>
      </w:r>
    </w:p>
    <w:p w14:paraId="436EF9C2" w14:textId="596BB6C1"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(f)   any necessary disbursements by the liquidator in the course of the administration of the winding up…;</w:t>
      </w:r>
    </w:p>
    <w:p w14:paraId="13705F38" w14:textId="50BA8A6F"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(g)  the remuneration or emoluments of any person who has been employed by the liquidator to perform any services for the company…;</w:t>
      </w:r>
    </w:p>
    <w:p w14:paraId="5901B5B8" w14:textId="073BB39D"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(h)  the remuneration of the liquidator…;</w:t>
      </w:r>
    </w:p>
    <w:p w14:paraId="31A52D89" w14:textId="74A9F29F"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w:t>
      </w:r>
      <w:proofErr w:type="spellStart"/>
      <w:r w:rsidRPr="0062510E">
        <w:rPr>
          <w:rFonts w:ascii="Avenir Next" w:hAnsi="Avenir Next" w:cs="Arial"/>
          <w:i/>
          <w:sz w:val="22"/>
          <w:szCs w:val="22"/>
        </w:rPr>
        <w:t>i</w:t>
      </w:r>
      <w:proofErr w:type="spellEnd"/>
      <w:r w:rsidRPr="0062510E">
        <w:rPr>
          <w:rFonts w:ascii="Avenir Next" w:hAnsi="Avenir Next" w:cs="Arial"/>
          <w:i/>
          <w:sz w:val="22"/>
          <w:szCs w:val="22"/>
        </w:rPr>
        <w:t xml:space="preserve">)  the amount of any corporation tax on chargeable gains accruing on the </w:t>
      </w:r>
      <w:proofErr w:type="spellStart"/>
      <w:r w:rsidRPr="0062510E">
        <w:rPr>
          <w:rFonts w:ascii="Avenir Next" w:hAnsi="Avenir Next" w:cs="Arial"/>
          <w:i/>
          <w:sz w:val="22"/>
          <w:szCs w:val="22"/>
        </w:rPr>
        <w:t>realisation</w:t>
      </w:r>
      <w:proofErr w:type="spellEnd"/>
      <w:r w:rsidRPr="0062510E">
        <w:rPr>
          <w:rFonts w:ascii="Avenir Next" w:hAnsi="Avenir Next" w:cs="Arial"/>
          <w:i/>
          <w:sz w:val="22"/>
          <w:szCs w:val="22"/>
        </w:rPr>
        <w:t xml:space="preserve"> of any asset of the company …;</w:t>
      </w:r>
    </w:p>
    <w:p w14:paraId="28D0A482" w14:textId="77777777" w:rsidR="0062510E" w:rsidRPr="0062510E" w:rsidRDefault="0062510E" w:rsidP="0062510E">
      <w:pPr>
        <w:ind w:left="426"/>
        <w:jc w:val="both"/>
        <w:rPr>
          <w:rFonts w:ascii="Avenir Next" w:hAnsi="Avenir Next" w:cs="Arial"/>
          <w:i/>
          <w:sz w:val="22"/>
          <w:szCs w:val="22"/>
        </w:rPr>
      </w:pPr>
      <w:r w:rsidRPr="0062510E">
        <w:rPr>
          <w:rFonts w:ascii="Avenir Next" w:hAnsi="Avenir Next" w:cs="Arial"/>
          <w:i/>
          <w:sz w:val="22"/>
          <w:szCs w:val="22"/>
        </w:rPr>
        <w:t>(j)  the balance, after payment of any sums due under sub-paragraph (h) above, of any remuneration due to the liquidator; and</w:t>
      </w:r>
    </w:p>
    <w:p w14:paraId="4A955F3D" w14:textId="15AB28D7" w:rsidR="0062510E" w:rsidRDefault="0062510E" w:rsidP="0062510E">
      <w:pPr>
        <w:ind w:left="426"/>
        <w:jc w:val="both"/>
        <w:rPr>
          <w:rFonts w:ascii="Avenir Next" w:hAnsi="Avenir Next" w:cs="Arial"/>
          <w:sz w:val="22"/>
          <w:szCs w:val="22"/>
        </w:rPr>
      </w:pPr>
      <w:r w:rsidRPr="0062510E">
        <w:rPr>
          <w:rFonts w:ascii="Avenir Next" w:hAnsi="Avenir Next" w:cs="Arial"/>
          <w:i/>
          <w:sz w:val="22"/>
          <w:szCs w:val="22"/>
        </w:rPr>
        <w:t>(k)  any other expenses properly chargeable by the liquidator in carrying out the liquidator's functions in the winding up.”</w:t>
      </w:r>
    </w:p>
    <w:p w14:paraId="30C7DDF2" w14:textId="7E9A566A" w:rsidR="0062510E" w:rsidRDefault="0062510E" w:rsidP="002A37BB">
      <w:pPr>
        <w:jc w:val="both"/>
        <w:rPr>
          <w:rFonts w:ascii="Avenir Next" w:hAnsi="Avenir Next" w:cs="Arial"/>
          <w:sz w:val="22"/>
          <w:szCs w:val="22"/>
        </w:rPr>
      </w:pPr>
    </w:p>
    <w:p w14:paraId="01F227FB" w14:textId="50B06D02" w:rsidR="0062510E" w:rsidRDefault="00657F44" w:rsidP="002A37BB">
      <w:pPr>
        <w:jc w:val="both"/>
        <w:rPr>
          <w:rFonts w:ascii="Avenir Next" w:hAnsi="Avenir Next" w:cs="Arial"/>
          <w:sz w:val="22"/>
          <w:szCs w:val="22"/>
        </w:rPr>
      </w:pPr>
      <w:r>
        <w:rPr>
          <w:rFonts w:ascii="Avenir Next" w:hAnsi="Avenir Next" w:cs="Arial"/>
          <w:sz w:val="22"/>
          <w:szCs w:val="22"/>
        </w:rPr>
        <w:t xml:space="preserve">Similarly, </w:t>
      </w:r>
      <w:r w:rsidR="00D87680">
        <w:rPr>
          <w:rFonts w:ascii="Avenir Next" w:hAnsi="Avenir Next" w:cs="Arial"/>
          <w:sz w:val="22"/>
          <w:szCs w:val="22"/>
        </w:rPr>
        <w:t xml:space="preserve">the IRs, </w:t>
      </w:r>
      <w:r>
        <w:rPr>
          <w:rFonts w:ascii="Avenir Next" w:hAnsi="Avenir Next" w:cs="Arial"/>
          <w:sz w:val="22"/>
          <w:szCs w:val="22"/>
        </w:rPr>
        <w:t>Rule</w:t>
      </w:r>
      <w:r w:rsidR="00D87680">
        <w:rPr>
          <w:rFonts w:ascii="Avenir Next" w:hAnsi="Avenir Next" w:cs="Arial"/>
          <w:sz w:val="22"/>
          <w:szCs w:val="22"/>
        </w:rPr>
        <w:t xml:space="preserve"> 7.108</w:t>
      </w:r>
      <w:r>
        <w:rPr>
          <w:rFonts w:ascii="Avenir Next" w:hAnsi="Avenir Next" w:cs="Arial"/>
          <w:sz w:val="22"/>
          <w:szCs w:val="22"/>
        </w:rPr>
        <w:t xml:space="preserve"> </w:t>
      </w:r>
      <w:r w:rsidR="0061277D">
        <w:rPr>
          <w:rFonts w:ascii="Avenir Next" w:hAnsi="Avenir Next" w:cs="Arial"/>
          <w:sz w:val="22"/>
          <w:szCs w:val="22"/>
        </w:rPr>
        <w:t>(in the context of Winding Up by the Court) ha</w:t>
      </w:r>
      <w:r w:rsidR="0078794A">
        <w:rPr>
          <w:rFonts w:ascii="Avenir Next" w:hAnsi="Avenir Next" w:cs="Arial"/>
          <w:sz w:val="22"/>
          <w:szCs w:val="22"/>
        </w:rPr>
        <w:t xml:space="preserve">ve analogous </w:t>
      </w:r>
      <w:r w:rsidR="0061277D">
        <w:rPr>
          <w:rFonts w:ascii="Avenir Next" w:hAnsi="Avenir Next" w:cs="Arial"/>
          <w:sz w:val="22"/>
          <w:szCs w:val="22"/>
        </w:rPr>
        <w:t xml:space="preserve">provisions. </w:t>
      </w:r>
      <w:r w:rsidR="00314CE2">
        <w:rPr>
          <w:rFonts w:ascii="Avenir Next" w:hAnsi="Avenir Next" w:cs="Arial"/>
          <w:sz w:val="22"/>
          <w:szCs w:val="22"/>
        </w:rPr>
        <w:t xml:space="preserve">Hence, broadly speaking, the costs of the liquidation, as ordered above, are those which take priority. </w:t>
      </w:r>
    </w:p>
    <w:p w14:paraId="1C94189D" w14:textId="78810816" w:rsidR="00314CE2" w:rsidRDefault="00314CE2" w:rsidP="002A37BB">
      <w:pPr>
        <w:jc w:val="both"/>
        <w:rPr>
          <w:rFonts w:ascii="Avenir Next" w:hAnsi="Avenir Next" w:cs="Arial"/>
          <w:sz w:val="22"/>
          <w:szCs w:val="22"/>
        </w:rPr>
      </w:pPr>
    </w:p>
    <w:p w14:paraId="22943F09" w14:textId="6A2EA745" w:rsidR="002C121F" w:rsidRDefault="0078794A" w:rsidP="002C121F">
      <w:pPr>
        <w:jc w:val="both"/>
        <w:rPr>
          <w:rFonts w:ascii="Avenir Next" w:hAnsi="Avenir Next" w:cs="Arial"/>
          <w:sz w:val="22"/>
          <w:szCs w:val="22"/>
        </w:rPr>
      </w:pPr>
      <w:r>
        <w:rPr>
          <w:rFonts w:ascii="Avenir Next" w:hAnsi="Avenir Next" w:cs="Arial"/>
          <w:sz w:val="22"/>
          <w:szCs w:val="22"/>
        </w:rPr>
        <w:t xml:space="preserve">After the costs of the liquidation have been </w:t>
      </w:r>
      <w:r w:rsidR="002B0357">
        <w:rPr>
          <w:rFonts w:ascii="Avenir Next" w:hAnsi="Avenir Next" w:cs="Arial"/>
          <w:sz w:val="22"/>
          <w:szCs w:val="22"/>
        </w:rPr>
        <w:t>fully paid</w:t>
      </w:r>
      <w:r>
        <w:rPr>
          <w:rFonts w:ascii="Avenir Next" w:hAnsi="Avenir Next" w:cs="Arial"/>
          <w:sz w:val="22"/>
          <w:szCs w:val="22"/>
        </w:rPr>
        <w:t xml:space="preserve">, the next order of priority is </w:t>
      </w:r>
      <w:r w:rsidR="002B0357">
        <w:rPr>
          <w:rFonts w:ascii="Avenir Next" w:hAnsi="Avenir Next" w:cs="Arial"/>
          <w:sz w:val="22"/>
          <w:szCs w:val="22"/>
        </w:rPr>
        <w:t>that of preferential creditors</w:t>
      </w:r>
      <w:r w:rsidR="0040267D">
        <w:rPr>
          <w:rFonts w:ascii="Avenir Next" w:hAnsi="Avenir Next" w:cs="Arial"/>
          <w:sz w:val="22"/>
          <w:szCs w:val="22"/>
        </w:rPr>
        <w:t>, which generally comprises some taxation liabilities and limited claims of employees.</w:t>
      </w:r>
      <w:r w:rsidR="002B0357">
        <w:rPr>
          <w:rStyle w:val="FootnoteReference"/>
          <w:rFonts w:ascii="Avenir Next" w:hAnsi="Avenir Next" w:cs="Arial"/>
          <w:sz w:val="22"/>
          <w:szCs w:val="22"/>
        </w:rPr>
        <w:footnoteReference w:id="6"/>
      </w:r>
      <w:r>
        <w:rPr>
          <w:rFonts w:ascii="Avenir Next" w:hAnsi="Avenir Next" w:cs="Arial"/>
          <w:sz w:val="22"/>
          <w:szCs w:val="22"/>
        </w:rPr>
        <w:t xml:space="preserve"> </w:t>
      </w:r>
      <w:r w:rsidR="000D7750">
        <w:rPr>
          <w:rFonts w:ascii="Avenir Next" w:hAnsi="Avenir Next" w:cs="Arial"/>
          <w:sz w:val="22"/>
          <w:szCs w:val="22"/>
        </w:rPr>
        <w:t>Within the category of preferential debts, ordinary preferential debts take precedence over secondary preferential debts</w:t>
      </w:r>
      <w:r w:rsidR="00833439">
        <w:rPr>
          <w:rFonts w:ascii="Avenir Next" w:hAnsi="Avenir Next" w:cs="Arial"/>
          <w:sz w:val="22"/>
          <w:szCs w:val="22"/>
        </w:rPr>
        <w:t>,</w:t>
      </w:r>
      <w:r w:rsidR="000D7750">
        <w:rPr>
          <w:rFonts w:ascii="Avenir Next" w:hAnsi="Avenir Next" w:cs="Arial"/>
          <w:sz w:val="22"/>
          <w:szCs w:val="22"/>
        </w:rPr>
        <w:t xml:space="preserve"> and the </w:t>
      </w:r>
      <w:proofErr w:type="spellStart"/>
      <w:r w:rsidR="000D7750">
        <w:rPr>
          <w:rFonts w:ascii="Avenir Next" w:hAnsi="Avenir Next" w:cs="Arial"/>
          <w:i/>
          <w:sz w:val="22"/>
          <w:szCs w:val="22"/>
        </w:rPr>
        <w:t>pari</w:t>
      </w:r>
      <w:proofErr w:type="spellEnd"/>
      <w:r w:rsidR="000D7750">
        <w:rPr>
          <w:rFonts w:ascii="Avenir Next" w:hAnsi="Avenir Next" w:cs="Arial"/>
          <w:i/>
          <w:sz w:val="22"/>
          <w:szCs w:val="22"/>
        </w:rPr>
        <w:t xml:space="preserve"> </w:t>
      </w:r>
      <w:proofErr w:type="spellStart"/>
      <w:r w:rsidR="000D7750">
        <w:rPr>
          <w:rFonts w:ascii="Avenir Next" w:hAnsi="Avenir Next" w:cs="Arial"/>
          <w:i/>
          <w:sz w:val="22"/>
          <w:szCs w:val="22"/>
        </w:rPr>
        <w:t>passu</w:t>
      </w:r>
      <w:proofErr w:type="spellEnd"/>
      <w:r w:rsidR="000D7750">
        <w:rPr>
          <w:rFonts w:ascii="Avenir Next" w:hAnsi="Avenir Next" w:cs="Arial"/>
          <w:sz w:val="22"/>
          <w:szCs w:val="22"/>
        </w:rPr>
        <w:t xml:space="preserve"> principle / equal ranking, of course, applies </w:t>
      </w:r>
      <w:r w:rsidR="000D7750" w:rsidRPr="00833439">
        <w:rPr>
          <w:rFonts w:ascii="Avenir Next" w:hAnsi="Avenir Next" w:cs="Arial"/>
          <w:b/>
          <w:i/>
          <w:sz w:val="22"/>
          <w:szCs w:val="22"/>
        </w:rPr>
        <w:t>within</w:t>
      </w:r>
      <w:r w:rsidR="000D7750" w:rsidRPr="000D7750">
        <w:rPr>
          <w:rFonts w:ascii="Avenir Next" w:hAnsi="Avenir Next" w:cs="Arial"/>
          <w:i/>
          <w:sz w:val="22"/>
          <w:szCs w:val="22"/>
        </w:rPr>
        <w:t xml:space="preserve"> </w:t>
      </w:r>
      <w:r w:rsidR="000D7750" w:rsidRPr="000D7750">
        <w:rPr>
          <w:rFonts w:ascii="Avenir Next" w:hAnsi="Avenir Next" w:cs="Arial"/>
          <w:sz w:val="22"/>
          <w:szCs w:val="22"/>
        </w:rPr>
        <w:t>each category</w:t>
      </w:r>
      <w:r w:rsidR="000D7750">
        <w:rPr>
          <w:rFonts w:ascii="Avenir Next" w:hAnsi="Avenir Next" w:cs="Arial"/>
          <w:sz w:val="22"/>
          <w:szCs w:val="22"/>
        </w:rPr>
        <w:t xml:space="preserve"> or class.</w:t>
      </w:r>
      <w:r w:rsidR="000D7750">
        <w:rPr>
          <w:rStyle w:val="FootnoteReference"/>
          <w:rFonts w:ascii="Avenir Next" w:hAnsi="Avenir Next" w:cs="Arial"/>
          <w:sz w:val="22"/>
          <w:szCs w:val="22"/>
        </w:rPr>
        <w:footnoteReference w:id="7"/>
      </w:r>
      <w:r w:rsidR="000D7750">
        <w:rPr>
          <w:rFonts w:ascii="Avenir Next" w:hAnsi="Avenir Next" w:cs="Arial"/>
          <w:sz w:val="22"/>
          <w:szCs w:val="22"/>
        </w:rPr>
        <w:t xml:space="preserve"> </w:t>
      </w:r>
      <w:r w:rsidR="006C30B7">
        <w:rPr>
          <w:rFonts w:ascii="Avenir Next" w:hAnsi="Avenir Next" w:cs="Arial"/>
          <w:sz w:val="22"/>
          <w:szCs w:val="22"/>
        </w:rPr>
        <w:t>Preferential debts are listed within the IA86, Schedule 6</w:t>
      </w:r>
      <w:r w:rsidR="002C121F">
        <w:rPr>
          <w:rFonts w:ascii="Avenir Next" w:hAnsi="Avenir Next" w:cs="Arial"/>
          <w:sz w:val="22"/>
          <w:szCs w:val="22"/>
        </w:rPr>
        <w:t xml:space="preserve">, as </w:t>
      </w:r>
      <w:proofErr w:type="spellStart"/>
      <w:r w:rsidR="002C121F">
        <w:rPr>
          <w:rFonts w:ascii="Avenir Next" w:hAnsi="Avenir Next" w:cs="Arial"/>
          <w:sz w:val="22"/>
          <w:szCs w:val="22"/>
        </w:rPr>
        <w:t>summarised</w:t>
      </w:r>
      <w:proofErr w:type="spellEnd"/>
      <w:r w:rsidR="002C121F">
        <w:rPr>
          <w:rFonts w:ascii="Avenir Next" w:hAnsi="Avenir Next" w:cs="Arial"/>
          <w:sz w:val="22"/>
          <w:szCs w:val="22"/>
        </w:rPr>
        <w:t xml:space="preserve"> in the Guidance Text, at pages 53-54. I will not comprehensively list all of this material here,</w:t>
      </w:r>
      <w:r w:rsidR="004D7A10">
        <w:rPr>
          <w:rFonts w:ascii="Avenir Next" w:hAnsi="Avenir Next" w:cs="Arial"/>
          <w:sz w:val="22"/>
          <w:szCs w:val="22"/>
        </w:rPr>
        <w:t xml:space="preserve"> </w:t>
      </w:r>
      <w:r w:rsidR="002C121F">
        <w:rPr>
          <w:rFonts w:ascii="Avenir Next" w:hAnsi="Avenir Next" w:cs="Arial"/>
          <w:sz w:val="22"/>
          <w:szCs w:val="22"/>
        </w:rPr>
        <w:t xml:space="preserve">but suffice it to state that this category of debts includes: </w:t>
      </w:r>
    </w:p>
    <w:p w14:paraId="7DAD4B87" w14:textId="7C3779CB" w:rsidR="002C121F" w:rsidRDefault="002C121F" w:rsidP="002C121F">
      <w:pPr>
        <w:jc w:val="both"/>
        <w:rPr>
          <w:rFonts w:ascii="Avenir Next" w:hAnsi="Avenir Next" w:cs="Arial"/>
          <w:sz w:val="22"/>
          <w:szCs w:val="22"/>
        </w:rPr>
      </w:pPr>
    </w:p>
    <w:p w14:paraId="5B564057" w14:textId="37FCFCBD" w:rsidR="002C121F" w:rsidRDefault="002C121F" w:rsidP="002C121F">
      <w:pPr>
        <w:pStyle w:val="ListParagraph"/>
        <w:numPr>
          <w:ilvl w:val="0"/>
          <w:numId w:val="20"/>
        </w:numPr>
        <w:ind w:left="567" w:hanging="567"/>
        <w:jc w:val="both"/>
        <w:rPr>
          <w:rFonts w:ascii="Avenir Next" w:hAnsi="Avenir Next" w:cs="Arial"/>
          <w:sz w:val="22"/>
          <w:szCs w:val="22"/>
        </w:rPr>
      </w:pPr>
      <w:r w:rsidRPr="002C121F">
        <w:rPr>
          <w:rFonts w:ascii="Avenir Next" w:hAnsi="Avenir Next" w:cs="Arial"/>
          <w:i/>
          <w:sz w:val="22"/>
          <w:szCs w:val="22"/>
        </w:rPr>
        <w:t>“Any sum which is owed by the debtor and is a sum to which Schedule 4 to the Pension Schemes</w:t>
      </w:r>
      <w:r w:rsidRPr="002C121F">
        <w:rPr>
          <w:rFonts w:ascii="Avenir Next" w:hAnsi="Avenir Next" w:cs="Arial"/>
          <w:sz w:val="22"/>
          <w:szCs w:val="22"/>
        </w:rPr>
        <w:t xml:space="preserve"> </w:t>
      </w:r>
      <w:r w:rsidRPr="002C121F">
        <w:rPr>
          <w:rFonts w:ascii="Avenir Next" w:hAnsi="Avenir Next" w:cs="Arial"/>
          <w:i/>
          <w:sz w:val="22"/>
          <w:szCs w:val="22"/>
        </w:rPr>
        <w:t xml:space="preserve">Act 1993 applies (contributions to occupational pension schemes and state scheme premiums)” </w:t>
      </w:r>
      <w:r w:rsidRPr="002C121F">
        <w:rPr>
          <w:rFonts w:ascii="Avenir Next" w:hAnsi="Avenir Next" w:cs="Arial"/>
          <w:sz w:val="22"/>
          <w:szCs w:val="22"/>
        </w:rPr>
        <w:t xml:space="preserve">(IS86, Schedule 6, para 8); </w:t>
      </w:r>
    </w:p>
    <w:p w14:paraId="5439C475" w14:textId="77777777" w:rsidR="002C121F" w:rsidRDefault="002C121F" w:rsidP="002C121F">
      <w:pPr>
        <w:pStyle w:val="ListParagraph"/>
        <w:numPr>
          <w:ilvl w:val="0"/>
          <w:numId w:val="20"/>
        </w:numPr>
        <w:ind w:left="567" w:hanging="567"/>
        <w:jc w:val="both"/>
        <w:rPr>
          <w:rFonts w:ascii="Avenir Next" w:hAnsi="Avenir Next" w:cs="Arial"/>
          <w:sz w:val="22"/>
          <w:szCs w:val="22"/>
        </w:rPr>
      </w:pPr>
      <w:r>
        <w:rPr>
          <w:rFonts w:ascii="Avenir Next" w:hAnsi="Avenir Next" w:cs="Arial"/>
          <w:sz w:val="22"/>
          <w:szCs w:val="22"/>
        </w:rPr>
        <w:t>R</w:t>
      </w:r>
      <w:r w:rsidRPr="002C121F">
        <w:rPr>
          <w:rFonts w:ascii="Avenir Next" w:hAnsi="Avenir Next" w:cs="Arial"/>
          <w:sz w:val="22"/>
          <w:szCs w:val="22"/>
        </w:rPr>
        <w:t xml:space="preserve">emuneration owed </w:t>
      </w:r>
      <w:r>
        <w:rPr>
          <w:rFonts w:ascii="Avenir Next" w:hAnsi="Avenir Next" w:cs="Arial"/>
          <w:sz w:val="22"/>
          <w:szCs w:val="22"/>
        </w:rPr>
        <w:t xml:space="preserve">to a person who is/was an employee </w:t>
      </w:r>
      <w:r w:rsidRPr="002C121F">
        <w:rPr>
          <w:rFonts w:ascii="Avenir Next" w:hAnsi="Avenir Next" w:cs="Arial"/>
          <w:sz w:val="22"/>
          <w:szCs w:val="22"/>
        </w:rPr>
        <w:t xml:space="preserve">in the four months’ preceding the commencing of winding up (up to a maximum figure of GBP 800); </w:t>
      </w:r>
    </w:p>
    <w:p w14:paraId="6752D502" w14:textId="5A8365C0" w:rsidR="00DC2EFE" w:rsidRDefault="004D7A10" w:rsidP="002C121F">
      <w:pPr>
        <w:pStyle w:val="ListParagraph"/>
        <w:numPr>
          <w:ilvl w:val="0"/>
          <w:numId w:val="20"/>
        </w:numPr>
        <w:ind w:left="567" w:hanging="567"/>
        <w:jc w:val="both"/>
        <w:rPr>
          <w:rFonts w:ascii="Avenir Next" w:hAnsi="Avenir Next" w:cs="Arial"/>
          <w:sz w:val="22"/>
          <w:szCs w:val="22"/>
        </w:rPr>
      </w:pPr>
      <w:r>
        <w:rPr>
          <w:rFonts w:ascii="Avenir Next" w:hAnsi="Avenir Next" w:cs="Arial"/>
          <w:sz w:val="22"/>
          <w:szCs w:val="22"/>
        </w:rPr>
        <w:t>A</w:t>
      </w:r>
      <w:r w:rsidR="002C121F" w:rsidRPr="002C121F">
        <w:rPr>
          <w:rFonts w:ascii="Avenir Next" w:hAnsi="Avenir Next" w:cs="Arial"/>
          <w:sz w:val="22"/>
          <w:szCs w:val="22"/>
        </w:rPr>
        <w:t xml:space="preserve">ccrued holiday remuneration; </w:t>
      </w:r>
    </w:p>
    <w:p w14:paraId="2A61A7D7" w14:textId="77C400A0" w:rsidR="002C121F" w:rsidRDefault="002C121F" w:rsidP="002C121F">
      <w:pPr>
        <w:pStyle w:val="ListParagraph"/>
        <w:numPr>
          <w:ilvl w:val="0"/>
          <w:numId w:val="20"/>
        </w:numPr>
        <w:ind w:left="567" w:hanging="567"/>
        <w:jc w:val="both"/>
        <w:rPr>
          <w:rFonts w:ascii="Avenir Next" w:hAnsi="Avenir Next" w:cs="Arial"/>
          <w:sz w:val="22"/>
          <w:szCs w:val="22"/>
        </w:rPr>
      </w:pPr>
      <w:r w:rsidRPr="002C121F">
        <w:rPr>
          <w:rFonts w:ascii="Avenir Next" w:hAnsi="Avenir Next" w:cs="Arial"/>
          <w:i/>
          <w:sz w:val="22"/>
          <w:szCs w:val="22"/>
        </w:rPr>
        <w:t>“levies on the production of coal and steel referred to in Articles 49 and 50 of the E.C.S.C. Treaty”</w:t>
      </w:r>
      <w:r w:rsidRPr="002C121F">
        <w:rPr>
          <w:rFonts w:ascii="Avenir Next" w:hAnsi="Avenir Next" w:cs="Arial"/>
          <w:sz w:val="22"/>
          <w:szCs w:val="22"/>
        </w:rPr>
        <w:t xml:space="preserve"> (Schedule 6, para 15A)</w:t>
      </w:r>
      <w:r>
        <w:rPr>
          <w:rFonts w:ascii="Avenir Next" w:hAnsi="Avenir Next" w:cs="Arial"/>
          <w:sz w:val="22"/>
          <w:szCs w:val="22"/>
        </w:rPr>
        <w:t>;</w:t>
      </w:r>
    </w:p>
    <w:p w14:paraId="1D55D9F2" w14:textId="4D835EFA" w:rsidR="0076034E" w:rsidRPr="009E0442" w:rsidRDefault="009E0442" w:rsidP="009E0442">
      <w:pPr>
        <w:pStyle w:val="ListParagraph"/>
        <w:numPr>
          <w:ilvl w:val="0"/>
          <w:numId w:val="20"/>
        </w:numPr>
        <w:ind w:left="567" w:hanging="567"/>
        <w:jc w:val="both"/>
        <w:rPr>
          <w:rFonts w:ascii="Avenir Next" w:hAnsi="Avenir Next" w:cs="Arial"/>
          <w:sz w:val="22"/>
          <w:szCs w:val="22"/>
        </w:rPr>
      </w:pPr>
      <w:r w:rsidRPr="009E0442">
        <w:rPr>
          <w:rFonts w:ascii="Avenir Next" w:hAnsi="Avenir Next" w:cs="Arial"/>
          <w:i/>
          <w:sz w:val="22"/>
          <w:szCs w:val="22"/>
        </w:rPr>
        <w:t>“So much of any amount which is ordered (whether before or after the relevant date) to be paid by the debtor under the Reserve Forces (Safeguard of Employment) Act 1985…”</w:t>
      </w:r>
      <w:r w:rsidRPr="009E0442">
        <w:rPr>
          <w:rFonts w:ascii="Avenir Next" w:hAnsi="Avenir Next" w:cs="Arial"/>
          <w:sz w:val="22"/>
          <w:szCs w:val="22"/>
        </w:rPr>
        <w:t xml:space="preserve"> (Sch 6, para 12)</w:t>
      </w:r>
    </w:p>
    <w:p w14:paraId="194834B9" w14:textId="021B5435" w:rsidR="0076034E" w:rsidRDefault="0076034E" w:rsidP="002A37BB">
      <w:pPr>
        <w:jc w:val="both"/>
        <w:rPr>
          <w:rFonts w:ascii="Avenir Next" w:hAnsi="Avenir Next" w:cs="Arial"/>
          <w:sz w:val="22"/>
          <w:szCs w:val="22"/>
        </w:rPr>
      </w:pPr>
    </w:p>
    <w:p w14:paraId="6E122289" w14:textId="77777777" w:rsidR="00F11B44" w:rsidRDefault="00524D72" w:rsidP="00CB111E">
      <w:pPr>
        <w:jc w:val="both"/>
        <w:rPr>
          <w:rFonts w:ascii="Avenir Next" w:hAnsi="Avenir Next" w:cs="Arial"/>
          <w:sz w:val="22"/>
          <w:szCs w:val="22"/>
        </w:rPr>
      </w:pPr>
      <w:r>
        <w:rPr>
          <w:rFonts w:ascii="Avenir Next" w:hAnsi="Avenir Next" w:cs="Arial"/>
          <w:sz w:val="22"/>
          <w:szCs w:val="22"/>
        </w:rPr>
        <w:t xml:space="preserve">In turn, as per the IA86, s 386(1B), </w:t>
      </w:r>
      <w:r w:rsidRPr="00524D72">
        <w:rPr>
          <w:rFonts w:ascii="Avenir Next" w:hAnsi="Avenir Next" w:cs="Arial"/>
          <w:i/>
          <w:sz w:val="22"/>
          <w:szCs w:val="22"/>
        </w:rPr>
        <w:t>“</w:t>
      </w:r>
      <w:r w:rsidR="00CB111E" w:rsidRPr="00524D72">
        <w:rPr>
          <w:rFonts w:ascii="Avenir Next" w:hAnsi="Avenir Next" w:cs="Arial"/>
          <w:i/>
          <w:sz w:val="22"/>
          <w:szCs w:val="22"/>
        </w:rPr>
        <w:t>A reference in this Act to the “secondary preferential debts” of a company or an individual is</w:t>
      </w:r>
      <w:r w:rsidRPr="00524D72">
        <w:rPr>
          <w:rFonts w:ascii="Avenir Next" w:hAnsi="Avenir Next" w:cs="Arial"/>
          <w:i/>
          <w:sz w:val="22"/>
          <w:szCs w:val="22"/>
        </w:rPr>
        <w:t xml:space="preserve"> </w:t>
      </w:r>
      <w:r w:rsidR="00CB111E" w:rsidRPr="00524D72">
        <w:rPr>
          <w:rFonts w:ascii="Avenir Next" w:hAnsi="Avenir Next" w:cs="Arial"/>
          <w:i/>
          <w:sz w:val="22"/>
          <w:szCs w:val="22"/>
        </w:rPr>
        <w:t>to the preferential debts listed in paragraph 15BA,15BB or 15D of Schedule 6 to this Act.</w:t>
      </w:r>
      <w:r w:rsidRPr="00524D72">
        <w:rPr>
          <w:rFonts w:ascii="Avenir Next" w:hAnsi="Avenir Next" w:cs="Arial"/>
          <w:i/>
          <w:sz w:val="22"/>
          <w:szCs w:val="22"/>
        </w:rPr>
        <w:t>”</w:t>
      </w:r>
      <w:r w:rsidR="00CB111E" w:rsidRPr="00CB111E">
        <w:rPr>
          <w:rFonts w:ascii="Avenir Next" w:hAnsi="Avenir Next" w:cs="Arial"/>
          <w:sz w:val="22"/>
          <w:szCs w:val="22"/>
        </w:rPr>
        <w:t xml:space="preserve"> </w:t>
      </w:r>
      <w:r w:rsidR="007D402E">
        <w:rPr>
          <w:rFonts w:ascii="Avenir Next" w:hAnsi="Avenir Next" w:cs="Arial"/>
          <w:sz w:val="22"/>
          <w:szCs w:val="22"/>
        </w:rPr>
        <w:t>Such secondary preferential debts, accordingly, include</w:t>
      </w:r>
      <w:r w:rsidR="00F11B44">
        <w:rPr>
          <w:rFonts w:ascii="Avenir Next" w:hAnsi="Avenir Next" w:cs="Arial"/>
          <w:sz w:val="22"/>
          <w:szCs w:val="22"/>
        </w:rPr>
        <w:t xml:space="preserve">: </w:t>
      </w:r>
    </w:p>
    <w:p w14:paraId="1B093E81" w14:textId="77777777" w:rsidR="00F11B44" w:rsidRDefault="00F11B44" w:rsidP="00CB111E">
      <w:pPr>
        <w:jc w:val="both"/>
        <w:rPr>
          <w:rFonts w:ascii="Avenir Next" w:hAnsi="Avenir Next" w:cs="Arial"/>
          <w:sz w:val="22"/>
          <w:szCs w:val="22"/>
        </w:rPr>
      </w:pPr>
    </w:p>
    <w:p w14:paraId="3CBE75E1" w14:textId="4FB54B4F" w:rsidR="00772B9F" w:rsidRPr="00772B9F" w:rsidRDefault="00772B9F" w:rsidP="00772B9F">
      <w:pPr>
        <w:pStyle w:val="ListParagraph"/>
        <w:numPr>
          <w:ilvl w:val="0"/>
          <w:numId w:val="20"/>
        </w:numPr>
        <w:ind w:left="567" w:hanging="567"/>
        <w:jc w:val="both"/>
        <w:rPr>
          <w:rFonts w:ascii="Avenir Next" w:hAnsi="Avenir Next" w:cs="Arial"/>
          <w:i/>
          <w:sz w:val="22"/>
          <w:szCs w:val="22"/>
        </w:rPr>
      </w:pPr>
      <w:r w:rsidRPr="00772B9F">
        <w:rPr>
          <w:rFonts w:ascii="Avenir Next" w:hAnsi="Avenir Next" w:cs="Arial"/>
          <w:i/>
          <w:sz w:val="22"/>
          <w:szCs w:val="22"/>
        </w:rPr>
        <w:t xml:space="preserve">“So much of any amount owed at the relevant date by the debtor to one or more eligible persons in respect of an eligible deposit as exceeds any compensation that would be payable in respect </w:t>
      </w:r>
      <w:r w:rsidRPr="00772B9F">
        <w:rPr>
          <w:rFonts w:ascii="Avenir Next" w:hAnsi="Avenir Next" w:cs="Arial"/>
          <w:i/>
          <w:sz w:val="22"/>
          <w:szCs w:val="22"/>
        </w:rPr>
        <w:lastRenderedPageBreak/>
        <w:t>of the deposit under the Financial Services Compensation Scheme to that person or those persons”</w:t>
      </w:r>
      <w:r>
        <w:rPr>
          <w:rFonts w:ascii="Avenir Next" w:hAnsi="Avenir Next" w:cs="Arial"/>
          <w:i/>
          <w:sz w:val="22"/>
          <w:szCs w:val="22"/>
        </w:rPr>
        <w:t xml:space="preserve"> </w:t>
      </w:r>
      <w:r>
        <w:rPr>
          <w:rFonts w:ascii="Avenir Next" w:hAnsi="Avenir Next" w:cs="Arial"/>
          <w:sz w:val="22"/>
          <w:szCs w:val="22"/>
        </w:rPr>
        <w:t>(Sch 6, para 15BA);</w:t>
      </w:r>
    </w:p>
    <w:p w14:paraId="180344D7" w14:textId="7B8F8689" w:rsidR="00772B9F" w:rsidRPr="00772B9F" w:rsidRDefault="00772B9F" w:rsidP="00772B9F">
      <w:pPr>
        <w:pStyle w:val="ListParagraph"/>
        <w:numPr>
          <w:ilvl w:val="0"/>
          <w:numId w:val="20"/>
        </w:numPr>
        <w:ind w:left="567" w:hanging="567"/>
        <w:jc w:val="both"/>
        <w:rPr>
          <w:rFonts w:ascii="Avenir Next" w:hAnsi="Avenir Next" w:cs="Arial"/>
          <w:i/>
          <w:sz w:val="22"/>
          <w:szCs w:val="22"/>
        </w:rPr>
      </w:pPr>
      <w:r w:rsidRPr="00772B9F">
        <w:rPr>
          <w:rFonts w:ascii="Avenir Next" w:hAnsi="Avenir Next" w:cs="Arial"/>
          <w:i/>
          <w:sz w:val="22"/>
          <w:szCs w:val="22"/>
        </w:rPr>
        <w:t>“An amount owed at the relevant date by the debtor to one or more eligible persons in respect of a</w:t>
      </w:r>
      <w:r>
        <w:rPr>
          <w:rFonts w:ascii="Avenir Next" w:hAnsi="Avenir Next" w:cs="Arial"/>
          <w:i/>
          <w:sz w:val="22"/>
          <w:szCs w:val="22"/>
        </w:rPr>
        <w:t xml:space="preserve"> </w:t>
      </w:r>
      <w:r w:rsidRPr="00772B9F">
        <w:rPr>
          <w:rFonts w:ascii="Avenir Next" w:hAnsi="Avenir Next" w:cs="Arial"/>
          <w:i/>
          <w:sz w:val="22"/>
          <w:szCs w:val="22"/>
        </w:rPr>
        <w:t xml:space="preserve">deposit that (a) was made through a non-UK branch of a credit institution </w:t>
      </w:r>
      <w:proofErr w:type="spellStart"/>
      <w:r w:rsidRPr="00772B9F">
        <w:rPr>
          <w:rFonts w:ascii="Avenir Next" w:hAnsi="Avenir Next" w:cs="Arial"/>
          <w:i/>
          <w:sz w:val="22"/>
          <w:szCs w:val="22"/>
        </w:rPr>
        <w:t>authorised</w:t>
      </w:r>
      <w:proofErr w:type="spellEnd"/>
      <w:r w:rsidRPr="00772B9F">
        <w:rPr>
          <w:rFonts w:ascii="Avenir Next" w:hAnsi="Avenir Next" w:cs="Arial"/>
          <w:i/>
          <w:sz w:val="22"/>
          <w:szCs w:val="22"/>
        </w:rPr>
        <w:t xml:space="preserve"> by the competent authority of the United </w:t>
      </w:r>
      <w:proofErr w:type="gramStart"/>
      <w:r w:rsidRPr="00772B9F">
        <w:rPr>
          <w:rFonts w:ascii="Avenir Next" w:hAnsi="Avenir Next" w:cs="Arial"/>
          <w:i/>
          <w:sz w:val="22"/>
          <w:szCs w:val="22"/>
        </w:rPr>
        <w:t>Kingdom ,</w:t>
      </w:r>
      <w:proofErr w:type="gramEnd"/>
      <w:r w:rsidRPr="00772B9F">
        <w:rPr>
          <w:rFonts w:ascii="Avenir Next" w:hAnsi="Avenir Next" w:cs="Arial"/>
          <w:i/>
          <w:sz w:val="22"/>
          <w:szCs w:val="22"/>
        </w:rPr>
        <w:t xml:space="preserve"> and (b) would have been an eligible deposit if it had been made through a UK branch of that credit institution”</w:t>
      </w:r>
      <w:r w:rsidRPr="00772B9F">
        <w:rPr>
          <w:rFonts w:ascii="Avenir Next" w:hAnsi="Avenir Next" w:cs="Arial"/>
          <w:sz w:val="22"/>
          <w:szCs w:val="22"/>
        </w:rPr>
        <w:t xml:space="preserve"> (Sch 6, para 15BB)</w:t>
      </w:r>
      <w:r>
        <w:rPr>
          <w:rFonts w:ascii="Avenir Next" w:hAnsi="Avenir Next" w:cs="Arial"/>
          <w:sz w:val="22"/>
          <w:szCs w:val="22"/>
        </w:rPr>
        <w:t>;</w:t>
      </w:r>
    </w:p>
    <w:p w14:paraId="685F0785" w14:textId="5B26A417" w:rsidR="00F11B44" w:rsidRPr="00772B9F" w:rsidRDefault="00F11B44" w:rsidP="00772B9F">
      <w:pPr>
        <w:pStyle w:val="ListParagraph"/>
        <w:numPr>
          <w:ilvl w:val="0"/>
          <w:numId w:val="20"/>
        </w:numPr>
        <w:ind w:left="567" w:hanging="567"/>
        <w:jc w:val="both"/>
        <w:rPr>
          <w:rFonts w:ascii="Avenir Next" w:hAnsi="Avenir Next" w:cs="Arial"/>
          <w:i/>
          <w:sz w:val="22"/>
          <w:szCs w:val="22"/>
        </w:rPr>
      </w:pPr>
      <w:r w:rsidRPr="00772B9F">
        <w:rPr>
          <w:rFonts w:ascii="Avenir Next" w:hAnsi="Avenir Next" w:cs="Arial"/>
          <w:sz w:val="22"/>
          <w:szCs w:val="22"/>
        </w:rPr>
        <w:t xml:space="preserve">National insurance deductions, </w:t>
      </w:r>
      <w:r w:rsidRPr="00772B9F">
        <w:rPr>
          <w:rFonts w:ascii="Avenir Next" w:hAnsi="Avenir Next" w:cs="Arial"/>
          <w:i/>
          <w:sz w:val="22"/>
          <w:szCs w:val="22"/>
        </w:rPr>
        <w:t>“Any amount owed at the relevant date by the debtor to the Commissioners in respect of value added tax, or a relevant deduction”</w:t>
      </w:r>
      <w:r w:rsidRPr="00772B9F">
        <w:rPr>
          <w:rFonts w:ascii="Avenir Next" w:hAnsi="Avenir Next" w:cs="Arial"/>
          <w:sz w:val="22"/>
          <w:szCs w:val="22"/>
        </w:rPr>
        <w:t xml:space="preserve"> (Schedule 6, para 15D), etc.</w:t>
      </w:r>
    </w:p>
    <w:p w14:paraId="13B12FF7" w14:textId="1B5A1E0D" w:rsidR="004F7431" w:rsidRDefault="007B7C12" w:rsidP="002A37BB">
      <w:pPr>
        <w:jc w:val="both"/>
        <w:rPr>
          <w:rFonts w:ascii="Avenir Next" w:hAnsi="Avenir Next" w:cs="Arial"/>
          <w:sz w:val="22"/>
          <w:szCs w:val="22"/>
        </w:rPr>
      </w:pPr>
      <w:r>
        <w:rPr>
          <w:rFonts w:ascii="Avenir Next" w:hAnsi="Avenir Next" w:cs="Arial"/>
          <w:sz w:val="22"/>
          <w:szCs w:val="22"/>
        </w:rPr>
        <w:t xml:space="preserve"> </w:t>
      </w:r>
    </w:p>
    <w:p w14:paraId="0B43E3A2" w14:textId="00B932CF" w:rsidR="004F7431" w:rsidRDefault="004F7431" w:rsidP="00685507">
      <w:pPr>
        <w:jc w:val="both"/>
        <w:rPr>
          <w:rFonts w:ascii="Avenir Next" w:hAnsi="Avenir Next" w:cs="Arial"/>
          <w:sz w:val="22"/>
          <w:szCs w:val="22"/>
        </w:rPr>
      </w:pPr>
      <w:r>
        <w:rPr>
          <w:rFonts w:ascii="Avenir Next" w:hAnsi="Avenir Next" w:cs="Arial"/>
          <w:sz w:val="22"/>
          <w:szCs w:val="22"/>
        </w:rPr>
        <w:t xml:space="preserve">After </w:t>
      </w:r>
      <w:r w:rsidR="00AB484E">
        <w:rPr>
          <w:rFonts w:ascii="Avenir Next" w:hAnsi="Avenir Next" w:cs="Arial"/>
          <w:sz w:val="22"/>
          <w:szCs w:val="22"/>
        </w:rPr>
        <w:t xml:space="preserve">the debts of preferential creditors are </w:t>
      </w:r>
      <w:r w:rsidR="00F7427A">
        <w:rPr>
          <w:rFonts w:ascii="Avenir Next" w:hAnsi="Avenir Next" w:cs="Arial"/>
          <w:sz w:val="22"/>
          <w:szCs w:val="22"/>
        </w:rPr>
        <w:t>satisfied</w:t>
      </w:r>
      <w:r>
        <w:rPr>
          <w:rFonts w:ascii="Avenir Next" w:hAnsi="Avenir Next" w:cs="Arial"/>
          <w:sz w:val="22"/>
          <w:szCs w:val="22"/>
        </w:rPr>
        <w:t>, the next category is holders of floating charges</w:t>
      </w:r>
      <w:r w:rsidR="00711A4C">
        <w:rPr>
          <w:rFonts w:ascii="Avenir Next" w:hAnsi="Avenir Next" w:cs="Arial"/>
          <w:sz w:val="22"/>
          <w:szCs w:val="22"/>
        </w:rPr>
        <w:t>, with priority within that class being determined</w:t>
      </w:r>
      <w:r w:rsidR="00F7427A">
        <w:rPr>
          <w:rFonts w:ascii="Avenir Next" w:hAnsi="Avenir Next" w:cs="Arial"/>
          <w:sz w:val="22"/>
          <w:szCs w:val="22"/>
        </w:rPr>
        <w:t xml:space="preserve"> generally</w:t>
      </w:r>
      <w:r w:rsidR="00711A4C">
        <w:rPr>
          <w:rFonts w:ascii="Avenir Next" w:hAnsi="Avenir Next" w:cs="Arial"/>
          <w:sz w:val="22"/>
          <w:szCs w:val="22"/>
        </w:rPr>
        <w:t xml:space="preserve"> on the basis of </w:t>
      </w:r>
      <w:r w:rsidR="00F7427A">
        <w:rPr>
          <w:rFonts w:ascii="Avenir Next" w:hAnsi="Avenir Next" w:cs="Arial"/>
          <w:sz w:val="22"/>
          <w:szCs w:val="22"/>
        </w:rPr>
        <w:t>the chronological sequence in which the charges were created</w:t>
      </w:r>
      <w:r w:rsidR="00A009C8">
        <w:rPr>
          <w:rFonts w:ascii="Avenir Next" w:hAnsi="Avenir Next" w:cs="Arial"/>
          <w:sz w:val="22"/>
          <w:szCs w:val="22"/>
        </w:rPr>
        <w:t>.</w:t>
      </w:r>
      <w:r w:rsidR="00F7427A">
        <w:rPr>
          <w:rStyle w:val="FootnoteReference"/>
          <w:rFonts w:ascii="Avenir Next" w:hAnsi="Avenir Next" w:cs="Arial"/>
          <w:sz w:val="22"/>
          <w:szCs w:val="22"/>
        </w:rPr>
        <w:footnoteReference w:id="8"/>
      </w:r>
      <w:r w:rsidR="00A009C8">
        <w:rPr>
          <w:rFonts w:ascii="Avenir Next" w:hAnsi="Avenir Next" w:cs="Arial"/>
          <w:sz w:val="22"/>
          <w:szCs w:val="22"/>
        </w:rPr>
        <w:t xml:space="preserve"> That being said, the liquidator must also comply with the IA86, s 176A</w:t>
      </w:r>
      <w:r w:rsidR="00685507">
        <w:rPr>
          <w:rFonts w:ascii="Avenir Next" w:hAnsi="Avenir Next" w:cs="Arial"/>
          <w:i/>
          <w:sz w:val="22"/>
          <w:szCs w:val="22"/>
        </w:rPr>
        <w:t xml:space="preserve">, i.e. </w:t>
      </w:r>
      <w:r w:rsidR="00685507" w:rsidRPr="00685507">
        <w:rPr>
          <w:rFonts w:ascii="Avenir Next" w:hAnsi="Avenir Next" w:cs="Arial"/>
          <w:i/>
          <w:sz w:val="22"/>
          <w:szCs w:val="22"/>
        </w:rPr>
        <w:t>“shall make a prescribed part of the company's net property available for the satisfaction of unsecured debts and shall not distribute that part to the proprietor of a floating charge except in so far as it exceeds the amount required for the satisfaction of unsecured debts”</w:t>
      </w:r>
      <w:r w:rsidR="00685507" w:rsidRPr="00685507">
        <w:rPr>
          <w:rFonts w:ascii="Avenir Next" w:hAnsi="Avenir Next" w:cs="Arial"/>
          <w:sz w:val="22"/>
          <w:szCs w:val="22"/>
        </w:rPr>
        <w:t>.</w:t>
      </w:r>
    </w:p>
    <w:p w14:paraId="66C17AA2" w14:textId="77777777" w:rsidR="00685507" w:rsidRDefault="00685507" w:rsidP="002A37BB">
      <w:pPr>
        <w:jc w:val="both"/>
        <w:rPr>
          <w:rFonts w:ascii="Avenir Next" w:hAnsi="Avenir Next" w:cs="Arial"/>
          <w:sz w:val="22"/>
          <w:szCs w:val="22"/>
        </w:rPr>
      </w:pPr>
    </w:p>
    <w:p w14:paraId="4A6E3F55" w14:textId="5E0196F8" w:rsidR="004F7431" w:rsidRDefault="004F7431" w:rsidP="002A37BB">
      <w:pPr>
        <w:jc w:val="both"/>
        <w:rPr>
          <w:rFonts w:ascii="Avenir Next" w:hAnsi="Avenir Next" w:cs="Arial"/>
          <w:sz w:val="22"/>
          <w:szCs w:val="22"/>
        </w:rPr>
      </w:pPr>
      <w:r>
        <w:rPr>
          <w:rFonts w:ascii="Avenir Next" w:hAnsi="Avenir Next" w:cs="Arial"/>
          <w:sz w:val="22"/>
          <w:szCs w:val="22"/>
        </w:rPr>
        <w:t>After holders of floating charges</w:t>
      </w:r>
      <w:r w:rsidR="00F726AB">
        <w:rPr>
          <w:rFonts w:ascii="Avenir Next" w:hAnsi="Avenir Next" w:cs="Arial"/>
          <w:sz w:val="22"/>
          <w:szCs w:val="22"/>
        </w:rPr>
        <w:t>, the next order of priority is that of</w:t>
      </w:r>
      <w:r>
        <w:rPr>
          <w:rFonts w:ascii="Avenir Next" w:hAnsi="Avenir Next" w:cs="Arial"/>
          <w:sz w:val="22"/>
          <w:szCs w:val="22"/>
        </w:rPr>
        <w:t xml:space="preserve"> unsecured creditors</w:t>
      </w:r>
      <w:r w:rsidR="00F726AB">
        <w:rPr>
          <w:rFonts w:ascii="Avenir Next" w:hAnsi="Avenir Next" w:cs="Arial"/>
          <w:sz w:val="22"/>
          <w:szCs w:val="22"/>
        </w:rPr>
        <w:t xml:space="preserve"> (again, on a </w:t>
      </w:r>
      <w:proofErr w:type="spellStart"/>
      <w:r w:rsidR="00F726AB">
        <w:rPr>
          <w:rFonts w:ascii="Avenir Next" w:hAnsi="Avenir Next" w:cs="Arial"/>
          <w:i/>
          <w:sz w:val="22"/>
          <w:szCs w:val="22"/>
        </w:rPr>
        <w:t>pari</w:t>
      </w:r>
      <w:proofErr w:type="spellEnd"/>
      <w:r w:rsidR="00F726AB">
        <w:rPr>
          <w:rFonts w:ascii="Avenir Next" w:hAnsi="Avenir Next" w:cs="Arial"/>
          <w:i/>
          <w:sz w:val="22"/>
          <w:szCs w:val="22"/>
        </w:rPr>
        <w:t xml:space="preserve"> </w:t>
      </w:r>
      <w:proofErr w:type="spellStart"/>
      <w:r w:rsidR="00F726AB">
        <w:rPr>
          <w:rFonts w:ascii="Avenir Next" w:hAnsi="Avenir Next" w:cs="Arial"/>
          <w:i/>
          <w:sz w:val="22"/>
          <w:szCs w:val="22"/>
        </w:rPr>
        <w:t>passu</w:t>
      </w:r>
      <w:proofErr w:type="spellEnd"/>
      <w:r w:rsidR="00F726AB">
        <w:rPr>
          <w:rFonts w:ascii="Avenir Next" w:hAnsi="Avenir Next" w:cs="Arial"/>
          <w:i/>
          <w:sz w:val="22"/>
          <w:szCs w:val="22"/>
        </w:rPr>
        <w:t xml:space="preserve"> </w:t>
      </w:r>
      <w:r w:rsidR="00F726AB">
        <w:rPr>
          <w:rFonts w:ascii="Avenir Next" w:hAnsi="Avenir Next" w:cs="Arial"/>
          <w:sz w:val="22"/>
          <w:szCs w:val="22"/>
        </w:rPr>
        <w:t>basis)</w:t>
      </w:r>
      <w:r>
        <w:rPr>
          <w:rFonts w:ascii="Avenir Next" w:hAnsi="Avenir Next" w:cs="Arial"/>
          <w:sz w:val="22"/>
          <w:szCs w:val="22"/>
        </w:rPr>
        <w:t xml:space="preserve">. </w:t>
      </w:r>
    </w:p>
    <w:p w14:paraId="7E098C32" w14:textId="4F544DC7" w:rsidR="00443C49" w:rsidRDefault="00443C49" w:rsidP="002A37BB">
      <w:pPr>
        <w:jc w:val="both"/>
        <w:rPr>
          <w:rFonts w:ascii="Avenir Next" w:hAnsi="Avenir Next" w:cs="Arial"/>
          <w:sz w:val="22"/>
          <w:szCs w:val="22"/>
        </w:rPr>
      </w:pPr>
    </w:p>
    <w:p w14:paraId="7038AF9F" w14:textId="04805606" w:rsidR="00443C49" w:rsidRDefault="00443C49" w:rsidP="002A37BB">
      <w:pPr>
        <w:jc w:val="both"/>
        <w:rPr>
          <w:rFonts w:ascii="Avenir Next" w:hAnsi="Avenir Next" w:cs="Arial"/>
          <w:sz w:val="22"/>
          <w:szCs w:val="22"/>
        </w:rPr>
      </w:pPr>
      <w:r>
        <w:rPr>
          <w:rFonts w:ascii="Avenir Next" w:hAnsi="Avenir Next" w:cs="Arial"/>
          <w:sz w:val="22"/>
          <w:szCs w:val="22"/>
        </w:rPr>
        <w:t xml:space="preserve">In the unlikely event that all unsecured creditors’ debts are satisfied, the last order of priority is that of shareholders, according to the company’s constitution. </w:t>
      </w:r>
    </w:p>
    <w:p w14:paraId="02C42373" w14:textId="180ECE79" w:rsidR="00314CE2" w:rsidRDefault="00314CE2" w:rsidP="002A37BB">
      <w:pPr>
        <w:jc w:val="both"/>
        <w:rPr>
          <w:rFonts w:ascii="Avenir Next" w:hAnsi="Avenir Next" w:cs="Arial"/>
          <w:sz w:val="22"/>
          <w:szCs w:val="22"/>
        </w:rPr>
      </w:pPr>
    </w:p>
    <w:p w14:paraId="0B13A36B" w14:textId="6A5EF156" w:rsidR="001A4DE2" w:rsidRPr="001A4DE2" w:rsidRDefault="001A4DE2" w:rsidP="002A37BB">
      <w:pPr>
        <w:jc w:val="both"/>
        <w:rPr>
          <w:rFonts w:ascii="Avenir Next" w:hAnsi="Avenir Next" w:cs="Arial"/>
          <w:sz w:val="22"/>
          <w:szCs w:val="22"/>
          <w:u w:val="single"/>
        </w:rPr>
      </w:pPr>
      <w:r>
        <w:rPr>
          <w:rFonts w:ascii="Avenir Next" w:hAnsi="Avenir Next" w:cs="Arial"/>
          <w:sz w:val="22"/>
          <w:szCs w:val="22"/>
          <w:u w:val="single"/>
        </w:rPr>
        <w:t>Answer Including Part A1</w:t>
      </w:r>
    </w:p>
    <w:p w14:paraId="05B6AB2F" w14:textId="573DD2E8" w:rsidR="007F166B" w:rsidRDefault="00930EF8" w:rsidP="002A37BB">
      <w:pPr>
        <w:jc w:val="both"/>
        <w:rPr>
          <w:rFonts w:ascii="Avenir Next" w:hAnsi="Avenir Next" w:cs="Arial"/>
          <w:sz w:val="22"/>
          <w:szCs w:val="22"/>
        </w:rPr>
      </w:pPr>
      <w:r>
        <w:rPr>
          <w:rFonts w:ascii="Avenir Next" w:hAnsi="Avenir Next" w:cs="Arial"/>
          <w:sz w:val="22"/>
          <w:szCs w:val="22"/>
        </w:rPr>
        <w:t xml:space="preserve">If </w:t>
      </w:r>
      <w:r w:rsidR="004325DE">
        <w:rPr>
          <w:rFonts w:ascii="Avenir Next" w:hAnsi="Avenir Next" w:cs="Arial"/>
          <w:sz w:val="22"/>
          <w:szCs w:val="22"/>
        </w:rPr>
        <w:t xml:space="preserve">the liquidation or administration </w:t>
      </w:r>
      <w:r w:rsidR="00510EE3">
        <w:rPr>
          <w:rFonts w:ascii="Avenir Next" w:hAnsi="Avenir Next" w:cs="Arial"/>
          <w:sz w:val="22"/>
          <w:szCs w:val="22"/>
        </w:rPr>
        <w:t>had commenced</w:t>
      </w:r>
      <w:r w:rsidR="004325DE">
        <w:rPr>
          <w:rFonts w:ascii="Avenir Next" w:hAnsi="Avenir Next" w:cs="Arial"/>
          <w:sz w:val="22"/>
          <w:szCs w:val="22"/>
        </w:rPr>
        <w:t xml:space="preserve"> within 12 weeks of the Moratorium’s end then the priority of debts in that liquidation or administration may be different to the priority which would have existed before the Moratorium.</w:t>
      </w:r>
      <w:r w:rsidR="005A237B">
        <w:rPr>
          <w:rStyle w:val="FootnoteReference"/>
          <w:rFonts w:ascii="Avenir Next" w:hAnsi="Avenir Next" w:cs="Arial"/>
          <w:sz w:val="22"/>
          <w:szCs w:val="22"/>
        </w:rPr>
        <w:footnoteReference w:id="9"/>
      </w:r>
      <w:r w:rsidR="004325DE">
        <w:rPr>
          <w:rFonts w:ascii="Avenir Next" w:hAnsi="Avenir Next" w:cs="Arial"/>
          <w:sz w:val="22"/>
          <w:szCs w:val="22"/>
        </w:rPr>
        <w:t xml:space="preserve"> The IA86, s 174</w:t>
      </w:r>
      <w:proofErr w:type="gramStart"/>
      <w:r w:rsidR="004325DE">
        <w:rPr>
          <w:rFonts w:ascii="Avenir Next" w:hAnsi="Avenir Next" w:cs="Arial"/>
          <w:sz w:val="22"/>
          <w:szCs w:val="22"/>
        </w:rPr>
        <w:t>A(</w:t>
      </w:r>
      <w:proofErr w:type="gramEnd"/>
      <w:r w:rsidR="004325DE">
        <w:rPr>
          <w:rFonts w:ascii="Avenir Next" w:hAnsi="Avenir Next" w:cs="Arial"/>
          <w:sz w:val="22"/>
          <w:szCs w:val="22"/>
        </w:rPr>
        <w:t xml:space="preserve">1)-(3) basically stipulate that various unpaid pre-Moratorium debts have priority – </w:t>
      </w:r>
      <w:r w:rsidR="004325DE" w:rsidRPr="009923D2">
        <w:rPr>
          <w:rFonts w:ascii="Avenir Next" w:hAnsi="Avenir Next" w:cs="Arial"/>
          <w:i/>
          <w:sz w:val="22"/>
          <w:szCs w:val="22"/>
          <w:u w:val="single"/>
        </w:rPr>
        <w:t>even over the liquidator’s expenses and fees</w:t>
      </w:r>
      <w:r w:rsidR="004325DE">
        <w:rPr>
          <w:rFonts w:ascii="Avenir Next" w:hAnsi="Avenir Next" w:cs="Arial"/>
          <w:sz w:val="22"/>
          <w:szCs w:val="22"/>
        </w:rPr>
        <w:t>. In particular, s 174</w:t>
      </w:r>
      <w:proofErr w:type="gramStart"/>
      <w:r w:rsidR="004325DE">
        <w:rPr>
          <w:rFonts w:ascii="Avenir Next" w:hAnsi="Avenir Next" w:cs="Arial"/>
          <w:sz w:val="22"/>
          <w:szCs w:val="22"/>
        </w:rPr>
        <w:t>A(</w:t>
      </w:r>
      <w:proofErr w:type="gramEnd"/>
      <w:r w:rsidR="004325DE">
        <w:rPr>
          <w:rFonts w:ascii="Avenir Next" w:hAnsi="Avenir Next" w:cs="Arial"/>
          <w:sz w:val="22"/>
          <w:szCs w:val="22"/>
        </w:rPr>
        <w:t xml:space="preserve">3) defines </w:t>
      </w:r>
      <w:r w:rsidR="004325DE">
        <w:rPr>
          <w:rFonts w:ascii="Avenir Next" w:hAnsi="Avenir Next" w:cs="Arial"/>
          <w:i/>
          <w:sz w:val="22"/>
          <w:szCs w:val="22"/>
        </w:rPr>
        <w:t xml:space="preserve">“priority pre-moratorium debts” </w:t>
      </w:r>
      <w:r w:rsidR="004325DE">
        <w:rPr>
          <w:rFonts w:ascii="Avenir Next" w:hAnsi="Avenir Next" w:cs="Arial"/>
          <w:sz w:val="22"/>
          <w:szCs w:val="22"/>
        </w:rPr>
        <w:t>as:</w:t>
      </w:r>
    </w:p>
    <w:p w14:paraId="375D2F3C" w14:textId="69FD5E60" w:rsidR="004325DE" w:rsidRDefault="004325DE" w:rsidP="002A37BB">
      <w:pPr>
        <w:jc w:val="both"/>
        <w:rPr>
          <w:rFonts w:ascii="Avenir Next" w:hAnsi="Avenir Next" w:cs="Arial"/>
          <w:sz w:val="22"/>
          <w:szCs w:val="22"/>
        </w:rPr>
      </w:pPr>
    </w:p>
    <w:p w14:paraId="41BBE5C0" w14:textId="3BC5B079" w:rsidR="004325DE" w:rsidRPr="004325DE" w:rsidRDefault="004325DE" w:rsidP="004325DE">
      <w:pPr>
        <w:jc w:val="both"/>
        <w:rPr>
          <w:rFonts w:ascii="Avenir Next" w:hAnsi="Avenir Next" w:cs="Arial"/>
          <w:i/>
          <w:sz w:val="22"/>
          <w:szCs w:val="22"/>
        </w:rPr>
      </w:pPr>
      <w:r w:rsidRPr="004325DE">
        <w:rPr>
          <w:rFonts w:ascii="Avenir Next" w:hAnsi="Avenir Next" w:cs="Arial"/>
          <w:i/>
          <w:sz w:val="22"/>
          <w:szCs w:val="22"/>
        </w:rPr>
        <w:t>“(a) any pre-moratorium debt that is payable in respect of—</w:t>
      </w:r>
    </w:p>
    <w:p w14:paraId="6069D42F" w14:textId="77777777" w:rsidR="004325DE" w:rsidRPr="004325DE" w:rsidRDefault="004325DE" w:rsidP="004325DE">
      <w:pPr>
        <w:ind w:left="720"/>
        <w:jc w:val="both"/>
        <w:rPr>
          <w:rFonts w:ascii="Avenir Next" w:hAnsi="Avenir Next" w:cs="Arial"/>
          <w:i/>
          <w:sz w:val="22"/>
          <w:szCs w:val="22"/>
        </w:rPr>
      </w:pPr>
      <w:r w:rsidRPr="004325DE">
        <w:rPr>
          <w:rFonts w:ascii="Avenir Next" w:hAnsi="Avenir Next" w:cs="Arial"/>
          <w:i/>
          <w:sz w:val="22"/>
          <w:szCs w:val="22"/>
        </w:rPr>
        <w:t>(</w:t>
      </w:r>
      <w:proofErr w:type="spellStart"/>
      <w:r w:rsidRPr="004325DE">
        <w:rPr>
          <w:rFonts w:ascii="Avenir Next" w:hAnsi="Avenir Next" w:cs="Arial"/>
          <w:i/>
          <w:sz w:val="22"/>
          <w:szCs w:val="22"/>
        </w:rPr>
        <w:t>i</w:t>
      </w:r>
      <w:proofErr w:type="spellEnd"/>
      <w:r w:rsidRPr="004325DE">
        <w:rPr>
          <w:rFonts w:ascii="Avenir Next" w:hAnsi="Avenir Next" w:cs="Arial"/>
          <w:i/>
          <w:sz w:val="22"/>
          <w:szCs w:val="22"/>
        </w:rPr>
        <w:t>) the monitor's remuneration or expenses,</w:t>
      </w:r>
    </w:p>
    <w:p w14:paraId="56FDFC52" w14:textId="77777777" w:rsidR="004325DE" w:rsidRPr="004325DE" w:rsidRDefault="004325DE" w:rsidP="004325DE">
      <w:pPr>
        <w:ind w:left="720"/>
        <w:jc w:val="both"/>
        <w:rPr>
          <w:rFonts w:ascii="Avenir Next" w:hAnsi="Avenir Next" w:cs="Arial"/>
          <w:i/>
          <w:sz w:val="22"/>
          <w:szCs w:val="22"/>
        </w:rPr>
      </w:pPr>
      <w:r w:rsidRPr="004325DE">
        <w:rPr>
          <w:rFonts w:ascii="Avenir Next" w:hAnsi="Avenir Next" w:cs="Arial"/>
          <w:i/>
          <w:sz w:val="22"/>
          <w:szCs w:val="22"/>
        </w:rPr>
        <w:t>(ii) goods or services supplied during the moratorium,</w:t>
      </w:r>
    </w:p>
    <w:p w14:paraId="01F85049" w14:textId="52071427" w:rsidR="004325DE" w:rsidRPr="004325DE" w:rsidRDefault="004325DE" w:rsidP="004325DE">
      <w:pPr>
        <w:ind w:left="720"/>
        <w:jc w:val="both"/>
        <w:rPr>
          <w:rFonts w:ascii="Avenir Next" w:hAnsi="Avenir Next" w:cs="Arial"/>
          <w:i/>
          <w:sz w:val="22"/>
          <w:szCs w:val="22"/>
        </w:rPr>
      </w:pPr>
      <w:r w:rsidRPr="004325DE">
        <w:rPr>
          <w:rFonts w:ascii="Avenir Next" w:hAnsi="Avenir Next" w:cs="Arial"/>
          <w:i/>
          <w:sz w:val="22"/>
          <w:szCs w:val="22"/>
        </w:rPr>
        <w:t xml:space="preserve">(iii) rent in respect of a period during the moratorium, or Insolvency Act 1986 </w:t>
      </w:r>
    </w:p>
    <w:p w14:paraId="054F8050" w14:textId="515F5493" w:rsidR="004325DE" w:rsidRPr="004325DE" w:rsidRDefault="004325DE" w:rsidP="004325DE">
      <w:pPr>
        <w:ind w:left="709"/>
        <w:jc w:val="both"/>
        <w:rPr>
          <w:rFonts w:ascii="Avenir Next" w:hAnsi="Avenir Next" w:cs="Arial"/>
          <w:i/>
          <w:sz w:val="22"/>
          <w:szCs w:val="22"/>
        </w:rPr>
      </w:pPr>
      <w:r w:rsidRPr="004325DE">
        <w:rPr>
          <w:rFonts w:ascii="Avenir Next" w:hAnsi="Avenir Next" w:cs="Arial"/>
          <w:i/>
          <w:sz w:val="22"/>
          <w:szCs w:val="22"/>
        </w:rPr>
        <w:t>(iv) wages or salary arising under a contract of employment, so far as relating to a period of employment before or during the moratorium,</w:t>
      </w:r>
    </w:p>
    <w:p w14:paraId="55FA3568" w14:textId="77777777" w:rsidR="004325DE" w:rsidRPr="004325DE" w:rsidRDefault="004325DE" w:rsidP="004325DE">
      <w:pPr>
        <w:jc w:val="both"/>
        <w:rPr>
          <w:rFonts w:ascii="Avenir Next" w:hAnsi="Avenir Next" w:cs="Arial"/>
          <w:i/>
          <w:sz w:val="22"/>
          <w:szCs w:val="22"/>
        </w:rPr>
      </w:pPr>
      <w:r w:rsidRPr="004325DE">
        <w:rPr>
          <w:rFonts w:ascii="Avenir Next" w:hAnsi="Avenir Next" w:cs="Arial"/>
          <w:i/>
          <w:sz w:val="22"/>
          <w:szCs w:val="22"/>
        </w:rPr>
        <w:t>(b) any pre-moratorium debt that—</w:t>
      </w:r>
    </w:p>
    <w:p w14:paraId="7ADFC765" w14:textId="77777777" w:rsidR="004325DE" w:rsidRPr="004325DE" w:rsidRDefault="004325DE" w:rsidP="004325DE">
      <w:pPr>
        <w:ind w:left="720"/>
        <w:jc w:val="both"/>
        <w:rPr>
          <w:rFonts w:ascii="Avenir Next" w:hAnsi="Avenir Next" w:cs="Arial"/>
          <w:i/>
          <w:sz w:val="22"/>
          <w:szCs w:val="22"/>
        </w:rPr>
      </w:pPr>
      <w:r w:rsidRPr="004325DE">
        <w:rPr>
          <w:rFonts w:ascii="Avenir Next" w:hAnsi="Avenir Next" w:cs="Arial"/>
          <w:i/>
          <w:sz w:val="22"/>
          <w:szCs w:val="22"/>
        </w:rPr>
        <w:t>(</w:t>
      </w:r>
      <w:proofErr w:type="spellStart"/>
      <w:r w:rsidRPr="004325DE">
        <w:rPr>
          <w:rFonts w:ascii="Avenir Next" w:hAnsi="Avenir Next" w:cs="Arial"/>
          <w:i/>
          <w:sz w:val="22"/>
          <w:szCs w:val="22"/>
        </w:rPr>
        <w:t>i</w:t>
      </w:r>
      <w:proofErr w:type="spellEnd"/>
      <w:r w:rsidRPr="004325DE">
        <w:rPr>
          <w:rFonts w:ascii="Avenir Next" w:hAnsi="Avenir Next" w:cs="Arial"/>
          <w:i/>
          <w:sz w:val="22"/>
          <w:szCs w:val="22"/>
        </w:rPr>
        <w:t>) consists of a liability to make a redundancy payment, and</w:t>
      </w:r>
    </w:p>
    <w:p w14:paraId="75F16E1E" w14:textId="77777777" w:rsidR="004325DE" w:rsidRPr="004325DE" w:rsidRDefault="004325DE" w:rsidP="004325DE">
      <w:pPr>
        <w:ind w:left="720"/>
        <w:jc w:val="both"/>
        <w:rPr>
          <w:rFonts w:ascii="Avenir Next" w:hAnsi="Avenir Next" w:cs="Arial"/>
          <w:i/>
          <w:sz w:val="22"/>
          <w:szCs w:val="22"/>
        </w:rPr>
      </w:pPr>
      <w:r w:rsidRPr="004325DE">
        <w:rPr>
          <w:rFonts w:ascii="Avenir Next" w:hAnsi="Avenir Next" w:cs="Arial"/>
          <w:i/>
          <w:sz w:val="22"/>
          <w:szCs w:val="22"/>
        </w:rPr>
        <w:t>(ii) fell due before or during the moratorium, and</w:t>
      </w:r>
    </w:p>
    <w:p w14:paraId="4A1A5BA0" w14:textId="77777777" w:rsidR="004325DE" w:rsidRPr="004325DE" w:rsidRDefault="004325DE" w:rsidP="004325DE">
      <w:pPr>
        <w:jc w:val="both"/>
        <w:rPr>
          <w:rFonts w:ascii="Avenir Next" w:hAnsi="Avenir Next" w:cs="Arial"/>
          <w:i/>
          <w:sz w:val="22"/>
          <w:szCs w:val="22"/>
        </w:rPr>
      </w:pPr>
      <w:r w:rsidRPr="004325DE">
        <w:rPr>
          <w:rFonts w:ascii="Avenir Next" w:hAnsi="Avenir Next" w:cs="Arial"/>
          <w:i/>
          <w:sz w:val="22"/>
          <w:szCs w:val="22"/>
        </w:rPr>
        <w:t>(c) any pre-moratorium debt that—</w:t>
      </w:r>
    </w:p>
    <w:p w14:paraId="7039E429" w14:textId="77777777" w:rsidR="004325DE" w:rsidRPr="004325DE" w:rsidRDefault="004325DE" w:rsidP="004325DE">
      <w:pPr>
        <w:ind w:left="720"/>
        <w:jc w:val="both"/>
        <w:rPr>
          <w:rFonts w:ascii="Avenir Next" w:hAnsi="Avenir Next" w:cs="Arial"/>
          <w:i/>
          <w:sz w:val="22"/>
          <w:szCs w:val="22"/>
        </w:rPr>
      </w:pPr>
      <w:r w:rsidRPr="004325DE">
        <w:rPr>
          <w:rFonts w:ascii="Avenir Next" w:hAnsi="Avenir Next" w:cs="Arial"/>
          <w:i/>
          <w:sz w:val="22"/>
          <w:szCs w:val="22"/>
        </w:rPr>
        <w:t>(</w:t>
      </w:r>
      <w:proofErr w:type="spellStart"/>
      <w:r w:rsidRPr="004325DE">
        <w:rPr>
          <w:rFonts w:ascii="Avenir Next" w:hAnsi="Avenir Next" w:cs="Arial"/>
          <w:i/>
          <w:sz w:val="22"/>
          <w:szCs w:val="22"/>
        </w:rPr>
        <w:t>i</w:t>
      </w:r>
      <w:proofErr w:type="spellEnd"/>
      <w:r w:rsidRPr="004325DE">
        <w:rPr>
          <w:rFonts w:ascii="Avenir Next" w:hAnsi="Avenir Next" w:cs="Arial"/>
          <w:i/>
          <w:sz w:val="22"/>
          <w:szCs w:val="22"/>
        </w:rPr>
        <w:t>) arises under a contract or other instrument involving financial services,</w:t>
      </w:r>
    </w:p>
    <w:p w14:paraId="77F2ED54" w14:textId="77777777" w:rsidR="004325DE" w:rsidRPr="004325DE" w:rsidRDefault="004325DE" w:rsidP="004325DE">
      <w:pPr>
        <w:ind w:left="720"/>
        <w:jc w:val="both"/>
        <w:rPr>
          <w:rFonts w:ascii="Avenir Next" w:hAnsi="Avenir Next" w:cs="Arial"/>
          <w:i/>
          <w:sz w:val="22"/>
          <w:szCs w:val="22"/>
        </w:rPr>
      </w:pPr>
      <w:r w:rsidRPr="004325DE">
        <w:rPr>
          <w:rFonts w:ascii="Avenir Next" w:hAnsi="Avenir Next" w:cs="Arial"/>
          <w:i/>
          <w:sz w:val="22"/>
          <w:szCs w:val="22"/>
        </w:rPr>
        <w:t>(ii) fell due before or during the moratorium, and</w:t>
      </w:r>
    </w:p>
    <w:p w14:paraId="381A7931" w14:textId="122F038A" w:rsidR="004325DE" w:rsidRPr="004325DE" w:rsidRDefault="004325DE" w:rsidP="004325DE">
      <w:pPr>
        <w:ind w:left="720"/>
        <w:jc w:val="both"/>
        <w:rPr>
          <w:rFonts w:ascii="Avenir Next" w:hAnsi="Avenir Next" w:cs="Arial"/>
          <w:i/>
          <w:sz w:val="22"/>
          <w:szCs w:val="22"/>
        </w:rPr>
      </w:pPr>
      <w:r w:rsidRPr="004325DE">
        <w:rPr>
          <w:rFonts w:ascii="Avenir Next" w:hAnsi="Avenir Next" w:cs="Arial"/>
          <w:i/>
          <w:sz w:val="22"/>
          <w:szCs w:val="22"/>
        </w:rPr>
        <w:t>(iii) is not relevant accelerated debt (see subsection (4)).”</w:t>
      </w:r>
    </w:p>
    <w:p w14:paraId="027F9C0D" w14:textId="749240D0" w:rsidR="004325DE" w:rsidRDefault="004325DE" w:rsidP="002A37BB">
      <w:pPr>
        <w:jc w:val="both"/>
        <w:rPr>
          <w:rFonts w:ascii="Avenir Next" w:hAnsi="Avenir Next" w:cs="Arial"/>
          <w:sz w:val="22"/>
          <w:szCs w:val="22"/>
        </w:rPr>
      </w:pPr>
    </w:p>
    <w:p w14:paraId="45EF396A" w14:textId="69D9F60E" w:rsidR="007B7656" w:rsidRDefault="005A237B" w:rsidP="00E4061E">
      <w:pPr>
        <w:jc w:val="both"/>
        <w:rPr>
          <w:rFonts w:ascii="Avenir Next" w:hAnsi="Avenir Next" w:cs="Arial"/>
          <w:sz w:val="22"/>
          <w:szCs w:val="22"/>
        </w:rPr>
      </w:pPr>
      <w:r>
        <w:rPr>
          <w:rFonts w:ascii="Avenir Next" w:hAnsi="Avenir Next" w:cs="Arial"/>
          <w:sz w:val="22"/>
          <w:szCs w:val="22"/>
        </w:rPr>
        <w:t xml:space="preserve">Consequently, </w:t>
      </w:r>
      <w:r w:rsidR="007B7656">
        <w:rPr>
          <w:rFonts w:ascii="Avenir Next" w:hAnsi="Avenir Next" w:cs="Arial"/>
          <w:sz w:val="22"/>
          <w:szCs w:val="22"/>
        </w:rPr>
        <w:t xml:space="preserve">it may be the case that </w:t>
      </w:r>
      <w:r w:rsidR="00E4061E" w:rsidRPr="00E4061E">
        <w:rPr>
          <w:rFonts w:ascii="Avenir Next" w:hAnsi="Avenir Next" w:cs="Arial"/>
          <w:sz w:val="22"/>
          <w:szCs w:val="22"/>
        </w:rPr>
        <w:t>certain</w:t>
      </w:r>
      <w:r>
        <w:rPr>
          <w:rFonts w:ascii="Avenir Next" w:hAnsi="Avenir Next" w:cs="Arial"/>
          <w:sz w:val="22"/>
          <w:szCs w:val="22"/>
        </w:rPr>
        <w:t xml:space="preserve"> </w:t>
      </w:r>
      <w:r w:rsidR="00E4061E" w:rsidRPr="00E4061E">
        <w:rPr>
          <w:rFonts w:ascii="Avenir Next" w:hAnsi="Avenir Next" w:cs="Arial"/>
          <w:sz w:val="22"/>
          <w:szCs w:val="22"/>
        </w:rPr>
        <w:t xml:space="preserve">unsecured debts </w:t>
      </w:r>
      <w:r w:rsidR="007B7656">
        <w:rPr>
          <w:rFonts w:ascii="Avenir Next" w:hAnsi="Avenir Next" w:cs="Arial"/>
          <w:sz w:val="22"/>
          <w:szCs w:val="22"/>
        </w:rPr>
        <w:t xml:space="preserve">would fall into </w:t>
      </w:r>
      <w:r w:rsidR="00E4061E" w:rsidRPr="00E4061E">
        <w:rPr>
          <w:rFonts w:ascii="Avenir Next" w:hAnsi="Avenir Next" w:cs="Arial"/>
          <w:sz w:val="22"/>
          <w:szCs w:val="22"/>
        </w:rPr>
        <w:t>a form of “super priority”.</w:t>
      </w:r>
      <w:r w:rsidR="007B7656">
        <w:rPr>
          <w:rStyle w:val="FootnoteReference"/>
          <w:rFonts w:ascii="Avenir Next" w:hAnsi="Avenir Next" w:cs="Arial"/>
          <w:sz w:val="22"/>
          <w:szCs w:val="22"/>
        </w:rPr>
        <w:footnoteReference w:id="10"/>
      </w:r>
      <w:r w:rsidR="00E4061E" w:rsidRPr="00E4061E">
        <w:rPr>
          <w:rFonts w:ascii="Avenir Next" w:hAnsi="Avenir Next" w:cs="Arial"/>
          <w:sz w:val="22"/>
          <w:szCs w:val="22"/>
        </w:rPr>
        <w:t xml:space="preserve"> </w:t>
      </w:r>
      <w:r w:rsidR="007B7656">
        <w:rPr>
          <w:rFonts w:ascii="Avenir Next" w:hAnsi="Avenir Next" w:cs="Arial"/>
          <w:sz w:val="22"/>
          <w:szCs w:val="22"/>
        </w:rPr>
        <w:t xml:space="preserve">An example provided in the course material is </w:t>
      </w:r>
      <w:r w:rsidR="009923D2">
        <w:rPr>
          <w:rFonts w:ascii="Avenir Next" w:hAnsi="Avenir Next" w:cs="Arial"/>
          <w:sz w:val="22"/>
          <w:szCs w:val="22"/>
        </w:rPr>
        <w:t xml:space="preserve">that of </w:t>
      </w:r>
      <w:r w:rsidR="007B7656">
        <w:rPr>
          <w:rFonts w:ascii="Avenir Next" w:hAnsi="Avenir Next" w:cs="Arial"/>
          <w:sz w:val="22"/>
          <w:szCs w:val="22"/>
        </w:rPr>
        <w:t xml:space="preserve">a director </w:t>
      </w:r>
      <w:r w:rsidR="009923D2">
        <w:rPr>
          <w:rFonts w:ascii="Avenir Next" w:hAnsi="Avenir Next" w:cs="Arial"/>
          <w:sz w:val="22"/>
          <w:szCs w:val="22"/>
        </w:rPr>
        <w:t xml:space="preserve">who is </w:t>
      </w:r>
      <w:r w:rsidR="007B7656">
        <w:rPr>
          <w:rFonts w:ascii="Avenir Next" w:hAnsi="Avenir Next" w:cs="Arial"/>
          <w:sz w:val="22"/>
          <w:szCs w:val="22"/>
        </w:rPr>
        <w:t>due sums for months prior to the Moratorium, in the event that the Moratorium proves to be unsuccessful.</w:t>
      </w:r>
      <w:r w:rsidR="00861DDA">
        <w:rPr>
          <w:rStyle w:val="FootnoteReference"/>
          <w:rFonts w:ascii="Avenir Next" w:hAnsi="Avenir Next" w:cs="Arial"/>
          <w:sz w:val="22"/>
          <w:szCs w:val="22"/>
        </w:rPr>
        <w:footnoteReference w:id="11"/>
      </w:r>
      <w:r w:rsidR="007B7656">
        <w:rPr>
          <w:rFonts w:ascii="Avenir Next" w:hAnsi="Avenir Next" w:cs="Arial"/>
          <w:sz w:val="22"/>
          <w:szCs w:val="22"/>
        </w:rPr>
        <w:t xml:space="preserve"> If there were </w:t>
      </w:r>
      <w:r w:rsidR="007B7656">
        <w:rPr>
          <w:rFonts w:ascii="Avenir Next" w:hAnsi="Avenir Next" w:cs="Arial"/>
          <w:sz w:val="22"/>
          <w:szCs w:val="22"/>
        </w:rPr>
        <w:lastRenderedPageBreak/>
        <w:t xml:space="preserve">such sums in the liquidation described in this question they would have “super priority” status. Hence, the important effect of the liquidation commencing within 12 weeks of the end of the Moratorium. </w:t>
      </w:r>
    </w:p>
    <w:p w14:paraId="431F2EBD" w14:textId="77777777" w:rsidR="007B7656" w:rsidRDefault="007B7656" w:rsidP="00E4061E">
      <w:pPr>
        <w:jc w:val="both"/>
        <w:rPr>
          <w:rFonts w:ascii="Avenir Next" w:hAnsi="Avenir Next" w:cs="Arial"/>
          <w:sz w:val="22"/>
          <w:szCs w:val="22"/>
        </w:rPr>
      </w:pPr>
    </w:p>
    <w:p w14:paraId="3DAA6780" w14:textId="62F4F6BC" w:rsidR="00962045" w:rsidRDefault="00962045" w:rsidP="002A37BB">
      <w:pPr>
        <w:jc w:val="both"/>
        <w:rPr>
          <w:rFonts w:ascii="Avenir Next" w:hAnsi="Avenir Next" w:cs="Arial"/>
          <w:sz w:val="22"/>
          <w:szCs w:val="22"/>
          <w:shd w:val="clear" w:color="auto" w:fill="FFFFFF"/>
        </w:rPr>
      </w:pPr>
    </w:p>
    <w:p w14:paraId="6AAA6D93" w14:textId="77777777" w:rsidR="00861DDA" w:rsidRPr="006925C1" w:rsidRDefault="00861DDA"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1273F5A2" w:rsidR="007E2919" w:rsidRDefault="007E2919" w:rsidP="007E2919">
      <w:pPr>
        <w:rPr>
          <w:rFonts w:ascii="Avenir Next" w:hAnsi="Avenir Next" w:cs="Arial"/>
          <w:b/>
          <w:sz w:val="22"/>
          <w:szCs w:val="22"/>
        </w:rPr>
      </w:pPr>
    </w:p>
    <w:p w14:paraId="16F647D3" w14:textId="519DD98E" w:rsidR="000B7086" w:rsidRDefault="0023708B" w:rsidP="007E2919">
      <w:pPr>
        <w:rPr>
          <w:rFonts w:ascii="Avenir Next" w:hAnsi="Avenir Next" w:cs="Arial"/>
          <w:sz w:val="22"/>
          <w:szCs w:val="22"/>
        </w:rPr>
      </w:pPr>
      <w:r>
        <w:rPr>
          <w:rFonts w:ascii="Avenir Next" w:hAnsi="Avenir Next" w:cs="Arial"/>
          <w:sz w:val="22"/>
          <w:szCs w:val="22"/>
        </w:rPr>
        <w:t xml:space="preserve">The issue here appears to be whether the liquidator can avoid the floating charge in </w:t>
      </w:r>
      <w:proofErr w:type="spellStart"/>
      <w:r>
        <w:rPr>
          <w:rFonts w:ascii="Avenir Next" w:hAnsi="Avenir Next" w:cs="Arial"/>
          <w:sz w:val="22"/>
          <w:szCs w:val="22"/>
        </w:rPr>
        <w:t>favour</w:t>
      </w:r>
      <w:proofErr w:type="spellEnd"/>
      <w:r>
        <w:rPr>
          <w:rFonts w:ascii="Avenir Next" w:hAnsi="Avenir Next" w:cs="Arial"/>
          <w:sz w:val="22"/>
          <w:szCs w:val="22"/>
        </w:rPr>
        <w:t xml:space="preserve"> of Ambitus Bank. Under the IA s 245, floating charges can be avoided if the statutory criteria are satisfied</w:t>
      </w:r>
      <w:r w:rsidR="000B7086">
        <w:rPr>
          <w:rFonts w:ascii="Avenir Next" w:hAnsi="Avenir Next" w:cs="Arial"/>
          <w:sz w:val="22"/>
          <w:szCs w:val="22"/>
        </w:rPr>
        <w:t>, as per s 245(2):</w:t>
      </w:r>
    </w:p>
    <w:p w14:paraId="2FB00470" w14:textId="0EA70D17" w:rsidR="000B7086" w:rsidRDefault="000B7086" w:rsidP="007E2919">
      <w:pPr>
        <w:rPr>
          <w:rFonts w:ascii="Avenir Next" w:hAnsi="Avenir Next" w:cs="Arial"/>
          <w:sz w:val="22"/>
          <w:szCs w:val="22"/>
        </w:rPr>
      </w:pPr>
    </w:p>
    <w:p w14:paraId="4AAAB675" w14:textId="77777777" w:rsidR="000B7086" w:rsidRPr="000B7086" w:rsidRDefault="000B7086" w:rsidP="000B7086">
      <w:pPr>
        <w:rPr>
          <w:rFonts w:ascii="Avenir Next" w:hAnsi="Avenir Next" w:cs="Arial"/>
          <w:i/>
          <w:sz w:val="22"/>
          <w:szCs w:val="22"/>
        </w:rPr>
      </w:pPr>
      <w:r>
        <w:rPr>
          <w:rFonts w:ascii="Avenir Next" w:hAnsi="Avenir Next" w:cs="Arial"/>
          <w:i/>
          <w:sz w:val="22"/>
          <w:szCs w:val="22"/>
        </w:rPr>
        <w:t>“</w:t>
      </w:r>
      <w:r w:rsidRPr="000B7086">
        <w:rPr>
          <w:rFonts w:ascii="Avenir Next" w:hAnsi="Avenir Next" w:cs="Arial"/>
          <w:i/>
          <w:sz w:val="22"/>
          <w:szCs w:val="22"/>
        </w:rPr>
        <w:t>Subject as follows, a floating charge on the company's undertaking or property created at a</w:t>
      </w:r>
    </w:p>
    <w:p w14:paraId="12268D02" w14:textId="77777777" w:rsidR="000B7086" w:rsidRPr="000B7086" w:rsidRDefault="000B7086" w:rsidP="000B7086">
      <w:pPr>
        <w:rPr>
          <w:rFonts w:ascii="Avenir Next" w:hAnsi="Avenir Next" w:cs="Arial"/>
          <w:i/>
          <w:sz w:val="22"/>
          <w:szCs w:val="22"/>
        </w:rPr>
      </w:pPr>
      <w:r w:rsidRPr="000B7086">
        <w:rPr>
          <w:rFonts w:ascii="Avenir Next" w:hAnsi="Avenir Next" w:cs="Arial"/>
          <w:i/>
          <w:sz w:val="22"/>
          <w:szCs w:val="22"/>
        </w:rPr>
        <w:t>relevant time is invalid except to the extent of the aggregate of—</w:t>
      </w:r>
    </w:p>
    <w:p w14:paraId="03CB8B11" w14:textId="77777777" w:rsidR="000B7086" w:rsidRDefault="000B7086" w:rsidP="000B7086">
      <w:pPr>
        <w:rPr>
          <w:rFonts w:ascii="Avenir Next" w:hAnsi="Avenir Next" w:cs="Arial"/>
          <w:i/>
          <w:sz w:val="22"/>
          <w:szCs w:val="22"/>
        </w:rPr>
      </w:pPr>
    </w:p>
    <w:p w14:paraId="22281A2F" w14:textId="0A6E33F4" w:rsidR="000B7086" w:rsidRDefault="000B7086" w:rsidP="000B7086">
      <w:pPr>
        <w:pStyle w:val="ListParagraph"/>
        <w:numPr>
          <w:ilvl w:val="0"/>
          <w:numId w:val="21"/>
        </w:numPr>
        <w:ind w:left="567" w:hanging="567"/>
        <w:rPr>
          <w:rFonts w:ascii="Avenir Next" w:hAnsi="Avenir Next" w:cs="Arial"/>
          <w:i/>
          <w:sz w:val="22"/>
          <w:szCs w:val="22"/>
        </w:rPr>
      </w:pPr>
      <w:r w:rsidRPr="000B7086">
        <w:rPr>
          <w:rFonts w:ascii="Avenir Next" w:hAnsi="Avenir Next" w:cs="Arial"/>
          <w:i/>
          <w:sz w:val="22"/>
          <w:szCs w:val="22"/>
        </w:rPr>
        <w:t>the value of so much of the consideration for the creation of the charge as consists of</w:t>
      </w:r>
      <w:r>
        <w:rPr>
          <w:rFonts w:ascii="Avenir Next" w:hAnsi="Avenir Next" w:cs="Arial"/>
          <w:i/>
          <w:sz w:val="22"/>
          <w:szCs w:val="22"/>
        </w:rPr>
        <w:t xml:space="preserve"> </w:t>
      </w:r>
      <w:r w:rsidRPr="000B7086">
        <w:rPr>
          <w:rFonts w:ascii="Avenir Next" w:hAnsi="Avenir Next" w:cs="Arial"/>
          <w:i/>
          <w:sz w:val="22"/>
          <w:szCs w:val="22"/>
        </w:rPr>
        <w:t>money paid, or goods or services supplied, to the company at the same time as, or after, the</w:t>
      </w:r>
      <w:r>
        <w:rPr>
          <w:rFonts w:ascii="Avenir Next" w:hAnsi="Avenir Next" w:cs="Arial"/>
          <w:i/>
          <w:sz w:val="22"/>
          <w:szCs w:val="22"/>
        </w:rPr>
        <w:t xml:space="preserve"> </w:t>
      </w:r>
      <w:r w:rsidRPr="000B7086">
        <w:rPr>
          <w:rFonts w:ascii="Avenir Next" w:hAnsi="Avenir Next" w:cs="Arial"/>
          <w:i/>
          <w:sz w:val="22"/>
          <w:szCs w:val="22"/>
        </w:rPr>
        <w:t>creation of the charge,</w:t>
      </w:r>
    </w:p>
    <w:p w14:paraId="174EB35F" w14:textId="6133DC5B" w:rsidR="000B7086" w:rsidRDefault="000B7086" w:rsidP="000B7086">
      <w:pPr>
        <w:pStyle w:val="ListParagraph"/>
        <w:numPr>
          <w:ilvl w:val="0"/>
          <w:numId w:val="21"/>
        </w:numPr>
        <w:ind w:left="567" w:hanging="567"/>
        <w:rPr>
          <w:rFonts w:ascii="Avenir Next" w:hAnsi="Avenir Next" w:cs="Arial"/>
          <w:i/>
          <w:sz w:val="22"/>
          <w:szCs w:val="22"/>
        </w:rPr>
      </w:pPr>
      <w:r w:rsidRPr="000B7086">
        <w:rPr>
          <w:rFonts w:ascii="Avenir Next" w:hAnsi="Avenir Next" w:cs="Arial"/>
          <w:i/>
          <w:sz w:val="22"/>
          <w:szCs w:val="22"/>
        </w:rPr>
        <w:t>the value of so much of that consideration as consists of the discharge or reduction, at</w:t>
      </w:r>
      <w:r>
        <w:rPr>
          <w:rFonts w:ascii="Avenir Next" w:hAnsi="Avenir Next" w:cs="Arial"/>
          <w:i/>
          <w:sz w:val="22"/>
          <w:szCs w:val="22"/>
        </w:rPr>
        <w:t xml:space="preserve"> </w:t>
      </w:r>
      <w:r w:rsidRPr="000B7086">
        <w:rPr>
          <w:rFonts w:ascii="Avenir Next" w:hAnsi="Avenir Next" w:cs="Arial"/>
          <w:i/>
          <w:sz w:val="22"/>
          <w:szCs w:val="22"/>
        </w:rPr>
        <w:t>the same time as, or after, the creation of the charge, of any debt of the company, and</w:t>
      </w:r>
    </w:p>
    <w:p w14:paraId="39ADDB03" w14:textId="45B5634F" w:rsidR="000B7086" w:rsidRPr="000B7086" w:rsidRDefault="000B7086" w:rsidP="000B7086">
      <w:pPr>
        <w:pStyle w:val="ListParagraph"/>
        <w:numPr>
          <w:ilvl w:val="0"/>
          <w:numId w:val="21"/>
        </w:numPr>
        <w:ind w:left="567" w:hanging="567"/>
        <w:rPr>
          <w:rFonts w:ascii="Avenir Next" w:hAnsi="Avenir Next" w:cs="Arial"/>
          <w:i/>
          <w:sz w:val="22"/>
          <w:szCs w:val="22"/>
        </w:rPr>
      </w:pPr>
      <w:r w:rsidRPr="000B7086">
        <w:rPr>
          <w:rFonts w:ascii="Avenir Next" w:hAnsi="Avenir Next" w:cs="Arial"/>
          <w:i/>
          <w:sz w:val="22"/>
          <w:szCs w:val="22"/>
        </w:rPr>
        <w:lastRenderedPageBreak/>
        <w:t>the amount of such interest (if any) as is payable on the amount falling within paragraph</w:t>
      </w:r>
      <w:r>
        <w:rPr>
          <w:rFonts w:ascii="Avenir Next" w:hAnsi="Avenir Next" w:cs="Arial"/>
          <w:i/>
          <w:sz w:val="22"/>
          <w:szCs w:val="22"/>
        </w:rPr>
        <w:t xml:space="preserve"> </w:t>
      </w:r>
      <w:r w:rsidRPr="000B7086">
        <w:rPr>
          <w:rFonts w:ascii="Avenir Next" w:hAnsi="Avenir Next" w:cs="Arial"/>
          <w:i/>
          <w:sz w:val="22"/>
          <w:szCs w:val="22"/>
        </w:rPr>
        <w:t>(a) or (b) in pursuance of any agreement under which the money was so paid, the goods or</w:t>
      </w:r>
      <w:r>
        <w:rPr>
          <w:rFonts w:ascii="Avenir Next" w:hAnsi="Avenir Next" w:cs="Arial"/>
          <w:i/>
          <w:sz w:val="22"/>
          <w:szCs w:val="22"/>
        </w:rPr>
        <w:t xml:space="preserve"> </w:t>
      </w:r>
      <w:r w:rsidRPr="000B7086">
        <w:rPr>
          <w:rFonts w:ascii="Avenir Next" w:hAnsi="Avenir Next" w:cs="Arial"/>
          <w:i/>
          <w:sz w:val="22"/>
          <w:szCs w:val="22"/>
        </w:rPr>
        <w:t>services were so supplied or the debt was so discharged or reduced.”</w:t>
      </w:r>
    </w:p>
    <w:p w14:paraId="1A7F1854" w14:textId="77777777" w:rsidR="000B7086" w:rsidRDefault="000B7086" w:rsidP="007E2919">
      <w:pPr>
        <w:rPr>
          <w:rFonts w:ascii="Avenir Next" w:hAnsi="Avenir Next" w:cs="Arial"/>
          <w:sz w:val="22"/>
          <w:szCs w:val="22"/>
        </w:rPr>
      </w:pPr>
    </w:p>
    <w:p w14:paraId="05A31302" w14:textId="328E5C7E" w:rsidR="008A60CE" w:rsidRDefault="0023708B" w:rsidP="007E2919">
      <w:pPr>
        <w:rPr>
          <w:rFonts w:ascii="Avenir Next" w:hAnsi="Avenir Next" w:cs="Arial"/>
          <w:sz w:val="22"/>
          <w:szCs w:val="22"/>
        </w:rPr>
      </w:pPr>
      <w:r>
        <w:rPr>
          <w:rFonts w:ascii="Avenir Next" w:hAnsi="Avenir Next" w:cs="Arial"/>
          <w:sz w:val="22"/>
          <w:szCs w:val="22"/>
        </w:rPr>
        <w:t>In that regard:</w:t>
      </w:r>
    </w:p>
    <w:p w14:paraId="44E93E27" w14:textId="77777777" w:rsidR="0023708B" w:rsidRDefault="0023708B" w:rsidP="007E2919">
      <w:pPr>
        <w:rPr>
          <w:rFonts w:ascii="Avenir Next" w:hAnsi="Avenir Next" w:cs="Arial"/>
          <w:sz w:val="22"/>
          <w:szCs w:val="22"/>
        </w:rPr>
      </w:pPr>
    </w:p>
    <w:p w14:paraId="13955D26" w14:textId="2D993A15" w:rsidR="0023708B" w:rsidRPr="0023708B" w:rsidRDefault="0023708B" w:rsidP="0023708B">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 xml:space="preserve">The charge was created within 12 months prior to the onset of the insolvency (s 245(3)(b)), given that the person in whose </w:t>
      </w:r>
      <w:proofErr w:type="spellStart"/>
      <w:r>
        <w:rPr>
          <w:rFonts w:ascii="Avenir Next" w:hAnsi="Avenir Next" w:cs="Arial"/>
          <w:sz w:val="22"/>
          <w:szCs w:val="22"/>
        </w:rPr>
        <w:t>favour</w:t>
      </w:r>
      <w:proofErr w:type="spellEnd"/>
      <w:r>
        <w:rPr>
          <w:rFonts w:ascii="Avenir Next" w:hAnsi="Avenir Next" w:cs="Arial"/>
          <w:sz w:val="22"/>
          <w:szCs w:val="22"/>
        </w:rPr>
        <w:t xml:space="preserve"> the charge arose was not connected to the company (see s 240(5)(d): </w:t>
      </w:r>
      <w:r w:rsidRPr="0023708B">
        <w:rPr>
          <w:rFonts w:ascii="Avenir Next" w:hAnsi="Avenir Next" w:cs="Arial"/>
          <w:i/>
          <w:sz w:val="22"/>
          <w:szCs w:val="22"/>
        </w:rPr>
        <w:t>“For the purposes of subsection (3), the onset of insolvency is—… the date of the commencement of the winding up”</w:t>
      </w:r>
      <w:r w:rsidRPr="0023708B">
        <w:rPr>
          <w:rFonts w:ascii="Avenir Next" w:hAnsi="Avenir Next" w:cs="Arial"/>
          <w:sz w:val="22"/>
          <w:szCs w:val="22"/>
        </w:rPr>
        <w:t>);</w:t>
      </w:r>
    </w:p>
    <w:p w14:paraId="513353CF" w14:textId="3DF1B747" w:rsidR="0023708B" w:rsidRDefault="0023708B" w:rsidP="0023708B">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 xml:space="preserve">The next issue is whether, nonetheless, the charge was created during a </w:t>
      </w:r>
      <w:r>
        <w:rPr>
          <w:rFonts w:ascii="Avenir Next" w:hAnsi="Avenir Next" w:cs="Arial"/>
          <w:i/>
          <w:sz w:val="22"/>
          <w:szCs w:val="22"/>
        </w:rPr>
        <w:t xml:space="preserve">“relevant time” </w:t>
      </w:r>
      <w:r>
        <w:rPr>
          <w:rFonts w:ascii="Avenir Next" w:hAnsi="Avenir Next" w:cs="Arial"/>
          <w:sz w:val="22"/>
          <w:szCs w:val="22"/>
        </w:rPr>
        <w:t>in virtue of insolvency, given that s 245(4) provides that:</w:t>
      </w:r>
    </w:p>
    <w:p w14:paraId="0AEE3026" w14:textId="1393C654" w:rsidR="0023708B" w:rsidRDefault="0023708B" w:rsidP="0023708B">
      <w:pPr>
        <w:pStyle w:val="ListParagraph"/>
        <w:ind w:left="567"/>
        <w:rPr>
          <w:rFonts w:ascii="Avenir Next" w:hAnsi="Avenir Next" w:cs="Arial"/>
          <w:sz w:val="22"/>
          <w:szCs w:val="22"/>
        </w:rPr>
      </w:pPr>
    </w:p>
    <w:p w14:paraId="48EA7248" w14:textId="77777777" w:rsidR="0023708B" w:rsidRPr="0023708B" w:rsidRDefault="0023708B" w:rsidP="0023708B">
      <w:pPr>
        <w:pStyle w:val="ListParagraph"/>
        <w:ind w:left="567"/>
        <w:rPr>
          <w:rFonts w:ascii="Avenir Next" w:hAnsi="Avenir Next" w:cs="Arial"/>
          <w:i/>
          <w:sz w:val="22"/>
          <w:szCs w:val="22"/>
          <w:lang w:val="en-GB"/>
        </w:rPr>
      </w:pPr>
      <w:r w:rsidRPr="0023708B">
        <w:rPr>
          <w:rFonts w:ascii="Avenir Next" w:hAnsi="Avenir Next" w:cs="Arial"/>
          <w:i/>
          <w:sz w:val="22"/>
          <w:szCs w:val="22"/>
          <w:lang w:val="en-GB"/>
        </w:rPr>
        <w:t>“Where a company creates a floating charge at a time mentioned in subsection (3)(b) and the</w:t>
      </w:r>
    </w:p>
    <w:p w14:paraId="59E259AD" w14:textId="2E3AEA71" w:rsidR="0023708B" w:rsidRPr="0023708B" w:rsidRDefault="0023708B" w:rsidP="0023708B">
      <w:pPr>
        <w:pStyle w:val="ListParagraph"/>
        <w:ind w:left="567"/>
        <w:rPr>
          <w:rFonts w:ascii="Avenir Next" w:hAnsi="Avenir Next" w:cs="Arial"/>
          <w:i/>
          <w:sz w:val="22"/>
          <w:szCs w:val="22"/>
          <w:lang w:val="en-GB"/>
        </w:rPr>
      </w:pPr>
      <w:r w:rsidRPr="0023708B">
        <w:rPr>
          <w:rFonts w:ascii="Avenir Next" w:hAnsi="Avenir Next" w:cs="Arial"/>
          <w:i/>
          <w:sz w:val="22"/>
          <w:szCs w:val="22"/>
          <w:lang w:val="en-GB"/>
        </w:rPr>
        <w:t>person in favour of whom the charge is created is not connected with the company, that time is not a relevant time for the purposes of this section unless the company—</w:t>
      </w:r>
    </w:p>
    <w:p w14:paraId="52CB358B" w14:textId="77777777" w:rsidR="0023708B" w:rsidRPr="0023708B" w:rsidRDefault="0023708B" w:rsidP="0023708B">
      <w:pPr>
        <w:pStyle w:val="ListParagraph"/>
        <w:ind w:left="567"/>
        <w:rPr>
          <w:rFonts w:ascii="Avenir Next" w:hAnsi="Avenir Next" w:cs="Arial"/>
          <w:i/>
          <w:sz w:val="22"/>
          <w:szCs w:val="22"/>
          <w:lang w:val="en-GB"/>
        </w:rPr>
      </w:pPr>
      <w:r w:rsidRPr="0023708B">
        <w:rPr>
          <w:rFonts w:ascii="Avenir Next" w:hAnsi="Avenir Next" w:cs="Arial"/>
          <w:i/>
          <w:sz w:val="22"/>
          <w:szCs w:val="22"/>
          <w:lang w:val="en-GB"/>
        </w:rPr>
        <w:t>(a) is at that time unable to pay its debts within the meaning of section 123 in Chapter VI</w:t>
      </w:r>
    </w:p>
    <w:p w14:paraId="58D1F7A7" w14:textId="77777777" w:rsidR="0023708B" w:rsidRPr="0023708B" w:rsidRDefault="0023708B" w:rsidP="0023708B">
      <w:pPr>
        <w:pStyle w:val="ListParagraph"/>
        <w:ind w:left="567"/>
        <w:rPr>
          <w:rFonts w:ascii="Avenir Next" w:hAnsi="Avenir Next" w:cs="Arial"/>
          <w:i/>
          <w:sz w:val="22"/>
          <w:szCs w:val="22"/>
          <w:lang w:val="en-GB"/>
        </w:rPr>
      </w:pPr>
      <w:r w:rsidRPr="0023708B">
        <w:rPr>
          <w:rFonts w:ascii="Avenir Next" w:hAnsi="Avenir Next" w:cs="Arial"/>
          <w:i/>
          <w:sz w:val="22"/>
          <w:szCs w:val="22"/>
          <w:lang w:val="en-GB"/>
        </w:rPr>
        <w:t>of Part IV, or</w:t>
      </w:r>
    </w:p>
    <w:p w14:paraId="0A169990" w14:textId="77777777" w:rsidR="0023708B" w:rsidRPr="0023708B" w:rsidRDefault="0023708B" w:rsidP="0023708B">
      <w:pPr>
        <w:pStyle w:val="ListParagraph"/>
        <w:ind w:left="567"/>
        <w:rPr>
          <w:rFonts w:ascii="Avenir Next" w:hAnsi="Avenir Next" w:cs="Arial"/>
          <w:i/>
          <w:sz w:val="22"/>
          <w:szCs w:val="22"/>
          <w:lang w:val="en-GB"/>
        </w:rPr>
      </w:pPr>
      <w:r w:rsidRPr="0023708B">
        <w:rPr>
          <w:rFonts w:ascii="Avenir Next" w:hAnsi="Avenir Next" w:cs="Arial"/>
          <w:i/>
          <w:sz w:val="22"/>
          <w:szCs w:val="22"/>
          <w:lang w:val="en-GB"/>
        </w:rPr>
        <w:t>(b) becomes unable to pay its debts within the meaning of that section in consequence of</w:t>
      </w:r>
    </w:p>
    <w:p w14:paraId="200DDF43" w14:textId="367510E4" w:rsidR="0023708B" w:rsidRPr="0023708B" w:rsidRDefault="0023708B" w:rsidP="0023708B">
      <w:pPr>
        <w:pStyle w:val="ListParagraph"/>
        <w:ind w:left="567"/>
        <w:rPr>
          <w:rFonts w:ascii="Avenir Next" w:hAnsi="Avenir Next" w:cs="Arial"/>
          <w:i/>
          <w:sz w:val="22"/>
          <w:szCs w:val="22"/>
          <w:lang w:val="en-GB"/>
        </w:rPr>
      </w:pPr>
      <w:r w:rsidRPr="0023708B">
        <w:rPr>
          <w:rFonts w:ascii="Avenir Next" w:hAnsi="Avenir Next" w:cs="Arial"/>
          <w:i/>
          <w:sz w:val="22"/>
          <w:szCs w:val="22"/>
          <w:lang w:val="en-GB"/>
        </w:rPr>
        <w:t>the transaction under which the charge is created.</w:t>
      </w:r>
      <w:r>
        <w:rPr>
          <w:rFonts w:ascii="Avenir Next" w:hAnsi="Avenir Next" w:cs="Arial"/>
          <w:i/>
          <w:sz w:val="22"/>
          <w:szCs w:val="22"/>
          <w:lang w:val="en-GB"/>
        </w:rPr>
        <w:t>”</w:t>
      </w:r>
    </w:p>
    <w:p w14:paraId="269DB18C" w14:textId="7C2A1FA0" w:rsidR="0023708B" w:rsidRDefault="0023708B" w:rsidP="0023708B">
      <w:pPr>
        <w:pStyle w:val="ListParagraph"/>
        <w:ind w:left="567"/>
        <w:rPr>
          <w:rFonts w:ascii="Avenir Next" w:hAnsi="Avenir Next" w:cs="Arial"/>
          <w:sz w:val="22"/>
          <w:szCs w:val="22"/>
        </w:rPr>
      </w:pPr>
    </w:p>
    <w:p w14:paraId="2C83382B" w14:textId="4D41C529" w:rsidR="0023708B" w:rsidRDefault="0023708B" w:rsidP="00206DB5">
      <w:pPr>
        <w:pStyle w:val="ListParagraph"/>
        <w:ind w:left="567"/>
        <w:rPr>
          <w:rFonts w:ascii="Avenir Next" w:hAnsi="Avenir Next" w:cs="Arial"/>
          <w:sz w:val="22"/>
          <w:szCs w:val="22"/>
        </w:rPr>
      </w:pPr>
      <w:r>
        <w:rPr>
          <w:rFonts w:ascii="Avenir Next" w:hAnsi="Avenir Next" w:cs="Arial"/>
          <w:sz w:val="22"/>
          <w:szCs w:val="22"/>
        </w:rPr>
        <w:t xml:space="preserve">Given the financial difficulties that the company was in at the time of the charge being created, it may be that s 245(4)(a) is satisfied. </w:t>
      </w:r>
    </w:p>
    <w:p w14:paraId="0E3BAE3F" w14:textId="77777777" w:rsidR="00761EE2" w:rsidRDefault="00761EE2" w:rsidP="00761EE2">
      <w:pPr>
        <w:pStyle w:val="ListParagraph"/>
        <w:ind w:left="567"/>
        <w:rPr>
          <w:rFonts w:ascii="Avenir Next" w:hAnsi="Avenir Next" w:cs="Arial"/>
          <w:sz w:val="22"/>
          <w:szCs w:val="22"/>
        </w:rPr>
      </w:pPr>
    </w:p>
    <w:p w14:paraId="6867ECF8" w14:textId="5C30BEE6" w:rsidR="0023708B" w:rsidRDefault="00D16C1B" w:rsidP="0023708B">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A further issue, however, is whether Ambitus Bank provided new consideration for the charge, such as to ensure that the charge remains valid</w:t>
      </w:r>
      <w:r w:rsidR="00874B3E">
        <w:rPr>
          <w:rFonts w:ascii="Avenir Next" w:hAnsi="Avenir Next" w:cs="Arial"/>
          <w:sz w:val="22"/>
          <w:szCs w:val="22"/>
        </w:rPr>
        <w:t>,</w:t>
      </w:r>
      <w:r w:rsidR="00761EE2">
        <w:rPr>
          <w:rFonts w:ascii="Avenir Next" w:hAnsi="Avenir Next" w:cs="Arial"/>
          <w:sz w:val="22"/>
          <w:szCs w:val="22"/>
        </w:rPr>
        <w:t xml:space="preserve"> to the extent of s 245(2)</w:t>
      </w:r>
      <w:r>
        <w:rPr>
          <w:rFonts w:ascii="Avenir Next" w:hAnsi="Avenir Next" w:cs="Arial"/>
          <w:sz w:val="22"/>
          <w:szCs w:val="22"/>
        </w:rPr>
        <w:t>.</w:t>
      </w:r>
      <w:r w:rsidR="00761EE2">
        <w:rPr>
          <w:rFonts w:ascii="Avenir Next" w:hAnsi="Avenir Next" w:cs="Arial"/>
          <w:sz w:val="22"/>
          <w:szCs w:val="22"/>
        </w:rPr>
        <w:t xml:space="preserve"> In that regard, there is the forbearance of the bank in demanding repayment of the loans at the time of the charge being created.</w:t>
      </w:r>
      <w:r w:rsidR="005764A5">
        <w:rPr>
          <w:rFonts w:ascii="Avenir Next" w:hAnsi="Avenir Next" w:cs="Arial"/>
          <w:sz w:val="22"/>
          <w:szCs w:val="22"/>
        </w:rPr>
        <w:t xml:space="preserve"> I am not familiar with this area, and asked myself whether the forbearance by the bank to insist on repayment is a form of new consideration. However, unless one counts the ongoing loan as continued provision of a service (which seems doubtful to me) there does not appear to be new consideration, for the purpose of 245(2)</w:t>
      </w:r>
      <w:r w:rsidR="007F5992">
        <w:rPr>
          <w:rFonts w:ascii="Avenir Next" w:hAnsi="Avenir Next" w:cs="Arial"/>
          <w:sz w:val="22"/>
          <w:szCs w:val="22"/>
        </w:rPr>
        <w:t xml:space="preserve">, not least in that the bank has not, for the sake of example, appeared to have waived any of its right to interest on the sum due, or something of that nature. </w:t>
      </w:r>
      <w:r w:rsidR="00761EE2">
        <w:rPr>
          <w:rFonts w:ascii="Avenir Next" w:hAnsi="Avenir Next" w:cs="Arial"/>
          <w:sz w:val="22"/>
          <w:szCs w:val="22"/>
        </w:rPr>
        <w:t xml:space="preserve"> </w:t>
      </w:r>
      <w:r>
        <w:rPr>
          <w:rFonts w:ascii="Avenir Next" w:hAnsi="Avenir Next" w:cs="Arial"/>
          <w:sz w:val="22"/>
          <w:szCs w:val="22"/>
        </w:rPr>
        <w:t xml:space="preserve"> </w:t>
      </w:r>
    </w:p>
    <w:p w14:paraId="5BCE67F6" w14:textId="63BF6029" w:rsidR="0023708B" w:rsidRDefault="0023708B" w:rsidP="0023708B">
      <w:pPr>
        <w:rPr>
          <w:rFonts w:ascii="Avenir Next" w:hAnsi="Avenir Next" w:cs="Arial"/>
          <w:sz w:val="22"/>
          <w:szCs w:val="22"/>
        </w:rPr>
      </w:pPr>
    </w:p>
    <w:p w14:paraId="3FD8E52D" w14:textId="37368FBD" w:rsidR="00E61DD3" w:rsidRDefault="00E61DD3" w:rsidP="0023708B">
      <w:pPr>
        <w:rPr>
          <w:rFonts w:ascii="Avenir Next" w:hAnsi="Avenir Next" w:cs="Arial"/>
          <w:sz w:val="22"/>
          <w:szCs w:val="22"/>
        </w:rPr>
      </w:pPr>
      <w:r>
        <w:rPr>
          <w:rFonts w:ascii="Avenir Next" w:hAnsi="Avenir Next" w:cs="Arial"/>
          <w:sz w:val="22"/>
          <w:szCs w:val="22"/>
        </w:rPr>
        <w:t xml:space="preserve">The bottom line, therefore, is that the liquidator could </w:t>
      </w:r>
      <w:proofErr w:type="gramStart"/>
      <w:r>
        <w:rPr>
          <w:rFonts w:ascii="Avenir Next" w:hAnsi="Avenir Next" w:cs="Arial"/>
          <w:sz w:val="22"/>
          <w:szCs w:val="22"/>
        </w:rPr>
        <w:t>take action</w:t>
      </w:r>
      <w:proofErr w:type="gramEnd"/>
      <w:r>
        <w:rPr>
          <w:rFonts w:ascii="Avenir Next" w:hAnsi="Avenir Next" w:cs="Arial"/>
          <w:sz w:val="22"/>
          <w:szCs w:val="22"/>
        </w:rPr>
        <w:t xml:space="preserve"> under s 245.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42B82CA5" w:rsidR="007E2919" w:rsidRDefault="007E2919" w:rsidP="007E2919">
      <w:pPr>
        <w:rPr>
          <w:rFonts w:ascii="Avenir Next" w:hAnsi="Avenir Next" w:cs="Arial"/>
          <w:b/>
          <w:sz w:val="22"/>
          <w:szCs w:val="22"/>
        </w:rPr>
      </w:pPr>
    </w:p>
    <w:p w14:paraId="655F8702" w14:textId="3A0CB9B8" w:rsidR="003E1684" w:rsidRDefault="003E1684" w:rsidP="007E2919">
      <w:pPr>
        <w:rPr>
          <w:rFonts w:ascii="Avenir Next" w:hAnsi="Avenir Next" w:cs="Arial"/>
          <w:sz w:val="22"/>
          <w:szCs w:val="22"/>
        </w:rPr>
      </w:pPr>
      <w:r>
        <w:rPr>
          <w:rFonts w:ascii="Avenir Next" w:hAnsi="Avenir Next" w:cs="Arial"/>
          <w:sz w:val="22"/>
          <w:szCs w:val="22"/>
        </w:rPr>
        <w:t xml:space="preserve">Yes – the liquidator </w:t>
      </w:r>
      <w:r w:rsidR="001F3A44">
        <w:rPr>
          <w:rFonts w:ascii="Avenir Next" w:hAnsi="Avenir Next" w:cs="Arial"/>
          <w:sz w:val="22"/>
          <w:szCs w:val="22"/>
        </w:rPr>
        <w:t xml:space="preserve">could </w:t>
      </w:r>
      <w:proofErr w:type="gramStart"/>
      <w:r w:rsidR="001F3A44">
        <w:rPr>
          <w:rFonts w:ascii="Avenir Next" w:hAnsi="Avenir Next" w:cs="Arial"/>
          <w:sz w:val="22"/>
          <w:szCs w:val="22"/>
        </w:rPr>
        <w:t>take</w:t>
      </w:r>
      <w:r>
        <w:rPr>
          <w:rFonts w:ascii="Avenir Next" w:hAnsi="Avenir Next" w:cs="Arial"/>
          <w:sz w:val="22"/>
          <w:szCs w:val="22"/>
        </w:rPr>
        <w:t xml:space="preserve"> act</w:t>
      </w:r>
      <w:r w:rsidR="001F3A44">
        <w:rPr>
          <w:rFonts w:ascii="Avenir Next" w:hAnsi="Avenir Next" w:cs="Arial"/>
          <w:sz w:val="22"/>
          <w:szCs w:val="22"/>
        </w:rPr>
        <w:t>ion</w:t>
      </w:r>
      <w:proofErr w:type="gramEnd"/>
      <w:r>
        <w:rPr>
          <w:rFonts w:ascii="Avenir Next" w:hAnsi="Avenir Next" w:cs="Arial"/>
          <w:sz w:val="22"/>
          <w:szCs w:val="22"/>
        </w:rPr>
        <w:t xml:space="preserve"> in respect of the sale,</w:t>
      </w:r>
      <w:r w:rsidR="002A5550">
        <w:rPr>
          <w:rFonts w:ascii="Avenir Next" w:hAnsi="Avenir Next" w:cs="Arial"/>
          <w:sz w:val="22"/>
          <w:szCs w:val="22"/>
        </w:rPr>
        <w:t xml:space="preserve"> via a s 238 application,</w:t>
      </w:r>
      <w:r>
        <w:rPr>
          <w:rFonts w:ascii="Avenir Next" w:hAnsi="Avenir Next" w:cs="Arial"/>
          <w:sz w:val="22"/>
          <w:szCs w:val="22"/>
        </w:rPr>
        <w:t xml:space="preserve"> given that it appears to be significantly under value. </w:t>
      </w:r>
    </w:p>
    <w:p w14:paraId="23DDF4BD" w14:textId="77777777" w:rsidR="003E1684" w:rsidRDefault="003E1684" w:rsidP="003E1684">
      <w:pPr>
        <w:pStyle w:val="ListParagraph"/>
        <w:ind w:left="567"/>
        <w:rPr>
          <w:rFonts w:ascii="Avenir Next" w:hAnsi="Avenir Next" w:cs="Arial"/>
          <w:sz w:val="22"/>
          <w:szCs w:val="22"/>
        </w:rPr>
      </w:pPr>
    </w:p>
    <w:p w14:paraId="4A35B5AB" w14:textId="77777777" w:rsidR="007B5B96" w:rsidRDefault="003E1684" w:rsidP="003E1684">
      <w:pPr>
        <w:pStyle w:val="ListParagraph"/>
        <w:numPr>
          <w:ilvl w:val="0"/>
          <w:numId w:val="20"/>
        </w:numPr>
        <w:ind w:left="567" w:hanging="567"/>
        <w:rPr>
          <w:rFonts w:ascii="Avenir Next" w:hAnsi="Avenir Next" w:cs="Arial"/>
          <w:sz w:val="22"/>
          <w:szCs w:val="22"/>
        </w:rPr>
      </w:pPr>
      <w:r w:rsidRPr="003E1684">
        <w:rPr>
          <w:rFonts w:ascii="Avenir Next" w:hAnsi="Avenir Next" w:cs="Arial"/>
          <w:sz w:val="22"/>
          <w:szCs w:val="22"/>
        </w:rPr>
        <w:t xml:space="preserve">Under the IA86, s 238(1), the liquidator would be an </w:t>
      </w:r>
      <w:r w:rsidRPr="003E1684">
        <w:rPr>
          <w:rFonts w:ascii="Avenir Next" w:hAnsi="Avenir Next" w:cs="Arial"/>
          <w:i/>
          <w:sz w:val="22"/>
          <w:szCs w:val="22"/>
        </w:rPr>
        <w:t xml:space="preserve">“office-holder” </w:t>
      </w:r>
      <w:r w:rsidRPr="003E1684">
        <w:rPr>
          <w:rFonts w:ascii="Avenir Next" w:hAnsi="Avenir Next" w:cs="Arial"/>
          <w:sz w:val="22"/>
          <w:szCs w:val="22"/>
        </w:rPr>
        <w:t xml:space="preserve">for the purpose of that provision. </w:t>
      </w:r>
    </w:p>
    <w:p w14:paraId="2E959A92" w14:textId="1F2084C6" w:rsidR="00253470" w:rsidRDefault="003E1684" w:rsidP="003E1684">
      <w:pPr>
        <w:pStyle w:val="ListParagraph"/>
        <w:numPr>
          <w:ilvl w:val="0"/>
          <w:numId w:val="20"/>
        </w:numPr>
        <w:ind w:left="567" w:hanging="567"/>
        <w:rPr>
          <w:rFonts w:ascii="Avenir Next" w:hAnsi="Avenir Next" w:cs="Arial"/>
          <w:sz w:val="22"/>
          <w:szCs w:val="22"/>
        </w:rPr>
      </w:pPr>
      <w:r w:rsidRPr="003E1684">
        <w:rPr>
          <w:rFonts w:ascii="Avenir Next" w:hAnsi="Avenir Next" w:cs="Arial"/>
          <w:sz w:val="22"/>
          <w:szCs w:val="22"/>
        </w:rPr>
        <w:t xml:space="preserve">The sale to Angela Bannister took place within the period of two years prior to the commencement of the liquidation, such that it was within </w:t>
      </w:r>
      <w:r w:rsidRPr="003E1684">
        <w:rPr>
          <w:rFonts w:ascii="Avenir Next" w:hAnsi="Avenir Next" w:cs="Arial"/>
          <w:i/>
          <w:sz w:val="22"/>
          <w:szCs w:val="22"/>
        </w:rPr>
        <w:t xml:space="preserve">“the relevant time” </w:t>
      </w:r>
      <w:r w:rsidRPr="003E1684">
        <w:rPr>
          <w:rFonts w:ascii="Avenir Next" w:hAnsi="Avenir Next" w:cs="Arial"/>
          <w:sz w:val="22"/>
          <w:szCs w:val="22"/>
        </w:rPr>
        <w:t xml:space="preserve">(s 238(2)), as per s 240 (and Angela Bannister is </w:t>
      </w:r>
      <w:r w:rsidR="007B5B96">
        <w:rPr>
          <w:rFonts w:ascii="Avenir Next" w:hAnsi="Avenir Next" w:cs="Arial"/>
          <w:sz w:val="22"/>
          <w:szCs w:val="22"/>
        </w:rPr>
        <w:t xml:space="preserve">also </w:t>
      </w:r>
      <w:r w:rsidRPr="003E1684">
        <w:rPr>
          <w:rFonts w:ascii="Avenir Next" w:hAnsi="Avenir Next" w:cs="Arial"/>
          <w:sz w:val="22"/>
          <w:szCs w:val="22"/>
        </w:rPr>
        <w:t xml:space="preserve">obviously </w:t>
      </w:r>
      <w:r w:rsidRPr="003E1684">
        <w:rPr>
          <w:rFonts w:ascii="Avenir Next" w:hAnsi="Avenir Next" w:cs="Arial"/>
          <w:i/>
          <w:sz w:val="22"/>
          <w:szCs w:val="22"/>
        </w:rPr>
        <w:t xml:space="preserve">“connected with the company” </w:t>
      </w:r>
      <w:r w:rsidRPr="003E1684">
        <w:rPr>
          <w:rFonts w:ascii="Avenir Next" w:hAnsi="Avenir Next" w:cs="Arial"/>
          <w:sz w:val="22"/>
          <w:szCs w:val="22"/>
        </w:rPr>
        <w:t>(s 240(2), having been a director</w:t>
      </w:r>
      <w:r w:rsidR="001F3A44">
        <w:rPr>
          <w:rFonts w:ascii="Avenir Next" w:hAnsi="Avenir Next" w:cs="Arial"/>
          <w:sz w:val="22"/>
          <w:szCs w:val="22"/>
        </w:rPr>
        <w:t>, such that the presumption of insolvency would apply</w:t>
      </w:r>
      <w:r w:rsidRPr="003E1684">
        <w:rPr>
          <w:rFonts w:ascii="Avenir Next" w:hAnsi="Avenir Next" w:cs="Arial"/>
          <w:sz w:val="22"/>
          <w:szCs w:val="22"/>
        </w:rPr>
        <w:t xml:space="preserve">)). </w:t>
      </w:r>
    </w:p>
    <w:p w14:paraId="4AA4E4A6" w14:textId="6997915A" w:rsidR="00914B45" w:rsidRDefault="00914B45" w:rsidP="003E1684">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lastRenderedPageBreak/>
        <w:t xml:space="preserve">It is also of note that, at the time of the transaction, the company was suffering from cash flow problems, and so potentially </w:t>
      </w:r>
      <w:r>
        <w:rPr>
          <w:rFonts w:ascii="Avenir Next" w:hAnsi="Avenir Next" w:cs="Arial"/>
          <w:i/>
          <w:sz w:val="22"/>
          <w:szCs w:val="22"/>
        </w:rPr>
        <w:t>“unable to pay its debts for the purposes of section 238”</w:t>
      </w:r>
      <w:r>
        <w:rPr>
          <w:rFonts w:ascii="Avenir Next" w:hAnsi="Avenir Next" w:cs="Arial"/>
          <w:sz w:val="22"/>
          <w:szCs w:val="22"/>
        </w:rPr>
        <w:t xml:space="preserve"> (s 240(2)). </w:t>
      </w:r>
    </w:p>
    <w:p w14:paraId="3E8ADF64" w14:textId="73E6EBE4" w:rsidR="00EC1183" w:rsidRDefault="00EC1183" w:rsidP="00EC1183">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 xml:space="preserve">As per s 238(4)(b), an undervalue transaction is one in which </w:t>
      </w:r>
      <w:r w:rsidRPr="00EC1183">
        <w:rPr>
          <w:rFonts w:ascii="Avenir Next" w:hAnsi="Avenir Next" w:cs="Arial"/>
          <w:i/>
          <w:sz w:val="22"/>
          <w:szCs w:val="22"/>
        </w:rPr>
        <w:t>“the value of which, in money or money's worth, is significantly less than the value, in money or money's worth, of the</w:t>
      </w:r>
      <w:r>
        <w:rPr>
          <w:rFonts w:ascii="Avenir Next" w:hAnsi="Avenir Next" w:cs="Arial"/>
          <w:i/>
          <w:sz w:val="22"/>
          <w:szCs w:val="22"/>
        </w:rPr>
        <w:t xml:space="preserve"> </w:t>
      </w:r>
      <w:r w:rsidRPr="00EC1183">
        <w:rPr>
          <w:rFonts w:ascii="Avenir Next" w:hAnsi="Avenir Next" w:cs="Arial"/>
          <w:i/>
          <w:sz w:val="22"/>
          <w:szCs w:val="22"/>
        </w:rPr>
        <w:t>consideration provided by the company”</w:t>
      </w:r>
      <w:r w:rsidRPr="00EC1183">
        <w:rPr>
          <w:rFonts w:ascii="Avenir Next" w:hAnsi="Avenir Next" w:cs="Arial"/>
          <w:sz w:val="22"/>
          <w:szCs w:val="22"/>
        </w:rPr>
        <w:t xml:space="preserve"> and, in that respect, given that the transaction the year before was for GBP 100,000, rather than merely GBP 40,000, there is a good case for establish</w:t>
      </w:r>
      <w:r w:rsidR="00914B45">
        <w:rPr>
          <w:rFonts w:ascii="Avenir Next" w:hAnsi="Avenir Next" w:cs="Arial"/>
          <w:sz w:val="22"/>
          <w:szCs w:val="22"/>
        </w:rPr>
        <w:t>ing</w:t>
      </w:r>
      <w:r w:rsidRPr="00EC1183">
        <w:rPr>
          <w:rFonts w:ascii="Avenir Next" w:hAnsi="Avenir Next" w:cs="Arial"/>
          <w:sz w:val="22"/>
          <w:szCs w:val="22"/>
        </w:rPr>
        <w:t xml:space="preserve"> that </w:t>
      </w:r>
      <w:proofErr w:type="spellStart"/>
      <w:r w:rsidR="00914B45">
        <w:rPr>
          <w:rFonts w:ascii="Avenir Next" w:hAnsi="Avenir Next" w:cs="Arial"/>
          <w:sz w:val="22"/>
          <w:szCs w:val="22"/>
        </w:rPr>
        <w:t>Ms</w:t>
      </w:r>
      <w:proofErr w:type="spellEnd"/>
      <w:r w:rsidR="00914B45">
        <w:rPr>
          <w:rFonts w:ascii="Avenir Next" w:hAnsi="Avenir Next" w:cs="Arial"/>
          <w:sz w:val="22"/>
          <w:szCs w:val="22"/>
        </w:rPr>
        <w:t xml:space="preserve"> Bannister’s purchase was </w:t>
      </w:r>
      <w:r w:rsidRPr="00EC1183">
        <w:rPr>
          <w:rFonts w:ascii="Avenir Next" w:hAnsi="Avenir Next" w:cs="Arial"/>
          <w:sz w:val="22"/>
          <w:szCs w:val="22"/>
        </w:rPr>
        <w:t xml:space="preserve">an undervalue transaction. </w:t>
      </w:r>
    </w:p>
    <w:p w14:paraId="1AEE0504" w14:textId="4226E9D8" w:rsidR="00EC1183" w:rsidRDefault="00EC1183" w:rsidP="00EC1183">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 xml:space="preserve">As per s 238(3), </w:t>
      </w:r>
      <w:r w:rsidRPr="00EC1183">
        <w:rPr>
          <w:rFonts w:ascii="Avenir Next" w:hAnsi="Avenir Next" w:cs="Arial"/>
          <w:i/>
          <w:sz w:val="22"/>
          <w:szCs w:val="22"/>
        </w:rPr>
        <w:t>“the court shall, on such an application, make such order as it thinks fit for restoring the position to what it would have been if the company had not entered into that transaction”</w:t>
      </w:r>
      <w:r w:rsidRPr="007B5B96">
        <w:rPr>
          <w:rFonts w:ascii="Avenir Next" w:hAnsi="Avenir Next" w:cs="Arial"/>
          <w:sz w:val="22"/>
          <w:szCs w:val="22"/>
        </w:rPr>
        <w:t>.</w:t>
      </w:r>
    </w:p>
    <w:p w14:paraId="69E5D883" w14:textId="0A5C6967" w:rsidR="00390618" w:rsidRDefault="00390618" w:rsidP="00390618">
      <w:pPr>
        <w:rPr>
          <w:rFonts w:ascii="Avenir Next" w:hAnsi="Avenir Next" w:cs="Arial"/>
          <w:sz w:val="22"/>
          <w:szCs w:val="22"/>
        </w:rPr>
      </w:pPr>
    </w:p>
    <w:p w14:paraId="2CBEEA6A" w14:textId="5381A47B" w:rsidR="001F3A44" w:rsidRDefault="00390618" w:rsidP="00390618">
      <w:pPr>
        <w:rPr>
          <w:rFonts w:ascii="Avenir Next" w:hAnsi="Avenir Next" w:cs="Arial"/>
          <w:sz w:val="22"/>
          <w:szCs w:val="22"/>
        </w:rPr>
      </w:pPr>
      <w:r>
        <w:rPr>
          <w:rFonts w:ascii="Avenir Next" w:hAnsi="Avenir Next" w:cs="Arial"/>
          <w:sz w:val="22"/>
          <w:szCs w:val="22"/>
        </w:rPr>
        <w:t xml:space="preserve">A </w:t>
      </w:r>
      <w:r w:rsidR="001F3A44">
        <w:rPr>
          <w:rFonts w:ascii="Avenir Next" w:hAnsi="Avenir Next" w:cs="Arial"/>
          <w:sz w:val="22"/>
          <w:szCs w:val="22"/>
        </w:rPr>
        <w:t xml:space="preserve">further </w:t>
      </w:r>
      <w:r>
        <w:rPr>
          <w:rFonts w:ascii="Avenir Next" w:hAnsi="Avenir Next" w:cs="Arial"/>
          <w:sz w:val="22"/>
          <w:szCs w:val="22"/>
        </w:rPr>
        <w:t xml:space="preserve">relevant issue, however, would be whether </w:t>
      </w:r>
      <w:proofErr w:type="spellStart"/>
      <w:r>
        <w:rPr>
          <w:rFonts w:ascii="Avenir Next" w:hAnsi="Avenir Next" w:cs="Arial"/>
          <w:sz w:val="22"/>
          <w:szCs w:val="22"/>
        </w:rPr>
        <w:t>Ms</w:t>
      </w:r>
      <w:proofErr w:type="spellEnd"/>
      <w:r>
        <w:rPr>
          <w:rFonts w:ascii="Avenir Next" w:hAnsi="Avenir Next" w:cs="Arial"/>
          <w:sz w:val="22"/>
          <w:szCs w:val="22"/>
        </w:rPr>
        <w:t xml:space="preserve"> Bannister could establish that, despite the significant difference in value (GBP 60,000), the transaction was entered into in good faith for the purpose of the company’s business.</w:t>
      </w:r>
      <w:r w:rsidR="001F3A44">
        <w:rPr>
          <w:rFonts w:ascii="Avenir Next" w:hAnsi="Avenir Next" w:cs="Arial"/>
          <w:sz w:val="22"/>
          <w:szCs w:val="22"/>
        </w:rPr>
        <w:t xml:space="preserve"> As per s 238(5):</w:t>
      </w:r>
    </w:p>
    <w:p w14:paraId="5E22D00F" w14:textId="77777777" w:rsidR="001F3A44" w:rsidRPr="001F3A44" w:rsidRDefault="001F3A44" w:rsidP="00390618">
      <w:pPr>
        <w:rPr>
          <w:rFonts w:ascii="Avenir Next" w:hAnsi="Avenir Next" w:cs="Arial"/>
          <w:i/>
          <w:sz w:val="22"/>
          <w:szCs w:val="22"/>
        </w:rPr>
      </w:pPr>
    </w:p>
    <w:p w14:paraId="6BC4DCBD" w14:textId="68E837A8" w:rsidR="001F3A44" w:rsidRPr="001F3A44" w:rsidRDefault="001F3A44" w:rsidP="001F3A44">
      <w:pPr>
        <w:rPr>
          <w:rFonts w:ascii="Avenir Next" w:hAnsi="Avenir Next" w:cs="Arial"/>
          <w:i/>
          <w:sz w:val="22"/>
          <w:szCs w:val="22"/>
        </w:rPr>
      </w:pPr>
      <w:r w:rsidRPr="001F3A44">
        <w:rPr>
          <w:rFonts w:ascii="Avenir Next" w:hAnsi="Avenir Next" w:cs="Arial"/>
          <w:i/>
          <w:sz w:val="22"/>
          <w:szCs w:val="22"/>
        </w:rPr>
        <w:t>“The court shall not make an order under this section in respect of a transaction at an undervalue</w:t>
      </w:r>
    </w:p>
    <w:p w14:paraId="7A55327F" w14:textId="77777777" w:rsidR="001F3A44" w:rsidRPr="001F3A44" w:rsidRDefault="001F3A44" w:rsidP="001F3A44">
      <w:pPr>
        <w:rPr>
          <w:rFonts w:ascii="Avenir Next" w:hAnsi="Avenir Next" w:cs="Arial"/>
          <w:i/>
          <w:sz w:val="22"/>
          <w:szCs w:val="22"/>
        </w:rPr>
      </w:pPr>
      <w:r w:rsidRPr="001F3A44">
        <w:rPr>
          <w:rFonts w:ascii="Avenir Next" w:hAnsi="Avenir Next" w:cs="Arial"/>
          <w:i/>
          <w:sz w:val="22"/>
          <w:szCs w:val="22"/>
        </w:rPr>
        <w:t>if it is satisfied—</w:t>
      </w:r>
    </w:p>
    <w:p w14:paraId="317F2B72" w14:textId="77777777" w:rsidR="001F3A44" w:rsidRPr="001F3A44" w:rsidRDefault="001F3A44" w:rsidP="001F3A44">
      <w:pPr>
        <w:rPr>
          <w:rFonts w:ascii="Avenir Next" w:hAnsi="Avenir Next" w:cs="Arial"/>
          <w:i/>
          <w:sz w:val="22"/>
          <w:szCs w:val="22"/>
        </w:rPr>
      </w:pPr>
      <w:r w:rsidRPr="001F3A44">
        <w:rPr>
          <w:rFonts w:ascii="Avenir Next" w:hAnsi="Avenir Next" w:cs="Arial"/>
          <w:i/>
          <w:sz w:val="22"/>
          <w:szCs w:val="22"/>
        </w:rPr>
        <w:t>(a) that the company which entered into the transaction did so in good faith and for the</w:t>
      </w:r>
    </w:p>
    <w:p w14:paraId="76B2913F" w14:textId="77777777" w:rsidR="001F3A44" w:rsidRPr="001F3A44" w:rsidRDefault="001F3A44" w:rsidP="001F3A44">
      <w:pPr>
        <w:rPr>
          <w:rFonts w:ascii="Avenir Next" w:hAnsi="Avenir Next" w:cs="Arial"/>
          <w:i/>
          <w:sz w:val="22"/>
          <w:szCs w:val="22"/>
        </w:rPr>
      </w:pPr>
      <w:r w:rsidRPr="001F3A44">
        <w:rPr>
          <w:rFonts w:ascii="Avenir Next" w:hAnsi="Avenir Next" w:cs="Arial"/>
          <w:i/>
          <w:sz w:val="22"/>
          <w:szCs w:val="22"/>
        </w:rPr>
        <w:t>purpose of carrying on its business, and</w:t>
      </w:r>
    </w:p>
    <w:p w14:paraId="3B7B201D" w14:textId="77777777" w:rsidR="001F3A44" w:rsidRPr="001F3A44" w:rsidRDefault="001F3A44" w:rsidP="001F3A44">
      <w:pPr>
        <w:rPr>
          <w:rFonts w:ascii="Avenir Next" w:hAnsi="Avenir Next" w:cs="Arial"/>
          <w:i/>
          <w:sz w:val="22"/>
          <w:szCs w:val="22"/>
        </w:rPr>
      </w:pPr>
      <w:r w:rsidRPr="001F3A44">
        <w:rPr>
          <w:rFonts w:ascii="Avenir Next" w:hAnsi="Avenir Next" w:cs="Arial"/>
          <w:i/>
          <w:sz w:val="22"/>
          <w:szCs w:val="22"/>
        </w:rPr>
        <w:t>(b) that at the time it did so there were reasonable grounds for believing that the transaction</w:t>
      </w:r>
    </w:p>
    <w:p w14:paraId="164448A5" w14:textId="65317A77" w:rsidR="00390618" w:rsidRPr="001F3A44" w:rsidRDefault="001F3A44" w:rsidP="001F3A44">
      <w:pPr>
        <w:rPr>
          <w:rFonts w:ascii="Avenir Next" w:hAnsi="Avenir Next" w:cs="Arial"/>
          <w:i/>
          <w:sz w:val="22"/>
          <w:szCs w:val="22"/>
        </w:rPr>
      </w:pPr>
      <w:r w:rsidRPr="001F3A44">
        <w:rPr>
          <w:rFonts w:ascii="Avenir Next" w:hAnsi="Avenir Next" w:cs="Arial"/>
          <w:i/>
          <w:sz w:val="22"/>
          <w:szCs w:val="22"/>
        </w:rPr>
        <w:t>would benefit the company.”</w:t>
      </w:r>
      <w:r w:rsidR="00390618" w:rsidRPr="001F3A44">
        <w:rPr>
          <w:rFonts w:ascii="Avenir Next" w:hAnsi="Avenir Next" w:cs="Arial"/>
          <w:i/>
          <w:sz w:val="22"/>
          <w:szCs w:val="22"/>
        </w:rPr>
        <w:t xml:space="preserve"> </w:t>
      </w:r>
    </w:p>
    <w:p w14:paraId="67BC4620" w14:textId="3CDB3183" w:rsidR="007B5B96" w:rsidRDefault="007B5B96" w:rsidP="007E2919">
      <w:pPr>
        <w:rPr>
          <w:rFonts w:ascii="Avenir Next" w:hAnsi="Avenir Next" w:cs="Arial"/>
          <w:b/>
          <w:sz w:val="22"/>
          <w:szCs w:val="22"/>
        </w:rPr>
      </w:pPr>
    </w:p>
    <w:p w14:paraId="40073A0B" w14:textId="72800D79" w:rsidR="007B5B96" w:rsidRPr="001F3A44" w:rsidRDefault="001F3A44" w:rsidP="007E2919">
      <w:pPr>
        <w:rPr>
          <w:rFonts w:ascii="Avenir Next" w:hAnsi="Avenir Next" w:cs="Arial"/>
          <w:sz w:val="22"/>
          <w:szCs w:val="22"/>
        </w:rPr>
      </w:pPr>
      <w:r>
        <w:rPr>
          <w:rFonts w:ascii="Avenir Next" w:hAnsi="Avenir Next" w:cs="Arial"/>
          <w:sz w:val="22"/>
          <w:szCs w:val="22"/>
        </w:rPr>
        <w:t xml:space="preserve">The fact that the other directors approved the sale to </w:t>
      </w:r>
      <w:proofErr w:type="spellStart"/>
      <w:r>
        <w:rPr>
          <w:rFonts w:ascii="Avenir Next" w:hAnsi="Avenir Next" w:cs="Arial"/>
          <w:sz w:val="22"/>
          <w:szCs w:val="22"/>
        </w:rPr>
        <w:t>Ms</w:t>
      </w:r>
      <w:proofErr w:type="spellEnd"/>
      <w:r>
        <w:rPr>
          <w:rFonts w:ascii="Avenir Next" w:hAnsi="Avenir Next" w:cs="Arial"/>
          <w:sz w:val="22"/>
          <w:szCs w:val="22"/>
        </w:rPr>
        <w:t xml:space="preserve"> Bannister would, in the abstract at least, point to this transaction being a good faith transaction (or, at least, so </w:t>
      </w:r>
      <w:proofErr w:type="spellStart"/>
      <w:r>
        <w:rPr>
          <w:rFonts w:ascii="Avenir Next" w:hAnsi="Avenir Next" w:cs="Arial"/>
          <w:sz w:val="22"/>
          <w:szCs w:val="22"/>
        </w:rPr>
        <w:t>Ms</w:t>
      </w:r>
      <w:proofErr w:type="spellEnd"/>
      <w:r>
        <w:rPr>
          <w:rFonts w:ascii="Avenir Next" w:hAnsi="Avenir Next" w:cs="Arial"/>
          <w:sz w:val="22"/>
          <w:szCs w:val="22"/>
        </w:rPr>
        <w:t xml:space="preserve"> Bannister would presumably argue in response to an application brought by the liquidator). </w:t>
      </w:r>
    </w:p>
    <w:p w14:paraId="7748363B" w14:textId="17B6FCFE" w:rsidR="007B5B96" w:rsidRDefault="007B5B96" w:rsidP="007E2919">
      <w:pPr>
        <w:rPr>
          <w:rFonts w:ascii="Avenir Next" w:hAnsi="Avenir Next" w:cs="Arial"/>
          <w:b/>
          <w:sz w:val="22"/>
          <w:szCs w:val="22"/>
        </w:rPr>
      </w:pPr>
    </w:p>
    <w:p w14:paraId="62145225" w14:textId="3C8F2B5B" w:rsidR="009770A4" w:rsidRDefault="009770A4" w:rsidP="007E2919">
      <w:pPr>
        <w:rPr>
          <w:rFonts w:ascii="Avenir Next" w:hAnsi="Avenir Next" w:cs="Arial"/>
          <w:sz w:val="22"/>
          <w:szCs w:val="22"/>
        </w:rPr>
      </w:pPr>
      <w:r w:rsidRPr="009770A4">
        <w:rPr>
          <w:rFonts w:ascii="Avenir Next" w:hAnsi="Avenir Next" w:cs="Arial"/>
          <w:sz w:val="22"/>
          <w:szCs w:val="22"/>
        </w:rPr>
        <w:t>A final issue, moreover, would be what</w:t>
      </w:r>
      <w:r>
        <w:rPr>
          <w:rFonts w:ascii="Avenir Next" w:hAnsi="Avenir Next" w:cs="Arial"/>
          <w:sz w:val="22"/>
          <w:szCs w:val="22"/>
        </w:rPr>
        <w:t xml:space="preserve"> happened to the laser cutting machines themselves (</w:t>
      </w:r>
      <w:r>
        <w:rPr>
          <w:rFonts w:ascii="Avenir Next" w:hAnsi="Avenir Next" w:cs="Arial"/>
          <w:i/>
          <w:sz w:val="22"/>
          <w:szCs w:val="22"/>
        </w:rPr>
        <w:t xml:space="preserve">e.g. </w:t>
      </w:r>
      <w:r>
        <w:rPr>
          <w:rFonts w:ascii="Avenir Next" w:hAnsi="Avenir Next" w:cs="Arial"/>
          <w:sz w:val="22"/>
          <w:szCs w:val="22"/>
        </w:rPr>
        <w:t xml:space="preserve">whether </w:t>
      </w:r>
      <w:proofErr w:type="spellStart"/>
      <w:r>
        <w:rPr>
          <w:rFonts w:ascii="Avenir Next" w:hAnsi="Avenir Next" w:cs="Arial"/>
          <w:sz w:val="22"/>
          <w:szCs w:val="22"/>
        </w:rPr>
        <w:t>Ms</w:t>
      </w:r>
      <w:proofErr w:type="spellEnd"/>
      <w:r>
        <w:rPr>
          <w:rFonts w:ascii="Avenir Next" w:hAnsi="Avenir Next" w:cs="Arial"/>
          <w:sz w:val="22"/>
          <w:szCs w:val="22"/>
        </w:rPr>
        <w:t xml:space="preserve"> Bannister sold them on to a </w:t>
      </w:r>
      <w:proofErr w:type="gramStart"/>
      <w:r>
        <w:rPr>
          <w:rFonts w:ascii="Avenir Next" w:hAnsi="Avenir Next" w:cs="Arial"/>
          <w:sz w:val="22"/>
          <w:szCs w:val="22"/>
        </w:rPr>
        <w:t>third party</w:t>
      </w:r>
      <w:proofErr w:type="gramEnd"/>
      <w:r>
        <w:rPr>
          <w:rFonts w:ascii="Avenir Next" w:hAnsi="Avenir Next" w:cs="Arial"/>
          <w:sz w:val="22"/>
          <w:szCs w:val="22"/>
        </w:rPr>
        <w:t xml:space="preserve"> </w:t>
      </w:r>
      <w:r>
        <w:rPr>
          <w:rFonts w:ascii="Avenir Next" w:hAnsi="Avenir Next" w:cs="Arial"/>
          <w:i/>
          <w:sz w:val="22"/>
          <w:szCs w:val="22"/>
        </w:rPr>
        <w:t>bona fide</w:t>
      </w:r>
      <w:r>
        <w:rPr>
          <w:rFonts w:ascii="Avenir Next" w:hAnsi="Avenir Next" w:cs="Arial"/>
          <w:sz w:val="22"/>
          <w:szCs w:val="22"/>
        </w:rPr>
        <w:t xml:space="preserve"> purchaser</w:t>
      </w:r>
      <w:r w:rsidR="005202DF">
        <w:rPr>
          <w:rFonts w:ascii="Avenir Next" w:hAnsi="Avenir Next" w:cs="Arial"/>
          <w:sz w:val="22"/>
          <w:szCs w:val="22"/>
        </w:rPr>
        <w:t xml:space="preserve"> for value</w:t>
      </w:r>
      <w:r>
        <w:rPr>
          <w:rFonts w:ascii="Avenir Next" w:hAnsi="Avenir Next" w:cs="Arial"/>
          <w:sz w:val="22"/>
          <w:szCs w:val="22"/>
        </w:rPr>
        <w:t>), given that under s 241(2)(a):</w:t>
      </w:r>
    </w:p>
    <w:p w14:paraId="5D11E7CB" w14:textId="12F633A9" w:rsidR="009770A4" w:rsidRDefault="009770A4" w:rsidP="007E2919">
      <w:pPr>
        <w:rPr>
          <w:rFonts w:ascii="Avenir Next" w:hAnsi="Avenir Next" w:cs="Arial"/>
          <w:sz w:val="22"/>
          <w:szCs w:val="22"/>
        </w:rPr>
      </w:pPr>
    </w:p>
    <w:p w14:paraId="0A2896DE" w14:textId="568CCAC5" w:rsidR="009770A4" w:rsidRPr="009770A4" w:rsidRDefault="009770A4" w:rsidP="009770A4">
      <w:pPr>
        <w:rPr>
          <w:rFonts w:ascii="Avenir Next" w:hAnsi="Avenir Next" w:cs="Arial"/>
          <w:i/>
          <w:sz w:val="22"/>
          <w:szCs w:val="22"/>
        </w:rPr>
      </w:pPr>
      <w:r w:rsidRPr="009770A4">
        <w:rPr>
          <w:rFonts w:ascii="Avenir Next" w:hAnsi="Avenir Next" w:cs="Arial"/>
          <w:i/>
          <w:sz w:val="22"/>
          <w:szCs w:val="22"/>
        </w:rPr>
        <w:t>“An order under section 238… shall not prejudice any interest in property which was acquired from a person other than the company and was acquired in good faith and for value, or prejudice any interest deriving from such an interest…”</w:t>
      </w:r>
    </w:p>
    <w:p w14:paraId="4FCB99B4" w14:textId="64BB8C8B" w:rsidR="009770A4" w:rsidRDefault="009770A4" w:rsidP="007E2919">
      <w:pPr>
        <w:rPr>
          <w:rFonts w:ascii="Avenir Next" w:hAnsi="Avenir Next" w:cs="Arial"/>
          <w:sz w:val="22"/>
          <w:szCs w:val="22"/>
        </w:rPr>
      </w:pPr>
    </w:p>
    <w:p w14:paraId="0A0B9A26" w14:textId="3E1639BA" w:rsidR="00DA1FF3" w:rsidRPr="00DA1FF3" w:rsidRDefault="00DA1FF3" w:rsidP="007E2919">
      <w:pPr>
        <w:rPr>
          <w:rFonts w:ascii="Avenir Next" w:hAnsi="Avenir Next" w:cs="Arial"/>
          <w:sz w:val="22"/>
          <w:szCs w:val="22"/>
        </w:rPr>
      </w:pPr>
      <w:r>
        <w:rPr>
          <w:rFonts w:ascii="Avenir Next" w:hAnsi="Avenir Next" w:cs="Arial"/>
          <w:sz w:val="22"/>
          <w:szCs w:val="22"/>
        </w:rPr>
        <w:t xml:space="preserve">It would obviously be in the liquidator’s interest to, therefore, find out what happened to the laser cutting machines before taking action. </w:t>
      </w:r>
    </w:p>
    <w:p w14:paraId="2F0463C0" w14:textId="351794FD" w:rsidR="00DA1FF3" w:rsidRDefault="00DA1FF3" w:rsidP="007E2919">
      <w:pPr>
        <w:rPr>
          <w:rFonts w:ascii="Avenir Next" w:hAnsi="Avenir Next" w:cs="Arial"/>
          <w:b/>
          <w:sz w:val="22"/>
          <w:szCs w:val="22"/>
        </w:rPr>
      </w:pPr>
    </w:p>
    <w:p w14:paraId="027E10C7" w14:textId="77777777" w:rsidR="009770A4" w:rsidRPr="006925C1" w:rsidRDefault="009770A4"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2DE18675" w14:textId="77777777" w:rsidR="0018044A" w:rsidRDefault="0018044A" w:rsidP="00B04033">
      <w:pPr>
        <w:rPr>
          <w:rFonts w:ascii="Avenir Next" w:hAnsi="Avenir Next" w:cs="Arial"/>
          <w:b/>
          <w:sz w:val="22"/>
          <w:szCs w:val="22"/>
        </w:rPr>
      </w:pPr>
    </w:p>
    <w:p w14:paraId="2F5680D2" w14:textId="707A3E90" w:rsidR="00F87D55" w:rsidRDefault="0018044A" w:rsidP="00B04033">
      <w:pPr>
        <w:rPr>
          <w:rFonts w:ascii="Avenir Next" w:hAnsi="Avenir Next" w:cs="Arial"/>
          <w:sz w:val="22"/>
          <w:szCs w:val="22"/>
        </w:rPr>
      </w:pPr>
      <w:r>
        <w:rPr>
          <w:rFonts w:ascii="Avenir Next" w:hAnsi="Avenir Next" w:cs="Arial"/>
          <w:sz w:val="22"/>
          <w:szCs w:val="22"/>
        </w:rPr>
        <w:t>This appears to be an issue of whether there is a preferential transaction that can be avoided by the liquidator. On the facts, this seems doubtful to me</w:t>
      </w:r>
      <w:r w:rsidR="00FE43DE">
        <w:rPr>
          <w:rFonts w:ascii="Avenir Next" w:hAnsi="Avenir Next" w:cs="Arial"/>
          <w:sz w:val="22"/>
          <w:szCs w:val="22"/>
        </w:rPr>
        <w:t>,</w:t>
      </w:r>
      <w:r>
        <w:rPr>
          <w:rFonts w:ascii="Avenir Next" w:hAnsi="Avenir Next" w:cs="Arial"/>
          <w:sz w:val="22"/>
          <w:szCs w:val="22"/>
        </w:rPr>
        <w:t xml:space="preserve"> due to the motivation of the directors in </w:t>
      </w:r>
      <w:r w:rsidR="00F87D55">
        <w:rPr>
          <w:rFonts w:ascii="Avenir Next" w:hAnsi="Avenir Next" w:cs="Arial"/>
          <w:sz w:val="22"/>
          <w:szCs w:val="22"/>
        </w:rPr>
        <w:t xml:space="preserve">agreeing to the payment of GBP 20,000 </w:t>
      </w:r>
      <w:proofErr w:type="spellStart"/>
      <w:r w:rsidR="00F87D55">
        <w:rPr>
          <w:rFonts w:ascii="Avenir Next" w:hAnsi="Avenir Next" w:cs="Arial"/>
          <w:sz w:val="22"/>
          <w:szCs w:val="22"/>
        </w:rPr>
        <w:t>etc</w:t>
      </w:r>
      <w:proofErr w:type="spellEnd"/>
      <w:r w:rsidR="00F87D55">
        <w:rPr>
          <w:rFonts w:ascii="Avenir Next" w:hAnsi="Avenir Next" w:cs="Arial"/>
          <w:sz w:val="22"/>
          <w:szCs w:val="22"/>
        </w:rPr>
        <w:t xml:space="preserve">: </w:t>
      </w:r>
      <w:r w:rsidR="00F87D55" w:rsidRPr="00F87D55">
        <w:rPr>
          <w:rFonts w:ascii="Avenir Next" w:hAnsi="Avenir Next" w:cs="Arial"/>
          <w:i/>
          <w:sz w:val="22"/>
          <w:szCs w:val="22"/>
        </w:rPr>
        <w:t>“</w:t>
      </w:r>
      <w:r w:rsidR="00AE21EA" w:rsidRPr="00F87D55">
        <w:rPr>
          <w:rFonts w:ascii="Avenir Next" w:hAnsi="Avenir Next" w:cs="Arial"/>
          <w:i/>
          <w:sz w:val="22"/>
          <w:szCs w:val="22"/>
        </w:rPr>
        <w:t>As the continued supply of metal was seen as essential by the Company</w:t>
      </w:r>
      <w:r w:rsidR="00F87D55" w:rsidRPr="00F87D55">
        <w:rPr>
          <w:rFonts w:ascii="Avenir Next" w:hAnsi="Avenir Next" w:cs="Arial"/>
          <w:i/>
          <w:sz w:val="22"/>
          <w:szCs w:val="22"/>
        </w:rPr>
        <w:t>”</w:t>
      </w:r>
    </w:p>
    <w:p w14:paraId="7E01B3B9" w14:textId="2258CE93" w:rsidR="00F87D55" w:rsidRDefault="00F87D55" w:rsidP="00B04033">
      <w:pPr>
        <w:rPr>
          <w:rFonts w:ascii="Avenir Next" w:hAnsi="Avenir Next" w:cs="Arial"/>
          <w:sz w:val="22"/>
          <w:szCs w:val="22"/>
        </w:rPr>
      </w:pPr>
    </w:p>
    <w:p w14:paraId="43F99560" w14:textId="59EA9A6B" w:rsidR="00F87D55" w:rsidRDefault="00F87D55" w:rsidP="00F87D55">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As per the IA86, s 239, the liquidator would be an office-holder who could make an application</w:t>
      </w:r>
      <w:r w:rsidR="00FE43DE">
        <w:rPr>
          <w:rFonts w:ascii="Avenir Next" w:hAnsi="Avenir Next" w:cs="Arial"/>
          <w:sz w:val="22"/>
          <w:szCs w:val="22"/>
        </w:rPr>
        <w:t>.</w:t>
      </w:r>
    </w:p>
    <w:p w14:paraId="43DEBC3C" w14:textId="74BEE1D5" w:rsidR="00F87D55" w:rsidRDefault="00F87D55" w:rsidP="00F87D55">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lastRenderedPageBreak/>
        <w:t xml:space="preserve">As per 239(4) a preference arises to a person if the person is a creditor (yes) and the company does something which has </w:t>
      </w:r>
      <w:r w:rsidRPr="00F87D55">
        <w:rPr>
          <w:rFonts w:ascii="Avenir Next" w:hAnsi="Avenir Next" w:cs="Arial"/>
          <w:i/>
          <w:sz w:val="22"/>
          <w:szCs w:val="22"/>
        </w:rPr>
        <w:t>“the effect of putting that person into a position which, in the event of the company going</w:t>
      </w:r>
      <w:r>
        <w:rPr>
          <w:rFonts w:ascii="Avenir Next" w:hAnsi="Avenir Next" w:cs="Arial"/>
          <w:i/>
          <w:sz w:val="22"/>
          <w:szCs w:val="22"/>
        </w:rPr>
        <w:t xml:space="preserve"> </w:t>
      </w:r>
      <w:r w:rsidRPr="00F87D55">
        <w:rPr>
          <w:rFonts w:ascii="Avenir Next" w:hAnsi="Avenir Next" w:cs="Arial"/>
          <w:i/>
          <w:sz w:val="22"/>
          <w:szCs w:val="22"/>
        </w:rPr>
        <w:t>into insolvent liquidation, will be better than the position he would have been in if that thing</w:t>
      </w:r>
      <w:r>
        <w:rPr>
          <w:rFonts w:ascii="Avenir Next" w:hAnsi="Avenir Next" w:cs="Arial"/>
          <w:i/>
          <w:sz w:val="22"/>
          <w:szCs w:val="22"/>
        </w:rPr>
        <w:t xml:space="preserve"> </w:t>
      </w:r>
      <w:r w:rsidRPr="00F87D55">
        <w:rPr>
          <w:rFonts w:ascii="Avenir Next" w:hAnsi="Avenir Next" w:cs="Arial"/>
          <w:i/>
          <w:sz w:val="22"/>
          <w:szCs w:val="22"/>
        </w:rPr>
        <w:t>had not been done”</w:t>
      </w:r>
      <w:r>
        <w:rPr>
          <w:rFonts w:ascii="Avenir Next" w:hAnsi="Avenir Next" w:cs="Arial"/>
          <w:i/>
          <w:sz w:val="22"/>
          <w:szCs w:val="22"/>
        </w:rPr>
        <w:t xml:space="preserve"> </w:t>
      </w:r>
      <w:r>
        <w:rPr>
          <w:rFonts w:ascii="Avenir Next" w:hAnsi="Avenir Next" w:cs="Arial"/>
          <w:sz w:val="22"/>
          <w:szCs w:val="22"/>
        </w:rPr>
        <w:t>(yes – the full debt of GBP 20,000 was paid</w:t>
      </w:r>
      <w:r w:rsidR="00FE43DE">
        <w:rPr>
          <w:rFonts w:ascii="Avenir Next" w:hAnsi="Avenir Next" w:cs="Arial"/>
          <w:sz w:val="22"/>
          <w:szCs w:val="22"/>
        </w:rPr>
        <w:t>, whereas other creditors have not been paid in full</w:t>
      </w:r>
      <w:r>
        <w:rPr>
          <w:rFonts w:ascii="Avenir Next" w:hAnsi="Avenir Next" w:cs="Arial"/>
          <w:sz w:val="22"/>
          <w:szCs w:val="22"/>
        </w:rPr>
        <w:t>)</w:t>
      </w:r>
      <w:r w:rsidR="00FE43DE">
        <w:rPr>
          <w:rFonts w:ascii="Avenir Next" w:hAnsi="Avenir Next" w:cs="Arial"/>
          <w:sz w:val="22"/>
          <w:szCs w:val="22"/>
        </w:rPr>
        <w:t>.</w:t>
      </w:r>
    </w:p>
    <w:p w14:paraId="7D3FDC93" w14:textId="57921425" w:rsidR="00F87D55" w:rsidRDefault="00F87D55" w:rsidP="00F87D55">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 xml:space="preserve">The preference was also given at </w:t>
      </w:r>
      <w:r>
        <w:rPr>
          <w:rFonts w:ascii="Avenir Next" w:hAnsi="Avenir Next" w:cs="Arial"/>
          <w:i/>
          <w:sz w:val="22"/>
          <w:szCs w:val="22"/>
        </w:rPr>
        <w:t xml:space="preserve">“the relevant time” </w:t>
      </w:r>
      <w:r>
        <w:rPr>
          <w:rFonts w:ascii="Avenir Next" w:hAnsi="Avenir Next" w:cs="Arial"/>
          <w:sz w:val="22"/>
          <w:szCs w:val="22"/>
        </w:rPr>
        <w:t>given that</w:t>
      </w:r>
      <w:r w:rsidR="00C43DA2">
        <w:rPr>
          <w:rFonts w:ascii="Avenir Next" w:hAnsi="Avenir Next" w:cs="Arial"/>
          <w:sz w:val="22"/>
          <w:szCs w:val="22"/>
        </w:rPr>
        <w:t xml:space="preserve"> </w:t>
      </w:r>
      <w:proofErr w:type="spellStart"/>
      <w:r w:rsidR="00C43DA2">
        <w:rPr>
          <w:rFonts w:ascii="Avenir Next" w:hAnsi="Avenir Next" w:cs="Arial"/>
          <w:sz w:val="22"/>
          <w:szCs w:val="22"/>
        </w:rPr>
        <w:t>Aluminium</w:t>
      </w:r>
      <w:proofErr w:type="spellEnd"/>
      <w:r w:rsidR="00C43DA2">
        <w:rPr>
          <w:rFonts w:ascii="Avenir Next" w:hAnsi="Avenir Next" w:cs="Arial"/>
          <w:sz w:val="22"/>
          <w:szCs w:val="22"/>
        </w:rPr>
        <w:t xml:space="preserve"> </w:t>
      </w:r>
      <w:proofErr w:type="spellStart"/>
      <w:r w:rsidR="00C43DA2">
        <w:rPr>
          <w:rFonts w:ascii="Avenir Next" w:hAnsi="Avenir Next" w:cs="Arial"/>
          <w:sz w:val="22"/>
          <w:szCs w:val="22"/>
        </w:rPr>
        <w:t>Alumini</w:t>
      </w:r>
      <w:proofErr w:type="spellEnd"/>
      <w:r w:rsidR="00C43DA2">
        <w:rPr>
          <w:rFonts w:ascii="Avenir Next" w:hAnsi="Avenir Next" w:cs="Arial"/>
          <w:sz w:val="22"/>
          <w:szCs w:val="22"/>
        </w:rPr>
        <w:t xml:space="preserve"> is not connected to the company and the preference arose six months prior to the onset of insolvency (s 240(1)(b)).</w:t>
      </w:r>
    </w:p>
    <w:p w14:paraId="47EFD1AB" w14:textId="2E9E5AB7" w:rsidR="00F87D55" w:rsidRDefault="00F87D55" w:rsidP="00964A7B">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 xml:space="preserve">However, and as alluded to above, there is also </w:t>
      </w:r>
      <w:r w:rsidR="00964A7B">
        <w:rPr>
          <w:rFonts w:ascii="Avenir Next" w:hAnsi="Avenir Next" w:cs="Arial"/>
          <w:sz w:val="22"/>
          <w:szCs w:val="22"/>
        </w:rPr>
        <w:t xml:space="preserve">s </w:t>
      </w:r>
      <w:r>
        <w:rPr>
          <w:rFonts w:ascii="Avenir Next" w:hAnsi="Avenir Next" w:cs="Arial"/>
          <w:sz w:val="22"/>
          <w:szCs w:val="22"/>
        </w:rPr>
        <w:t xml:space="preserve">239(5) to consider: </w:t>
      </w:r>
      <w:r w:rsidRPr="00F87D55">
        <w:rPr>
          <w:rFonts w:ascii="Avenir Next" w:hAnsi="Avenir Next" w:cs="Arial"/>
          <w:i/>
          <w:sz w:val="22"/>
          <w:szCs w:val="22"/>
        </w:rPr>
        <w:t>“The court shall not make an order under this section in respect of a preference given to any</w:t>
      </w:r>
      <w:r>
        <w:rPr>
          <w:rFonts w:ascii="Avenir Next" w:hAnsi="Avenir Next" w:cs="Arial"/>
          <w:i/>
          <w:sz w:val="22"/>
          <w:szCs w:val="22"/>
        </w:rPr>
        <w:t xml:space="preserve"> </w:t>
      </w:r>
      <w:r w:rsidRPr="00F87D55">
        <w:rPr>
          <w:rFonts w:ascii="Avenir Next" w:hAnsi="Avenir Next" w:cs="Arial"/>
          <w:i/>
          <w:sz w:val="22"/>
          <w:szCs w:val="22"/>
        </w:rPr>
        <w:t>person unless the company which gave the preference was influenced in deciding to give it by a desire to produce in</w:t>
      </w:r>
      <w:r>
        <w:rPr>
          <w:rFonts w:ascii="Avenir Next" w:hAnsi="Avenir Next" w:cs="Arial"/>
          <w:i/>
          <w:sz w:val="22"/>
          <w:szCs w:val="22"/>
        </w:rPr>
        <w:t xml:space="preserve"> </w:t>
      </w:r>
      <w:r w:rsidRPr="00F87D55">
        <w:rPr>
          <w:rFonts w:ascii="Avenir Next" w:hAnsi="Avenir Next" w:cs="Arial"/>
          <w:i/>
          <w:sz w:val="22"/>
          <w:szCs w:val="22"/>
        </w:rPr>
        <w:t>relation to that person the effect mentioned in subsection (4)(b)”</w:t>
      </w:r>
      <w:r w:rsidR="00964A7B">
        <w:rPr>
          <w:rFonts w:ascii="Avenir Next" w:hAnsi="Avenir Next" w:cs="Arial"/>
          <w:sz w:val="22"/>
          <w:szCs w:val="22"/>
        </w:rPr>
        <w:t xml:space="preserve">. As per </w:t>
      </w:r>
      <w:r w:rsidR="00964A7B">
        <w:rPr>
          <w:rFonts w:ascii="Avenir Next" w:hAnsi="Avenir Next" w:cs="Arial"/>
          <w:i/>
          <w:sz w:val="22"/>
          <w:szCs w:val="22"/>
        </w:rPr>
        <w:t>Re MC Bacon</w:t>
      </w:r>
      <w:r w:rsidR="00964A7B">
        <w:rPr>
          <w:rFonts w:ascii="Avenir Next" w:hAnsi="Avenir Next" w:cs="Arial"/>
          <w:sz w:val="22"/>
          <w:szCs w:val="22"/>
        </w:rPr>
        <w:t>,</w:t>
      </w:r>
      <w:r w:rsidR="00964A7B">
        <w:rPr>
          <w:rStyle w:val="FootnoteReference"/>
          <w:rFonts w:ascii="Avenir Next" w:hAnsi="Avenir Next" w:cs="Arial"/>
          <w:sz w:val="22"/>
          <w:szCs w:val="22"/>
        </w:rPr>
        <w:footnoteReference w:id="12"/>
      </w:r>
      <w:r w:rsidR="00964A7B">
        <w:rPr>
          <w:rFonts w:ascii="Avenir Next" w:hAnsi="Avenir Next" w:cs="Arial"/>
          <w:sz w:val="22"/>
          <w:szCs w:val="22"/>
        </w:rPr>
        <w:t xml:space="preserve"> the intention must be </w:t>
      </w:r>
      <w:r w:rsidR="00964A7B">
        <w:rPr>
          <w:rFonts w:ascii="Avenir Next" w:hAnsi="Avenir Next" w:cs="Arial"/>
          <w:i/>
          <w:sz w:val="22"/>
          <w:szCs w:val="22"/>
          <w:u w:val="single"/>
        </w:rPr>
        <w:t>to prefer the creditor in question</w:t>
      </w:r>
      <w:r w:rsidR="00964A7B">
        <w:rPr>
          <w:rFonts w:ascii="Avenir Next" w:hAnsi="Avenir Next" w:cs="Arial"/>
          <w:sz w:val="22"/>
          <w:szCs w:val="22"/>
        </w:rPr>
        <w:t>. Here that does not appear to be the case – the metal was essential to the company’s operations, and the pressure exerted by the creditor at the time (which was understandable</w:t>
      </w:r>
      <w:r w:rsidR="007A69B4">
        <w:rPr>
          <w:rFonts w:ascii="Avenir Next" w:hAnsi="Avenir Next" w:cs="Arial"/>
          <w:sz w:val="22"/>
          <w:szCs w:val="22"/>
        </w:rPr>
        <w:t>,</w:t>
      </w:r>
      <w:r w:rsidR="00964A7B">
        <w:rPr>
          <w:rFonts w:ascii="Avenir Next" w:hAnsi="Avenir Next" w:cs="Arial"/>
          <w:sz w:val="22"/>
          <w:szCs w:val="22"/>
        </w:rPr>
        <w:t xml:space="preserve"> from a business point of view) is irrelevant,</w:t>
      </w:r>
      <w:r w:rsidR="00964A7B">
        <w:rPr>
          <w:rStyle w:val="FootnoteReference"/>
          <w:rFonts w:ascii="Avenir Next" w:hAnsi="Avenir Next" w:cs="Arial"/>
          <w:sz w:val="22"/>
          <w:szCs w:val="22"/>
        </w:rPr>
        <w:footnoteReference w:id="13"/>
      </w:r>
      <w:r w:rsidR="00964A7B">
        <w:rPr>
          <w:rFonts w:ascii="Avenir Next" w:hAnsi="Avenir Next" w:cs="Arial"/>
          <w:sz w:val="22"/>
          <w:szCs w:val="22"/>
        </w:rPr>
        <w:t xml:space="preserve"> given that the desire</w:t>
      </w:r>
      <w:r w:rsidR="007A69B4">
        <w:rPr>
          <w:rFonts w:ascii="Avenir Next" w:hAnsi="Avenir Next" w:cs="Arial"/>
          <w:sz w:val="22"/>
          <w:szCs w:val="22"/>
        </w:rPr>
        <w:t xml:space="preserve"> to prefer</w:t>
      </w:r>
      <w:r w:rsidR="00964A7B">
        <w:rPr>
          <w:rFonts w:ascii="Avenir Next" w:hAnsi="Avenir Next" w:cs="Arial"/>
          <w:sz w:val="22"/>
          <w:szCs w:val="22"/>
        </w:rPr>
        <w:t xml:space="preserve"> was not present.</w:t>
      </w:r>
    </w:p>
    <w:p w14:paraId="0C0AF2C7" w14:textId="6A9FB3CE" w:rsidR="00790A1D" w:rsidRPr="00964A7B" w:rsidRDefault="00790A1D" w:rsidP="00964A7B">
      <w:pPr>
        <w:pStyle w:val="ListParagraph"/>
        <w:numPr>
          <w:ilvl w:val="0"/>
          <w:numId w:val="20"/>
        </w:numPr>
        <w:ind w:left="567" w:hanging="567"/>
        <w:rPr>
          <w:rFonts w:ascii="Avenir Next" w:hAnsi="Avenir Next" w:cs="Arial"/>
          <w:sz w:val="22"/>
          <w:szCs w:val="22"/>
        </w:rPr>
      </w:pPr>
      <w:r>
        <w:rPr>
          <w:rFonts w:ascii="Avenir Next" w:hAnsi="Avenir Next" w:cs="Arial"/>
          <w:sz w:val="22"/>
          <w:szCs w:val="22"/>
        </w:rPr>
        <w:t>Given that the burden is on the liquidator, this application therefore appears to be an uphill struggle.</w:t>
      </w:r>
      <w:r>
        <w:rPr>
          <w:rStyle w:val="FootnoteReference"/>
          <w:rFonts w:ascii="Avenir Next" w:hAnsi="Avenir Next" w:cs="Arial"/>
          <w:sz w:val="22"/>
          <w:szCs w:val="22"/>
        </w:rPr>
        <w:footnoteReference w:id="14"/>
      </w:r>
      <w:r>
        <w:rPr>
          <w:rFonts w:ascii="Avenir Next" w:hAnsi="Avenir Next" w:cs="Arial"/>
          <w:sz w:val="22"/>
          <w:szCs w:val="22"/>
        </w:rPr>
        <w:t xml:space="preserve"> </w:t>
      </w:r>
    </w:p>
    <w:p w14:paraId="1252753D" w14:textId="77777777" w:rsidR="00F87D55" w:rsidRDefault="00F87D55" w:rsidP="00B04033">
      <w:pPr>
        <w:rPr>
          <w:rFonts w:ascii="Avenir Next" w:hAnsi="Avenir Next" w:cs="Arial"/>
          <w:sz w:val="22"/>
          <w:szCs w:val="22"/>
        </w:rPr>
      </w:pPr>
    </w:p>
    <w:p w14:paraId="5AB3225B" w14:textId="2096F097" w:rsidR="00CF3708" w:rsidRPr="00197F24" w:rsidRDefault="00CF3708" w:rsidP="00CF3708">
      <w:pPr>
        <w:jc w:val="both"/>
        <w:rPr>
          <w:rFonts w:ascii="Avenir Next" w:hAnsi="Avenir Next" w:cs="Arial"/>
          <w:color w:val="7B7B7B" w:themeColor="accent3" w:themeShade="BF"/>
          <w:sz w:val="22"/>
          <w:szCs w:val="22"/>
          <w:lang w:val="en-GB"/>
        </w:rPr>
      </w:pP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6BBAFF19" w14:textId="4C97BA3B" w:rsidR="006925C1" w:rsidRPr="00CD6BA1" w:rsidRDefault="00C606C3" w:rsidP="00CD6BA1">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sectPr w:rsidR="006925C1" w:rsidRPr="00CD6BA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E08B" w14:textId="77777777" w:rsidR="008A60CE" w:rsidRDefault="008A60CE" w:rsidP="00241B44">
      <w:r>
        <w:separator/>
      </w:r>
    </w:p>
  </w:endnote>
  <w:endnote w:type="continuationSeparator" w:id="0">
    <w:p w14:paraId="58D3AFD8" w14:textId="77777777" w:rsidR="008A60CE" w:rsidRDefault="008A60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A60CE" w:rsidRPr="00FC7B47" w:rsidRDefault="008A60C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A60CE" w:rsidRPr="00FC7B47" w:rsidRDefault="008A60C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8A60CE" w:rsidRPr="009B4976" w:rsidRDefault="008A60CE" w:rsidP="008A60CE">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34596B6" w:rsidR="008A60CE" w:rsidRPr="00A84235" w:rsidRDefault="00B2346D" w:rsidP="009B4976">
    <w:pPr>
      <w:pStyle w:val="Footer"/>
      <w:ind w:right="360"/>
      <w:rPr>
        <w:rFonts w:ascii="Avenir Next" w:hAnsi="Avenir Next" w:cs="Arial"/>
        <w:sz w:val="22"/>
        <w:szCs w:val="22"/>
        <w:lang w:val="en-GB"/>
      </w:rPr>
    </w:pPr>
    <w:r w:rsidRPr="00B2346D">
      <w:rPr>
        <w:rFonts w:ascii="Avenir Next" w:hAnsi="Avenir Next" w:cs="Arial"/>
        <w:sz w:val="22"/>
        <w:szCs w:val="22"/>
        <w:lang w:val="en-GB"/>
      </w:rPr>
      <w:t>FC202324-1447</w:t>
    </w:r>
    <w:r w:rsidR="008A60CE" w:rsidRPr="00A84235">
      <w:rPr>
        <w:rFonts w:ascii="Avenir Next" w:hAnsi="Avenir Next" w:cs="Arial"/>
        <w:sz w:val="22"/>
        <w:szCs w:val="22"/>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0129" w14:textId="77777777" w:rsidR="008A60CE" w:rsidRDefault="008A60CE" w:rsidP="00241B44">
      <w:r>
        <w:separator/>
      </w:r>
    </w:p>
  </w:footnote>
  <w:footnote w:type="continuationSeparator" w:id="0">
    <w:p w14:paraId="4A2A4F3D" w14:textId="77777777" w:rsidR="008A60CE" w:rsidRDefault="008A60CE" w:rsidP="00241B44">
      <w:r>
        <w:continuationSeparator/>
      </w:r>
    </w:p>
  </w:footnote>
  <w:footnote w:id="1">
    <w:p w14:paraId="6A42EBDC" w14:textId="5ABB3A17" w:rsidR="008A60CE" w:rsidRDefault="008A60CE">
      <w:pPr>
        <w:pStyle w:val="FootnoteText"/>
      </w:pPr>
      <w:r>
        <w:rPr>
          <w:rStyle w:val="FootnoteReference"/>
        </w:rPr>
        <w:footnoteRef/>
      </w:r>
      <w:r>
        <w:t xml:space="preserve"> Module 3B Guidance Text, p 62</w:t>
      </w:r>
    </w:p>
  </w:footnote>
  <w:footnote w:id="2">
    <w:p w14:paraId="261C75AB" w14:textId="5591F044" w:rsidR="008A60CE" w:rsidRDefault="008A60CE">
      <w:pPr>
        <w:pStyle w:val="FootnoteText"/>
      </w:pPr>
      <w:r>
        <w:rPr>
          <w:rStyle w:val="FootnoteReference"/>
        </w:rPr>
        <w:footnoteRef/>
      </w:r>
      <w:r>
        <w:t xml:space="preserve"> Practical Law, </w:t>
      </w:r>
      <w:r w:rsidRPr="00FA4608">
        <w:t>Validation orders in compulsory liquidation</w:t>
      </w:r>
    </w:p>
  </w:footnote>
  <w:footnote w:id="3">
    <w:p w14:paraId="33847797" w14:textId="753D8E88" w:rsidR="008A60CE" w:rsidRDefault="008A60CE">
      <w:pPr>
        <w:pStyle w:val="FootnoteText"/>
      </w:pPr>
      <w:r>
        <w:rPr>
          <w:rStyle w:val="FootnoteReference"/>
        </w:rPr>
        <w:footnoteRef/>
      </w:r>
      <w:r>
        <w:t xml:space="preserve"> Module 3B Guidance Text, p 38</w:t>
      </w:r>
    </w:p>
  </w:footnote>
  <w:footnote w:id="4">
    <w:p w14:paraId="596F36BB" w14:textId="55D59C2F" w:rsidR="008A60CE" w:rsidRDefault="008A60CE">
      <w:pPr>
        <w:pStyle w:val="FootnoteText"/>
      </w:pPr>
      <w:r>
        <w:rPr>
          <w:rStyle w:val="FootnoteReference"/>
        </w:rPr>
        <w:footnoteRef/>
      </w:r>
      <w:r>
        <w:t xml:space="preserve"> Module 3B Guidance Text, p 20.</w:t>
      </w:r>
    </w:p>
  </w:footnote>
  <w:footnote w:id="5">
    <w:p w14:paraId="20F986D1" w14:textId="77777777" w:rsidR="008A60CE" w:rsidRDefault="008A60CE" w:rsidP="006657C3">
      <w:pPr>
        <w:pStyle w:val="FootnoteText"/>
      </w:pPr>
      <w:r>
        <w:rPr>
          <w:rStyle w:val="FootnoteReference"/>
        </w:rPr>
        <w:footnoteRef/>
      </w:r>
      <w:r>
        <w:t xml:space="preserve"> Ibid, 51. </w:t>
      </w:r>
    </w:p>
  </w:footnote>
  <w:footnote w:id="6">
    <w:p w14:paraId="33F795CF" w14:textId="7A161B75" w:rsidR="008A60CE" w:rsidRDefault="008A60CE">
      <w:pPr>
        <w:pStyle w:val="FootnoteText"/>
      </w:pPr>
      <w:r>
        <w:rPr>
          <w:rStyle w:val="FootnoteReference"/>
        </w:rPr>
        <w:footnoteRef/>
      </w:r>
      <w:r>
        <w:t xml:space="preserve"> Ibid, page 52, section 5.9.5.3.</w:t>
      </w:r>
    </w:p>
  </w:footnote>
  <w:footnote w:id="7">
    <w:p w14:paraId="34427809" w14:textId="542F3E29" w:rsidR="008A60CE" w:rsidRDefault="008A60CE">
      <w:pPr>
        <w:pStyle w:val="FootnoteText"/>
      </w:pPr>
      <w:r>
        <w:rPr>
          <w:rStyle w:val="FootnoteReference"/>
        </w:rPr>
        <w:footnoteRef/>
      </w:r>
      <w:r>
        <w:t xml:space="preserve"> Ibid, 52-53. </w:t>
      </w:r>
    </w:p>
  </w:footnote>
  <w:footnote w:id="8">
    <w:p w14:paraId="0E68CFB6" w14:textId="2084101A" w:rsidR="008A60CE" w:rsidRDefault="008A60CE">
      <w:pPr>
        <w:pStyle w:val="FootnoteText"/>
      </w:pPr>
      <w:r>
        <w:rPr>
          <w:rStyle w:val="FootnoteReference"/>
        </w:rPr>
        <w:footnoteRef/>
      </w:r>
      <w:r>
        <w:t xml:space="preserve"> Ibid, 54.</w:t>
      </w:r>
    </w:p>
  </w:footnote>
  <w:footnote w:id="9">
    <w:p w14:paraId="78E5403A" w14:textId="6DAE9B9A" w:rsidR="008A60CE" w:rsidRDefault="008A60CE">
      <w:pPr>
        <w:pStyle w:val="FootnoteText"/>
      </w:pPr>
      <w:r>
        <w:rPr>
          <w:rStyle w:val="FootnoteReference"/>
        </w:rPr>
        <w:footnoteRef/>
      </w:r>
      <w:r>
        <w:t xml:space="preserve"> Ibid, 39. </w:t>
      </w:r>
    </w:p>
  </w:footnote>
  <w:footnote w:id="10">
    <w:p w14:paraId="6CEF1817" w14:textId="2E9274E8" w:rsidR="008A60CE" w:rsidRDefault="008A60CE">
      <w:pPr>
        <w:pStyle w:val="FootnoteText"/>
      </w:pPr>
      <w:r>
        <w:rPr>
          <w:rStyle w:val="FootnoteReference"/>
        </w:rPr>
        <w:footnoteRef/>
      </w:r>
      <w:r>
        <w:t xml:space="preserve"> Ibid. </w:t>
      </w:r>
    </w:p>
  </w:footnote>
  <w:footnote w:id="11">
    <w:p w14:paraId="0D502195" w14:textId="1EA164F8" w:rsidR="008A60CE" w:rsidRDefault="008A60CE">
      <w:pPr>
        <w:pStyle w:val="FootnoteText"/>
      </w:pPr>
      <w:r>
        <w:rPr>
          <w:rStyle w:val="FootnoteReference"/>
        </w:rPr>
        <w:footnoteRef/>
      </w:r>
      <w:r>
        <w:t xml:space="preserve"> Ibid. </w:t>
      </w:r>
    </w:p>
  </w:footnote>
  <w:footnote w:id="12">
    <w:p w14:paraId="20FFFFE5" w14:textId="2C97492B" w:rsidR="00964A7B" w:rsidRDefault="00964A7B">
      <w:pPr>
        <w:pStyle w:val="FootnoteText"/>
      </w:pPr>
      <w:r>
        <w:rPr>
          <w:rStyle w:val="FootnoteReference"/>
        </w:rPr>
        <w:footnoteRef/>
      </w:r>
      <w:r>
        <w:t xml:space="preserve"> See also the content from the Guidance Material, p 69.</w:t>
      </w:r>
    </w:p>
  </w:footnote>
  <w:footnote w:id="13">
    <w:p w14:paraId="0990790C" w14:textId="769B5D53" w:rsidR="00964A7B" w:rsidRDefault="00964A7B">
      <w:pPr>
        <w:pStyle w:val="FootnoteText"/>
      </w:pPr>
      <w:r>
        <w:rPr>
          <w:rStyle w:val="FootnoteReference"/>
        </w:rPr>
        <w:footnoteRef/>
      </w:r>
      <w:r>
        <w:t xml:space="preserve"> Ibid, p 69</w:t>
      </w:r>
    </w:p>
  </w:footnote>
  <w:footnote w:id="14">
    <w:p w14:paraId="0BC1DB7A" w14:textId="6133DCD0" w:rsidR="00790A1D" w:rsidRDefault="00790A1D">
      <w:pPr>
        <w:pStyle w:val="FootnoteText"/>
      </w:pPr>
      <w:r>
        <w:rPr>
          <w:rStyle w:val="FootnoteReference"/>
        </w:rPr>
        <w:footnoteRef/>
      </w:r>
      <w: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04226"/>
    <w:multiLevelType w:val="hybridMultilevel"/>
    <w:tmpl w:val="72F80DD0"/>
    <w:lvl w:ilvl="0" w:tplc="67967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77667A0"/>
    <w:multiLevelType w:val="hybridMultilevel"/>
    <w:tmpl w:val="F89299D6"/>
    <w:lvl w:ilvl="0" w:tplc="71FA049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405441"/>
    <w:multiLevelType w:val="hybridMultilevel"/>
    <w:tmpl w:val="EBE65990"/>
    <w:lvl w:ilvl="0" w:tplc="5E36D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836F31"/>
    <w:multiLevelType w:val="hybridMultilevel"/>
    <w:tmpl w:val="CDBE729C"/>
    <w:lvl w:ilvl="0" w:tplc="910C1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7"/>
  </w:num>
  <w:num w:numId="9">
    <w:abstractNumId w:val="8"/>
  </w:num>
  <w:num w:numId="10">
    <w:abstractNumId w:val="19"/>
  </w:num>
  <w:num w:numId="11">
    <w:abstractNumId w:val="5"/>
  </w:num>
  <w:num w:numId="12">
    <w:abstractNumId w:val="15"/>
  </w:num>
  <w:num w:numId="13">
    <w:abstractNumId w:val="9"/>
  </w:num>
  <w:num w:numId="14">
    <w:abstractNumId w:val="4"/>
  </w:num>
  <w:num w:numId="15">
    <w:abstractNumId w:val="13"/>
  </w:num>
  <w:num w:numId="16">
    <w:abstractNumId w:val="16"/>
  </w:num>
  <w:num w:numId="17">
    <w:abstractNumId w:val="6"/>
  </w:num>
  <w:num w:numId="18">
    <w:abstractNumId w:val="18"/>
  </w:num>
  <w:num w:numId="19">
    <w:abstractNumId w:val="20"/>
  </w:num>
  <w:num w:numId="20">
    <w:abstractNumId w:val="14"/>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51C"/>
    <w:rsid w:val="00045904"/>
    <w:rsid w:val="000502FD"/>
    <w:rsid w:val="00065166"/>
    <w:rsid w:val="00082609"/>
    <w:rsid w:val="000851CC"/>
    <w:rsid w:val="00086C55"/>
    <w:rsid w:val="00087F21"/>
    <w:rsid w:val="00093BE8"/>
    <w:rsid w:val="000A407B"/>
    <w:rsid w:val="000A68ED"/>
    <w:rsid w:val="000B5FF1"/>
    <w:rsid w:val="000B609F"/>
    <w:rsid w:val="000B7086"/>
    <w:rsid w:val="000D10C6"/>
    <w:rsid w:val="000D4CFA"/>
    <w:rsid w:val="000D55A8"/>
    <w:rsid w:val="000D7750"/>
    <w:rsid w:val="000E33B7"/>
    <w:rsid w:val="000E4841"/>
    <w:rsid w:val="000F1677"/>
    <w:rsid w:val="000F3D6C"/>
    <w:rsid w:val="00101694"/>
    <w:rsid w:val="00101707"/>
    <w:rsid w:val="00102CC9"/>
    <w:rsid w:val="0010593A"/>
    <w:rsid w:val="0011473D"/>
    <w:rsid w:val="00115C85"/>
    <w:rsid w:val="00115FCB"/>
    <w:rsid w:val="00123855"/>
    <w:rsid w:val="00126A4D"/>
    <w:rsid w:val="0013080E"/>
    <w:rsid w:val="0014171F"/>
    <w:rsid w:val="0014622C"/>
    <w:rsid w:val="00150BFF"/>
    <w:rsid w:val="00152348"/>
    <w:rsid w:val="0015456D"/>
    <w:rsid w:val="00155FA2"/>
    <w:rsid w:val="00161F1B"/>
    <w:rsid w:val="00162829"/>
    <w:rsid w:val="00174DB5"/>
    <w:rsid w:val="0018044A"/>
    <w:rsid w:val="00180548"/>
    <w:rsid w:val="00180AC4"/>
    <w:rsid w:val="00180CCE"/>
    <w:rsid w:val="0018267A"/>
    <w:rsid w:val="00182779"/>
    <w:rsid w:val="00182788"/>
    <w:rsid w:val="001830DF"/>
    <w:rsid w:val="001966D9"/>
    <w:rsid w:val="00197F24"/>
    <w:rsid w:val="001A007A"/>
    <w:rsid w:val="001A4DE2"/>
    <w:rsid w:val="001A4EE4"/>
    <w:rsid w:val="001A7E9A"/>
    <w:rsid w:val="001B0F70"/>
    <w:rsid w:val="001B5016"/>
    <w:rsid w:val="001C1E3F"/>
    <w:rsid w:val="001C45FC"/>
    <w:rsid w:val="001D03EE"/>
    <w:rsid w:val="001D0469"/>
    <w:rsid w:val="001D29C0"/>
    <w:rsid w:val="001D2C69"/>
    <w:rsid w:val="001D4862"/>
    <w:rsid w:val="001E25B9"/>
    <w:rsid w:val="001E49E0"/>
    <w:rsid w:val="001E7B5A"/>
    <w:rsid w:val="001F3A44"/>
    <w:rsid w:val="001F3C98"/>
    <w:rsid w:val="001F462B"/>
    <w:rsid w:val="001F7412"/>
    <w:rsid w:val="0020090A"/>
    <w:rsid w:val="0020204E"/>
    <w:rsid w:val="00202DFE"/>
    <w:rsid w:val="00206DB5"/>
    <w:rsid w:val="0020725B"/>
    <w:rsid w:val="002110F1"/>
    <w:rsid w:val="00221444"/>
    <w:rsid w:val="0023423A"/>
    <w:rsid w:val="002356EA"/>
    <w:rsid w:val="0023708B"/>
    <w:rsid w:val="00237A00"/>
    <w:rsid w:val="0024116D"/>
    <w:rsid w:val="00241B44"/>
    <w:rsid w:val="00241FA3"/>
    <w:rsid w:val="00245B9E"/>
    <w:rsid w:val="00245EFB"/>
    <w:rsid w:val="00253470"/>
    <w:rsid w:val="0025386E"/>
    <w:rsid w:val="002638B0"/>
    <w:rsid w:val="0026647A"/>
    <w:rsid w:val="002668D3"/>
    <w:rsid w:val="0027299F"/>
    <w:rsid w:val="00282BA8"/>
    <w:rsid w:val="00284EBE"/>
    <w:rsid w:val="002903A7"/>
    <w:rsid w:val="0029433F"/>
    <w:rsid w:val="00294829"/>
    <w:rsid w:val="0029690F"/>
    <w:rsid w:val="00297C8A"/>
    <w:rsid w:val="002A2A60"/>
    <w:rsid w:val="002A37BB"/>
    <w:rsid w:val="002A5550"/>
    <w:rsid w:val="002B0357"/>
    <w:rsid w:val="002B1C45"/>
    <w:rsid w:val="002B4748"/>
    <w:rsid w:val="002C121F"/>
    <w:rsid w:val="002C13C8"/>
    <w:rsid w:val="002C3547"/>
    <w:rsid w:val="002C46CB"/>
    <w:rsid w:val="002D0021"/>
    <w:rsid w:val="002D299D"/>
    <w:rsid w:val="002D3473"/>
    <w:rsid w:val="002F1956"/>
    <w:rsid w:val="002F3440"/>
    <w:rsid w:val="002F75A3"/>
    <w:rsid w:val="002F77D6"/>
    <w:rsid w:val="00303C2F"/>
    <w:rsid w:val="00310345"/>
    <w:rsid w:val="00311816"/>
    <w:rsid w:val="003144EF"/>
    <w:rsid w:val="00314CE2"/>
    <w:rsid w:val="00314F32"/>
    <w:rsid w:val="003222B2"/>
    <w:rsid w:val="00324643"/>
    <w:rsid w:val="00326292"/>
    <w:rsid w:val="00326415"/>
    <w:rsid w:val="00330937"/>
    <w:rsid w:val="00330F31"/>
    <w:rsid w:val="00334648"/>
    <w:rsid w:val="0033768C"/>
    <w:rsid w:val="00337938"/>
    <w:rsid w:val="00340769"/>
    <w:rsid w:val="00341AA6"/>
    <w:rsid w:val="003512A9"/>
    <w:rsid w:val="00361A0A"/>
    <w:rsid w:val="00364836"/>
    <w:rsid w:val="0036565C"/>
    <w:rsid w:val="0036625E"/>
    <w:rsid w:val="00372285"/>
    <w:rsid w:val="0037465A"/>
    <w:rsid w:val="00382C98"/>
    <w:rsid w:val="0038410E"/>
    <w:rsid w:val="0038533C"/>
    <w:rsid w:val="00386568"/>
    <w:rsid w:val="00390618"/>
    <w:rsid w:val="00390B57"/>
    <w:rsid w:val="003948D5"/>
    <w:rsid w:val="00396821"/>
    <w:rsid w:val="00397D3A"/>
    <w:rsid w:val="003A051E"/>
    <w:rsid w:val="003A4482"/>
    <w:rsid w:val="003B170F"/>
    <w:rsid w:val="003B3C5F"/>
    <w:rsid w:val="003C4471"/>
    <w:rsid w:val="003D0A6D"/>
    <w:rsid w:val="003E0B16"/>
    <w:rsid w:val="003E1684"/>
    <w:rsid w:val="003E1BBF"/>
    <w:rsid w:val="003E67D1"/>
    <w:rsid w:val="004012D5"/>
    <w:rsid w:val="0040267D"/>
    <w:rsid w:val="00404329"/>
    <w:rsid w:val="00405DC1"/>
    <w:rsid w:val="00415F1F"/>
    <w:rsid w:val="0042108F"/>
    <w:rsid w:val="00422938"/>
    <w:rsid w:val="00427ADE"/>
    <w:rsid w:val="00430FED"/>
    <w:rsid w:val="004325DE"/>
    <w:rsid w:val="00432C60"/>
    <w:rsid w:val="00434A8C"/>
    <w:rsid w:val="00435114"/>
    <w:rsid w:val="00437297"/>
    <w:rsid w:val="00443C49"/>
    <w:rsid w:val="00444284"/>
    <w:rsid w:val="00445CE6"/>
    <w:rsid w:val="00450393"/>
    <w:rsid w:val="004534C2"/>
    <w:rsid w:val="0045446F"/>
    <w:rsid w:val="0045683E"/>
    <w:rsid w:val="004609EF"/>
    <w:rsid w:val="00461F95"/>
    <w:rsid w:val="00463A72"/>
    <w:rsid w:val="00474C2B"/>
    <w:rsid w:val="00477C72"/>
    <w:rsid w:val="004821C4"/>
    <w:rsid w:val="00491675"/>
    <w:rsid w:val="00493855"/>
    <w:rsid w:val="004946F6"/>
    <w:rsid w:val="00495E79"/>
    <w:rsid w:val="004A2D83"/>
    <w:rsid w:val="004A563C"/>
    <w:rsid w:val="004A57DD"/>
    <w:rsid w:val="004A7B51"/>
    <w:rsid w:val="004A7D71"/>
    <w:rsid w:val="004A7EF3"/>
    <w:rsid w:val="004B11FD"/>
    <w:rsid w:val="004B23A2"/>
    <w:rsid w:val="004C7A8F"/>
    <w:rsid w:val="004D1A5A"/>
    <w:rsid w:val="004D1DDC"/>
    <w:rsid w:val="004D2FFF"/>
    <w:rsid w:val="004D3721"/>
    <w:rsid w:val="004D64F9"/>
    <w:rsid w:val="004D7A10"/>
    <w:rsid w:val="004E3A6B"/>
    <w:rsid w:val="004E3BD5"/>
    <w:rsid w:val="004E622C"/>
    <w:rsid w:val="004F5FDF"/>
    <w:rsid w:val="004F7431"/>
    <w:rsid w:val="0050024A"/>
    <w:rsid w:val="00501380"/>
    <w:rsid w:val="005038A9"/>
    <w:rsid w:val="00510EE3"/>
    <w:rsid w:val="00514BB5"/>
    <w:rsid w:val="005177FE"/>
    <w:rsid w:val="00520242"/>
    <w:rsid w:val="005202DF"/>
    <w:rsid w:val="0052263B"/>
    <w:rsid w:val="00523CA8"/>
    <w:rsid w:val="00524728"/>
    <w:rsid w:val="00524D72"/>
    <w:rsid w:val="005331CA"/>
    <w:rsid w:val="00537970"/>
    <w:rsid w:val="00540E3A"/>
    <w:rsid w:val="00544127"/>
    <w:rsid w:val="005463A9"/>
    <w:rsid w:val="00553EB2"/>
    <w:rsid w:val="00560534"/>
    <w:rsid w:val="0056391B"/>
    <w:rsid w:val="005650E2"/>
    <w:rsid w:val="00567AD7"/>
    <w:rsid w:val="00575B2D"/>
    <w:rsid w:val="005764A5"/>
    <w:rsid w:val="00577C9C"/>
    <w:rsid w:val="005833D0"/>
    <w:rsid w:val="005842C9"/>
    <w:rsid w:val="005846F3"/>
    <w:rsid w:val="0058622F"/>
    <w:rsid w:val="005925B5"/>
    <w:rsid w:val="00592F82"/>
    <w:rsid w:val="005A0CCA"/>
    <w:rsid w:val="005A1083"/>
    <w:rsid w:val="005A237B"/>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77D"/>
    <w:rsid w:val="00612CA5"/>
    <w:rsid w:val="006153EC"/>
    <w:rsid w:val="00621A17"/>
    <w:rsid w:val="0062510E"/>
    <w:rsid w:val="00627CC9"/>
    <w:rsid w:val="00627E7B"/>
    <w:rsid w:val="00630542"/>
    <w:rsid w:val="00632E44"/>
    <w:rsid w:val="0063381C"/>
    <w:rsid w:val="00634622"/>
    <w:rsid w:val="00636808"/>
    <w:rsid w:val="00641515"/>
    <w:rsid w:val="00654C2F"/>
    <w:rsid w:val="00657087"/>
    <w:rsid w:val="00657F44"/>
    <w:rsid w:val="00657F61"/>
    <w:rsid w:val="006624AB"/>
    <w:rsid w:val="006639DB"/>
    <w:rsid w:val="006657C3"/>
    <w:rsid w:val="006661EF"/>
    <w:rsid w:val="00677AEB"/>
    <w:rsid w:val="00680EF2"/>
    <w:rsid w:val="00685507"/>
    <w:rsid w:val="00687A1D"/>
    <w:rsid w:val="006925C1"/>
    <w:rsid w:val="00692F23"/>
    <w:rsid w:val="00697EA1"/>
    <w:rsid w:val="006A2646"/>
    <w:rsid w:val="006A6530"/>
    <w:rsid w:val="006B0E08"/>
    <w:rsid w:val="006B31CE"/>
    <w:rsid w:val="006B435A"/>
    <w:rsid w:val="006B4C64"/>
    <w:rsid w:val="006C30B7"/>
    <w:rsid w:val="006D282B"/>
    <w:rsid w:val="006D65FD"/>
    <w:rsid w:val="006D6BD5"/>
    <w:rsid w:val="006E0D3B"/>
    <w:rsid w:val="006E481A"/>
    <w:rsid w:val="006E5298"/>
    <w:rsid w:val="006F4A78"/>
    <w:rsid w:val="006F734A"/>
    <w:rsid w:val="00700D83"/>
    <w:rsid w:val="00704852"/>
    <w:rsid w:val="0070524B"/>
    <w:rsid w:val="007074E9"/>
    <w:rsid w:val="00711A4C"/>
    <w:rsid w:val="00713DA4"/>
    <w:rsid w:val="00714BF1"/>
    <w:rsid w:val="00721383"/>
    <w:rsid w:val="0073158B"/>
    <w:rsid w:val="007333CC"/>
    <w:rsid w:val="0073399A"/>
    <w:rsid w:val="00733A34"/>
    <w:rsid w:val="00740DAD"/>
    <w:rsid w:val="00741E85"/>
    <w:rsid w:val="00742AF3"/>
    <w:rsid w:val="0076034E"/>
    <w:rsid w:val="007603F5"/>
    <w:rsid w:val="00761EE2"/>
    <w:rsid w:val="00763348"/>
    <w:rsid w:val="00764DB0"/>
    <w:rsid w:val="00766D86"/>
    <w:rsid w:val="0076764D"/>
    <w:rsid w:val="00772B9F"/>
    <w:rsid w:val="0077498C"/>
    <w:rsid w:val="00774AD3"/>
    <w:rsid w:val="007774F9"/>
    <w:rsid w:val="007809BC"/>
    <w:rsid w:val="00784128"/>
    <w:rsid w:val="0078794A"/>
    <w:rsid w:val="00787BCC"/>
    <w:rsid w:val="00790A1D"/>
    <w:rsid w:val="00793173"/>
    <w:rsid w:val="007A2A33"/>
    <w:rsid w:val="007A5171"/>
    <w:rsid w:val="007A69B4"/>
    <w:rsid w:val="007B5B96"/>
    <w:rsid w:val="007B5C89"/>
    <w:rsid w:val="007B7656"/>
    <w:rsid w:val="007B7C12"/>
    <w:rsid w:val="007C1FCC"/>
    <w:rsid w:val="007C6201"/>
    <w:rsid w:val="007D3BC0"/>
    <w:rsid w:val="007D402E"/>
    <w:rsid w:val="007D7C92"/>
    <w:rsid w:val="007E1154"/>
    <w:rsid w:val="007E2919"/>
    <w:rsid w:val="007E46A8"/>
    <w:rsid w:val="007E6BA4"/>
    <w:rsid w:val="007E6BD0"/>
    <w:rsid w:val="007F166B"/>
    <w:rsid w:val="007F41F8"/>
    <w:rsid w:val="007F5992"/>
    <w:rsid w:val="007F659B"/>
    <w:rsid w:val="0080441E"/>
    <w:rsid w:val="0080454E"/>
    <w:rsid w:val="00804C32"/>
    <w:rsid w:val="00806302"/>
    <w:rsid w:val="00807119"/>
    <w:rsid w:val="0082483F"/>
    <w:rsid w:val="008279C0"/>
    <w:rsid w:val="00831550"/>
    <w:rsid w:val="00833439"/>
    <w:rsid w:val="00840C85"/>
    <w:rsid w:val="00844F8A"/>
    <w:rsid w:val="008605A7"/>
    <w:rsid w:val="00861DDA"/>
    <w:rsid w:val="00867701"/>
    <w:rsid w:val="00867C81"/>
    <w:rsid w:val="00867D4C"/>
    <w:rsid w:val="00871C74"/>
    <w:rsid w:val="008723F3"/>
    <w:rsid w:val="00874B3E"/>
    <w:rsid w:val="00876F56"/>
    <w:rsid w:val="00880059"/>
    <w:rsid w:val="00881325"/>
    <w:rsid w:val="00881DE6"/>
    <w:rsid w:val="008837A6"/>
    <w:rsid w:val="0089145D"/>
    <w:rsid w:val="00891690"/>
    <w:rsid w:val="008A4DF2"/>
    <w:rsid w:val="008A50C8"/>
    <w:rsid w:val="008A60CE"/>
    <w:rsid w:val="008A6CFE"/>
    <w:rsid w:val="008B5333"/>
    <w:rsid w:val="008B58D5"/>
    <w:rsid w:val="008B6223"/>
    <w:rsid w:val="008B72B8"/>
    <w:rsid w:val="008C4113"/>
    <w:rsid w:val="008C66E0"/>
    <w:rsid w:val="008D1616"/>
    <w:rsid w:val="008E3339"/>
    <w:rsid w:val="008F20FC"/>
    <w:rsid w:val="008F5FFE"/>
    <w:rsid w:val="00905A43"/>
    <w:rsid w:val="00912C79"/>
    <w:rsid w:val="00914B45"/>
    <w:rsid w:val="00921B8C"/>
    <w:rsid w:val="00924DAF"/>
    <w:rsid w:val="0092701F"/>
    <w:rsid w:val="00930EF8"/>
    <w:rsid w:val="00931D14"/>
    <w:rsid w:val="00942123"/>
    <w:rsid w:val="00951AA8"/>
    <w:rsid w:val="0095207B"/>
    <w:rsid w:val="00962045"/>
    <w:rsid w:val="00964A7B"/>
    <w:rsid w:val="009770A4"/>
    <w:rsid w:val="00980E61"/>
    <w:rsid w:val="00991428"/>
    <w:rsid w:val="009923D2"/>
    <w:rsid w:val="00992676"/>
    <w:rsid w:val="009954B2"/>
    <w:rsid w:val="00996691"/>
    <w:rsid w:val="009A3AB7"/>
    <w:rsid w:val="009A5D86"/>
    <w:rsid w:val="009A652D"/>
    <w:rsid w:val="009B0723"/>
    <w:rsid w:val="009B07AD"/>
    <w:rsid w:val="009B0883"/>
    <w:rsid w:val="009B15E2"/>
    <w:rsid w:val="009B4976"/>
    <w:rsid w:val="009C0B8E"/>
    <w:rsid w:val="009C1BC8"/>
    <w:rsid w:val="009C2442"/>
    <w:rsid w:val="009C5DEB"/>
    <w:rsid w:val="009D0811"/>
    <w:rsid w:val="009D0EE1"/>
    <w:rsid w:val="009D3AF0"/>
    <w:rsid w:val="009D5B66"/>
    <w:rsid w:val="009E0442"/>
    <w:rsid w:val="009E2AEB"/>
    <w:rsid w:val="009E2E27"/>
    <w:rsid w:val="009E45DF"/>
    <w:rsid w:val="009E4DE3"/>
    <w:rsid w:val="009F275E"/>
    <w:rsid w:val="00A009C8"/>
    <w:rsid w:val="00A047EE"/>
    <w:rsid w:val="00A14496"/>
    <w:rsid w:val="00A2274A"/>
    <w:rsid w:val="00A235B7"/>
    <w:rsid w:val="00A249FD"/>
    <w:rsid w:val="00A27A7A"/>
    <w:rsid w:val="00A31A6A"/>
    <w:rsid w:val="00A34ABE"/>
    <w:rsid w:val="00A407EF"/>
    <w:rsid w:val="00A46B4C"/>
    <w:rsid w:val="00A5117B"/>
    <w:rsid w:val="00A56D34"/>
    <w:rsid w:val="00A60074"/>
    <w:rsid w:val="00A6627C"/>
    <w:rsid w:val="00A71019"/>
    <w:rsid w:val="00A81029"/>
    <w:rsid w:val="00A84235"/>
    <w:rsid w:val="00A845F5"/>
    <w:rsid w:val="00A96489"/>
    <w:rsid w:val="00AA2435"/>
    <w:rsid w:val="00AB1568"/>
    <w:rsid w:val="00AB1A3C"/>
    <w:rsid w:val="00AB2425"/>
    <w:rsid w:val="00AB484E"/>
    <w:rsid w:val="00AB685C"/>
    <w:rsid w:val="00AB6C2D"/>
    <w:rsid w:val="00AC08F7"/>
    <w:rsid w:val="00AC317D"/>
    <w:rsid w:val="00AC3839"/>
    <w:rsid w:val="00AC7082"/>
    <w:rsid w:val="00AD4BE8"/>
    <w:rsid w:val="00AE21EA"/>
    <w:rsid w:val="00AE5B6F"/>
    <w:rsid w:val="00AF228E"/>
    <w:rsid w:val="00B016A8"/>
    <w:rsid w:val="00B04033"/>
    <w:rsid w:val="00B14819"/>
    <w:rsid w:val="00B15E2F"/>
    <w:rsid w:val="00B17AA9"/>
    <w:rsid w:val="00B2346D"/>
    <w:rsid w:val="00B44713"/>
    <w:rsid w:val="00B455E5"/>
    <w:rsid w:val="00B51B95"/>
    <w:rsid w:val="00B56103"/>
    <w:rsid w:val="00B64929"/>
    <w:rsid w:val="00B666AC"/>
    <w:rsid w:val="00B736DF"/>
    <w:rsid w:val="00B743D6"/>
    <w:rsid w:val="00B74FBD"/>
    <w:rsid w:val="00B77F46"/>
    <w:rsid w:val="00B8129B"/>
    <w:rsid w:val="00B82586"/>
    <w:rsid w:val="00B829A3"/>
    <w:rsid w:val="00B86DB1"/>
    <w:rsid w:val="00B87869"/>
    <w:rsid w:val="00B9639B"/>
    <w:rsid w:val="00BA1CFD"/>
    <w:rsid w:val="00BB0F2B"/>
    <w:rsid w:val="00BC231B"/>
    <w:rsid w:val="00BD17F9"/>
    <w:rsid w:val="00BE1468"/>
    <w:rsid w:val="00BE4A69"/>
    <w:rsid w:val="00BE4FF3"/>
    <w:rsid w:val="00BF2C93"/>
    <w:rsid w:val="00BF3C3A"/>
    <w:rsid w:val="00BF492E"/>
    <w:rsid w:val="00BF50F7"/>
    <w:rsid w:val="00BF6641"/>
    <w:rsid w:val="00C02F29"/>
    <w:rsid w:val="00C030F9"/>
    <w:rsid w:val="00C17718"/>
    <w:rsid w:val="00C20AFE"/>
    <w:rsid w:val="00C22A25"/>
    <w:rsid w:val="00C305F5"/>
    <w:rsid w:val="00C35671"/>
    <w:rsid w:val="00C35B77"/>
    <w:rsid w:val="00C37366"/>
    <w:rsid w:val="00C376EB"/>
    <w:rsid w:val="00C43DA2"/>
    <w:rsid w:val="00C46A92"/>
    <w:rsid w:val="00C46EC1"/>
    <w:rsid w:val="00C52796"/>
    <w:rsid w:val="00C53E2C"/>
    <w:rsid w:val="00C550C8"/>
    <w:rsid w:val="00C55824"/>
    <w:rsid w:val="00C56B61"/>
    <w:rsid w:val="00C606C3"/>
    <w:rsid w:val="00C620F4"/>
    <w:rsid w:val="00C6594C"/>
    <w:rsid w:val="00C72848"/>
    <w:rsid w:val="00C7736C"/>
    <w:rsid w:val="00C82D87"/>
    <w:rsid w:val="00C8712A"/>
    <w:rsid w:val="00C902C8"/>
    <w:rsid w:val="00C91062"/>
    <w:rsid w:val="00C919D1"/>
    <w:rsid w:val="00C93315"/>
    <w:rsid w:val="00C963D3"/>
    <w:rsid w:val="00CB09F0"/>
    <w:rsid w:val="00CB111E"/>
    <w:rsid w:val="00CB1983"/>
    <w:rsid w:val="00CB2CBB"/>
    <w:rsid w:val="00CB7CAC"/>
    <w:rsid w:val="00CC5335"/>
    <w:rsid w:val="00CC5BA4"/>
    <w:rsid w:val="00CD4998"/>
    <w:rsid w:val="00CD6BA1"/>
    <w:rsid w:val="00CE1035"/>
    <w:rsid w:val="00CE6E50"/>
    <w:rsid w:val="00CF2819"/>
    <w:rsid w:val="00CF3708"/>
    <w:rsid w:val="00CF4F9D"/>
    <w:rsid w:val="00CF70DC"/>
    <w:rsid w:val="00D01697"/>
    <w:rsid w:val="00D12330"/>
    <w:rsid w:val="00D148DC"/>
    <w:rsid w:val="00D16C1B"/>
    <w:rsid w:val="00D17FDC"/>
    <w:rsid w:val="00D21D8C"/>
    <w:rsid w:val="00D53719"/>
    <w:rsid w:val="00D5704D"/>
    <w:rsid w:val="00D63EFD"/>
    <w:rsid w:val="00D84752"/>
    <w:rsid w:val="00D86B3B"/>
    <w:rsid w:val="00D8748A"/>
    <w:rsid w:val="00D87680"/>
    <w:rsid w:val="00D913FD"/>
    <w:rsid w:val="00D93196"/>
    <w:rsid w:val="00DA0DC0"/>
    <w:rsid w:val="00DA1FF3"/>
    <w:rsid w:val="00DA34E1"/>
    <w:rsid w:val="00DB243C"/>
    <w:rsid w:val="00DB482A"/>
    <w:rsid w:val="00DB50FB"/>
    <w:rsid w:val="00DB56F2"/>
    <w:rsid w:val="00DB6EF5"/>
    <w:rsid w:val="00DC2EFE"/>
    <w:rsid w:val="00DC3089"/>
    <w:rsid w:val="00DC4420"/>
    <w:rsid w:val="00DD0802"/>
    <w:rsid w:val="00DD2E11"/>
    <w:rsid w:val="00DE03AF"/>
    <w:rsid w:val="00DE121C"/>
    <w:rsid w:val="00DE6633"/>
    <w:rsid w:val="00DF75F8"/>
    <w:rsid w:val="00DF7A3A"/>
    <w:rsid w:val="00E009B4"/>
    <w:rsid w:val="00E00C00"/>
    <w:rsid w:val="00E011BB"/>
    <w:rsid w:val="00E07C5A"/>
    <w:rsid w:val="00E14B90"/>
    <w:rsid w:val="00E15BA9"/>
    <w:rsid w:val="00E26E19"/>
    <w:rsid w:val="00E31DF3"/>
    <w:rsid w:val="00E4061E"/>
    <w:rsid w:val="00E443D7"/>
    <w:rsid w:val="00E450A4"/>
    <w:rsid w:val="00E506BE"/>
    <w:rsid w:val="00E51AF2"/>
    <w:rsid w:val="00E51B77"/>
    <w:rsid w:val="00E55547"/>
    <w:rsid w:val="00E56312"/>
    <w:rsid w:val="00E61DD3"/>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1183"/>
    <w:rsid w:val="00EC441F"/>
    <w:rsid w:val="00EC4755"/>
    <w:rsid w:val="00ED0BC4"/>
    <w:rsid w:val="00ED447D"/>
    <w:rsid w:val="00ED50FB"/>
    <w:rsid w:val="00EE4971"/>
    <w:rsid w:val="00EE6CB0"/>
    <w:rsid w:val="00EF090E"/>
    <w:rsid w:val="00EF4E4F"/>
    <w:rsid w:val="00EF5572"/>
    <w:rsid w:val="00F01D7D"/>
    <w:rsid w:val="00F033DA"/>
    <w:rsid w:val="00F11B44"/>
    <w:rsid w:val="00F13691"/>
    <w:rsid w:val="00F13FB1"/>
    <w:rsid w:val="00F14CF2"/>
    <w:rsid w:val="00F17F23"/>
    <w:rsid w:val="00F253A6"/>
    <w:rsid w:val="00F27CD8"/>
    <w:rsid w:val="00F30351"/>
    <w:rsid w:val="00F3323E"/>
    <w:rsid w:val="00F341F4"/>
    <w:rsid w:val="00F34F9D"/>
    <w:rsid w:val="00F35CCE"/>
    <w:rsid w:val="00F41146"/>
    <w:rsid w:val="00F422E3"/>
    <w:rsid w:val="00F5524B"/>
    <w:rsid w:val="00F60538"/>
    <w:rsid w:val="00F61DD2"/>
    <w:rsid w:val="00F62E7A"/>
    <w:rsid w:val="00F663C9"/>
    <w:rsid w:val="00F66AFF"/>
    <w:rsid w:val="00F70126"/>
    <w:rsid w:val="00F71433"/>
    <w:rsid w:val="00F726AB"/>
    <w:rsid w:val="00F7427A"/>
    <w:rsid w:val="00F85EBD"/>
    <w:rsid w:val="00F87B04"/>
    <w:rsid w:val="00F87D55"/>
    <w:rsid w:val="00F97C5B"/>
    <w:rsid w:val="00FA12B9"/>
    <w:rsid w:val="00FA3D50"/>
    <w:rsid w:val="00FA417D"/>
    <w:rsid w:val="00FA4608"/>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3DE"/>
    <w:rsid w:val="00FF296F"/>
    <w:rsid w:val="00FF304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4028">
      <w:bodyDiv w:val="1"/>
      <w:marLeft w:val="0"/>
      <w:marRight w:val="0"/>
      <w:marTop w:val="0"/>
      <w:marBottom w:val="0"/>
      <w:divBdr>
        <w:top w:val="none" w:sz="0" w:space="0" w:color="auto"/>
        <w:left w:val="none" w:sz="0" w:space="0" w:color="auto"/>
        <w:bottom w:val="none" w:sz="0" w:space="0" w:color="auto"/>
        <w:right w:val="none" w:sz="0" w:space="0" w:color="auto"/>
      </w:divBdr>
      <w:divsChild>
        <w:div w:id="1614359068">
          <w:marLeft w:val="0"/>
          <w:marRight w:val="0"/>
          <w:marTop w:val="0"/>
          <w:marBottom w:val="0"/>
          <w:divBdr>
            <w:top w:val="none" w:sz="0" w:space="0" w:color="auto"/>
            <w:left w:val="none" w:sz="0" w:space="0" w:color="auto"/>
            <w:bottom w:val="none" w:sz="0" w:space="0" w:color="auto"/>
            <w:right w:val="none" w:sz="0" w:space="0" w:color="auto"/>
          </w:divBdr>
          <w:divsChild>
            <w:div w:id="1451779448">
              <w:marLeft w:val="0"/>
              <w:marRight w:val="0"/>
              <w:marTop w:val="0"/>
              <w:marBottom w:val="0"/>
              <w:divBdr>
                <w:top w:val="none" w:sz="0" w:space="0" w:color="auto"/>
                <w:left w:val="none" w:sz="0" w:space="0" w:color="auto"/>
                <w:bottom w:val="none" w:sz="0" w:space="0" w:color="auto"/>
                <w:right w:val="none" w:sz="0" w:space="0" w:color="auto"/>
              </w:divBdr>
              <w:divsChild>
                <w:div w:id="7702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003">
          <w:marLeft w:val="0"/>
          <w:marRight w:val="0"/>
          <w:marTop w:val="0"/>
          <w:marBottom w:val="0"/>
          <w:divBdr>
            <w:top w:val="none" w:sz="0" w:space="0" w:color="auto"/>
            <w:left w:val="none" w:sz="0" w:space="0" w:color="auto"/>
            <w:bottom w:val="none" w:sz="0" w:space="0" w:color="auto"/>
            <w:right w:val="none" w:sz="0" w:space="0" w:color="auto"/>
          </w:divBdr>
          <w:divsChild>
            <w:div w:id="75782601">
              <w:marLeft w:val="0"/>
              <w:marRight w:val="0"/>
              <w:marTop w:val="0"/>
              <w:marBottom w:val="0"/>
              <w:divBdr>
                <w:top w:val="none" w:sz="0" w:space="0" w:color="auto"/>
                <w:left w:val="none" w:sz="0" w:space="0" w:color="auto"/>
                <w:bottom w:val="none" w:sz="0" w:space="0" w:color="auto"/>
                <w:right w:val="none" w:sz="0" w:space="0" w:color="auto"/>
              </w:divBdr>
              <w:divsChild>
                <w:div w:id="2090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6122">
      <w:bodyDiv w:val="1"/>
      <w:marLeft w:val="0"/>
      <w:marRight w:val="0"/>
      <w:marTop w:val="0"/>
      <w:marBottom w:val="0"/>
      <w:divBdr>
        <w:top w:val="none" w:sz="0" w:space="0" w:color="auto"/>
        <w:left w:val="none" w:sz="0" w:space="0" w:color="auto"/>
        <w:bottom w:val="none" w:sz="0" w:space="0" w:color="auto"/>
        <w:right w:val="none" w:sz="0" w:space="0" w:color="auto"/>
      </w:divBdr>
    </w:div>
    <w:div w:id="26963325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4097174">
      <w:bodyDiv w:val="1"/>
      <w:marLeft w:val="0"/>
      <w:marRight w:val="0"/>
      <w:marTop w:val="0"/>
      <w:marBottom w:val="0"/>
      <w:divBdr>
        <w:top w:val="none" w:sz="0" w:space="0" w:color="auto"/>
        <w:left w:val="none" w:sz="0" w:space="0" w:color="auto"/>
        <w:bottom w:val="none" w:sz="0" w:space="0" w:color="auto"/>
        <w:right w:val="none" w:sz="0" w:space="0" w:color="auto"/>
      </w:divBdr>
      <w:divsChild>
        <w:div w:id="2109886204">
          <w:marLeft w:val="0"/>
          <w:marRight w:val="0"/>
          <w:marTop w:val="0"/>
          <w:marBottom w:val="0"/>
          <w:divBdr>
            <w:top w:val="none" w:sz="0" w:space="0" w:color="auto"/>
            <w:left w:val="none" w:sz="0" w:space="0" w:color="auto"/>
            <w:bottom w:val="none" w:sz="0" w:space="0" w:color="auto"/>
            <w:right w:val="none" w:sz="0" w:space="0" w:color="auto"/>
          </w:divBdr>
        </w:div>
        <w:div w:id="1106123327">
          <w:marLeft w:val="0"/>
          <w:marRight w:val="0"/>
          <w:marTop w:val="0"/>
          <w:marBottom w:val="0"/>
          <w:divBdr>
            <w:top w:val="none" w:sz="0" w:space="0" w:color="auto"/>
            <w:left w:val="none" w:sz="0" w:space="0" w:color="auto"/>
            <w:bottom w:val="none" w:sz="0" w:space="0" w:color="auto"/>
            <w:right w:val="none" w:sz="0" w:space="0" w:color="auto"/>
          </w:divBdr>
        </w:div>
        <w:div w:id="2134248575">
          <w:marLeft w:val="0"/>
          <w:marRight w:val="0"/>
          <w:marTop w:val="0"/>
          <w:marBottom w:val="0"/>
          <w:divBdr>
            <w:top w:val="none" w:sz="0" w:space="0" w:color="auto"/>
            <w:left w:val="none" w:sz="0" w:space="0" w:color="auto"/>
            <w:bottom w:val="none" w:sz="0" w:space="0" w:color="auto"/>
            <w:right w:val="none" w:sz="0" w:space="0" w:color="auto"/>
          </w:divBdr>
        </w:div>
        <w:div w:id="2115517349">
          <w:marLeft w:val="0"/>
          <w:marRight w:val="0"/>
          <w:marTop w:val="0"/>
          <w:marBottom w:val="0"/>
          <w:divBdr>
            <w:top w:val="none" w:sz="0" w:space="0" w:color="auto"/>
            <w:left w:val="none" w:sz="0" w:space="0" w:color="auto"/>
            <w:bottom w:val="none" w:sz="0" w:space="0" w:color="auto"/>
            <w:right w:val="none" w:sz="0" w:space="0" w:color="auto"/>
          </w:divBdr>
        </w:div>
        <w:div w:id="1094207894">
          <w:marLeft w:val="0"/>
          <w:marRight w:val="0"/>
          <w:marTop w:val="0"/>
          <w:marBottom w:val="0"/>
          <w:divBdr>
            <w:top w:val="none" w:sz="0" w:space="0" w:color="auto"/>
            <w:left w:val="none" w:sz="0" w:space="0" w:color="auto"/>
            <w:bottom w:val="none" w:sz="0" w:space="0" w:color="auto"/>
            <w:right w:val="none" w:sz="0" w:space="0" w:color="auto"/>
          </w:divBdr>
        </w:div>
        <w:div w:id="790438969">
          <w:marLeft w:val="0"/>
          <w:marRight w:val="0"/>
          <w:marTop w:val="0"/>
          <w:marBottom w:val="0"/>
          <w:divBdr>
            <w:top w:val="none" w:sz="0" w:space="0" w:color="auto"/>
            <w:left w:val="none" w:sz="0" w:space="0" w:color="auto"/>
            <w:bottom w:val="none" w:sz="0" w:space="0" w:color="auto"/>
            <w:right w:val="none" w:sz="0" w:space="0" w:color="auto"/>
          </w:divBdr>
        </w:div>
        <w:div w:id="607464705">
          <w:marLeft w:val="0"/>
          <w:marRight w:val="0"/>
          <w:marTop w:val="0"/>
          <w:marBottom w:val="0"/>
          <w:divBdr>
            <w:top w:val="none" w:sz="0" w:space="0" w:color="auto"/>
            <w:left w:val="none" w:sz="0" w:space="0" w:color="auto"/>
            <w:bottom w:val="none" w:sz="0" w:space="0" w:color="auto"/>
            <w:right w:val="none" w:sz="0" w:space="0" w:color="auto"/>
          </w:divBdr>
        </w:div>
        <w:div w:id="29839243">
          <w:marLeft w:val="0"/>
          <w:marRight w:val="0"/>
          <w:marTop w:val="0"/>
          <w:marBottom w:val="0"/>
          <w:divBdr>
            <w:top w:val="none" w:sz="0" w:space="0" w:color="auto"/>
            <w:left w:val="none" w:sz="0" w:space="0" w:color="auto"/>
            <w:bottom w:val="none" w:sz="0" w:space="0" w:color="auto"/>
            <w:right w:val="none" w:sz="0" w:space="0" w:color="auto"/>
          </w:divBdr>
        </w:div>
        <w:div w:id="567615247">
          <w:marLeft w:val="0"/>
          <w:marRight w:val="0"/>
          <w:marTop w:val="0"/>
          <w:marBottom w:val="0"/>
          <w:divBdr>
            <w:top w:val="none" w:sz="0" w:space="0" w:color="auto"/>
            <w:left w:val="none" w:sz="0" w:space="0" w:color="auto"/>
            <w:bottom w:val="none" w:sz="0" w:space="0" w:color="auto"/>
            <w:right w:val="none" w:sz="0" w:space="0" w:color="auto"/>
          </w:divBdr>
        </w:div>
        <w:div w:id="377050727">
          <w:marLeft w:val="0"/>
          <w:marRight w:val="0"/>
          <w:marTop w:val="0"/>
          <w:marBottom w:val="0"/>
          <w:divBdr>
            <w:top w:val="none" w:sz="0" w:space="0" w:color="auto"/>
            <w:left w:val="none" w:sz="0" w:space="0" w:color="auto"/>
            <w:bottom w:val="none" w:sz="0" w:space="0" w:color="auto"/>
            <w:right w:val="none" w:sz="0" w:space="0" w:color="auto"/>
          </w:divBdr>
        </w:div>
        <w:div w:id="1100565667">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7759980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purl.org/dc/elements/1.1/"/>
    <ds:schemaRef ds:uri="http://purl.org/dc/dcmitype/"/>
    <ds:schemaRef ds:uri="aa83e3e4-888c-4ce0-bc3e-c79df2587106"/>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ee216d15-0d94-4154-823d-f705f9e225b9"/>
    <ds:schemaRef ds:uri="http://www.w3.org/XML/1998/namespace"/>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A64FE112-5B1E-48C3-9134-BEC84361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5098</Words>
  <Characters>25043</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Sellick</cp:lastModifiedBy>
  <cp:revision>2</cp:revision>
  <cp:lastPrinted>2024-02-27T13:48:00Z</cp:lastPrinted>
  <dcterms:created xsi:type="dcterms:W3CDTF">2024-02-29T15:11:00Z</dcterms:created>
  <dcterms:modified xsi:type="dcterms:W3CDTF">2024-02-29T15:11:00Z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