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FFDA6F1" w:rsidR="004B23A2" w:rsidRDefault="00D57202"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E581B">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B263D0" w:rsidRDefault="00B263D0" w:rsidP="007E581B">
      <w:pPr>
        <w:pStyle w:val="ListParagraph"/>
        <w:numPr>
          <w:ilvl w:val="0"/>
          <w:numId w:val="1"/>
        </w:numPr>
        <w:ind w:left="426" w:hanging="426"/>
        <w:jc w:val="both"/>
        <w:rPr>
          <w:rFonts w:ascii="Avenir Next" w:hAnsi="Avenir Next" w:cs="Arial"/>
          <w:sz w:val="22"/>
          <w:szCs w:val="22"/>
          <w:lang w:val="en-GB"/>
        </w:rPr>
      </w:pPr>
      <w:r w:rsidRPr="009877C1">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E581B">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E581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7E581B">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E581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E581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E581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E581B">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7E581B">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E581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E581B">
      <w:pPr>
        <w:pStyle w:val="ListParagraph"/>
        <w:numPr>
          <w:ilvl w:val="0"/>
          <w:numId w:val="10"/>
        </w:numPr>
        <w:ind w:left="426" w:hanging="426"/>
        <w:jc w:val="both"/>
        <w:rPr>
          <w:rFonts w:ascii="Avenir Next" w:hAnsi="Avenir Next" w:cs="Arial"/>
          <w:sz w:val="22"/>
          <w:szCs w:val="22"/>
          <w:lang w:val="en-GB"/>
        </w:rPr>
      </w:pPr>
      <w:r w:rsidRPr="00F515AC">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7E581B">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E581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7E581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E581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E581B">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E581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7E581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7E581B">
      <w:pPr>
        <w:pStyle w:val="ListParagraph"/>
        <w:numPr>
          <w:ilvl w:val="0"/>
          <w:numId w:val="2"/>
        </w:numPr>
        <w:ind w:left="426" w:hanging="426"/>
        <w:jc w:val="both"/>
        <w:rPr>
          <w:rFonts w:ascii="Avenir Next" w:hAnsi="Avenir Next" w:cs="Arial"/>
          <w:sz w:val="22"/>
          <w:szCs w:val="22"/>
          <w:lang w:val="en-GB"/>
        </w:rPr>
      </w:pPr>
      <w:r w:rsidRPr="009C1DA7">
        <w:rPr>
          <w:rFonts w:ascii="Avenir Next" w:hAnsi="Avenir Next" w:cs="Arial"/>
          <w:sz w:val="22"/>
          <w:szCs w:val="22"/>
          <w:highlight w:val="yellow"/>
          <w:lang w:val="en-GB"/>
        </w:rPr>
        <w:t>Options (</w:t>
      </w:r>
      <w:proofErr w:type="spellStart"/>
      <w:r w:rsidRPr="009C1DA7">
        <w:rPr>
          <w:rFonts w:ascii="Avenir Next" w:hAnsi="Avenir Next" w:cs="Arial"/>
          <w:sz w:val="22"/>
          <w:szCs w:val="22"/>
          <w:highlight w:val="yellow"/>
          <w:lang w:val="en-GB"/>
        </w:rPr>
        <w:t>i</w:t>
      </w:r>
      <w:proofErr w:type="spellEnd"/>
      <w:r w:rsidRPr="009C1DA7">
        <w:rPr>
          <w:rFonts w:ascii="Avenir Next" w:hAnsi="Avenir Next" w:cs="Arial"/>
          <w:sz w:val="22"/>
          <w:szCs w:val="22"/>
          <w:highlight w:val="yellow"/>
          <w:lang w:val="en-GB"/>
        </w:rPr>
        <w:t>),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7E581B">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E581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7E581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E581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E581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E581B">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7E581B">
      <w:pPr>
        <w:pStyle w:val="ListParagraph"/>
        <w:numPr>
          <w:ilvl w:val="0"/>
          <w:numId w:val="3"/>
        </w:numPr>
        <w:ind w:left="426" w:hanging="426"/>
        <w:jc w:val="both"/>
        <w:rPr>
          <w:rFonts w:ascii="Avenir Next" w:hAnsi="Avenir Next" w:cs="Arial"/>
          <w:sz w:val="22"/>
          <w:szCs w:val="22"/>
          <w:lang w:val="en-GB"/>
        </w:rPr>
      </w:pPr>
      <w:r w:rsidRPr="00D474F0">
        <w:rPr>
          <w:rFonts w:ascii="Avenir Next" w:hAnsi="Avenir Next" w:cs="Arial"/>
          <w:sz w:val="22"/>
          <w:szCs w:val="22"/>
          <w:highlight w:val="yellow"/>
          <w:lang w:val="en-GB"/>
        </w:rPr>
        <w:t>Options (</w:t>
      </w:r>
      <w:proofErr w:type="spellStart"/>
      <w:r w:rsidRPr="00D474F0">
        <w:rPr>
          <w:rFonts w:ascii="Avenir Next" w:hAnsi="Avenir Next" w:cs="Arial"/>
          <w:sz w:val="22"/>
          <w:szCs w:val="22"/>
          <w:highlight w:val="yellow"/>
          <w:lang w:val="en-GB"/>
        </w:rPr>
        <w:t>i</w:t>
      </w:r>
      <w:proofErr w:type="spellEnd"/>
      <w:r w:rsidRPr="00D474F0">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E581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E581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7E581B">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7E581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7E581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7E581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7E581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7E581B">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7E581B">
      <w:pPr>
        <w:pStyle w:val="ListParagraph"/>
        <w:numPr>
          <w:ilvl w:val="0"/>
          <w:numId w:val="4"/>
        </w:numPr>
        <w:ind w:left="426" w:hanging="426"/>
        <w:jc w:val="both"/>
        <w:rPr>
          <w:rFonts w:ascii="Avenir Next" w:hAnsi="Avenir Next" w:cs="Arial"/>
          <w:sz w:val="22"/>
          <w:szCs w:val="22"/>
          <w:lang w:val="en-GB"/>
        </w:rPr>
      </w:pPr>
      <w:r w:rsidRPr="00E92C83">
        <w:rPr>
          <w:rFonts w:ascii="Avenir Next" w:hAnsi="Avenir Next" w:cs="Arial"/>
          <w:sz w:val="22"/>
          <w:szCs w:val="22"/>
          <w:highlight w:val="yellow"/>
          <w:lang w:val="en-GB"/>
        </w:rPr>
        <w:t>Options (</w:t>
      </w:r>
      <w:proofErr w:type="spellStart"/>
      <w:r w:rsidRPr="00E92C83">
        <w:rPr>
          <w:rFonts w:ascii="Avenir Next" w:hAnsi="Avenir Next" w:cs="Arial"/>
          <w:sz w:val="22"/>
          <w:szCs w:val="22"/>
          <w:highlight w:val="yellow"/>
          <w:lang w:val="en-GB"/>
        </w:rPr>
        <w:t>i</w:t>
      </w:r>
      <w:proofErr w:type="spellEnd"/>
      <w:r w:rsidRPr="00E92C83">
        <w:rPr>
          <w:rFonts w:ascii="Avenir Next" w:hAnsi="Avenir Next" w:cs="Arial"/>
          <w:sz w:val="22"/>
          <w:szCs w:val="22"/>
          <w:highlight w:val="yellow"/>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E581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7E581B">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7E581B">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7E581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7E581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7E581B">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7E581B">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7E581B">
      <w:pPr>
        <w:pStyle w:val="ListParagraph"/>
        <w:numPr>
          <w:ilvl w:val="0"/>
          <w:numId w:val="5"/>
        </w:numPr>
        <w:ind w:left="426" w:hanging="426"/>
        <w:jc w:val="both"/>
        <w:rPr>
          <w:rFonts w:ascii="Avenir Next" w:hAnsi="Avenir Next" w:cs="Arial"/>
          <w:sz w:val="22"/>
          <w:szCs w:val="22"/>
          <w:lang w:val="en-GB"/>
        </w:rPr>
      </w:pPr>
      <w:r w:rsidRPr="000F69D5">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E581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7E581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E581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E581B">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E581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7E581B">
      <w:pPr>
        <w:pStyle w:val="ListParagraph"/>
        <w:numPr>
          <w:ilvl w:val="0"/>
          <w:numId w:val="6"/>
        </w:numPr>
        <w:ind w:left="426" w:hanging="426"/>
        <w:jc w:val="both"/>
        <w:rPr>
          <w:rFonts w:ascii="Avenir Next" w:hAnsi="Avenir Next" w:cs="Arial"/>
          <w:sz w:val="22"/>
          <w:szCs w:val="22"/>
          <w:lang w:val="en-GB"/>
        </w:rPr>
      </w:pPr>
      <w:r w:rsidRPr="001479BF">
        <w:rPr>
          <w:rFonts w:ascii="Avenir Next" w:hAnsi="Avenir Next" w:cs="Arial"/>
          <w:sz w:val="22"/>
          <w:szCs w:val="22"/>
          <w:highlight w:val="yellow"/>
          <w:lang w:val="en-GB"/>
        </w:rPr>
        <w:t>Options (</w:t>
      </w:r>
      <w:proofErr w:type="spellStart"/>
      <w:r w:rsidRPr="001479BF">
        <w:rPr>
          <w:rFonts w:ascii="Avenir Next" w:hAnsi="Avenir Next" w:cs="Arial"/>
          <w:sz w:val="22"/>
          <w:szCs w:val="22"/>
          <w:highlight w:val="yellow"/>
          <w:lang w:val="en-GB"/>
        </w:rPr>
        <w:t>i</w:t>
      </w:r>
      <w:proofErr w:type="spellEnd"/>
      <w:r w:rsidRPr="001479BF">
        <w:rPr>
          <w:rFonts w:ascii="Avenir Next" w:hAnsi="Avenir Next" w:cs="Arial"/>
          <w:sz w:val="22"/>
          <w:szCs w:val="22"/>
          <w:highlight w:val="yellow"/>
          <w:lang w:val="en-GB"/>
        </w:rPr>
        <w:t>), (ii) and (iv)</w:t>
      </w:r>
      <w:r w:rsidRPr="00F51EE5">
        <w:rPr>
          <w:rFonts w:ascii="Avenir Next" w:hAnsi="Avenir Next" w:cs="Arial"/>
          <w:sz w:val="22"/>
          <w:szCs w:val="22"/>
          <w:lang w:val="en-GB"/>
        </w:rPr>
        <w:t>.</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E581B">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7E581B">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E581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E581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E581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7E581B">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7E581B">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7E581B">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7E581B">
      <w:pPr>
        <w:pStyle w:val="ListParagraph"/>
        <w:numPr>
          <w:ilvl w:val="0"/>
          <w:numId w:val="7"/>
        </w:numPr>
        <w:ind w:left="426" w:hanging="426"/>
        <w:jc w:val="both"/>
        <w:rPr>
          <w:rFonts w:ascii="Avenir Next" w:hAnsi="Avenir Next" w:cs="Arial"/>
          <w:sz w:val="22"/>
          <w:szCs w:val="22"/>
          <w:lang w:val="en-GB"/>
        </w:rPr>
      </w:pPr>
      <w:r w:rsidRPr="00657CD8">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7E581B">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E581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7E581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E581B">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E581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E581B">
      <w:pPr>
        <w:pStyle w:val="ListParagraph"/>
        <w:numPr>
          <w:ilvl w:val="0"/>
          <w:numId w:val="8"/>
        </w:numPr>
        <w:ind w:left="426" w:hanging="426"/>
        <w:jc w:val="both"/>
        <w:rPr>
          <w:rFonts w:ascii="Avenir Next" w:hAnsi="Avenir Next" w:cs="Arial"/>
          <w:sz w:val="22"/>
          <w:szCs w:val="22"/>
          <w:lang w:val="en-GB"/>
        </w:rPr>
      </w:pPr>
      <w:r w:rsidRPr="00E11011">
        <w:rPr>
          <w:rFonts w:ascii="Avenir Next" w:hAnsi="Avenir Next" w:cs="Arial"/>
          <w:sz w:val="22"/>
          <w:szCs w:val="22"/>
          <w:lang w:val="en-GB"/>
        </w:rPr>
        <w:t>Options (</w:t>
      </w:r>
      <w:proofErr w:type="spellStart"/>
      <w:r w:rsidRPr="00E11011">
        <w:rPr>
          <w:rFonts w:ascii="Avenir Next" w:hAnsi="Avenir Next" w:cs="Arial"/>
          <w:sz w:val="22"/>
          <w:szCs w:val="22"/>
          <w:lang w:val="en-GB"/>
        </w:rPr>
        <w:t>i</w:t>
      </w:r>
      <w:proofErr w:type="spellEnd"/>
      <w:r w:rsidRPr="00E11011">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7E581B">
      <w:pPr>
        <w:pStyle w:val="ListParagraph"/>
        <w:numPr>
          <w:ilvl w:val="0"/>
          <w:numId w:val="8"/>
        </w:numPr>
        <w:ind w:left="426" w:hanging="426"/>
        <w:jc w:val="both"/>
        <w:rPr>
          <w:rFonts w:ascii="Avenir Next" w:hAnsi="Avenir Next" w:cs="Arial"/>
          <w:sz w:val="22"/>
          <w:szCs w:val="22"/>
          <w:lang w:val="en-GB"/>
        </w:rPr>
      </w:pPr>
      <w:r w:rsidRPr="00E11011">
        <w:rPr>
          <w:rFonts w:ascii="Avenir Next" w:hAnsi="Avenir Next" w:cs="Arial"/>
          <w:sz w:val="22"/>
          <w:szCs w:val="22"/>
          <w:highlight w:val="yellow"/>
          <w:lang w:val="en-GB"/>
        </w:rPr>
        <w:t>Options (iii), (</w:t>
      </w:r>
      <w:proofErr w:type="spellStart"/>
      <w:r w:rsidRPr="00E11011">
        <w:rPr>
          <w:rFonts w:ascii="Avenir Next" w:hAnsi="Avenir Next" w:cs="Arial"/>
          <w:sz w:val="22"/>
          <w:szCs w:val="22"/>
          <w:highlight w:val="yellow"/>
          <w:lang w:val="en-GB"/>
        </w:rPr>
        <w:t>i</w:t>
      </w:r>
      <w:proofErr w:type="spellEnd"/>
      <w:r w:rsidRPr="00E11011">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E581B">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7E581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7E581B">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E581B">
      <w:pPr>
        <w:pStyle w:val="ListParagraph"/>
        <w:numPr>
          <w:ilvl w:val="0"/>
          <w:numId w:val="9"/>
        </w:numPr>
        <w:ind w:left="426" w:hanging="426"/>
        <w:jc w:val="both"/>
        <w:rPr>
          <w:rFonts w:ascii="Avenir Next" w:hAnsi="Avenir Next" w:cs="Arial"/>
          <w:sz w:val="22"/>
          <w:szCs w:val="22"/>
          <w:lang w:val="en-GB"/>
        </w:rPr>
      </w:pPr>
      <w:r w:rsidRPr="00720E09">
        <w:rPr>
          <w:rFonts w:ascii="Avenir Next" w:hAnsi="Avenir Next" w:cs="Arial"/>
          <w:sz w:val="22"/>
          <w:szCs w:val="22"/>
          <w:lang w:val="en-GB"/>
        </w:rPr>
        <w:t>The recognition of a foreign main proceeding is an absolute proof that the debtor is insolvent.</w:t>
      </w:r>
      <w:r w:rsidRPr="00387EA9">
        <w:rPr>
          <w:rFonts w:ascii="Avenir Next" w:hAnsi="Avenir Next" w:cs="Arial"/>
          <w:sz w:val="22"/>
          <w:szCs w:val="22"/>
          <w:lang w:val="en-GB"/>
        </w:rPr>
        <w:t xml:space="preserve">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7E581B">
      <w:pPr>
        <w:pStyle w:val="ListParagraph"/>
        <w:numPr>
          <w:ilvl w:val="0"/>
          <w:numId w:val="9"/>
        </w:numPr>
        <w:ind w:left="426" w:hanging="426"/>
        <w:jc w:val="both"/>
        <w:rPr>
          <w:rFonts w:ascii="Avenir Next" w:hAnsi="Avenir Next" w:cs="Arial"/>
          <w:sz w:val="22"/>
          <w:szCs w:val="22"/>
          <w:lang w:val="en-GB"/>
        </w:rPr>
      </w:pPr>
      <w:r w:rsidRPr="00D96226">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22B5D739"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r w:rsidR="007F6A8E">
        <w:rPr>
          <w:rFonts w:ascii="Arial" w:hAnsi="Arial" w:cs="Arial"/>
        </w:rPr>
        <w:t xml:space="preserve">  </w:t>
      </w:r>
    </w:p>
    <w:p w14:paraId="76C585E6" w14:textId="72A8296A" w:rsidR="009B07AD" w:rsidRDefault="009B07AD" w:rsidP="00707FC8">
      <w:pPr>
        <w:jc w:val="both"/>
        <w:rPr>
          <w:rFonts w:ascii="Avenir Next" w:hAnsi="Avenir Next" w:cs="Arial"/>
          <w:sz w:val="22"/>
          <w:szCs w:val="22"/>
          <w:lang w:val="en-GB"/>
        </w:rPr>
      </w:pPr>
    </w:p>
    <w:p w14:paraId="53BE4523" w14:textId="2CCDA5C6" w:rsidR="00D53499" w:rsidRDefault="00D53499" w:rsidP="00707FC8">
      <w:pPr>
        <w:jc w:val="both"/>
        <w:rPr>
          <w:rFonts w:ascii="Avenir Next" w:hAnsi="Avenir Next" w:cs="Arial"/>
          <w:sz w:val="22"/>
          <w:szCs w:val="22"/>
          <w:lang w:val="en-GB"/>
        </w:rPr>
      </w:pPr>
      <w:r>
        <w:rPr>
          <w:rFonts w:ascii="Avenir Next" w:hAnsi="Avenir Next" w:cs="Arial"/>
          <w:sz w:val="22"/>
          <w:szCs w:val="22"/>
          <w:lang w:val="en-GB"/>
        </w:rPr>
        <w:t xml:space="preserve">The Regulation (EIR) is directly applicable within the Member States of the European Union, as per established principles of EU law. Conversely, the MLCBI is soft law which states </w:t>
      </w:r>
      <w:r>
        <w:rPr>
          <w:rFonts w:ascii="Avenir Next" w:hAnsi="Avenir Next" w:cs="Arial"/>
          <w:i/>
          <w:sz w:val="22"/>
          <w:szCs w:val="22"/>
          <w:lang w:val="en-GB"/>
        </w:rPr>
        <w:t>may</w:t>
      </w:r>
      <w:r>
        <w:rPr>
          <w:rFonts w:ascii="Avenir Next" w:hAnsi="Avenir Next" w:cs="Arial"/>
          <w:sz w:val="22"/>
          <w:szCs w:val="22"/>
          <w:lang w:val="en-GB"/>
        </w:rPr>
        <w:t xml:space="preserve"> choose to adopt and/or modify. </w:t>
      </w:r>
    </w:p>
    <w:p w14:paraId="69B324BA" w14:textId="77777777" w:rsidR="001E0C66" w:rsidRDefault="001E0C66" w:rsidP="00707FC8">
      <w:pPr>
        <w:jc w:val="both"/>
        <w:rPr>
          <w:rFonts w:ascii="Avenir Next" w:hAnsi="Avenir Next" w:cs="Arial"/>
          <w:sz w:val="22"/>
          <w:szCs w:val="22"/>
          <w:lang w:val="en-GB"/>
        </w:rPr>
      </w:pPr>
    </w:p>
    <w:p w14:paraId="1CA802EE" w14:textId="1C3DD4D9" w:rsidR="007B3FFB" w:rsidRDefault="001E0C66" w:rsidP="00707FC8">
      <w:pPr>
        <w:jc w:val="both"/>
        <w:rPr>
          <w:rFonts w:ascii="Avenir Next" w:hAnsi="Avenir Next" w:cs="Arial"/>
          <w:sz w:val="22"/>
          <w:szCs w:val="22"/>
          <w:lang w:val="en-GB"/>
        </w:rPr>
      </w:pPr>
      <w:r>
        <w:rPr>
          <w:rFonts w:ascii="Avenir Next" w:hAnsi="Avenir Next" w:cs="Arial"/>
          <w:sz w:val="22"/>
          <w:szCs w:val="22"/>
          <w:lang w:val="en-GB"/>
        </w:rPr>
        <w:t xml:space="preserve">In terms of the </w:t>
      </w:r>
      <w:r w:rsidR="00C6500B">
        <w:rPr>
          <w:rFonts w:ascii="Avenir Next" w:hAnsi="Avenir Next" w:cs="Arial"/>
          <w:sz w:val="22"/>
          <w:szCs w:val="22"/>
          <w:lang w:val="en-GB"/>
        </w:rPr>
        <w:t>reference t</w:t>
      </w:r>
      <w:r>
        <w:rPr>
          <w:rFonts w:ascii="Avenir Next" w:hAnsi="Avenir Next" w:cs="Arial"/>
          <w:sz w:val="22"/>
          <w:szCs w:val="22"/>
          <w:lang w:val="en-GB"/>
        </w:rPr>
        <w:t>o</w:t>
      </w:r>
      <w:r w:rsidR="00C6500B">
        <w:rPr>
          <w:rFonts w:ascii="Avenir Next" w:hAnsi="Avenir Next" w:cs="Arial"/>
          <w:sz w:val="22"/>
          <w:szCs w:val="22"/>
          <w:lang w:val="en-GB"/>
        </w:rPr>
        <w:t xml:space="preserve"> the difference of</w:t>
      </w:r>
      <w:r>
        <w:rPr>
          <w:rFonts w:ascii="Avenir Next" w:hAnsi="Avenir Next" w:cs="Arial"/>
          <w:sz w:val="22"/>
          <w:szCs w:val="22"/>
          <w:lang w:val="en-GB"/>
        </w:rPr>
        <w:t xml:space="preserve"> </w:t>
      </w:r>
      <w:r w:rsidR="00C426B5">
        <w:rPr>
          <w:rFonts w:ascii="Avenir Next" w:hAnsi="Avenir Next" w:cs="Arial"/>
          <w:i/>
          <w:sz w:val="22"/>
          <w:szCs w:val="22"/>
          <w:lang w:val="en-GB"/>
        </w:rPr>
        <w:t>“</w:t>
      </w:r>
      <w:r w:rsidRPr="00C426B5">
        <w:rPr>
          <w:rFonts w:ascii="Avenir Next" w:hAnsi="Avenir Next" w:cs="Arial"/>
          <w:i/>
          <w:sz w:val="22"/>
          <w:szCs w:val="22"/>
          <w:lang w:val="en-GB"/>
        </w:rPr>
        <w:t>application</w:t>
      </w:r>
      <w:r w:rsidR="00C426B5">
        <w:rPr>
          <w:rFonts w:ascii="Avenir Next" w:hAnsi="Avenir Next" w:cs="Arial"/>
          <w:i/>
          <w:sz w:val="22"/>
          <w:szCs w:val="22"/>
          <w:lang w:val="en-GB"/>
        </w:rPr>
        <w:t>”</w:t>
      </w:r>
      <w:r w:rsidR="00B87147">
        <w:rPr>
          <w:rFonts w:ascii="Avenir Next" w:hAnsi="Avenir Next" w:cs="Arial"/>
          <w:sz w:val="22"/>
          <w:szCs w:val="22"/>
          <w:lang w:val="en-GB"/>
        </w:rPr>
        <w:t>, I understand that, in the light of the course Guidance Text, to be a reference to the COMI, in that although the concept</w:t>
      </w:r>
      <w:r w:rsidR="00C426B5">
        <w:rPr>
          <w:rFonts w:ascii="Avenir Next" w:hAnsi="Avenir Next" w:cs="Arial"/>
          <w:sz w:val="22"/>
          <w:szCs w:val="22"/>
          <w:lang w:val="en-GB"/>
        </w:rPr>
        <w:t xml:space="preserve"> of COMI</w:t>
      </w:r>
      <w:r w:rsidR="00B87147">
        <w:rPr>
          <w:rFonts w:ascii="Avenir Next" w:hAnsi="Avenir Next" w:cs="Arial"/>
          <w:sz w:val="22"/>
          <w:szCs w:val="22"/>
          <w:lang w:val="en-GB"/>
        </w:rPr>
        <w:t xml:space="preserve"> across the MLBCI and EIR are similar, different purposes are served</w:t>
      </w:r>
      <w:r w:rsidR="00F85EDF">
        <w:rPr>
          <w:rFonts w:ascii="Avenir Next" w:hAnsi="Avenir Next" w:cs="Arial"/>
          <w:sz w:val="22"/>
          <w:szCs w:val="22"/>
          <w:lang w:val="en-GB"/>
        </w:rPr>
        <w:t xml:space="preserve">. Under the Regulation, the Member State in which the debtor’s COMI is located is the state that has exclusive jurisdiction to open main proceedings – proceedings which the other Members States are obliged to recognise automatically; whereas, conversely, </w:t>
      </w:r>
      <w:r w:rsidR="00B87147">
        <w:rPr>
          <w:rFonts w:ascii="Avenir Next" w:hAnsi="Avenir Next" w:cs="Arial"/>
          <w:sz w:val="22"/>
          <w:szCs w:val="22"/>
          <w:lang w:val="en-GB"/>
        </w:rPr>
        <w:t>under the MLCBI the COMI concerns the effects of recognition, namely the relief that can be available to assist the foreign proceeding.</w:t>
      </w:r>
      <w:r w:rsidR="00B87147">
        <w:rPr>
          <w:rStyle w:val="FootnoteReference"/>
          <w:rFonts w:ascii="Avenir Next" w:hAnsi="Avenir Next" w:cs="Arial"/>
          <w:sz w:val="22"/>
          <w:szCs w:val="22"/>
          <w:lang w:val="en-GB"/>
        </w:rPr>
        <w:footnoteReference w:id="1"/>
      </w:r>
    </w:p>
    <w:p w14:paraId="0B1B3AD0" w14:textId="151FFC1E" w:rsidR="00F85EDF" w:rsidRDefault="00F85EDF" w:rsidP="00707FC8">
      <w:pPr>
        <w:jc w:val="both"/>
        <w:rPr>
          <w:rFonts w:ascii="Avenir Next" w:hAnsi="Avenir Next" w:cs="Arial"/>
          <w:sz w:val="22"/>
          <w:szCs w:val="22"/>
          <w:lang w:val="en-GB"/>
        </w:rPr>
      </w:pPr>
    </w:p>
    <w:p w14:paraId="0717C01A" w14:textId="649FF85D" w:rsidR="00F85EDF" w:rsidRDefault="00F85EDF" w:rsidP="00707FC8">
      <w:pPr>
        <w:jc w:val="both"/>
        <w:rPr>
          <w:rFonts w:ascii="Avenir Next" w:hAnsi="Avenir Next" w:cs="Arial"/>
          <w:sz w:val="22"/>
          <w:szCs w:val="22"/>
          <w:lang w:val="en-GB"/>
        </w:rPr>
      </w:pPr>
      <w:r>
        <w:rPr>
          <w:rFonts w:ascii="Avenir Next" w:hAnsi="Avenir Next" w:cs="Arial"/>
          <w:sz w:val="22"/>
          <w:szCs w:val="22"/>
          <w:lang w:val="en-GB"/>
        </w:rPr>
        <w:t>A</w:t>
      </w:r>
      <w:r w:rsidR="0034343E">
        <w:rPr>
          <w:rFonts w:ascii="Avenir Next" w:hAnsi="Avenir Next" w:cs="Arial"/>
          <w:sz w:val="22"/>
          <w:szCs w:val="22"/>
          <w:lang w:val="en-GB"/>
        </w:rPr>
        <w:t xml:space="preserve"> benefit of</w:t>
      </w:r>
      <w:r>
        <w:rPr>
          <w:rFonts w:ascii="Avenir Next" w:hAnsi="Avenir Next" w:cs="Arial"/>
          <w:sz w:val="22"/>
          <w:szCs w:val="22"/>
          <w:lang w:val="en-GB"/>
        </w:rPr>
        <w:t xml:space="preserve"> the EU approach is that legal certainty and predictability are enhanced</w:t>
      </w:r>
      <w:r w:rsidR="005C3A61">
        <w:rPr>
          <w:rFonts w:ascii="Avenir Next" w:hAnsi="Avenir Next" w:cs="Arial"/>
          <w:sz w:val="22"/>
          <w:szCs w:val="22"/>
          <w:lang w:val="en-GB"/>
        </w:rPr>
        <w:t>, given that the EIR is an instrument of maximum harmonisation, in respect of deciding the jurisdiction of the main proceedings, across the Member States</w:t>
      </w:r>
      <w:r>
        <w:rPr>
          <w:rFonts w:ascii="Avenir Next" w:hAnsi="Avenir Next" w:cs="Arial"/>
          <w:sz w:val="22"/>
          <w:szCs w:val="22"/>
          <w:lang w:val="en-GB"/>
        </w:rPr>
        <w:t xml:space="preserve">. </w:t>
      </w:r>
      <w:r w:rsidR="006731D0">
        <w:rPr>
          <w:rFonts w:ascii="Avenir Next" w:hAnsi="Avenir Next" w:cs="Arial"/>
          <w:sz w:val="22"/>
          <w:szCs w:val="22"/>
          <w:lang w:val="en-GB"/>
        </w:rPr>
        <w:t xml:space="preserve">There is no </w:t>
      </w:r>
      <w:r w:rsidR="006731D0">
        <w:rPr>
          <w:rFonts w:ascii="Avenir Next" w:hAnsi="Avenir Next" w:cs="Arial"/>
          <w:i/>
          <w:sz w:val="22"/>
          <w:szCs w:val="22"/>
          <w:lang w:val="en-GB"/>
        </w:rPr>
        <w:t>‘soft law’</w:t>
      </w:r>
      <w:r w:rsidR="006731D0">
        <w:rPr>
          <w:rFonts w:ascii="Avenir Next" w:hAnsi="Avenir Next" w:cs="Arial"/>
          <w:sz w:val="22"/>
          <w:szCs w:val="22"/>
          <w:lang w:val="en-GB"/>
        </w:rPr>
        <w:t xml:space="preserve">, optional approach. The relevant law binds the relevant Member States, which must all apply the same test and automatically recognise and accept the state in which main proceedings are opened. </w:t>
      </w:r>
    </w:p>
    <w:p w14:paraId="6807EFEF" w14:textId="138C9019" w:rsidR="00516611" w:rsidRDefault="00516611" w:rsidP="00707FC8">
      <w:pPr>
        <w:jc w:val="both"/>
        <w:rPr>
          <w:rFonts w:ascii="Avenir Next" w:hAnsi="Avenir Next" w:cs="Arial"/>
          <w:sz w:val="22"/>
          <w:szCs w:val="22"/>
          <w:lang w:val="en-GB"/>
        </w:rPr>
      </w:pPr>
    </w:p>
    <w:p w14:paraId="2BA67554" w14:textId="34B05199" w:rsidR="00401A2D" w:rsidRPr="000649DC" w:rsidRDefault="00FF6EE3" w:rsidP="00707FC8">
      <w:pPr>
        <w:jc w:val="both"/>
        <w:rPr>
          <w:rFonts w:ascii="Avenir Next" w:hAnsi="Avenir Next" w:cs="Arial"/>
          <w:sz w:val="22"/>
          <w:szCs w:val="22"/>
          <w:lang w:val="en-GB"/>
        </w:rPr>
      </w:pPr>
      <w:r>
        <w:rPr>
          <w:rFonts w:ascii="Avenir Next" w:hAnsi="Avenir Next" w:cs="Arial"/>
          <w:sz w:val="22"/>
          <w:szCs w:val="22"/>
          <w:lang w:val="en-GB"/>
        </w:rPr>
        <w:lastRenderedPageBreak/>
        <w:t>A disadvantage i</w:t>
      </w:r>
      <w:r w:rsidR="000649DC">
        <w:rPr>
          <w:rFonts w:ascii="Avenir Next" w:hAnsi="Avenir Next" w:cs="Arial"/>
          <w:sz w:val="22"/>
          <w:szCs w:val="22"/>
          <w:lang w:val="en-GB"/>
        </w:rPr>
        <w:t>n contrast to the MLCBI is a loss of flexibility</w:t>
      </w:r>
      <w:r w:rsidR="00C21F93">
        <w:rPr>
          <w:rFonts w:ascii="Avenir Next" w:hAnsi="Avenir Next" w:cs="Arial"/>
          <w:sz w:val="22"/>
          <w:szCs w:val="22"/>
          <w:lang w:val="en-GB"/>
        </w:rPr>
        <w:t xml:space="preserve"> in that states implementing the MLCBI can vary its terms and can choose whether to grant certain types of relief on the basis of whether the Court recognises there to be foreign proceedings. </w:t>
      </w:r>
    </w:p>
    <w:p w14:paraId="71DBE71A" w14:textId="77777777" w:rsidR="00F85EDF" w:rsidRDefault="00F85EDF" w:rsidP="00707FC8">
      <w:pPr>
        <w:jc w:val="both"/>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71A65428" w:rsidR="000E6325" w:rsidRDefault="000E6325" w:rsidP="00ED6A32">
      <w:pPr>
        <w:ind w:left="1440" w:hanging="1440"/>
        <w:jc w:val="both"/>
        <w:rPr>
          <w:rFonts w:ascii="Avenir Next" w:hAnsi="Avenir Next" w:cs="Arial"/>
          <w:iCs/>
          <w:sz w:val="22"/>
          <w:szCs w:val="22"/>
        </w:rPr>
      </w:pPr>
    </w:p>
    <w:p w14:paraId="14F76C42" w14:textId="43ABDA34" w:rsidR="00E908A1" w:rsidRDefault="00E908A1" w:rsidP="00CD3347">
      <w:pPr>
        <w:pStyle w:val="ListParagraph"/>
        <w:numPr>
          <w:ilvl w:val="0"/>
          <w:numId w:val="18"/>
        </w:numPr>
        <w:ind w:left="567" w:hanging="567"/>
        <w:jc w:val="both"/>
        <w:rPr>
          <w:rFonts w:ascii="Avenir Next" w:hAnsi="Avenir Next" w:cs="Arial"/>
          <w:iCs/>
          <w:sz w:val="22"/>
          <w:szCs w:val="22"/>
        </w:rPr>
      </w:pPr>
      <w:r>
        <w:rPr>
          <w:rFonts w:ascii="Avenir Next" w:hAnsi="Avenir Next" w:cs="Arial"/>
          <w:iCs/>
          <w:sz w:val="22"/>
          <w:szCs w:val="22"/>
        </w:rPr>
        <w:t xml:space="preserve">Whether a foreign proceeding has been </w:t>
      </w:r>
      <w:proofErr w:type="spellStart"/>
      <w:r>
        <w:rPr>
          <w:rFonts w:ascii="Avenir Next" w:hAnsi="Avenir Next" w:cs="Arial"/>
          <w:iCs/>
          <w:sz w:val="22"/>
          <w:szCs w:val="22"/>
        </w:rPr>
        <w:t>recognised</w:t>
      </w:r>
      <w:proofErr w:type="spellEnd"/>
      <w:r>
        <w:rPr>
          <w:rFonts w:ascii="Avenir Next" w:hAnsi="Avenir Next" w:cs="Arial"/>
          <w:iCs/>
          <w:sz w:val="22"/>
          <w:szCs w:val="22"/>
        </w:rPr>
        <w:t>;</w:t>
      </w:r>
    </w:p>
    <w:p w14:paraId="28025A47" w14:textId="517FD5D4" w:rsidR="00E908A1" w:rsidRDefault="00E908A1" w:rsidP="00CD3347">
      <w:pPr>
        <w:pStyle w:val="ListParagraph"/>
        <w:numPr>
          <w:ilvl w:val="0"/>
          <w:numId w:val="18"/>
        </w:numPr>
        <w:ind w:left="567" w:hanging="567"/>
        <w:jc w:val="both"/>
        <w:rPr>
          <w:rFonts w:ascii="Avenir Next" w:hAnsi="Avenir Next" w:cs="Arial"/>
          <w:iCs/>
          <w:sz w:val="22"/>
          <w:szCs w:val="22"/>
        </w:rPr>
      </w:pPr>
      <w:r>
        <w:rPr>
          <w:rFonts w:ascii="Avenir Next" w:hAnsi="Avenir Next" w:cs="Arial"/>
          <w:iCs/>
          <w:sz w:val="22"/>
          <w:szCs w:val="22"/>
        </w:rPr>
        <w:t>Whether the exercise of the power is necessary to protect the assets of the debtor or the interests of creditors;</w:t>
      </w:r>
    </w:p>
    <w:p w14:paraId="1A6E7B42" w14:textId="37BD5634" w:rsidR="00E908A1" w:rsidRDefault="00E908A1" w:rsidP="00CD3347">
      <w:pPr>
        <w:pStyle w:val="ListParagraph"/>
        <w:numPr>
          <w:ilvl w:val="0"/>
          <w:numId w:val="18"/>
        </w:numPr>
        <w:ind w:left="567" w:hanging="567"/>
        <w:jc w:val="both"/>
        <w:rPr>
          <w:rFonts w:ascii="Avenir Next" w:hAnsi="Avenir Next" w:cs="Arial"/>
          <w:iCs/>
          <w:sz w:val="22"/>
          <w:szCs w:val="22"/>
        </w:rPr>
      </w:pPr>
      <w:r>
        <w:rPr>
          <w:rFonts w:ascii="Avenir Next" w:hAnsi="Avenir Next" w:cs="Arial"/>
          <w:iCs/>
          <w:sz w:val="22"/>
          <w:szCs w:val="22"/>
        </w:rPr>
        <w:t>Whether the foreign representative has requested the use of the power</w:t>
      </w:r>
      <w:r w:rsidR="00547A27">
        <w:rPr>
          <w:rFonts w:ascii="Avenir Next" w:hAnsi="Avenir Next" w:cs="Arial"/>
          <w:iCs/>
          <w:sz w:val="22"/>
          <w:szCs w:val="22"/>
        </w:rPr>
        <w:t>;</w:t>
      </w:r>
    </w:p>
    <w:p w14:paraId="0E3A8D69" w14:textId="773491B8" w:rsidR="00C9216B" w:rsidRDefault="00C9216B" w:rsidP="00CD3347">
      <w:pPr>
        <w:pStyle w:val="ListParagraph"/>
        <w:numPr>
          <w:ilvl w:val="0"/>
          <w:numId w:val="18"/>
        </w:numPr>
        <w:ind w:left="567" w:hanging="567"/>
        <w:jc w:val="both"/>
        <w:rPr>
          <w:rFonts w:ascii="Avenir Next" w:hAnsi="Avenir Next" w:cs="Arial"/>
          <w:iCs/>
          <w:sz w:val="22"/>
          <w:szCs w:val="22"/>
        </w:rPr>
      </w:pPr>
      <w:r>
        <w:rPr>
          <w:rFonts w:ascii="Avenir Next" w:hAnsi="Avenir Next" w:cs="Arial"/>
          <w:iCs/>
          <w:sz w:val="22"/>
          <w:szCs w:val="22"/>
        </w:rPr>
        <w:t xml:space="preserve">The balancing exercise set out in Article 22, </w:t>
      </w:r>
      <w:r>
        <w:rPr>
          <w:rFonts w:ascii="Avenir Next" w:hAnsi="Avenir Next" w:cs="Arial"/>
          <w:i/>
          <w:iCs/>
          <w:sz w:val="22"/>
          <w:szCs w:val="22"/>
        </w:rPr>
        <w:t xml:space="preserve">i.e. </w:t>
      </w:r>
      <w:r>
        <w:rPr>
          <w:rFonts w:ascii="Avenir Next" w:hAnsi="Avenir Next" w:cs="Arial"/>
          <w:iCs/>
          <w:sz w:val="22"/>
          <w:szCs w:val="22"/>
        </w:rPr>
        <w:t>whether the interests of the debtor, creditor and other interested persons are adequately protected</w:t>
      </w:r>
      <w:r w:rsidR="00547A27">
        <w:rPr>
          <w:rFonts w:ascii="Avenir Next" w:hAnsi="Avenir Next" w:cs="Arial"/>
          <w:iCs/>
          <w:sz w:val="22"/>
          <w:szCs w:val="22"/>
        </w:rPr>
        <w:t>; and</w:t>
      </w:r>
      <w:r>
        <w:rPr>
          <w:rFonts w:ascii="Avenir Next" w:hAnsi="Avenir Next" w:cs="Arial"/>
          <w:iCs/>
          <w:sz w:val="22"/>
          <w:szCs w:val="22"/>
        </w:rPr>
        <w:t xml:space="preserve"> </w:t>
      </w:r>
    </w:p>
    <w:p w14:paraId="42003621" w14:textId="3EA65E76" w:rsidR="00C9216B" w:rsidRPr="00E908A1" w:rsidRDefault="00C9216B" w:rsidP="00CD3347">
      <w:pPr>
        <w:pStyle w:val="ListParagraph"/>
        <w:numPr>
          <w:ilvl w:val="0"/>
          <w:numId w:val="18"/>
        </w:numPr>
        <w:ind w:left="567" w:hanging="567"/>
        <w:jc w:val="both"/>
        <w:rPr>
          <w:rFonts w:ascii="Avenir Next" w:hAnsi="Avenir Next" w:cs="Arial"/>
          <w:iCs/>
          <w:sz w:val="22"/>
          <w:szCs w:val="22"/>
        </w:rPr>
      </w:pPr>
      <w:r>
        <w:rPr>
          <w:rFonts w:ascii="Avenir Next" w:hAnsi="Avenir Next" w:cs="Arial"/>
          <w:iCs/>
          <w:sz w:val="22"/>
          <w:szCs w:val="22"/>
        </w:rPr>
        <w:t xml:space="preserve">Whether the relief granted under Article 21 should be subject to conditions (Article 22(2)). </w:t>
      </w:r>
    </w:p>
    <w:p w14:paraId="428DC0DA" w14:textId="3B42182D" w:rsidR="00867A8F" w:rsidRPr="00B77352" w:rsidRDefault="00867A8F" w:rsidP="00867A8F">
      <w:pPr>
        <w:ind w:left="720" w:hanging="720"/>
        <w:jc w:val="both"/>
        <w:rPr>
          <w:rFonts w:ascii="Avenir Next" w:hAnsi="Avenir Next" w:cs="Arial"/>
          <w:color w:val="808080" w:themeColor="background1" w:themeShade="80"/>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2E872810" w:rsidR="00100E8F" w:rsidRDefault="00100E8F" w:rsidP="00100E8F">
      <w:pPr>
        <w:jc w:val="both"/>
        <w:rPr>
          <w:rFonts w:ascii="Avenir Next" w:hAnsi="Avenir Next" w:cs="Arial"/>
          <w:sz w:val="22"/>
          <w:szCs w:val="28"/>
          <w:lang w:val="en-GB"/>
        </w:rPr>
      </w:pPr>
    </w:p>
    <w:p w14:paraId="754B6D98" w14:textId="0FD44CC8" w:rsidR="00C62A2D" w:rsidRDefault="00E419D2" w:rsidP="00100E8F">
      <w:pPr>
        <w:jc w:val="both"/>
        <w:rPr>
          <w:rFonts w:ascii="Avenir Next" w:hAnsi="Avenir Next" w:cs="Arial"/>
          <w:sz w:val="22"/>
          <w:szCs w:val="28"/>
          <w:lang w:val="en-GB"/>
        </w:rPr>
      </w:pPr>
      <w:r>
        <w:rPr>
          <w:rFonts w:ascii="Avenir Next" w:hAnsi="Avenir Next" w:cs="Arial"/>
          <w:sz w:val="22"/>
          <w:szCs w:val="28"/>
          <w:lang w:val="en-GB"/>
        </w:rPr>
        <w:t xml:space="preserve">Article 13 </w:t>
      </w:r>
      <w:r w:rsidR="00723A45">
        <w:rPr>
          <w:rFonts w:ascii="Avenir Next" w:hAnsi="Avenir Next" w:cs="Arial"/>
          <w:sz w:val="22"/>
          <w:szCs w:val="28"/>
          <w:lang w:val="en-GB"/>
        </w:rPr>
        <w:t>provides a right of access for foreign creditors in respect of commencing</w:t>
      </w:r>
      <w:r w:rsidR="00DE5688">
        <w:rPr>
          <w:rFonts w:ascii="Avenir Next" w:hAnsi="Avenir Next" w:cs="Arial"/>
          <w:sz w:val="22"/>
          <w:szCs w:val="28"/>
          <w:lang w:val="en-GB"/>
        </w:rPr>
        <w:t xml:space="preserve">, </w:t>
      </w:r>
      <w:r w:rsidR="00723A45">
        <w:rPr>
          <w:rFonts w:ascii="Avenir Next" w:hAnsi="Avenir Next" w:cs="Arial"/>
          <w:sz w:val="22"/>
          <w:szCs w:val="28"/>
          <w:lang w:val="en-GB"/>
        </w:rPr>
        <w:t>and participating in</w:t>
      </w:r>
      <w:r w:rsidR="00F276D2">
        <w:rPr>
          <w:rFonts w:ascii="Avenir Next" w:hAnsi="Avenir Next" w:cs="Arial"/>
          <w:sz w:val="22"/>
          <w:szCs w:val="28"/>
          <w:lang w:val="en-GB"/>
        </w:rPr>
        <w:t>,</w:t>
      </w:r>
      <w:r w:rsidR="00723A45">
        <w:rPr>
          <w:rFonts w:ascii="Avenir Next" w:hAnsi="Avenir Next" w:cs="Arial"/>
          <w:sz w:val="22"/>
          <w:szCs w:val="28"/>
          <w:lang w:val="en-GB"/>
        </w:rPr>
        <w:t xml:space="preserve"> insolvency proceedings in the state which has implemented the MLCBI. </w:t>
      </w:r>
      <w:r w:rsidR="00C62A2D">
        <w:rPr>
          <w:rFonts w:ascii="Avenir Next" w:hAnsi="Avenir Next" w:cs="Arial"/>
          <w:sz w:val="22"/>
          <w:szCs w:val="28"/>
          <w:lang w:val="en-GB"/>
        </w:rPr>
        <w:t xml:space="preserve">Moreover, this provision does not affect the ranking of claims in a proceeding in the MLCBI state, </w:t>
      </w:r>
      <w:r w:rsidR="00E314BC" w:rsidRPr="00E314BC">
        <w:rPr>
          <w:rFonts w:ascii="Avenir Next" w:hAnsi="Avenir Next" w:cs="Arial"/>
          <w:i/>
          <w:sz w:val="22"/>
          <w:szCs w:val="28"/>
          <w:lang w:val="en-GB"/>
        </w:rPr>
        <w:t>“</w:t>
      </w:r>
      <w:r w:rsidR="00C62A2D" w:rsidRPr="00E314BC">
        <w:rPr>
          <w:rFonts w:ascii="Avenir Next" w:hAnsi="Avenir Next" w:cs="Arial"/>
          <w:i/>
          <w:sz w:val="22"/>
          <w:szCs w:val="28"/>
          <w:lang w:val="en-GB"/>
        </w:rPr>
        <w:t>except that the claims of foreign creditors shall not be ranked lower than</w:t>
      </w:r>
      <w:r w:rsidR="00E314BC" w:rsidRPr="00E314BC">
        <w:rPr>
          <w:rFonts w:ascii="Avenir Next" w:hAnsi="Avenir Next" w:cs="Arial"/>
          <w:i/>
          <w:sz w:val="22"/>
          <w:szCs w:val="28"/>
          <w:lang w:val="en-GB"/>
        </w:rPr>
        <w:t>…</w:t>
      </w:r>
      <w:r w:rsidR="00C62A2D" w:rsidRPr="00E314BC">
        <w:rPr>
          <w:rFonts w:ascii="Avenir Next" w:hAnsi="Avenir Next" w:cs="Arial"/>
          <w:i/>
          <w:sz w:val="22"/>
          <w:szCs w:val="28"/>
          <w:lang w:val="en-GB"/>
        </w:rPr>
        <w:t xml:space="preserve"> </w:t>
      </w:r>
      <w:r w:rsidR="00E314BC">
        <w:rPr>
          <w:rFonts w:ascii="Avenir Next" w:hAnsi="Avenir Next" w:cs="Arial"/>
          <w:i/>
          <w:sz w:val="22"/>
          <w:szCs w:val="28"/>
          <w:lang w:val="en-GB"/>
        </w:rPr>
        <w:t xml:space="preserve">the class of </w:t>
      </w:r>
      <w:r w:rsidR="00C62A2D" w:rsidRPr="00E314BC">
        <w:rPr>
          <w:rFonts w:ascii="Avenir Next" w:hAnsi="Avenir Next" w:cs="Arial"/>
          <w:i/>
          <w:sz w:val="22"/>
          <w:szCs w:val="28"/>
          <w:lang w:val="en-GB"/>
        </w:rPr>
        <w:t>general non-preference claims, while providing that a foreign claim is to be ranked lower than the general non-preference claims if an equivalent local claim (e.g. claim for a penalty or deferred payment claim) has a rank lower than the general non-preference claims</w:t>
      </w:r>
      <w:r w:rsidR="00E314BC" w:rsidRPr="00E314BC">
        <w:rPr>
          <w:rFonts w:ascii="Avenir Next" w:hAnsi="Avenir Next" w:cs="Arial"/>
          <w:i/>
          <w:sz w:val="22"/>
          <w:szCs w:val="28"/>
          <w:lang w:val="en-GB"/>
        </w:rPr>
        <w:t>”</w:t>
      </w:r>
      <w:r w:rsidR="00E314BC">
        <w:rPr>
          <w:rFonts w:ascii="Avenir Next" w:hAnsi="Avenir Next" w:cs="Arial"/>
          <w:i/>
          <w:sz w:val="22"/>
          <w:szCs w:val="28"/>
          <w:lang w:val="en-GB"/>
        </w:rPr>
        <w:t xml:space="preserve"> </w:t>
      </w:r>
      <w:r w:rsidR="00E314BC">
        <w:rPr>
          <w:rFonts w:ascii="Avenir Next" w:hAnsi="Avenir Next" w:cs="Arial"/>
          <w:sz w:val="22"/>
          <w:szCs w:val="28"/>
          <w:lang w:val="en-GB"/>
        </w:rPr>
        <w:t>(Article 13(2)).</w:t>
      </w:r>
    </w:p>
    <w:p w14:paraId="61FE997A" w14:textId="77777777" w:rsidR="00C62A2D" w:rsidRDefault="00C62A2D" w:rsidP="00100E8F">
      <w:pPr>
        <w:jc w:val="both"/>
        <w:rPr>
          <w:rFonts w:ascii="Avenir Next" w:hAnsi="Avenir Next" w:cs="Arial"/>
          <w:sz w:val="22"/>
          <w:szCs w:val="28"/>
          <w:lang w:val="en-GB"/>
        </w:rPr>
      </w:pPr>
    </w:p>
    <w:p w14:paraId="372EAEEF" w14:textId="112FC170" w:rsidR="00240794" w:rsidRPr="00E314BC" w:rsidRDefault="009C1533" w:rsidP="00E314BC">
      <w:pPr>
        <w:jc w:val="both"/>
        <w:rPr>
          <w:rFonts w:ascii="Avenir Next" w:hAnsi="Avenir Next" w:cs="Arial"/>
          <w:sz w:val="22"/>
          <w:szCs w:val="28"/>
          <w:lang w:val="en-GB"/>
        </w:rPr>
      </w:pPr>
      <w:r>
        <w:rPr>
          <w:rFonts w:ascii="Avenir Next" w:hAnsi="Avenir Next" w:cs="Arial"/>
          <w:sz w:val="22"/>
          <w:szCs w:val="28"/>
          <w:lang w:val="en-GB"/>
        </w:rPr>
        <w:t>The provision encapsulates, therefore, an anti-discrimination principle</w:t>
      </w:r>
      <w:r w:rsidR="00DC6F64">
        <w:rPr>
          <w:rFonts w:ascii="Avenir Next" w:hAnsi="Avenir Next" w:cs="Arial"/>
          <w:sz w:val="22"/>
          <w:szCs w:val="28"/>
          <w:lang w:val="en-GB"/>
        </w:rPr>
        <w:t>,</w:t>
      </w:r>
      <w:r>
        <w:rPr>
          <w:rStyle w:val="FootnoteReference"/>
          <w:rFonts w:ascii="Avenir Next" w:hAnsi="Avenir Next" w:cs="Arial"/>
          <w:sz w:val="22"/>
          <w:szCs w:val="28"/>
          <w:lang w:val="en-GB"/>
        </w:rPr>
        <w:footnoteReference w:id="2"/>
      </w:r>
      <w:r w:rsidR="00DC6F64">
        <w:rPr>
          <w:rFonts w:ascii="Avenir Next" w:hAnsi="Avenir Next" w:cs="Arial"/>
          <w:sz w:val="22"/>
          <w:szCs w:val="28"/>
          <w:lang w:val="en-GB"/>
        </w:rPr>
        <w:t xml:space="preserve"> in respect of enabling foreign creditors to commence and participate in actions on comparable terms to domestic creditors. </w:t>
      </w:r>
      <w:r w:rsidR="0066792A">
        <w:rPr>
          <w:rFonts w:ascii="Avenir Next" w:hAnsi="Avenir Next" w:cs="Arial"/>
          <w:sz w:val="22"/>
          <w:szCs w:val="28"/>
          <w:lang w:val="en-GB"/>
        </w:rPr>
        <w:t xml:space="preserve">That being said, the principle is not necessarily an absolute one – as footnote </w:t>
      </w:r>
      <w:r w:rsidR="0066792A">
        <w:rPr>
          <w:rFonts w:ascii="Avenir Next" w:hAnsi="Avenir Next" w:cs="Arial"/>
          <w:i/>
          <w:sz w:val="22"/>
          <w:szCs w:val="28"/>
          <w:lang w:val="en-GB"/>
        </w:rPr>
        <w:t>b</w:t>
      </w:r>
      <w:r w:rsidR="0066792A">
        <w:rPr>
          <w:rFonts w:ascii="Avenir Next" w:hAnsi="Avenir Next" w:cs="Arial"/>
          <w:sz w:val="22"/>
          <w:szCs w:val="28"/>
          <w:lang w:val="en-GB"/>
        </w:rPr>
        <w:t xml:space="preserve"> to the MLCBI, Article 13 recognises,</w:t>
      </w:r>
      <w:r w:rsidR="00E314BC">
        <w:rPr>
          <w:rStyle w:val="FootnoteReference"/>
          <w:rFonts w:ascii="Avenir Next" w:hAnsi="Avenir Next" w:cs="Arial"/>
          <w:sz w:val="22"/>
          <w:szCs w:val="28"/>
          <w:lang w:val="en-GB"/>
        </w:rPr>
        <w:footnoteReference w:id="3"/>
      </w:r>
      <w:r w:rsidR="0066792A">
        <w:rPr>
          <w:rFonts w:ascii="Avenir Next" w:hAnsi="Avenir Next" w:cs="Arial"/>
          <w:sz w:val="22"/>
          <w:szCs w:val="28"/>
          <w:lang w:val="en-GB"/>
        </w:rPr>
        <w:t xml:space="preserve"> </w:t>
      </w:r>
      <w:r w:rsidR="00E314BC">
        <w:rPr>
          <w:rFonts w:ascii="Avenir Next" w:hAnsi="Avenir Next" w:cs="Arial"/>
          <w:sz w:val="22"/>
          <w:szCs w:val="28"/>
          <w:lang w:val="en-GB"/>
        </w:rPr>
        <w:t xml:space="preserve">given the suggested wording of </w:t>
      </w:r>
      <w:r w:rsidR="00E314BC">
        <w:rPr>
          <w:rFonts w:ascii="Avenir Next" w:hAnsi="Avenir Next" w:cs="Arial"/>
          <w:i/>
          <w:sz w:val="22"/>
          <w:szCs w:val="28"/>
          <w:lang w:val="en-GB"/>
        </w:rPr>
        <w:t>“</w:t>
      </w:r>
      <w:r w:rsidR="00E314BC" w:rsidRPr="00E314BC">
        <w:rPr>
          <w:rFonts w:ascii="Avenir Next" w:hAnsi="Avenir Next" w:cs="Arial"/>
          <w:i/>
          <w:sz w:val="22"/>
          <w:szCs w:val="28"/>
          <w:lang w:val="en-GB"/>
        </w:rPr>
        <w:t xml:space="preserve">other than those </w:t>
      </w:r>
      <w:r w:rsidR="00E314BC">
        <w:rPr>
          <w:rFonts w:ascii="Avenir Next" w:hAnsi="Avenir Next" w:cs="Arial"/>
          <w:i/>
          <w:sz w:val="22"/>
          <w:szCs w:val="28"/>
          <w:lang w:val="en-GB"/>
        </w:rPr>
        <w:t xml:space="preserve">[claims by foreign creditors] </w:t>
      </w:r>
      <w:r w:rsidR="00E314BC" w:rsidRPr="00E314BC">
        <w:rPr>
          <w:rFonts w:ascii="Avenir Next" w:hAnsi="Avenir Next" w:cs="Arial"/>
          <w:i/>
          <w:sz w:val="22"/>
          <w:szCs w:val="28"/>
          <w:lang w:val="en-GB"/>
        </w:rPr>
        <w:t>concerning tax and social security obligations</w:t>
      </w:r>
      <w:r w:rsidR="00E314BC">
        <w:rPr>
          <w:rFonts w:ascii="Avenir Next" w:hAnsi="Avenir Next" w:cs="Arial"/>
          <w:i/>
          <w:sz w:val="22"/>
          <w:szCs w:val="28"/>
          <w:lang w:val="en-GB"/>
        </w:rPr>
        <w:t>”</w:t>
      </w:r>
      <w:r w:rsidR="00E314BC">
        <w:rPr>
          <w:rFonts w:ascii="Avenir Next" w:hAnsi="Avenir Next" w:cs="Arial"/>
          <w:sz w:val="22"/>
          <w:szCs w:val="28"/>
          <w:lang w:val="en-GB"/>
        </w:rPr>
        <w:t xml:space="preserve">. </w:t>
      </w:r>
    </w:p>
    <w:p w14:paraId="4DC2D2BF" w14:textId="77777777" w:rsidR="00240794" w:rsidRDefault="00240794" w:rsidP="00100E8F">
      <w:pPr>
        <w:jc w:val="both"/>
        <w:rPr>
          <w:rFonts w:ascii="Avenir Next" w:hAnsi="Avenir Next" w:cs="Arial"/>
          <w:sz w:val="22"/>
          <w:szCs w:val="28"/>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19C4581B" w:rsidR="00100E8F" w:rsidRDefault="00100E8F" w:rsidP="00100E8F">
      <w:pPr>
        <w:jc w:val="both"/>
        <w:rPr>
          <w:rFonts w:ascii="Avenir Next" w:hAnsi="Avenir Next" w:cs="Arial"/>
          <w:sz w:val="22"/>
          <w:szCs w:val="28"/>
        </w:rPr>
      </w:pPr>
    </w:p>
    <w:p w14:paraId="77356F19" w14:textId="37A5AA52" w:rsidR="004D01B2" w:rsidRPr="001A7AD7" w:rsidRDefault="009D5979" w:rsidP="00100E8F">
      <w:pPr>
        <w:jc w:val="both"/>
        <w:rPr>
          <w:rFonts w:ascii="Avenir Next" w:hAnsi="Avenir Next" w:cs="Arial"/>
          <w:sz w:val="22"/>
          <w:szCs w:val="28"/>
        </w:rPr>
      </w:pPr>
      <w:r>
        <w:rPr>
          <w:rFonts w:ascii="Avenir Next" w:hAnsi="Avenir Next" w:cs="Arial"/>
          <w:sz w:val="22"/>
          <w:szCs w:val="28"/>
        </w:rPr>
        <w:t>If a f</w:t>
      </w:r>
      <w:r w:rsidR="00E625C8">
        <w:rPr>
          <w:rFonts w:ascii="Avenir Next" w:hAnsi="Avenir Next" w:cs="Arial"/>
          <w:sz w:val="22"/>
          <w:szCs w:val="28"/>
        </w:rPr>
        <w:t>oreign</w:t>
      </w:r>
      <w:r w:rsidR="004D01B2">
        <w:rPr>
          <w:rFonts w:ascii="Avenir Next" w:hAnsi="Avenir Next" w:cs="Arial"/>
          <w:sz w:val="22"/>
          <w:szCs w:val="28"/>
        </w:rPr>
        <w:t xml:space="preserve"> </w:t>
      </w:r>
      <w:r>
        <w:rPr>
          <w:rFonts w:ascii="Avenir Next" w:hAnsi="Avenir Next" w:cs="Arial"/>
          <w:sz w:val="22"/>
          <w:szCs w:val="28"/>
        </w:rPr>
        <w:t>main proceeding is recognised automatic relief</w:t>
      </w:r>
      <w:r w:rsidR="004D01B2">
        <w:rPr>
          <w:rFonts w:ascii="Avenir Next" w:hAnsi="Avenir Next" w:cs="Arial"/>
          <w:sz w:val="22"/>
          <w:szCs w:val="28"/>
        </w:rPr>
        <w:t xml:space="preserve"> </w:t>
      </w:r>
      <w:r>
        <w:rPr>
          <w:rFonts w:ascii="Avenir Next" w:hAnsi="Avenir Next" w:cs="Arial"/>
          <w:sz w:val="22"/>
          <w:szCs w:val="28"/>
        </w:rPr>
        <w:t xml:space="preserve">arises under the MLCBI, Article </w:t>
      </w:r>
      <w:r w:rsidR="00F27E9E">
        <w:rPr>
          <w:rFonts w:ascii="Avenir Next" w:hAnsi="Avenir Next" w:cs="Arial"/>
          <w:sz w:val="22"/>
          <w:szCs w:val="28"/>
        </w:rPr>
        <w:t xml:space="preserve">20(1), </w:t>
      </w:r>
      <w:r w:rsidR="00F27E9E">
        <w:rPr>
          <w:rFonts w:ascii="Avenir Next" w:hAnsi="Avenir Next" w:cs="Arial"/>
          <w:i/>
          <w:sz w:val="22"/>
          <w:szCs w:val="28"/>
        </w:rPr>
        <w:t xml:space="preserve">i.e. </w:t>
      </w:r>
      <w:r w:rsidR="00F27E9E">
        <w:rPr>
          <w:rFonts w:ascii="Avenir Next" w:hAnsi="Avenir Next" w:cs="Arial"/>
          <w:sz w:val="22"/>
          <w:szCs w:val="28"/>
        </w:rPr>
        <w:t xml:space="preserve">the general stay under Article 20(1)(a)-(c) is triggered. Conversely, if foreign non-main proceedings are </w:t>
      </w:r>
      <w:proofErr w:type="spellStart"/>
      <w:r w:rsidR="00F27E9E">
        <w:rPr>
          <w:rFonts w:ascii="Avenir Next" w:hAnsi="Avenir Next" w:cs="Arial"/>
          <w:sz w:val="22"/>
          <w:szCs w:val="28"/>
        </w:rPr>
        <w:t>recognised</w:t>
      </w:r>
      <w:proofErr w:type="spellEnd"/>
      <w:r w:rsidR="00F27E9E">
        <w:rPr>
          <w:rFonts w:ascii="Avenir Next" w:hAnsi="Avenir Next" w:cs="Arial"/>
          <w:sz w:val="22"/>
          <w:szCs w:val="28"/>
        </w:rPr>
        <w:t xml:space="preserve">, </w:t>
      </w:r>
      <w:r w:rsidR="009E2FB7">
        <w:rPr>
          <w:rFonts w:ascii="Avenir Next" w:hAnsi="Avenir Next" w:cs="Arial"/>
          <w:sz w:val="22"/>
          <w:szCs w:val="28"/>
        </w:rPr>
        <w:t xml:space="preserve">there is no automatic stay, but such relief </w:t>
      </w:r>
      <w:r w:rsidR="009E2FB7" w:rsidRPr="00C44C16">
        <w:rPr>
          <w:rFonts w:ascii="Avenir Next" w:hAnsi="Avenir Next" w:cs="Arial"/>
          <w:i/>
          <w:sz w:val="22"/>
          <w:szCs w:val="28"/>
        </w:rPr>
        <w:t>may</w:t>
      </w:r>
      <w:r w:rsidR="009E2FB7">
        <w:rPr>
          <w:rFonts w:ascii="Avenir Next" w:hAnsi="Avenir Next" w:cs="Arial"/>
          <w:sz w:val="22"/>
          <w:szCs w:val="28"/>
        </w:rPr>
        <w:t xml:space="preserve"> be granted, upon a request by the foreign representative, under Article 21. </w:t>
      </w:r>
      <w:r w:rsidR="005441FD">
        <w:rPr>
          <w:rFonts w:ascii="Avenir Next" w:hAnsi="Avenir Next" w:cs="Arial"/>
          <w:sz w:val="22"/>
          <w:szCs w:val="28"/>
        </w:rPr>
        <w:t xml:space="preserve">To obtain such relief </w:t>
      </w:r>
      <w:r w:rsidR="00354805">
        <w:rPr>
          <w:rFonts w:ascii="Avenir Next" w:hAnsi="Avenir Next" w:cs="Arial"/>
          <w:sz w:val="22"/>
          <w:szCs w:val="28"/>
        </w:rPr>
        <w:t>(</w:t>
      </w:r>
      <w:r w:rsidR="00354805">
        <w:rPr>
          <w:rFonts w:ascii="Avenir Next" w:hAnsi="Avenir Next" w:cs="Arial"/>
          <w:i/>
          <w:sz w:val="22"/>
          <w:szCs w:val="28"/>
        </w:rPr>
        <w:t xml:space="preserve">i.e. </w:t>
      </w:r>
      <w:r w:rsidR="00354805">
        <w:rPr>
          <w:rFonts w:ascii="Avenir Next" w:hAnsi="Avenir Next" w:cs="Arial"/>
          <w:sz w:val="22"/>
          <w:szCs w:val="28"/>
        </w:rPr>
        <w:t xml:space="preserve">after recognition of a foreign non-main proceeding) </w:t>
      </w:r>
      <w:r w:rsidR="005441FD">
        <w:rPr>
          <w:rFonts w:ascii="Avenir Next" w:hAnsi="Avenir Next" w:cs="Arial"/>
          <w:sz w:val="22"/>
          <w:szCs w:val="28"/>
        </w:rPr>
        <w:t xml:space="preserve">the applicant would need to establish that the Court should grant the relief, after </w:t>
      </w:r>
      <w:proofErr w:type="gramStart"/>
      <w:r w:rsidR="005441FD">
        <w:rPr>
          <w:rFonts w:ascii="Avenir Next" w:hAnsi="Avenir Next" w:cs="Arial"/>
          <w:sz w:val="22"/>
          <w:szCs w:val="28"/>
        </w:rPr>
        <w:t>taking into account</w:t>
      </w:r>
      <w:proofErr w:type="gramEnd"/>
      <w:r w:rsidR="005441FD">
        <w:rPr>
          <w:rFonts w:ascii="Avenir Next" w:hAnsi="Avenir Next" w:cs="Arial"/>
          <w:sz w:val="22"/>
          <w:szCs w:val="28"/>
        </w:rPr>
        <w:t xml:space="preserve"> the Article 22 </w:t>
      </w:r>
      <w:r w:rsidR="001A7AD7">
        <w:rPr>
          <w:rFonts w:ascii="Avenir Next" w:hAnsi="Avenir Next" w:cs="Arial"/>
          <w:sz w:val="22"/>
          <w:szCs w:val="28"/>
        </w:rPr>
        <w:t xml:space="preserve">criteria, </w:t>
      </w:r>
      <w:r w:rsidR="001A7AD7">
        <w:rPr>
          <w:rFonts w:ascii="Avenir Next" w:hAnsi="Avenir Next" w:cs="Arial"/>
          <w:i/>
          <w:sz w:val="22"/>
          <w:szCs w:val="28"/>
        </w:rPr>
        <w:t xml:space="preserve">i.e. </w:t>
      </w:r>
      <w:r w:rsidR="001A7AD7">
        <w:rPr>
          <w:rFonts w:ascii="Avenir Next" w:hAnsi="Avenir Next" w:cs="Arial"/>
          <w:sz w:val="22"/>
          <w:szCs w:val="28"/>
        </w:rPr>
        <w:t xml:space="preserve">adequate protection of interests etc. </w:t>
      </w:r>
    </w:p>
    <w:p w14:paraId="5258681F" w14:textId="77777777" w:rsidR="004D01B2" w:rsidRPr="00B77352" w:rsidRDefault="004D01B2"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1"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1"/>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4D615177" w:rsidR="00C550C8" w:rsidRDefault="00C550C8" w:rsidP="00707FC8">
      <w:pPr>
        <w:jc w:val="both"/>
        <w:rPr>
          <w:rFonts w:ascii="Avenir Next" w:hAnsi="Avenir Next" w:cs="Arial"/>
          <w:sz w:val="22"/>
          <w:szCs w:val="22"/>
          <w:lang w:val="en-GB"/>
        </w:rPr>
      </w:pPr>
    </w:p>
    <w:p w14:paraId="297F2284" w14:textId="68C27E44" w:rsidR="00D262AD" w:rsidRDefault="00D262AD" w:rsidP="00707FC8">
      <w:pPr>
        <w:jc w:val="both"/>
        <w:rPr>
          <w:rFonts w:ascii="Avenir Next" w:hAnsi="Avenir Next" w:cs="Arial"/>
          <w:sz w:val="22"/>
          <w:szCs w:val="22"/>
          <w:lang w:val="en-GB"/>
        </w:rPr>
      </w:pPr>
      <w:r>
        <w:rPr>
          <w:rFonts w:ascii="Avenir Next" w:hAnsi="Avenir Next" w:cs="Arial"/>
          <w:sz w:val="22"/>
          <w:szCs w:val="22"/>
          <w:lang w:val="en-GB"/>
        </w:rPr>
        <w:t xml:space="preserve">The foreign </w:t>
      </w:r>
      <w:r w:rsidR="00236706">
        <w:rPr>
          <w:rFonts w:ascii="Avenir Next" w:hAnsi="Avenir Next" w:cs="Arial"/>
          <w:sz w:val="22"/>
          <w:szCs w:val="22"/>
          <w:lang w:val="en-GB"/>
        </w:rPr>
        <w:t>main proceeding must have been filed in Germany</w:t>
      </w:r>
      <w:r w:rsidR="00D24C1D">
        <w:rPr>
          <w:rFonts w:ascii="Avenir Next" w:hAnsi="Avenir Next" w:cs="Arial"/>
          <w:sz w:val="22"/>
          <w:szCs w:val="22"/>
          <w:lang w:val="en-GB"/>
        </w:rPr>
        <w:t>,</w:t>
      </w:r>
      <w:r w:rsidR="00236706">
        <w:rPr>
          <w:rFonts w:ascii="Avenir Next" w:hAnsi="Avenir Next" w:cs="Arial"/>
          <w:sz w:val="22"/>
          <w:szCs w:val="22"/>
          <w:lang w:val="en-GB"/>
        </w:rPr>
        <w:t xml:space="preserve"> given that that is the location of the debtor’s COMI (</w:t>
      </w:r>
      <w:r w:rsidR="00080100">
        <w:rPr>
          <w:rFonts w:ascii="Avenir Next" w:hAnsi="Avenir Next" w:cs="Arial"/>
          <w:sz w:val="22"/>
          <w:szCs w:val="22"/>
          <w:lang w:val="en-GB"/>
        </w:rPr>
        <w:t>MLCBI, Article 17(2)(a)</w:t>
      </w:r>
      <w:r w:rsidR="00236706">
        <w:rPr>
          <w:rFonts w:ascii="Avenir Next" w:hAnsi="Avenir Next" w:cs="Arial"/>
          <w:sz w:val="22"/>
          <w:szCs w:val="22"/>
          <w:lang w:val="en-GB"/>
        </w:rPr>
        <w:t>), and foreign non-main proceeding</w:t>
      </w:r>
      <w:r w:rsidR="006F2FF0">
        <w:rPr>
          <w:rFonts w:ascii="Avenir Next" w:hAnsi="Avenir Next" w:cs="Arial"/>
          <w:sz w:val="22"/>
          <w:szCs w:val="22"/>
          <w:lang w:val="en-GB"/>
        </w:rPr>
        <w:t>s</w:t>
      </w:r>
      <w:r w:rsidR="00236706">
        <w:rPr>
          <w:rFonts w:ascii="Avenir Next" w:hAnsi="Avenir Next" w:cs="Arial"/>
          <w:sz w:val="22"/>
          <w:szCs w:val="22"/>
          <w:lang w:val="en-GB"/>
        </w:rPr>
        <w:t xml:space="preserve"> must have been filed in Bermuda, given that the debtor has an establishment in Bermuda</w:t>
      </w:r>
      <w:r w:rsidR="00080100">
        <w:rPr>
          <w:rFonts w:ascii="Avenir Next" w:hAnsi="Avenir Next" w:cs="Arial"/>
          <w:sz w:val="22"/>
          <w:szCs w:val="22"/>
          <w:lang w:val="en-GB"/>
        </w:rPr>
        <w:t xml:space="preserve"> (MLCBI, Article 17(2)(b))</w:t>
      </w:r>
      <w:r w:rsidR="00236706">
        <w:rPr>
          <w:rFonts w:ascii="Avenir Next" w:hAnsi="Avenir Next" w:cs="Arial"/>
          <w:sz w:val="22"/>
          <w:szCs w:val="22"/>
          <w:lang w:val="en-GB"/>
        </w:rPr>
        <w:t xml:space="preserve">, but not its COMI. </w:t>
      </w:r>
    </w:p>
    <w:p w14:paraId="7692388E" w14:textId="6290997E" w:rsidR="008D77E9" w:rsidRDefault="008D77E9" w:rsidP="00707FC8">
      <w:pPr>
        <w:jc w:val="both"/>
        <w:rPr>
          <w:rFonts w:ascii="Avenir Next" w:hAnsi="Avenir Next" w:cs="Arial"/>
          <w:sz w:val="22"/>
          <w:szCs w:val="22"/>
          <w:lang w:val="en-GB"/>
        </w:rPr>
      </w:pPr>
    </w:p>
    <w:p w14:paraId="605D64FE" w14:textId="253A1BB2" w:rsidR="008D77E9" w:rsidRDefault="00080100" w:rsidP="00707FC8">
      <w:pPr>
        <w:jc w:val="both"/>
        <w:rPr>
          <w:rFonts w:ascii="Avenir Next" w:hAnsi="Avenir Next" w:cs="Arial"/>
          <w:sz w:val="22"/>
          <w:szCs w:val="22"/>
          <w:lang w:val="en-GB"/>
        </w:rPr>
      </w:pPr>
      <w:r>
        <w:rPr>
          <w:rFonts w:ascii="Avenir Next" w:hAnsi="Avenir Next" w:cs="Arial"/>
          <w:sz w:val="22"/>
          <w:szCs w:val="22"/>
          <w:lang w:val="en-GB"/>
        </w:rPr>
        <w:t>The likely result, in the abstract, is that the US recognition application will be granted, and the US Court will apply an automatic stay, pursuant to Article 20(1), on the basis that the proceedings in Germany are recognised as foreign main proceedings</w:t>
      </w:r>
      <w:r w:rsidR="00D24C1D">
        <w:rPr>
          <w:rFonts w:ascii="Avenir Next" w:hAnsi="Avenir Next" w:cs="Arial"/>
          <w:sz w:val="22"/>
          <w:szCs w:val="22"/>
          <w:lang w:val="en-GB"/>
        </w:rPr>
        <w:t xml:space="preserve">. </w:t>
      </w:r>
    </w:p>
    <w:p w14:paraId="1970739B" w14:textId="77777777" w:rsidR="00D262AD" w:rsidRPr="00E2622D" w:rsidRDefault="00D262AD" w:rsidP="00707FC8">
      <w:pPr>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4180109B" w:rsidR="00622C2B" w:rsidRDefault="00622C2B" w:rsidP="00707FC8">
      <w:pPr>
        <w:jc w:val="both"/>
        <w:rPr>
          <w:rFonts w:ascii="Avenir Next" w:hAnsi="Avenir Next" w:cs="Arial"/>
          <w:sz w:val="22"/>
          <w:szCs w:val="22"/>
          <w:lang w:val="en-GB"/>
        </w:rPr>
      </w:pPr>
    </w:p>
    <w:p w14:paraId="0A65EC2E" w14:textId="7C721E61" w:rsidR="0004067A" w:rsidRDefault="00CB2F92" w:rsidP="00707FC8">
      <w:pPr>
        <w:jc w:val="both"/>
        <w:rPr>
          <w:rFonts w:ascii="Avenir Next" w:hAnsi="Avenir Next" w:cs="Arial"/>
          <w:sz w:val="22"/>
          <w:szCs w:val="22"/>
          <w:lang w:val="en-GB"/>
        </w:rPr>
      </w:pPr>
      <w:r>
        <w:rPr>
          <w:rFonts w:ascii="Avenir Next" w:hAnsi="Avenir Next" w:cs="Arial"/>
          <w:sz w:val="22"/>
          <w:szCs w:val="22"/>
          <w:lang w:val="en-GB"/>
        </w:rPr>
        <w:t>I</w:t>
      </w:r>
      <w:r w:rsidR="0004067A">
        <w:rPr>
          <w:rFonts w:ascii="Avenir Next" w:hAnsi="Avenir Next" w:cs="Arial"/>
          <w:sz w:val="22"/>
          <w:szCs w:val="22"/>
          <w:lang w:val="en-GB"/>
        </w:rPr>
        <w:t xml:space="preserve"> understand the position to be that the tort action is a US action that has been brought in the US. So, the starting point is that the JPLs have not submitted to the jurisdiction of the US Court in respect of the tort action, given that as per Article 10, the Chapter 15 proceedings only involved the JPLs submitting themselves to the US Court’s jurisdiction for the purpose of the petition</w:t>
      </w:r>
      <w:r w:rsidR="00E8036C">
        <w:rPr>
          <w:rFonts w:ascii="Avenir Next" w:hAnsi="Avenir Next" w:cs="Arial"/>
          <w:sz w:val="22"/>
          <w:szCs w:val="22"/>
          <w:lang w:val="en-GB"/>
        </w:rPr>
        <w:t>,</w:t>
      </w:r>
      <w:r w:rsidR="0004067A">
        <w:rPr>
          <w:rFonts w:ascii="Avenir Next" w:hAnsi="Avenir Next" w:cs="Arial"/>
          <w:sz w:val="22"/>
          <w:szCs w:val="22"/>
          <w:lang w:val="en-GB"/>
        </w:rPr>
        <w:t xml:space="preserve"> and not any other purpose. Depending on the circumstances though, </w:t>
      </w:r>
      <w:r w:rsidR="00D65179">
        <w:rPr>
          <w:rFonts w:ascii="Avenir Next" w:hAnsi="Avenir Next" w:cs="Arial"/>
          <w:sz w:val="22"/>
          <w:szCs w:val="22"/>
          <w:lang w:val="en-GB"/>
        </w:rPr>
        <w:t xml:space="preserve">the JPLs </w:t>
      </w:r>
      <w:r w:rsidR="0004067A">
        <w:rPr>
          <w:rFonts w:ascii="Avenir Next" w:hAnsi="Avenir Next" w:cs="Arial"/>
          <w:sz w:val="22"/>
          <w:szCs w:val="22"/>
          <w:lang w:val="en-GB"/>
        </w:rPr>
        <w:t>may</w:t>
      </w:r>
      <w:r w:rsidR="00D65179">
        <w:rPr>
          <w:rFonts w:ascii="Avenir Next" w:hAnsi="Avenir Next" w:cs="Arial"/>
          <w:sz w:val="22"/>
          <w:szCs w:val="22"/>
          <w:lang w:val="en-GB"/>
        </w:rPr>
        <w:t xml:space="preserve"> wish to seek relief in staying / resisting the US litigation</w:t>
      </w:r>
      <w:r w:rsidR="0004067A">
        <w:rPr>
          <w:rFonts w:ascii="Avenir Next" w:hAnsi="Avenir Next" w:cs="Arial"/>
          <w:sz w:val="22"/>
          <w:szCs w:val="22"/>
          <w:lang w:val="en-GB"/>
        </w:rPr>
        <w:t xml:space="preserve"> / entering a defence to that litigation</w:t>
      </w:r>
      <w:r w:rsidR="00730F39">
        <w:rPr>
          <w:rFonts w:ascii="Avenir Next" w:hAnsi="Avenir Next" w:cs="Arial"/>
          <w:sz w:val="22"/>
          <w:szCs w:val="22"/>
          <w:lang w:val="en-GB"/>
        </w:rPr>
        <w:t xml:space="preserve"> and/or seek</w:t>
      </w:r>
      <w:r w:rsidR="0004067A">
        <w:rPr>
          <w:rFonts w:ascii="Avenir Next" w:hAnsi="Avenir Next" w:cs="Arial"/>
          <w:sz w:val="22"/>
          <w:szCs w:val="22"/>
          <w:lang w:val="en-GB"/>
        </w:rPr>
        <w:t>ing</w:t>
      </w:r>
      <w:r w:rsidR="00730F39">
        <w:rPr>
          <w:rFonts w:ascii="Avenir Next" w:hAnsi="Avenir Next" w:cs="Arial"/>
          <w:sz w:val="22"/>
          <w:szCs w:val="22"/>
          <w:lang w:val="en-GB"/>
        </w:rPr>
        <w:t xml:space="preserve"> relief within the US litigation. </w:t>
      </w:r>
    </w:p>
    <w:p w14:paraId="566C2DF6" w14:textId="77777777" w:rsidR="0004067A" w:rsidRDefault="0004067A" w:rsidP="00707FC8">
      <w:pPr>
        <w:jc w:val="both"/>
        <w:rPr>
          <w:rFonts w:ascii="Avenir Next" w:hAnsi="Avenir Next" w:cs="Arial"/>
          <w:sz w:val="22"/>
          <w:szCs w:val="22"/>
          <w:lang w:val="en-GB"/>
        </w:rPr>
      </w:pPr>
    </w:p>
    <w:p w14:paraId="75BF756C" w14:textId="51FABD32" w:rsidR="00D65179" w:rsidRPr="00730F39" w:rsidRDefault="00730F39" w:rsidP="00707FC8">
      <w:pPr>
        <w:jc w:val="both"/>
        <w:rPr>
          <w:rFonts w:ascii="Avenir Next" w:hAnsi="Avenir Next" w:cs="Arial"/>
          <w:sz w:val="22"/>
          <w:szCs w:val="22"/>
          <w:lang w:val="en-GB"/>
        </w:rPr>
      </w:pPr>
      <w:r>
        <w:rPr>
          <w:rFonts w:ascii="Avenir Next" w:hAnsi="Avenir Next" w:cs="Arial"/>
          <w:sz w:val="22"/>
          <w:szCs w:val="22"/>
          <w:lang w:val="en-GB"/>
        </w:rPr>
        <w:t xml:space="preserve">However, </w:t>
      </w:r>
      <w:r w:rsidR="006512AD">
        <w:rPr>
          <w:rFonts w:ascii="Avenir Next" w:hAnsi="Avenir Next" w:cs="Arial"/>
          <w:sz w:val="22"/>
          <w:szCs w:val="22"/>
          <w:lang w:val="en-GB"/>
        </w:rPr>
        <w:t xml:space="preserve">from </w:t>
      </w:r>
      <w:r w:rsidR="00D65179">
        <w:rPr>
          <w:rFonts w:ascii="Avenir Next" w:hAnsi="Avenir Next" w:cs="Arial"/>
          <w:sz w:val="22"/>
          <w:szCs w:val="22"/>
          <w:lang w:val="en-GB"/>
        </w:rPr>
        <w:t>the insolvency / UNCITRAL law perspective, the</w:t>
      </w:r>
      <w:r w:rsidR="00E8036C">
        <w:rPr>
          <w:rFonts w:ascii="Avenir Next" w:hAnsi="Avenir Next" w:cs="Arial"/>
          <w:sz w:val="22"/>
          <w:szCs w:val="22"/>
          <w:lang w:val="en-GB"/>
        </w:rPr>
        <w:t xml:space="preserve"> JPLs</w:t>
      </w:r>
      <w:r w:rsidR="00D65179">
        <w:rPr>
          <w:rFonts w:ascii="Avenir Next" w:hAnsi="Avenir Next" w:cs="Arial"/>
          <w:sz w:val="22"/>
          <w:szCs w:val="22"/>
          <w:lang w:val="en-GB"/>
        </w:rPr>
        <w:t xml:space="preserve"> would </w:t>
      </w:r>
      <w:r w:rsidR="0004067A">
        <w:rPr>
          <w:rFonts w:ascii="Avenir Next" w:hAnsi="Avenir Next" w:cs="Arial"/>
          <w:sz w:val="22"/>
          <w:szCs w:val="22"/>
          <w:lang w:val="en-GB"/>
        </w:rPr>
        <w:t xml:space="preserve">presumably </w:t>
      </w:r>
      <w:r w:rsidR="00D65179">
        <w:rPr>
          <w:rFonts w:ascii="Avenir Next" w:hAnsi="Avenir Next" w:cs="Arial"/>
          <w:sz w:val="22"/>
          <w:szCs w:val="22"/>
          <w:lang w:val="en-GB"/>
        </w:rPr>
        <w:t xml:space="preserve">seek to stay </w:t>
      </w:r>
      <w:r w:rsidR="00043EB6">
        <w:rPr>
          <w:rFonts w:ascii="Avenir Next" w:hAnsi="Avenir Next" w:cs="Arial"/>
          <w:sz w:val="22"/>
          <w:szCs w:val="22"/>
          <w:lang w:val="en-GB"/>
        </w:rPr>
        <w:t xml:space="preserve">(or defeat) </w:t>
      </w:r>
      <w:r w:rsidR="00D65179">
        <w:rPr>
          <w:rFonts w:ascii="Avenir Next" w:hAnsi="Avenir Next" w:cs="Arial"/>
          <w:sz w:val="22"/>
          <w:szCs w:val="22"/>
          <w:lang w:val="en-GB"/>
        </w:rPr>
        <w:t>the US litigation</w:t>
      </w:r>
      <w:r w:rsidR="00E8036C">
        <w:rPr>
          <w:rFonts w:ascii="Avenir Next" w:hAnsi="Avenir Next" w:cs="Arial"/>
          <w:sz w:val="22"/>
          <w:szCs w:val="22"/>
          <w:lang w:val="en-GB"/>
        </w:rPr>
        <w:t>, so as to avoid it interfering with their work and/or the foreign proceedings</w:t>
      </w:r>
      <w:r w:rsidR="00D65179">
        <w:rPr>
          <w:rFonts w:ascii="Avenir Next" w:hAnsi="Avenir Next" w:cs="Arial"/>
          <w:sz w:val="22"/>
          <w:szCs w:val="22"/>
          <w:lang w:val="en-GB"/>
        </w:rPr>
        <w:t xml:space="preserve">. </w:t>
      </w:r>
      <w:r w:rsidR="00E8036C">
        <w:rPr>
          <w:rFonts w:ascii="Avenir Next" w:hAnsi="Avenir Next" w:cs="Arial"/>
          <w:sz w:val="22"/>
          <w:szCs w:val="22"/>
          <w:lang w:val="en-GB"/>
        </w:rPr>
        <w:t>T</w:t>
      </w:r>
      <w:r w:rsidR="00D65179">
        <w:rPr>
          <w:rFonts w:ascii="Avenir Next" w:hAnsi="Avenir Next" w:cs="Arial"/>
          <w:sz w:val="22"/>
          <w:szCs w:val="22"/>
          <w:lang w:val="en-GB"/>
        </w:rPr>
        <w:t xml:space="preserve">he JPLs would </w:t>
      </w:r>
      <w:r w:rsidR="00E8036C">
        <w:rPr>
          <w:rFonts w:ascii="Avenir Next" w:hAnsi="Avenir Next" w:cs="Arial"/>
          <w:sz w:val="22"/>
          <w:szCs w:val="22"/>
          <w:lang w:val="en-GB"/>
        </w:rPr>
        <w:t xml:space="preserve">thus </w:t>
      </w:r>
      <w:r w:rsidR="00EA0765">
        <w:rPr>
          <w:rFonts w:ascii="Avenir Next" w:hAnsi="Avenir Next" w:cs="Arial"/>
          <w:sz w:val="22"/>
          <w:szCs w:val="22"/>
          <w:lang w:val="en-GB"/>
        </w:rPr>
        <w:t xml:space="preserve">likely </w:t>
      </w:r>
      <w:r w:rsidR="00D65179">
        <w:rPr>
          <w:rFonts w:ascii="Avenir Next" w:hAnsi="Avenir Next" w:cs="Arial"/>
          <w:sz w:val="22"/>
          <w:szCs w:val="22"/>
          <w:lang w:val="en-GB"/>
        </w:rPr>
        <w:t xml:space="preserve">seek urgent preliminary relief </w:t>
      </w:r>
      <w:r w:rsidR="00D65179">
        <w:rPr>
          <w:rFonts w:ascii="Avenir Next" w:hAnsi="Avenir Next"/>
          <w:sz w:val="22"/>
          <w:szCs w:val="28"/>
        </w:rPr>
        <w:t>under Article 19</w:t>
      </w:r>
      <w:r w:rsidR="00EA0765">
        <w:rPr>
          <w:rFonts w:ascii="Avenir Next" w:hAnsi="Avenir Next"/>
          <w:sz w:val="22"/>
          <w:szCs w:val="28"/>
        </w:rPr>
        <w:t xml:space="preserve">, </w:t>
      </w:r>
      <w:r w:rsidR="00D65179">
        <w:rPr>
          <w:rFonts w:ascii="Avenir Next" w:hAnsi="Avenir Next"/>
          <w:sz w:val="22"/>
          <w:szCs w:val="28"/>
        </w:rPr>
        <w:t>argu</w:t>
      </w:r>
      <w:r w:rsidR="00EA0765">
        <w:rPr>
          <w:rFonts w:ascii="Avenir Next" w:hAnsi="Avenir Next"/>
          <w:sz w:val="22"/>
          <w:szCs w:val="28"/>
        </w:rPr>
        <w:t>ing</w:t>
      </w:r>
      <w:r w:rsidR="00D65179">
        <w:rPr>
          <w:rFonts w:ascii="Avenir Next" w:hAnsi="Avenir Next"/>
          <w:sz w:val="22"/>
          <w:szCs w:val="28"/>
        </w:rPr>
        <w:t xml:space="preserve"> that this is necessary to protect the debtor’s assets and that the interests of the parties are adequately protected (Article 22)</w:t>
      </w:r>
      <w:r w:rsidR="00EA0765">
        <w:rPr>
          <w:rFonts w:ascii="Avenir Next" w:hAnsi="Avenir Next"/>
          <w:sz w:val="22"/>
          <w:szCs w:val="28"/>
        </w:rPr>
        <w:t xml:space="preserve"> etc</w:t>
      </w:r>
      <w:r w:rsidR="00D65179">
        <w:rPr>
          <w:rFonts w:ascii="Avenir Next" w:hAnsi="Avenir Next"/>
          <w:sz w:val="22"/>
          <w:szCs w:val="28"/>
        </w:rPr>
        <w:t xml:space="preserve">. </w:t>
      </w:r>
      <w:r w:rsidR="00EA0765">
        <w:rPr>
          <w:rFonts w:ascii="Avenir Next" w:hAnsi="Avenir Next"/>
          <w:sz w:val="22"/>
          <w:szCs w:val="28"/>
        </w:rPr>
        <w:t xml:space="preserve">Purely in the abstract, such relief </w:t>
      </w:r>
      <w:r w:rsidR="00067C5E">
        <w:rPr>
          <w:rFonts w:ascii="Avenir Next" w:hAnsi="Avenir Next"/>
          <w:sz w:val="22"/>
          <w:szCs w:val="28"/>
        </w:rPr>
        <w:t>would</w:t>
      </w:r>
      <w:r w:rsidR="00EA0765">
        <w:rPr>
          <w:rFonts w:ascii="Avenir Next" w:hAnsi="Avenir Next"/>
          <w:sz w:val="22"/>
          <w:szCs w:val="28"/>
        </w:rPr>
        <w:t xml:space="preserve"> </w:t>
      </w:r>
      <w:r w:rsidR="0004067A">
        <w:rPr>
          <w:rFonts w:ascii="Avenir Next" w:hAnsi="Avenir Next"/>
          <w:sz w:val="22"/>
          <w:szCs w:val="28"/>
        </w:rPr>
        <w:t>presumably b</w:t>
      </w:r>
      <w:r w:rsidR="00067C5E">
        <w:rPr>
          <w:rFonts w:ascii="Avenir Next" w:hAnsi="Avenir Next"/>
          <w:sz w:val="22"/>
          <w:szCs w:val="28"/>
        </w:rPr>
        <w:t xml:space="preserve">e given, </w:t>
      </w:r>
      <w:r w:rsidR="00EA0765">
        <w:rPr>
          <w:rFonts w:ascii="Avenir Next" w:hAnsi="Avenir Next"/>
          <w:sz w:val="22"/>
          <w:szCs w:val="28"/>
        </w:rPr>
        <w:t>in that the urgency test</w:t>
      </w:r>
      <w:r w:rsidR="005256A1">
        <w:rPr>
          <w:rFonts w:ascii="Avenir Next" w:hAnsi="Avenir Next"/>
          <w:sz w:val="22"/>
          <w:szCs w:val="28"/>
        </w:rPr>
        <w:t xml:space="preserve"> (Article 19(1))</w:t>
      </w:r>
      <w:r w:rsidR="00EA0765">
        <w:rPr>
          <w:rFonts w:ascii="Avenir Next" w:hAnsi="Avenir Next"/>
          <w:sz w:val="22"/>
          <w:szCs w:val="28"/>
        </w:rPr>
        <w:t xml:space="preserve"> is satisfied</w:t>
      </w:r>
      <w:r w:rsidR="00067C5E">
        <w:rPr>
          <w:rFonts w:ascii="Avenir Next" w:hAnsi="Avenir Next"/>
          <w:sz w:val="22"/>
          <w:szCs w:val="28"/>
        </w:rPr>
        <w:t>,</w:t>
      </w:r>
      <w:r w:rsidR="00EA0765">
        <w:rPr>
          <w:rFonts w:ascii="Avenir Next" w:hAnsi="Avenir Next"/>
          <w:sz w:val="22"/>
          <w:szCs w:val="28"/>
        </w:rPr>
        <w:t xml:space="preserve"> due to existing </w:t>
      </w:r>
      <w:r w:rsidR="00E8036C">
        <w:rPr>
          <w:rFonts w:ascii="Avenir Next" w:hAnsi="Avenir Next"/>
          <w:sz w:val="22"/>
          <w:szCs w:val="28"/>
        </w:rPr>
        <w:t xml:space="preserve">tort </w:t>
      </w:r>
      <w:r w:rsidR="00EA0765">
        <w:rPr>
          <w:rFonts w:ascii="Avenir Next" w:hAnsi="Avenir Next"/>
          <w:sz w:val="22"/>
          <w:szCs w:val="28"/>
        </w:rPr>
        <w:t xml:space="preserve">litigation that is targeted </w:t>
      </w:r>
      <w:r w:rsidR="00EA0765" w:rsidRPr="0004067A">
        <w:rPr>
          <w:rFonts w:ascii="Avenir Next" w:hAnsi="Avenir Next"/>
          <w:i/>
          <w:sz w:val="22"/>
          <w:szCs w:val="28"/>
        </w:rPr>
        <w:t>directly at the insolvency process</w:t>
      </w:r>
      <w:r w:rsidR="0004067A">
        <w:rPr>
          <w:rFonts w:ascii="Avenir Next" w:hAnsi="Avenir Next"/>
          <w:i/>
          <w:sz w:val="22"/>
          <w:szCs w:val="28"/>
        </w:rPr>
        <w:t xml:space="preserve"> or, more accurately, the foreign representatives themselves</w:t>
      </w:r>
      <w:r w:rsidR="00EA0765">
        <w:rPr>
          <w:rFonts w:ascii="Avenir Next" w:hAnsi="Avenir Next"/>
          <w:sz w:val="22"/>
          <w:szCs w:val="28"/>
        </w:rPr>
        <w:t>.</w:t>
      </w:r>
      <w:r>
        <w:rPr>
          <w:rFonts w:ascii="Avenir Next" w:hAnsi="Avenir Next"/>
          <w:sz w:val="22"/>
          <w:szCs w:val="28"/>
        </w:rPr>
        <w:t xml:space="preserve"> At the very least, such relief would appear to make sense on</w:t>
      </w:r>
      <w:r w:rsidR="00FC5134">
        <w:rPr>
          <w:rFonts w:ascii="Avenir Next" w:hAnsi="Avenir Next"/>
          <w:sz w:val="22"/>
          <w:szCs w:val="28"/>
        </w:rPr>
        <w:t xml:space="preserve"> an</w:t>
      </w:r>
      <w:r>
        <w:rPr>
          <w:rFonts w:ascii="Avenir Next" w:hAnsi="Avenir Next"/>
          <w:sz w:val="22"/>
          <w:szCs w:val="28"/>
        </w:rPr>
        <w:t xml:space="preserve"> </w:t>
      </w:r>
      <w:r w:rsidRPr="0004067A">
        <w:rPr>
          <w:rFonts w:ascii="Avenir Next" w:hAnsi="Avenir Next"/>
          <w:sz w:val="22"/>
          <w:szCs w:val="28"/>
        </w:rPr>
        <w:t xml:space="preserve">interim basis </w:t>
      </w:r>
      <w:r>
        <w:rPr>
          <w:rFonts w:ascii="Avenir Next" w:hAnsi="Avenir Next"/>
          <w:sz w:val="22"/>
          <w:szCs w:val="28"/>
        </w:rPr>
        <w:t xml:space="preserve">until the US Bankruptcy Court has determined the recognition application. </w:t>
      </w:r>
    </w:p>
    <w:p w14:paraId="1F2ABD89" w14:textId="72BDAF5C" w:rsidR="00D65179" w:rsidRDefault="00D65179" w:rsidP="00707FC8">
      <w:pPr>
        <w:jc w:val="both"/>
        <w:rPr>
          <w:rFonts w:ascii="Avenir Next" w:hAnsi="Avenir Next" w:cs="Arial"/>
          <w:sz w:val="22"/>
          <w:szCs w:val="22"/>
          <w:shd w:val="clear" w:color="auto" w:fill="FFFFFF"/>
          <w:lang w:val="en-GB"/>
        </w:rPr>
      </w:pPr>
    </w:p>
    <w:p w14:paraId="71FD59ED" w14:textId="77777777" w:rsidR="00D65179" w:rsidRPr="00E2622D" w:rsidRDefault="00D65179"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lastRenderedPageBreak/>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03AD3674" w:rsidR="00817D57" w:rsidRDefault="00817D57" w:rsidP="00707FC8">
      <w:pPr>
        <w:jc w:val="both"/>
        <w:rPr>
          <w:rFonts w:ascii="Avenir Next" w:hAnsi="Avenir Next" w:cs="Arial"/>
          <w:sz w:val="22"/>
          <w:szCs w:val="22"/>
          <w:lang w:val="en-GB"/>
        </w:rPr>
      </w:pPr>
    </w:p>
    <w:p w14:paraId="49E534F2" w14:textId="055B7EF8" w:rsidR="00983EA4" w:rsidRDefault="008E25BF" w:rsidP="00707FC8">
      <w:pPr>
        <w:jc w:val="both"/>
        <w:rPr>
          <w:rFonts w:ascii="Avenir Next" w:hAnsi="Avenir Next" w:cs="Arial"/>
          <w:sz w:val="22"/>
          <w:szCs w:val="22"/>
          <w:lang w:val="en-GB"/>
        </w:rPr>
      </w:pPr>
      <w:r>
        <w:rPr>
          <w:rFonts w:ascii="Avenir Next" w:hAnsi="Avenir Next" w:cs="Arial"/>
          <w:sz w:val="22"/>
          <w:szCs w:val="22"/>
          <w:lang w:val="en-GB"/>
        </w:rPr>
        <w:t>The foreign representative should apply for preliminary relief under Article 19 given that, until the US Court considers the recognition proceeding, there is no stay on any general action by the US creditors</w:t>
      </w:r>
      <w:r w:rsidR="005536CA">
        <w:rPr>
          <w:rFonts w:ascii="Avenir Next" w:hAnsi="Avenir Next" w:cs="Arial"/>
          <w:sz w:val="22"/>
          <w:szCs w:val="22"/>
          <w:lang w:val="en-GB"/>
        </w:rPr>
        <w:t xml:space="preserve"> and/or any other legal block in the US on the creditors taking steps in respect of the assets</w:t>
      </w:r>
      <w:r>
        <w:rPr>
          <w:rFonts w:ascii="Avenir Next" w:hAnsi="Avenir Next" w:cs="Arial"/>
          <w:sz w:val="22"/>
          <w:szCs w:val="22"/>
          <w:lang w:val="en-GB"/>
        </w:rPr>
        <w:t xml:space="preserve">, </w:t>
      </w:r>
      <w:r>
        <w:rPr>
          <w:rFonts w:ascii="Avenir Next" w:hAnsi="Avenir Next" w:cs="Arial"/>
          <w:i/>
          <w:sz w:val="22"/>
          <w:szCs w:val="22"/>
          <w:lang w:val="en-GB"/>
        </w:rPr>
        <w:t xml:space="preserve">i.e. </w:t>
      </w:r>
      <w:r>
        <w:rPr>
          <w:rFonts w:ascii="Avenir Next" w:hAnsi="Avenir Next" w:cs="Arial"/>
          <w:sz w:val="22"/>
          <w:szCs w:val="22"/>
          <w:lang w:val="en-GB"/>
        </w:rPr>
        <w:t>the assets are exposed</w:t>
      </w:r>
      <w:r w:rsidR="007C513D">
        <w:rPr>
          <w:rFonts w:ascii="Avenir Next" w:hAnsi="Avenir Next" w:cs="Arial"/>
          <w:sz w:val="22"/>
          <w:szCs w:val="22"/>
          <w:lang w:val="en-GB"/>
        </w:rPr>
        <w:t xml:space="preserve">, notwithstanding the comfort that would be given by the fact that US Bankruptcy Law would not treat the </w:t>
      </w:r>
      <w:r w:rsidR="007C513D">
        <w:rPr>
          <w:rFonts w:ascii="Avenir Next" w:hAnsi="Avenir Next" w:cs="Arial"/>
          <w:i/>
          <w:sz w:val="22"/>
          <w:szCs w:val="22"/>
          <w:lang w:val="en-GB"/>
        </w:rPr>
        <w:t>ipso facto</w:t>
      </w:r>
      <w:r w:rsidR="007C513D">
        <w:rPr>
          <w:rFonts w:ascii="Avenir Next" w:hAnsi="Avenir Next" w:cs="Arial"/>
          <w:sz w:val="22"/>
          <w:szCs w:val="22"/>
          <w:lang w:val="en-GB"/>
        </w:rPr>
        <w:t xml:space="preserve"> clauses as enforceable. </w:t>
      </w:r>
      <w:r w:rsidR="00982731">
        <w:rPr>
          <w:rFonts w:ascii="Avenir Next" w:hAnsi="Avenir Next" w:cs="Arial"/>
          <w:sz w:val="22"/>
          <w:szCs w:val="22"/>
          <w:lang w:val="en-GB"/>
        </w:rPr>
        <w:t xml:space="preserve">If anything, however, the </w:t>
      </w:r>
      <w:r w:rsidR="00982731">
        <w:rPr>
          <w:rFonts w:ascii="Avenir Next" w:hAnsi="Avenir Next" w:cs="Arial"/>
          <w:i/>
          <w:sz w:val="22"/>
          <w:szCs w:val="22"/>
          <w:lang w:val="en-GB"/>
        </w:rPr>
        <w:t>ipso facto</w:t>
      </w:r>
      <w:r w:rsidR="00982731">
        <w:rPr>
          <w:rFonts w:ascii="Avenir Next" w:hAnsi="Avenir Next" w:cs="Arial"/>
          <w:sz w:val="22"/>
          <w:szCs w:val="22"/>
          <w:lang w:val="en-GB"/>
        </w:rPr>
        <w:t xml:space="preserve"> clauses add to the incentive for the JPLs to seek urgent relief, given that the creditors may / will likely know that the </w:t>
      </w:r>
      <w:r w:rsidR="00982731">
        <w:rPr>
          <w:rFonts w:ascii="Avenir Next" w:hAnsi="Avenir Next" w:cs="Arial"/>
          <w:i/>
          <w:sz w:val="22"/>
          <w:szCs w:val="22"/>
          <w:lang w:val="en-GB"/>
        </w:rPr>
        <w:t>ipso facto</w:t>
      </w:r>
      <w:r w:rsidR="00982731">
        <w:rPr>
          <w:rFonts w:ascii="Avenir Next" w:hAnsi="Avenir Next" w:cs="Arial"/>
          <w:sz w:val="22"/>
          <w:szCs w:val="22"/>
          <w:lang w:val="en-GB"/>
        </w:rPr>
        <w:t xml:space="preserve"> clauses are unenforceable</w:t>
      </w:r>
      <w:r w:rsidR="00983EA4">
        <w:rPr>
          <w:rFonts w:ascii="Avenir Next" w:hAnsi="Avenir Next" w:cs="Arial"/>
          <w:sz w:val="22"/>
          <w:szCs w:val="22"/>
          <w:lang w:val="en-GB"/>
        </w:rPr>
        <w:t xml:space="preserve"> and seek to take </w:t>
      </w:r>
      <w:r w:rsidR="00983EA4" w:rsidRPr="00BA7630">
        <w:rPr>
          <w:rFonts w:ascii="Avenir Next" w:hAnsi="Avenir Next" w:cs="Arial"/>
          <w:i/>
          <w:sz w:val="22"/>
          <w:szCs w:val="22"/>
          <w:lang w:val="en-GB"/>
        </w:rPr>
        <w:t>other</w:t>
      </w:r>
      <w:r w:rsidR="00983EA4">
        <w:rPr>
          <w:rFonts w:ascii="Avenir Next" w:hAnsi="Avenir Next" w:cs="Arial"/>
          <w:sz w:val="22"/>
          <w:szCs w:val="22"/>
          <w:lang w:val="en-GB"/>
        </w:rPr>
        <w:t xml:space="preserve"> steps</w:t>
      </w:r>
      <w:r w:rsidR="005536CA">
        <w:rPr>
          <w:rFonts w:ascii="Avenir Next" w:hAnsi="Avenir Next" w:cs="Arial"/>
          <w:sz w:val="22"/>
          <w:szCs w:val="22"/>
          <w:lang w:val="en-GB"/>
        </w:rPr>
        <w:t xml:space="preserve"> (outside of litigation)</w:t>
      </w:r>
      <w:r w:rsidR="00983EA4">
        <w:rPr>
          <w:rFonts w:ascii="Avenir Next" w:hAnsi="Avenir Next" w:cs="Arial"/>
          <w:sz w:val="22"/>
          <w:szCs w:val="22"/>
          <w:lang w:val="en-GB"/>
        </w:rPr>
        <w:t xml:space="preserve"> in the next 35 days. In other words, between now and the hearing</w:t>
      </w:r>
      <w:r w:rsidR="005536CA">
        <w:rPr>
          <w:rFonts w:ascii="Avenir Next" w:hAnsi="Avenir Next" w:cs="Arial"/>
          <w:sz w:val="22"/>
          <w:szCs w:val="22"/>
          <w:lang w:val="en-GB"/>
        </w:rPr>
        <w:t>,</w:t>
      </w:r>
      <w:r w:rsidR="00983EA4">
        <w:rPr>
          <w:rFonts w:ascii="Avenir Next" w:hAnsi="Avenir Next" w:cs="Arial"/>
          <w:sz w:val="22"/>
          <w:szCs w:val="22"/>
          <w:lang w:val="en-GB"/>
        </w:rPr>
        <w:t xml:space="preserve"> the </w:t>
      </w:r>
      <w:r w:rsidR="00AE4B31">
        <w:rPr>
          <w:rFonts w:ascii="Avenir Next" w:hAnsi="Avenir Next" w:cs="Arial"/>
          <w:sz w:val="22"/>
          <w:szCs w:val="22"/>
          <w:lang w:val="en-GB"/>
        </w:rPr>
        <w:t xml:space="preserve">creditors </w:t>
      </w:r>
      <w:r w:rsidR="00983EA4">
        <w:rPr>
          <w:rFonts w:ascii="Avenir Next" w:hAnsi="Avenir Next" w:cs="Arial"/>
          <w:sz w:val="22"/>
          <w:szCs w:val="22"/>
          <w:lang w:val="en-GB"/>
        </w:rPr>
        <w:t xml:space="preserve">may attempt to </w:t>
      </w:r>
      <w:r w:rsidR="00AE4B31">
        <w:rPr>
          <w:rFonts w:ascii="Avenir Next" w:hAnsi="Avenir Next" w:cs="Arial"/>
          <w:sz w:val="22"/>
          <w:szCs w:val="22"/>
          <w:lang w:val="en-GB"/>
        </w:rPr>
        <w:t>extract value from the assets</w:t>
      </w:r>
      <w:r w:rsidR="00983EA4">
        <w:rPr>
          <w:rFonts w:ascii="Avenir Next" w:hAnsi="Avenir Next" w:cs="Arial"/>
          <w:sz w:val="22"/>
          <w:szCs w:val="22"/>
          <w:lang w:val="en-GB"/>
        </w:rPr>
        <w:t xml:space="preserve"> / dissipate the assets / </w:t>
      </w:r>
      <w:r w:rsidR="00BA7630">
        <w:rPr>
          <w:rFonts w:ascii="Avenir Next" w:hAnsi="Avenir Next" w:cs="Arial"/>
          <w:sz w:val="22"/>
          <w:szCs w:val="22"/>
          <w:lang w:val="en-GB"/>
        </w:rPr>
        <w:t>assign the</w:t>
      </w:r>
      <w:r w:rsidR="005536CA">
        <w:rPr>
          <w:rFonts w:ascii="Avenir Next" w:hAnsi="Avenir Next" w:cs="Arial"/>
          <w:sz w:val="22"/>
          <w:szCs w:val="22"/>
          <w:lang w:val="en-GB"/>
        </w:rPr>
        <w:t xml:space="preserve"> assets</w:t>
      </w:r>
      <w:r w:rsidR="00BA7630">
        <w:rPr>
          <w:rFonts w:ascii="Avenir Next" w:hAnsi="Avenir Next" w:cs="Arial"/>
          <w:sz w:val="22"/>
          <w:szCs w:val="22"/>
          <w:lang w:val="en-GB"/>
        </w:rPr>
        <w:t xml:space="preserve"> / </w:t>
      </w:r>
      <w:r w:rsidR="00983EA4">
        <w:rPr>
          <w:rFonts w:ascii="Avenir Next" w:hAnsi="Avenir Next" w:cs="Arial"/>
          <w:sz w:val="22"/>
          <w:szCs w:val="22"/>
          <w:lang w:val="en-GB"/>
        </w:rPr>
        <w:t>exercise any contractual rights (including and/or short of termination)</w:t>
      </w:r>
      <w:r w:rsidR="005536CA">
        <w:rPr>
          <w:rFonts w:ascii="Avenir Next" w:hAnsi="Avenir Next" w:cs="Arial"/>
          <w:sz w:val="22"/>
          <w:szCs w:val="22"/>
          <w:lang w:val="en-GB"/>
        </w:rPr>
        <w:t xml:space="preserve"> to the benefit of the creditors and detriment of the debtor</w:t>
      </w:r>
      <w:r w:rsidR="00AE4B31">
        <w:rPr>
          <w:rFonts w:ascii="Avenir Next" w:hAnsi="Avenir Next" w:cs="Arial"/>
          <w:sz w:val="22"/>
          <w:szCs w:val="22"/>
          <w:lang w:val="en-GB"/>
        </w:rPr>
        <w:t xml:space="preserve">. </w:t>
      </w:r>
      <w:r w:rsidR="00983EA4">
        <w:rPr>
          <w:rFonts w:ascii="Avenir Next" w:hAnsi="Avenir Next" w:cs="Arial"/>
          <w:sz w:val="22"/>
          <w:szCs w:val="22"/>
          <w:lang w:val="en-GB"/>
        </w:rPr>
        <w:t>The relief sought</w:t>
      </w:r>
      <w:r w:rsidR="00BA7630">
        <w:rPr>
          <w:rFonts w:ascii="Avenir Next" w:hAnsi="Avenir Next" w:cs="Arial"/>
          <w:sz w:val="22"/>
          <w:szCs w:val="22"/>
          <w:lang w:val="en-GB"/>
        </w:rPr>
        <w:t xml:space="preserve"> could, for example, include as per Article 21(1)(c) (</w:t>
      </w:r>
      <w:r w:rsidR="005536CA">
        <w:rPr>
          <w:rFonts w:ascii="Avenir Next" w:hAnsi="Avenir Next" w:cs="Arial"/>
          <w:sz w:val="22"/>
          <w:szCs w:val="22"/>
          <w:lang w:val="en-GB"/>
        </w:rPr>
        <w:t xml:space="preserve">accessed </w:t>
      </w:r>
      <w:r w:rsidR="00BA7630">
        <w:rPr>
          <w:rFonts w:ascii="Avenir Next" w:hAnsi="Avenir Next" w:cs="Arial"/>
          <w:sz w:val="22"/>
          <w:szCs w:val="22"/>
          <w:lang w:val="en-GB"/>
        </w:rPr>
        <w:t xml:space="preserve">via Article 19(1)(c)), suspending any right of transfer of the leases and/or IP rights etc. </w:t>
      </w:r>
      <w:r w:rsidR="008404E7">
        <w:rPr>
          <w:rFonts w:ascii="Avenir Next" w:hAnsi="Avenir Next" w:cs="Arial"/>
          <w:sz w:val="22"/>
          <w:szCs w:val="22"/>
          <w:lang w:val="en-GB"/>
        </w:rPr>
        <w:t xml:space="preserve">The debtor would, however, need to argue that the test of urgency </w:t>
      </w:r>
      <w:r w:rsidR="00484F1E">
        <w:rPr>
          <w:rFonts w:ascii="Avenir Next" w:hAnsi="Avenir Next" w:cs="Arial"/>
          <w:sz w:val="22"/>
          <w:szCs w:val="22"/>
          <w:lang w:val="en-GB"/>
        </w:rPr>
        <w:t xml:space="preserve">(Article 19(1)) </w:t>
      </w:r>
      <w:r w:rsidR="008404E7">
        <w:rPr>
          <w:rFonts w:ascii="Avenir Next" w:hAnsi="Avenir Next" w:cs="Arial"/>
          <w:sz w:val="22"/>
          <w:szCs w:val="22"/>
          <w:lang w:val="en-GB"/>
        </w:rPr>
        <w:t>satisfied</w:t>
      </w:r>
      <w:r w:rsidR="00484F1E">
        <w:rPr>
          <w:rFonts w:ascii="Avenir Next" w:hAnsi="Avenir Next" w:cs="Arial"/>
          <w:sz w:val="22"/>
          <w:szCs w:val="22"/>
          <w:lang w:val="en-GB"/>
        </w:rPr>
        <w:t xml:space="preserve">, notwithstanding the absence of any threat of litigation, and that the interests of the creditors, and other interest parties (which may be parties to the leases and IP licences) are adequately protected. </w:t>
      </w:r>
      <w:r w:rsidR="008404E7">
        <w:rPr>
          <w:rFonts w:ascii="Avenir Next" w:hAnsi="Avenir Next" w:cs="Arial"/>
          <w:sz w:val="22"/>
          <w:szCs w:val="22"/>
          <w:lang w:val="en-GB"/>
        </w:rPr>
        <w:t xml:space="preserve"> </w:t>
      </w:r>
    </w:p>
    <w:p w14:paraId="4B3093E4" w14:textId="77777777" w:rsidR="00983EA4" w:rsidRDefault="00983EA4" w:rsidP="00707FC8">
      <w:pPr>
        <w:jc w:val="both"/>
        <w:rPr>
          <w:rFonts w:ascii="Avenir Next" w:hAnsi="Avenir Next" w:cs="Arial"/>
          <w:sz w:val="22"/>
          <w:szCs w:val="22"/>
          <w:lang w:val="en-GB"/>
        </w:rPr>
      </w:pPr>
    </w:p>
    <w:p w14:paraId="1B1A1C72" w14:textId="0FB91A3F" w:rsidR="001E6087" w:rsidRPr="001E6087" w:rsidRDefault="00011BA3" w:rsidP="00707FC8">
      <w:pPr>
        <w:jc w:val="both"/>
        <w:rPr>
          <w:rFonts w:ascii="Avenir Next" w:hAnsi="Avenir Next" w:cs="Arial"/>
          <w:sz w:val="22"/>
          <w:szCs w:val="22"/>
          <w:lang w:val="en-GB"/>
        </w:rPr>
      </w:pPr>
      <w:r>
        <w:rPr>
          <w:rFonts w:ascii="Avenir Next" w:hAnsi="Avenir Next" w:cs="Arial"/>
          <w:sz w:val="22"/>
          <w:szCs w:val="22"/>
          <w:lang w:val="en-GB"/>
        </w:rPr>
        <w:t>Such relief would also be prudent given that there may be obvious limits to any assistance to be had from the English Court, including on the basis that</w:t>
      </w:r>
      <w:r w:rsidR="000B1384">
        <w:rPr>
          <w:rFonts w:ascii="Avenir Next" w:hAnsi="Avenir Next" w:cs="Arial"/>
          <w:sz w:val="22"/>
          <w:szCs w:val="22"/>
          <w:lang w:val="en-GB"/>
        </w:rPr>
        <w:t xml:space="preserve">, as per the rule in </w:t>
      </w:r>
      <w:r w:rsidR="000B1384">
        <w:rPr>
          <w:rFonts w:ascii="Avenir Next" w:hAnsi="Avenir Next" w:cs="Arial"/>
          <w:i/>
          <w:sz w:val="22"/>
          <w:szCs w:val="22"/>
          <w:lang w:val="en-GB"/>
        </w:rPr>
        <w:t>Gibbs</w:t>
      </w:r>
      <w:r w:rsidR="000B1384">
        <w:rPr>
          <w:rFonts w:ascii="Avenir Next" w:hAnsi="Avenir Next" w:cs="Arial"/>
          <w:sz w:val="22"/>
          <w:szCs w:val="22"/>
          <w:lang w:val="en-GB"/>
        </w:rPr>
        <w:t xml:space="preserve">, </w:t>
      </w:r>
      <w:r w:rsidR="00266552" w:rsidRPr="00266552">
        <w:rPr>
          <w:rFonts w:ascii="Avenir Next" w:hAnsi="Avenir Next" w:cs="Arial"/>
          <w:i/>
          <w:sz w:val="22"/>
          <w:szCs w:val="22"/>
          <w:lang w:val="en-GB"/>
        </w:rPr>
        <w:t>“discharge of a debt under the insolvency law of a foreign country is only treated as a discharge therefrom in England if it is a discharge under the law applicable to the contract”</w:t>
      </w:r>
      <w:r w:rsidR="00266552">
        <w:rPr>
          <w:rFonts w:ascii="Avenir Next" w:hAnsi="Avenir Next" w:cs="Arial"/>
          <w:sz w:val="22"/>
          <w:szCs w:val="22"/>
          <w:lang w:val="en-GB"/>
        </w:rPr>
        <w:t xml:space="preserve"> (</w:t>
      </w:r>
      <w:r w:rsidR="00266552" w:rsidRPr="00266552">
        <w:rPr>
          <w:rFonts w:ascii="Avenir Next" w:hAnsi="Avenir Next" w:cs="Arial"/>
          <w:sz w:val="22"/>
          <w:szCs w:val="22"/>
          <w:lang w:val="en-GB"/>
        </w:rPr>
        <w:t>[2018] EWHC 59</w:t>
      </w:r>
      <w:r w:rsidR="00266552">
        <w:rPr>
          <w:rFonts w:ascii="Avenir Next" w:hAnsi="Avenir Next" w:cs="Arial"/>
          <w:sz w:val="22"/>
          <w:szCs w:val="22"/>
          <w:lang w:val="en-GB"/>
        </w:rPr>
        <w:t>, para 44)</w:t>
      </w:r>
      <w:r w:rsidR="001272A6">
        <w:rPr>
          <w:rFonts w:ascii="Avenir Next" w:hAnsi="Avenir Next" w:cs="Arial"/>
          <w:sz w:val="22"/>
          <w:szCs w:val="22"/>
          <w:lang w:val="en-GB"/>
        </w:rPr>
        <w:t xml:space="preserve">. </w:t>
      </w:r>
    </w:p>
    <w:p w14:paraId="09DCB6DE" w14:textId="77777777" w:rsidR="00943461" w:rsidRPr="00E2622D" w:rsidRDefault="00943461" w:rsidP="00707FC8">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658C6BD5" w:rsidR="00980314" w:rsidRDefault="00980314" w:rsidP="000077DD">
      <w:pPr>
        <w:jc w:val="both"/>
        <w:rPr>
          <w:rFonts w:ascii="Avenir Next" w:hAnsi="Avenir Next" w:cs="Arial"/>
          <w:sz w:val="22"/>
          <w:szCs w:val="22"/>
          <w:lang w:val="en-GB"/>
        </w:rPr>
      </w:pPr>
    </w:p>
    <w:p w14:paraId="5711C808" w14:textId="60DF67F4" w:rsidR="007C3888" w:rsidRPr="00F27194" w:rsidRDefault="007C3888" w:rsidP="000077DD">
      <w:pPr>
        <w:jc w:val="both"/>
        <w:rPr>
          <w:rFonts w:ascii="Avenir Next" w:hAnsi="Avenir Next" w:cs="Arial"/>
          <w:sz w:val="22"/>
          <w:szCs w:val="22"/>
          <w:lang w:val="en-GB"/>
        </w:rPr>
      </w:pPr>
      <w:r>
        <w:rPr>
          <w:rFonts w:ascii="Avenir Next" w:hAnsi="Avenir Next" w:cs="Arial"/>
          <w:sz w:val="22"/>
          <w:szCs w:val="22"/>
          <w:lang w:val="en-GB"/>
        </w:rPr>
        <w:t>The foreign representative should have applied</w:t>
      </w:r>
      <w:r w:rsidR="00CA2781">
        <w:rPr>
          <w:rFonts w:ascii="Avenir Next" w:hAnsi="Avenir Next" w:cs="Arial"/>
          <w:sz w:val="22"/>
          <w:szCs w:val="22"/>
          <w:lang w:val="en-GB"/>
        </w:rPr>
        <w:t>,</w:t>
      </w:r>
      <w:r>
        <w:rPr>
          <w:rFonts w:ascii="Avenir Next" w:hAnsi="Avenir Next" w:cs="Arial"/>
          <w:sz w:val="22"/>
          <w:szCs w:val="22"/>
          <w:lang w:val="en-GB"/>
        </w:rPr>
        <w:t xml:space="preserve"> </w:t>
      </w:r>
      <w:r w:rsidR="00F27194">
        <w:rPr>
          <w:rFonts w:ascii="Avenir Next" w:hAnsi="Avenir Next" w:cs="Arial"/>
          <w:sz w:val="22"/>
          <w:szCs w:val="22"/>
          <w:lang w:val="en-GB"/>
        </w:rPr>
        <w:t>in Country B</w:t>
      </w:r>
      <w:r w:rsidR="00CA2781">
        <w:rPr>
          <w:rFonts w:ascii="Avenir Next" w:hAnsi="Avenir Next" w:cs="Arial"/>
          <w:sz w:val="22"/>
          <w:szCs w:val="22"/>
          <w:lang w:val="en-GB"/>
        </w:rPr>
        <w:t>,</w:t>
      </w:r>
      <w:r w:rsidR="00F27194">
        <w:rPr>
          <w:rFonts w:ascii="Avenir Next" w:hAnsi="Avenir Next" w:cs="Arial"/>
          <w:sz w:val="22"/>
          <w:szCs w:val="22"/>
          <w:lang w:val="en-GB"/>
        </w:rPr>
        <w:t xml:space="preserve"> for recognition </w:t>
      </w:r>
      <w:r w:rsidR="00CA2781">
        <w:rPr>
          <w:rFonts w:ascii="Avenir Next" w:hAnsi="Avenir Next" w:cs="Arial"/>
          <w:sz w:val="22"/>
          <w:szCs w:val="22"/>
          <w:lang w:val="en-GB"/>
        </w:rPr>
        <w:t>of</w:t>
      </w:r>
      <w:r w:rsidR="00F27194">
        <w:rPr>
          <w:rFonts w:ascii="Avenir Next" w:hAnsi="Avenir Next" w:cs="Arial"/>
          <w:sz w:val="22"/>
          <w:szCs w:val="22"/>
          <w:lang w:val="en-GB"/>
        </w:rPr>
        <w:t xml:space="preserve"> the insolvency proceeding in country A as a </w:t>
      </w:r>
      <w:r w:rsidR="005415F2">
        <w:rPr>
          <w:rFonts w:ascii="Avenir Next" w:hAnsi="Avenir Next" w:cs="Arial"/>
          <w:sz w:val="22"/>
          <w:szCs w:val="22"/>
          <w:lang w:val="en-GB"/>
        </w:rPr>
        <w:t xml:space="preserve">foreign </w:t>
      </w:r>
      <w:r w:rsidR="00F27194">
        <w:rPr>
          <w:rFonts w:ascii="Avenir Next" w:hAnsi="Avenir Next" w:cs="Arial"/>
          <w:sz w:val="22"/>
          <w:szCs w:val="22"/>
          <w:lang w:val="en-GB"/>
        </w:rPr>
        <w:t>non-main insolvency proceeding</w:t>
      </w:r>
      <w:r w:rsidR="00B12CCB">
        <w:rPr>
          <w:rFonts w:ascii="Avenir Next" w:hAnsi="Avenir Next" w:cs="Arial"/>
          <w:sz w:val="22"/>
          <w:szCs w:val="22"/>
          <w:lang w:val="en-GB"/>
        </w:rPr>
        <w:t>, under Article 17(2)(b),</w:t>
      </w:r>
      <w:r w:rsidR="00F27194">
        <w:rPr>
          <w:rFonts w:ascii="Avenir Next" w:hAnsi="Avenir Next" w:cs="Arial"/>
          <w:sz w:val="22"/>
          <w:szCs w:val="22"/>
          <w:lang w:val="en-GB"/>
        </w:rPr>
        <w:t xml:space="preserve"> </w:t>
      </w:r>
      <w:r w:rsidR="00F27194">
        <w:rPr>
          <w:rFonts w:ascii="Avenir Next" w:hAnsi="Avenir Next" w:cs="Arial"/>
          <w:i/>
          <w:sz w:val="22"/>
          <w:szCs w:val="22"/>
          <w:lang w:val="en-GB"/>
        </w:rPr>
        <w:t xml:space="preserve">in the alternative </w:t>
      </w:r>
      <w:r w:rsidR="00F27194">
        <w:rPr>
          <w:rFonts w:ascii="Avenir Next" w:hAnsi="Avenir Next" w:cs="Arial"/>
          <w:sz w:val="22"/>
          <w:szCs w:val="22"/>
          <w:lang w:val="en-GB"/>
        </w:rPr>
        <w:t xml:space="preserve">(in the event that Country B declined to recognise the Country A proceeding as a </w:t>
      </w:r>
      <w:r w:rsidR="00F27194">
        <w:rPr>
          <w:rFonts w:ascii="Avenir Next" w:hAnsi="Avenir Next" w:cs="Arial"/>
          <w:i/>
          <w:sz w:val="22"/>
          <w:szCs w:val="22"/>
          <w:lang w:val="en-GB"/>
        </w:rPr>
        <w:t>main</w:t>
      </w:r>
      <w:r w:rsidR="00F27194">
        <w:rPr>
          <w:rFonts w:ascii="Avenir Next" w:hAnsi="Avenir Next" w:cs="Arial"/>
          <w:sz w:val="22"/>
          <w:szCs w:val="22"/>
          <w:lang w:val="en-GB"/>
        </w:rPr>
        <w:t xml:space="preserve"> foreign proceeding). </w:t>
      </w:r>
    </w:p>
    <w:p w14:paraId="3E2D8C94" w14:textId="7476F19D" w:rsidR="007C3888" w:rsidRDefault="007C3888" w:rsidP="000077DD">
      <w:pPr>
        <w:jc w:val="both"/>
        <w:rPr>
          <w:rFonts w:ascii="Avenir Next" w:hAnsi="Avenir Next" w:cs="Arial"/>
          <w:sz w:val="22"/>
          <w:szCs w:val="22"/>
          <w:lang w:val="en-GB"/>
        </w:rPr>
      </w:pPr>
    </w:p>
    <w:p w14:paraId="21BC1AFB" w14:textId="4FC14319" w:rsidR="0088581A" w:rsidRDefault="00CA2781" w:rsidP="000077DD">
      <w:pPr>
        <w:jc w:val="both"/>
        <w:rPr>
          <w:rFonts w:ascii="Avenir Next" w:hAnsi="Avenir Next" w:cs="Arial"/>
          <w:sz w:val="22"/>
          <w:szCs w:val="22"/>
          <w:lang w:val="en-GB"/>
        </w:rPr>
      </w:pPr>
      <w:r>
        <w:rPr>
          <w:rFonts w:ascii="Avenir Next" w:hAnsi="Avenir Next" w:cs="Arial"/>
          <w:sz w:val="22"/>
          <w:szCs w:val="22"/>
          <w:lang w:val="en-GB"/>
        </w:rPr>
        <w:t>Having failed in the application for recognition as a foreign</w:t>
      </w:r>
      <w:r w:rsidR="00162682">
        <w:rPr>
          <w:rFonts w:ascii="Avenir Next" w:hAnsi="Avenir Next" w:cs="Arial"/>
          <w:sz w:val="22"/>
          <w:szCs w:val="22"/>
          <w:lang w:val="en-GB"/>
        </w:rPr>
        <w:t xml:space="preserve"> main</w:t>
      </w:r>
      <w:r>
        <w:rPr>
          <w:rFonts w:ascii="Avenir Next" w:hAnsi="Avenir Next" w:cs="Arial"/>
          <w:sz w:val="22"/>
          <w:szCs w:val="22"/>
          <w:lang w:val="en-GB"/>
        </w:rPr>
        <w:t xml:space="preserve"> proceeding</w:t>
      </w:r>
      <w:r w:rsidR="000F14CB">
        <w:rPr>
          <w:rFonts w:ascii="Avenir Next" w:hAnsi="Avenir Next" w:cs="Arial"/>
          <w:sz w:val="22"/>
          <w:szCs w:val="22"/>
          <w:lang w:val="en-GB"/>
        </w:rPr>
        <w:t xml:space="preserve"> (and without prejudice to any rights of appeal / review in that respect), the foreign representative should apply for recognition of the proceeding as a </w:t>
      </w:r>
      <w:r w:rsidR="00E505F1">
        <w:rPr>
          <w:rFonts w:ascii="Avenir Next" w:hAnsi="Avenir Next" w:cs="Arial"/>
          <w:sz w:val="22"/>
          <w:szCs w:val="22"/>
          <w:lang w:val="en-GB"/>
        </w:rPr>
        <w:t xml:space="preserve">foreign non-main proceeding, provided that there is no bar to doing so on the basis of estoppel and/or a </w:t>
      </w:r>
      <w:r w:rsidR="00E505F1">
        <w:rPr>
          <w:rFonts w:ascii="Avenir Next" w:hAnsi="Avenir Next" w:cs="Arial"/>
          <w:i/>
          <w:sz w:val="22"/>
          <w:szCs w:val="22"/>
          <w:lang w:val="en-GB"/>
        </w:rPr>
        <w:t>Henderson v Henderson</w:t>
      </w:r>
      <w:r w:rsidR="00E505F1">
        <w:rPr>
          <w:rFonts w:ascii="Avenir Next" w:hAnsi="Avenir Next" w:cs="Arial"/>
          <w:sz w:val="22"/>
          <w:szCs w:val="22"/>
          <w:lang w:val="en-GB"/>
        </w:rPr>
        <w:t xml:space="preserve"> point etc and, if granted, seek appropriate relief under Article 21. </w:t>
      </w:r>
    </w:p>
    <w:p w14:paraId="33BC44E4" w14:textId="77777777" w:rsidR="00097005" w:rsidRPr="00E2622D" w:rsidRDefault="00097005" w:rsidP="000077DD">
      <w:pPr>
        <w:jc w:val="both"/>
        <w:rPr>
          <w:rFonts w:ascii="Avenir Next" w:hAnsi="Avenir Next" w:cs="Arial"/>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2"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t>
      </w:r>
      <w:r>
        <w:rPr>
          <w:rFonts w:ascii="Avenir Next Demi Bold" w:hAnsi="Avenir Next Demi Bold" w:cs="Arial"/>
          <w:b/>
          <w:bCs/>
          <w:color w:val="FF0000"/>
          <w:sz w:val="22"/>
          <w:szCs w:val="22"/>
          <w:lang w:val="en-GB"/>
        </w:rPr>
        <w:lastRenderedPageBreak/>
        <w:t>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3" w:name="_Hlk97111003"/>
      <w:r w:rsidRPr="00E61F6E">
        <w:rPr>
          <w:rFonts w:ascii="Avenir Next" w:hAnsi="Avenir Next"/>
          <w:sz w:val="22"/>
          <w:szCs w:val="28"/>
        </w:rPr>
        <w:t>Globe Holdings</w:t>
      </w:r>
      <w:bookmarkEnd w:id="3"/>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5"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5"/>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lastRenderedPageBreak/>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C5ABE6" w:rsidR="009E3CA7" w:rsidRDefault="009E3CA7" w:rsidP="009E3CA7">
      <w:pPr>
        <w:jc w:val="both"/>
        <w:rPr>
          <w:rFonts w:ascii="Avenir Next" w:hAnsi="Avenir Next"/>
          <w:sz w:val="22"/>
          <w:szCs w:val="28"/>
        </w:rPr>
      </w:pPr>
    </w:p>
    <w:p w14:paraId="796E1530" w14:textId="6CB33FAB" w:rsidR="004D4989" w:rsidRPr="001A4494" w:rsidRDefault="001A4494" w:rsidP="009E3CA7">
      <w:pPr>
        <w:jc w:val="both"/>
        <w:rPr>
          <w:rFonts w:ascii="Avenir Next" w:hAnsi="Avenir Next"/>
          <w:sz w:val="22"/>
          <w:szCs w:val="28"/>
          <w:u w:val="single"/>
        </w:rPr>
      </w:pPr>
      <w:r>
        <w:rPr>
          <w:rFonts w:ascii="Avenir Next" w:hAnsi="Avenir Next"/>
          <w:sz w:val="22"/>
          <w:szCs w:val="28"/>
          <w:u w:val="single"/>
        </w:rPr>
        <w:t>Answer</w:t>
      </w:r>
    </w:p>
    <w:p w14:paraId="7AF659CE" w14:textId="57E03370" w:rsidR="00DE5E28" w:rsidRDefault="00DE5E28" w:rsidP="009E3CA7">
      <w:pPr>
        <w:jc w:val="both"/>
        <w:rPr>
          <w:rFonts w:ascii="Avenir Next" w:hAnsi="Avenir Next"/>
          <w:sz w:val="22"/>
          <w:szCs w:val="28"/>
        </w:rPr>
      </w:pPr>
    </w:p>
    <w:p w14:paraId="5FF3125B" w14:textId="66FEB342" w:rsidR="00FA67A9" w:rsidRDefault="00FA67A9" w:rsidP="009E3CA7">
      <w:pPr>
        <w:jc w:val="both"/>
        <w:rPr>
          <w:rFonts w:ascii="Avenir Next" w:hAnsi="Avenir Next"/>
          <w:sz w:val="22"/>
          <w:szCs w:val="28"/>
        </w:rPr>
      </w:pPr>
      <w:r>
        <w:rPr>
          <w:rFonts w:ascii="Avenir Next" w:hAnsi="Avenir Next"/>
          <w:sz w:val="22"/>
          <w:szCs w:val="28"/>
        </w:rPr>
        <w:t xml:space="preserve">For the sake of convenience: references in this </w:t>
      </w:r>
      <w:r w:rsidR="002361D7">
        <w:rPr>
          <w:rFonts w:ascii="Avenir Next" w:hAnsi="Avenir Next"/>
          <w:sz w:val="22"/>
          <w:szCs w:val="28"/>
        </w:rPr>
        <w:t>answer</w:t>
      </w:r>
      <w:r>
        <w:rPr>
          <w:rFonts w:ascii="Avenir Next" w:hAnsi="Avenir Next"/>
          <w:sz w:val="22"/>
          <w:szCs w:val="28"/>
        </w:rPr>
        <w:t xml:space="preserve"> to </w:t>
      </w:r>
      <w:r w:rsidR="00DE091B" w:rsidRPr="002361D7">
        <w:rPr>
          <w:rFonts w:ascii="Avenir Next" w:hAnsi="Avenir Next"/>
          <w:i/>
          <w:sz w:val="22"/>
          <w:szCs w:val="28"/>
        </w:rPr>
        <w:t>“</w:t>
      </w:r>
      <w:r w:rsidRPr="002361D7">
        <w:rPr>
          <w:rFonts w:ascii="Avenir Next" w:hAnsi="Avenir Next"/>
          <w:i/>
          <w:sz w:val="22"/>
          <w:szCs w:val="28"/>
        </w:rPr>
        <w:t>Articles</w:t>
      </w:r>
      <w:r w:rsidR="00DE091B" w:rsidRPr="002361D7">
        <w:rPr>
          <w:rFonts w:ascii="Avenir Next" w:hAnsi="Avenir Next"/>
          <w:i/>
          <w:sz w:val="22"/>
          <w:szCs w:val="28"/>
        </w:rPr>
        <w:t>”</w:t>
      </w:r>
      <w:r>
        <w:rPr>
          <w:rFonts w:ascii="Avenir Next" w:hAnsi="Avenir Next"/>
          <w:sz w:val="22"/>
          <w:szCs w:val="28"/>
        </w:rPr>
        <w:t xml:space="preserve"> are to the MLCBI and</w:t>
      </w:r>
      <w:r w:rsidR="00DE091B">
        <w:rPr>
          <w:rFonts w:ascii="Avenir Next" w:hAnsi="Avenir Next"/>
          <w:sz w:val="22"/>
          <w:szCs w:val="28"/>
        </w:rPr>
        <w:t xml:space="preserve"> reference to </w:t>
      </w:r>
      <w:r w:rsidR="00DE091B" w:rsidRPr="002361D7">
        <w:rPr>
          <w:rFonts w:ascii="Avenir Next" w:hAnsi="Avenir Next"/>
          <w:i/>
          <w:sz w:val="22"/>
          <w:szCs w:val="28"/>
        </w:rPr>
        <w:t xml:space="preserve">“§§” </w:t>
      </w:r>
      <w:r w:rsidR="00DE091B">
        <w:rPr>
          <w:rFonts w:ascii="Avenir Next" w:hAnsi="Avenir Next"/>
          <w:sz w:val="22"/>
          <w:szCs w:val="28"/>
        </w:rPr>
        <w:t xml:space="preserve">are to </w:t>
      </w:r>
      <w:r w:rsidR="002361D7">
        <w:rPr>
          <w:rFonts w:ascii="Avenir Next" w:hAnsi="Avenir Next"/>
          <w:sz w:val="22"/>
          <w:szCs w:val="28"/>
        </w:rPr>
        <w:t xml:space="preserve">US </w:t>
      </w:r>
      <w:r w:rsidR="00DE091B">
        <w:rPr>
          <w:rFonts w:ascii="Avenir Next" w:hAnsi="Avenir Next"/>
          <w:sz w:val="22"/>
          <w:szCs w:val="28"/>
        </w:rPr>
        <w:t xml:space="preserve">Title 11, Chapter 15 (unless indicated otherwise). </w:t>
      </w:r>
    </w:p>
    <w:p w14:paraId="1BE065A4" w14:textId="77777777" w:rsidR="00FA67A9" w:rsidRDefault="00FA67A9" w:rsidP="009E3CA7">
      <w:pPr>
        <w:jc w:val="both"/>
        <w:rPr>
          <w:rFonts w:ascii="Avenir Next" w:hAnsi="Avenir Next"/>
          <w:sz w:val="22"/>
          <w:szCs w:val="28"/>
        </w:rPr>
      </w:pPr>
    </w:p>
    <w:p w14:paraId="4F22366A" w14:textId="75FCA250" w:rsidR="00DE5E28" w:rsidRDefault="00DE5E28" w:rsidP="009E3CA7">
      <w:pPr>
        <w:jc w:val="both"/>
        <w:rPr>
          <w:rFonts w:ascii="Avenir Next" w:hAnsi="Avenir Next"/>
          <w:sz w:val="22"/>
          <w:szCs w:val="28"/>
        </w:rPr>
      </w:pPr>
      <w:r>
        <w:rPr>
          <w:rFonts w:ascii="Avenir Next" w:hAnsi="Avenir Next"/>
          <w:sz w:val="22"/>
          <w:szCs w:val="28"/>
        </w:rPr>
        <w:t>The first course of action would be to file in the US, under Title 11, Chapter 15, for recognition of the proceedings in Cayman</w:t>
      </w:r>
      <w:r w:rsidR="00D73F2B">
        <w:rPr>
          <w:rFonts w:ascii="Avenir Next" w:hAnsi="Avenir Next"/>
          <w:sz w:val="22"/>
          <w:szCs w:val="28"/>
        </w:rPr>
        <w:t xml:space="preserve"> as foreign proceedings</w:t>
      </w:r>
      <w:r>
        <w:rPr>
          <w:rFonts w:ascii="Avenir Next" w:hAnsi="Avenir Next"/>
          <w:sz w:val="22"/>
          <w:szCs w:val="28"/>
        </w:rPr>
        <w:t>. My view would be to file for recognition of the Cayman proceedings as foreign</w:t>
      </w:r>
      <w:r w:rsidR="00AB6C32">
        <w:rPr>
          <w:rFonts w:ascii="Avenir Next" w:hAnsi="Avenir Next"/>
          <w:sz w:val="22"/>
          <w:szCs w:val="28"/>
        </w:rPr>
        <w:t xml:space="preserve"> </w:t>
      </w:r>
      <w:r w:rsidR="00AB6C32">
        <w:rPr>
          <w:rFonts w:ascii="Avenir Next" w:hAnsi="Avenir Next"/>
          <w:i/>
          <w:sz w:val="22"/>
          <w:szCs w:val="28"/>
        </w:rPr>
        <w:t>main</w:t>
      </w:r>
      <w:r>
        <w:rPr>
          <w:rFonts w:ascii="Avenir Next" w:hAnsi="Avenir Next"/>
          <w:sz w:val="22"/>
          <w:szCs w:val="28"/>
        </w:rPr>
        <w:t xml:space="preserve"> proceedings</w:t>
      </w:r>
      <w:r w:rsidR="003472D1">
        <w:rPr>
          <w:rFonts w:ascii="Avenir Next" w:hAnsi="Avenir Next"/>
          <w:sz w:val="22"/>
          <w:szCs w:val="28"/>
        </w:rPr>
        <w:t xml:space="preserve"> (‘FMP’)</w:t>
      </w:r>
      <w:r>
        <w:rPr>
          <w:rFonts w:ascii="Avenir Next" w:hAnsi="Avenir Next"/>
          <w:sz w:val="22"/>
          <w:szCs w:val="28"/>
        </w:rPr>
        <w:t xml:space="preserve"> </w:t>
      </w:r>
      <w:r w:rsidRPr="006462FC">
        <w:rPr>
          <w:rFonts w:ascii="Avenir Next" w:hAnsi="Avenir Next"/>
          <w:sz w:val="22"/>
          <w:szCs w:val="28"/>
          <w:u w:val="single"/>
        </w:rPr>
        <w:t>and</w:t>
      </w:r>
      <w:r>
        <w:rPr>
          <w:rFonts w:ascii="Avenir Next" w:hAnsi="Avenir Next"/>
          <w:sz w:val="22"/>
          <w:szCs w:val="28"/>
        </w:rPr>
        <w:t xml:space="preserve">, </w:t>
      </w:r>
      <w:r w:rsidRPr="00D73F2B">
        <w:rPr>
          <w:rFonts w:ascii="Avenir Next" w:hAnsi="Avenir Next"/>
          <w:i/>
          <w:sz w:val="22"/>
          <w:szCs w:val="28"/>
        </w:rPr>
        <w:t>in the alternative</w:t>
      </w:r>
      <w:r w:rsidR="00D73F2B">
        <w:rPr>
          <w:rFonts w:ascii="Avenir Next" w:hAnsi="Avenir Next"/>
          <w:i/>
          <w:sz w:val="22"/>
          <w:szCs w:val="28"/>
        </w:rPr>
        <w:t xml:space="preserve"> </w:t>
      </w:r>
      <w:r w:rsidR="00D73F2B">
        <w:rPr>
          <w:rFonts w:ascii="Avenir Next" w:hAnsi="Avenir Next"/>
          <w:sz w:val="22"/>
          <w:szCs w:val="28"/>
        </w:rPr>
        <w:t>(in case the US Bankruptcy Court rejects that filing)</w:t>
      </w:r>
      <w:r>
        <w:rPr>
          <w:rFonts w:ascii="Avenir Next" w:hAnsi="Avenir Next"/>
          <w:sz w:val="22"/>
          <w:szCs w:val="28"/>
        </w:rPr>
        <w:t>,</w:t>
      </w:r>
      <w:r w:rsidR="00D73F2B">
        <w:rPr>
          <w:rFonts w:ascii="Avenir Next" w:hAnsi="Avenir Next"/>
          <w:sz w:val="22"/>
          <w:szCs w:val="28"/>
        </w:rPr>
        <w:t xml:space="preserve"> as</w:t>
      </w:r>
      <w:r>
        <w:rPr>
          <w:rFonts w:ascii="Avenir Next" w:hAnsi="Avenir Next"/>
          <w:sz w:val="22"/>
          <w:szCs w:val="28"/>
        </w:rPr>
        <w:t xml:space="preserve"> </w:t>
      </w:r>
      <w:r w:rsidR="00AB6C32">
        <w:rPr>
          <w:rFonts w:ascii="Avenir Next" w:hAnsi="Avenir Next"/>
          <w:sz w:val="22"/>
          <w:szCs w:val="28"/>
        </w:rPr>
        <w:t>foreign</w:t>
      </w:r>
      <w:r w:rsidR="00AB6C32" w:rsidRPr="00D73F2B">
        <w:rPr>
          <w:rFonts w:ascii="Avenir Next" w:hAnsi="Avenir Next"/>
          <w:i/>
          <w:sz w:val="22"/>
          <w:szCs w:val="28"/>
        </w:rPr>
        <w:t xml:space="preserve"> </w:t>
      </w:r>
      <w:r w:rsidRPr="00D73F2B">
        <w:rPr>
          <w:rFonts w:ascii="Avenir Next" w:hAnsi="Avenir Next"/>
          <w:i/>
          <w:sz w:val="22"/>
          <w:szCs w:val="28"/>
        </w:rPr>
        <w:t>non</w:t>
      </w:r>
      <w:r w:rsidR="00D73F2B">
        <w:rPr>
          <w:rFonts w:ascii="Avenir Next" w:hAnsi="Avenir Next"/>
          <w:sz w:val="22"/>
          <w:szCs w:val="28"/>
        </w:rPr>
        <w:t>-</w:t>
      </w:r>
      <w:r>
        <w:rPr>
          <w:rFonts w:ascii="Avenir Next" w:hAnsi="Avenir Next"/>
          <w:sz w:val="22"/>
          <w:szCs w:val="28"/>
        </w:rPr>
        <w:t>main proceedings</w:t>
      </w:r>
      <w:r w:rsidR="003472D1">
        <w:rPr>
          <w:rFonts w:ascii="Avenir Next" w:hAnsi="Avenir Next"/>
          <w:sz w:val="22"/>
          <w:szCs w:val="28"/>
        </w:rPr>
        <w:t xml:space="preserve"> (‘</w:t>
      </w:r>
      <w:r w:rsidR="00AB6C32">
        <w:rPr>
          <w:rFonts w:ascii="Avenir Next" w:hAnsi="Avenir Next"/>
          <w:sz w:val="22"/>
          <w:szCs w:val="28"/>
        </w:rPr>
        <w:t>FNM</w:t>
      </w:r>
      <w:r w:rsidR="003472D1">
        <w:rPr>
          <w:rFonts w:ascii="Avenir Next" w:hAnsi="Avenir Next"/>
          <w:sz w:val="22"/>
          <w:szCs w:val="28"/>
        </w:rPr>
        <w:t>P’)</w:t>
      </w:r>
      <w:r w:rsidR="00CB3D72">
        <w:rPr>
          <w:rFonts w:ascii="Avenir Next" w:hAnsi="Avenir Next"/>
          <w:sz w:val="22"/>
          <w:szCs w:val="28"/>
        </w:rPr>
        <w:t xml:space="preserve">. </w:t>
      </w:r>
    </w:p>
    <w:p w14:paraId="16F94D13" w14:textId="07115EE9" w:rsidR="00CB3D72" w:rsidRDefault="00CB3D72" w:rsidP="009E3CA7">
      <w:pPr>
        <w:jc w:val="both"/>
        <w:rPr>
          <w:rFonts w:ascii="Avenir Next" w:hAnsi="Avenir Next"/>
          <w:sz w:val="22"/>
          <w:szCs w:val="28"/>
        </w:rPr>
      </w:pPr>
    </w:p>
    <w:p w14:paraId="6177F5EE" w14:textId="08A525F7" w:rsidR="000D5254" w:rsidRPr="003C6FE6" w:rsidRDefault="004402FB" w:rsidP="000D5254">
      <w:pPr>
        <w:jc w:val="both"/>
        <w:rPr>
          <w:rFonts w:ascii="Avenir Next" w:hAnsi="Avenir Next"/>
          <w:sz w:val="22"/>
          <w:szCs w:val="28"/>
        </w:rPr>
      </w:pPr>
      <w:r>
        <w:rPr>
          <w:rFonts w:ascii="Avenir Next" w:hAnsi="Avenir Next"/>
          <w:sz w:val="22"/>
          <w:szCs w:val="28"/>
        </w:rPr>
        <w:t xml:space="preserve">Taking this approach systematically, the first point is obviously that the </w:t>
      </w:r>
      <w:r w:rsidR="003472D1">
        <w:rPr>
          <w:rFonts w:ascii="Avenir Next" w:hAnsi="Avenir Next"/>
          <w:sz w:val="22"/>
          <w:szCs w:val="28"/>
        </w:rPr>
        <w:t xml:space="preserve">Cayman </w:t>
      </w:r>
      <w:r>
        <w:rPr>
          <w:rFonts w:ascii="Avenir Next" w:hAnsi="Avenir Next"/>
          <w:sz w:val="22"/>
          <w:szCs w:val="28"/>
        </w:rPr>
        <w:t xml:space="preserve">Scheme is a </w:t>
      </w:r>
      <w:r w:rsidR="008036A1">
        <w:rPr>
          <w:rFonts w:ascii="Avenir Next" w:hAnsi="Avenir Next"/>
          <w:i/>
          <w:sz w:val="22"/>
          <w:szCs w:val="28"/>
        </w:rPr>
        <w:t>“</w:t>
      </w:r>
      <w:r>
        <w:rPr>
          <w:rFonts w:ascii="Avenir Next" w:hAnsi="Avenir Next"/>
          <w:i/>
          <w:sz w:val="22"/>
          <w:szCs w:val="28"/>
        </w:rPr>
        <w:t>foreign proceeding</w:t>
      </w:r>
      <w:r w:rsidR="008036A1">
        <w:rPr>
          <w:rFonts w:ascii="Avenir Next" w:hAnsi="Avenir Next"/>
          <w:i/>
          <w:sz w:val="22"/>
          <w:szCs w:val="28"/>
        </w:rPr>
        <w:t>”</w:t>
      </w:r>
      <w:r>
        <w:rPr>
          <w:rFonts w:ascii="Avenir Next" w:hAnsi="Avenir Next"/>
          <w:sz w:val="22"/>
          <w:szCs w:val="28"/>
        </w:rPr>
        <w:t xml:space="preserve"> for the purpose of Article 2(a)</w:t>
      </w:r>
      <w:r w:rsidR="00D34CCF">
        <w:rPr>
          <w:rFonts w:ascii="Avenir Next" w:hAnsi="Avenir Next"/>
          <w:sz w:val="22"/>
          <w:szCs w:val="28"/>
        </w:rPr>
        <w:t xml:space="preserve"> </w:t>
      </w:r>
      <w:r>
        <w:rPr>
          <w:rFonts w:ascii="Avenir Next" w:hAnsi="Avenir Next"/>
          <w:sz w:val="22"/>
          <w:szCs w:val="28"/>
        </w:rPr>
        <w:t xml:space="preserve">/ </w:t>
      </w:r>
      <w:r w:rsidRPr="00D73F2B">
        <w:rPr>
          <w:rFonts w:ascii="Avenir Next" w:hAnsi="Avenir Next"/>
          <w:sz w:val="22"/>
          <w:szCs w:val="28"/>
        </w:rPr>
        <w:t>§</w:t>
      </w:r>
      <w:r w:rsidR="008036A1">
        <w:rPr>
          <w:rFonts w:ascii="Avenir Next" w:hAnsi="Avenir Next"/>
          <w:sz w:val="22"/>
          <w:szCs w:val="28"/>
        </w:rPr>
        <w:t>101(23)</w:t>
      </w:r>
      <w:r w:rsidR="00D34CCF">
        <w:rPr>
          <w:rFonts w:ascii="Avenir Next" w:hAnsi="Avenir Next"/>
          <w:sz w:val="22"/>
          <w:szCs w:val="28"/>
        </w:rPr>
        <w:t>, such that an application for recognition can be made accordingly (Article 17(a)). In that regard, recognition does not appear to be manifestly contrary to public policy (Article 6)</w:t>
      </w:r>
      <w:r w:rsidR="000D5254">
        <w:rPr>
          <w:rFonts w:ascii="Avenir Next" w:hAnsi="Avenir Next"/>
          <w:sz w:val="22"/>
          <w:szCs w:val="28"/>
        </w:rPr>
        <w:t xml:space="preserve">, but I also note that the client </w:t>
      </w:r>
      <w:r w:rsidR="00116B7C">
        <w:rPr>
          <w:rFonts w:ascii="Avenir Next" w:hAnsi="Avenir Next"/>
          <w:sz w:val="22"/>
          <w:szCs w:val="28"/>
        </w:rPr>
        <w:t xml:space="preserve">has direct and indirect </w:t>
      </w:r>
      <w:r w:rsidR="00116B7C" w:rsidRPr="00CB7FE2">
        <w:rPr>
          <w:rFonts w:ascii="Avenir Next" w:hAnsi="Avenir Next"/>
          <w:sz w:val="22"/>
          <w:szCs w:val="28"/>
          <w:u w:val="single"/>
        </w:rPr>
        <w:t>subsidiaries</w:t>
      </w:r>
      <w:r w:rsidR="00116B7C">
        <w:rPr>
          <w:rFonts w:ascii="Avenir Next" w:hAnsi="Avenir Next"/>
          <w:sz w:val="22"/>
          <w:szCs w:val="28"/>
        </w:rPr>
        <w:t xml:space="preserve"> </w:t>
      </w:r>
      <w:r w:rsidR="00116B7C" w:rsidRPr="00116B7C">
        <w:rPr>
          <w:rFonts w:ascii="Avenir Next" w:hAnsi="Avenir Next"/>
          <w:sz w:val="22"/>
          <w:szCs w:val="28"/>
        </w:rPr>
        <w:t>that operate in the commercial automobile insurance sector in the United States</w:t>
      </w:r>
      <w:r w:rsidR="00116B7C">
        <w:rPr>
          <w:rFonts w:ascii="Avenir Next" w:hAnsi="Avenir Next"/>
          <w:sz w:val="22"/>
          <w:szCs w:val="28"/>
        </w:rPr>
        <w:t xml:space="preserve">, and </w:t>
      </w:r>
      <w:r w:rsidR="00116B7C" w:rsidRPr="00D73F2B">
        <w:rPr>
          <w:rFonts w:ascii="Avenir Next" w:hAnsi="Avenir Next"/>
          <w:sz w:val="22"/>
          <w:szCs w:val="28"/>
        </w:rPr>
        <w:t>§</w:t>
      </w:r>
      <w:r w:rsidR="00116B7C">
        <w:rPr>
          <w:rFonts w:ascii="Avenir Next" w:hAnsi="Avenir Next"/>
          <w:sz w:val="22"/>
          <w:szCs w:val="28"/>
        </w:rPr>
        <w:t xml:space="preserve">1501(d) provides that: </w:t>
      </w:r>
      <w:r w:rsidR="00116B7C" w:rsidRPr="00116B7C">
        <w:rPr>
          <w:rFonts w:ascii="Avenir Next" w:hAnsi="Avenir Next"/>
          <w:i/>
          <w:sz w:val="22"/>
          <w:szCs w:val="28"/>
        </w:rPr>
        <w:t>“</w:t>
      </w:r>
      <w:r w:rsidR="000D5254" w:rsidRPr="00116B7C">
        <w:rPr>
          <w:rFonts w:ascii="Avenir Next" w:hAnsi="Avenir Next"/>
          <w:i/>
          <w:sz w:val="22"/>
          <w:szCs w:val="28"/>
        </w:rPr>
        <w:t>The court may not grant relief under this</w:t>
      </w:r>
      <w:r w:rsidR="00116B7C" w:rsidRPr="00116B7C">
        <w:rPr>
          <w:rFonts w:ascii="Avenir Next" w:hAnsi="Avenir Next"/>
          <w:i/>
          <w:sz w:val="22"/>
          <w:szCs w:val="28"/>
        </w:rPr>
        <w:t xml:space="preserve"> </w:t>
      </w:r>
      <w:r w:rsidR="000D5254" w:rsidRPr="00116B7C">
        <w:rPr>
          <w:rFonts w:ascii="Avenir Next" w:hAnsi="Avenir Next"/>
          <w:i/>
          <w:sz w:val="22"/>
          <w:szCs w:val="28"/>
        </w:rPr>
        <w:t>chapter with respect to any deposit, escrow,</w:t>
      </w:r>
      <w:r w:rsidR="00116B7C" w:rsidRPr="00116B7C">
        <w:rPr>
          <w:rFonts w:ascii="Avenir Next" w:hAnsi="Avenir Next"/>
          <w:i/>
          <w:sz w:val="22"/>
          <w:szCs w:val="28"/>
        </w:rPr>
        <w:t xml:space="preserve"> </w:t>
      </w:r>
      <w:r w:rsidR="000D5254" w:rsidRPr="00116B7C">
        <w:rPr>
          <w:rFonts w:ascii="Avenir Next" w:hAnsi="Avenir Next"/>
          <w:i/>
          <w:sz w:val="22"/>
          <w:szCs w:val="28"/>
        </w:rPr>
        <w:t>trust fund, or other security required or permitted under any applicable State insurance law</w:t>
      </w:r>
      <w:r w:rsidR="00116B7C" w:rsidRPr="00116B7C">
        <w:rPr>
          <w:rFonts w:ascii="Avenir Next" w:hAnsi="Avenir Next"/>
          <w:i/>
          <w:sz w:val="22"/>
          <w:szCs w:val="28"/>
        </w:rPr>
        <w:t xml:space="preserve"> </w:t>
      </w:r>
      <w:r w:rsidR="000D5254" w:rsidRPr="00116B7C">
        <w:rPr>
          <w:rFonts w:ascii="Avenir Next" w:hAnsi="Avenir Next"/>
          <w:i/>
          <w:sz w:val="22"/>
          <w:szCs w:val="28"/>
        </w:rPr>
        <w:t>or regulation for the benefit of claim holders in</w:t>
      </w:r>
      <w:r w:rsidR="00116B7C" w:rsidRPr="00116B7C">
        <w:rPr>
          <w:rFonts w:ascii="Avenir Next" w:hAnsi="Avenir Next"/>
          <w:i/>
          <w:sz w:val="22"/>
          <w:szCs w:val="28"/>
        </w:rPr>
        <w:t xml:space="preserve"> </w:t>
      </w:r>
      <w:r w:rsidR="000D5254" w:rsidRPr="00116B7C">
        <w:rPr>
          <w:rFonts w:ascii="Avenir Next" w:hAnsi="Avenir Next"/>
          <w:i/>
          <w:sz w:val="22"/>
          <w:szCs w:val="28"/>
        </w:rPr>
        <w:t>the United States</w:t>
      </w:r>
      <w:r w:rsidR="00116B7C" w:rsidRPr="00116B7C">
        <w:rPr>
          <w:rFonts w:ascii="Avenir Next" w:hAnsi="Avenir Next"/>
          <w:i/>
          <w:sz w:val="22"/>
          <w:szCs w:val="28"/>
        </w:rPr>
        <w:t>”</w:t>
      </w:r>
      <w:r w:rsidR="003C6FE6">
        <w:rPr>
          <w:rFonts w:ascii="Avenir Next" w:hAnsi="Avenir Next"/>
          <w:sz w:val="22"/>
          <w:szCs w:val="28"/>
        </w:rPr>
        <w:t>. I have not considered this</w:t>
      </w:r>
      <w:r w:rsidR="00873EC3">
        <w:rPr>
          <w:rFonts w:ascii="Avenir Next" w:hAnsi="Avenir Next"/>
          <w:sz w:val="22"/>
          <w:szCs w:val="28"/>
        </w:rPr>
        <w:t xml:space="preserve"> point</w:t>
      </w:r>
      <w:r w:rsidR="003C6FE6">
        <w:rPr>
          <w:rFonts w:ascii="Avenir Next" w:hAnsi="Avenir Next"/>
          <w:sz w:val="22"/>
          <w:szCs w:val="28"/>
        </w:rPr>
        <w:t xml:space="preserve"> further, however, given that this is a paper on the UNCITRAL Model Law, and not US bankruptcy law. </w:t>
      </w:r>
    </w:p>
    <w:p w14:paraId="6FD285B2" w14:textId="77777777" w:rsidR="00FF1066" w:rsidRDefault="00FF1066" w:rsidP="009E3CA7">
      <w:pPr>
        <w:jc w:val="both"/>
        <w:rPr>
          <w:rFonts w:ascii="Avenir Next" w:hAnsi="Avenir Next"/>
          <w:sz w:val="22"/>
          <w:szCs w:val="28"/>
        </w:rPr>
      </w:pPr>
    </w:p>
    <w:p w14:paraId="4072D25B" w14:textId="00E6604E" w:rsidR="004402FB" w:rsidRDefault="00D34CCF" w:rsidP="009E3CA7">
      <w:pPr>
        <w:jc w:val="both"/>
        <w:rPr>
          <w:rFonts w:ascii="Avenir Next" w:hAnsi="Avenir Next"/>
          <w:sz w:val="22"/>
          <w:szCs w:val="28"/>
        </w:rPr>
      </w:pPr>
      <w:r>
        <w:rPr>
          <w:rFonts w:ascii="Avenir Next" w:hAnsi="Avenir Next"/>
          <w:sz w:val="22"/>
          <w:szCs w:val="28"/>
        </w:rPr>
        <w:t xml:space="preserve">Moreover, there is </w:t>
      </w:r>
      <w:r w:rsidR="009236FB">
        <w:rPr>
          <w:rFonts w:ascii="Avenir Next" w:hAnsi="Avenir Next"/>
          <w:sz w:val="22"/>
          <w:szCs w:val="28"/>
        </w:rPr>
        <w:t xml:space="preserve">also </w:t>
      </w:r>
      <w:r w:rsidR="008036A1">
        <w:rPr>
          <w:rFonts w:ascii="Avenir Next" w:hAnsi="Avenir Next"/>
          <w:sz w:val="22"/>
          <w:szCs w:val="28"/>
        </w:rPr>
        <w:t>a “</w:t>
      </w:r>
      <w:r w:rsidR="008036A1">
        <w:rPr>
          <w:rFonts w:ascii="Avenir Next" w:hAnsi="Avenir Next"/>
          <w:i/>
          <w:sz w:val="22"/>
          <w:szCs w:val="28"/>
        </w:rPr>
        <w:t>foreign representative</w:t>
      </w:r>
      <w:r w:rsidR="008036A1">
        <w:rPr>
          <w:rFonts w:ascii="Avenir Next" w:hAnsi="Avenir Next"/>
          <w:sz w:val="22"/>
          <w:szCs w:val="28"/>
        </w:rPr>
        <w:t>”</w:t>
      </w:r>
      <w:r w:rsidR="005727AC">
        <w:rPr>
          <w:rFonts w:ascii="Avenir Next" w:hAnsi="Avenir Next"/>
          <w:sz w:val="22"/>
          <w:szCs w:val="28"/>
        </w:rPr>
        <w:t xml:space="preserve"> (Article 2(d) / </w:t>
      </w:r>
      <w:r w:rsidR="005727AC" w:rsidRPr="00D73F2B">
        <w:rPr>
          <w:rFonts w:ascii="Avenir Next" w:hAnsi="Avenir Next"/>
          <w:sz w:val="22"/>
          <w:szCs w:val="28"/>
        </w:rPr>
        <w:t>§</w:t>
      </w:r>
      <w:r w:rsidR="005727AC">
        <w:rPr>
          <w:rFonts w:ascii="Avenir Next" w:hAnsi="Avenir Next"/>
          <w:sz w:val="22"/>
          <w:szCs w:val="28"/>
        </w:rPr>
        <w:t>101(24))</w:t>
      </w:r>
      <w:r w:rsidR="009F6A5F">
        <w:rPr>
          <w:rFonts w:ascii="Avenir Next" w:hAnsi="Avenir Next"/>
          <w:sz w:val="22"/>
          <w:szCs w:val="28"/>
        </w:rPr>
        <w:t>:</w:t>
      </w:r>
    </w:p>
    <w:p w14:paraId="5B785F70" w14:textId="33F24094" w:rsidR="009F6A5F" w:rsidRDefault="009F6A5F" w:rsidP="009E3CA7">
      <w:pPr>
        <w:jc w:val="both"/>
        <w:rPr>
          <w:rFonts w:ascii="Avenir Next" w:hAnsi="Avenir Next"/>
          <w:sz w:val="22"/>
          <w:szCs w:val="28"/>
        </w:rPr>
      </w:pPr>
    </w:p>
    <w:p w14:paraId="6FA42F07" w14:textId="636E0838" w:rsidR="009F6A5F" w:rsidRDefault="009F6A5F" w:rsidP="009E3CA7">
      <w:pPr>
        <w:jc w:val="both"/>
        <w:rPr>
          <w:rFonts w:ascii="Avenir Next" w:hAnsi="Avenir Next"/>
          <w:sz w:val="22"/>
          <w:szCs w:val="28"/>
        </w:rPr>
      </w:pPr>
      <w:r w:rsidRPr="009F6A5F">
        <w:rPr>
          <w:rFonts w:ascii="Avenir Next" w:hAnsi="Avenir Next"/>
          <w:i/>
          <w:sz w:val="22"/>
          <w:szCs w:val="28"/>
        </w:rPr>
        <w:t xml:space="preserve">“Chapter 15 proceedings may be commenced if a debtor is engaged in non-US insolvency proceedings and a duly </w:t>
      </w:r>
      <w:proofErr w:type="spellStart"/>
      <w:r w:rsidRPr="009F6A5F">
        <w:rPr>
          <w:rFonts w:ascii="Avenir Next" w:hAnsi="Avenir Next"/>
          <w:i/>
          <w:sz w:val="22"/>
          <w:szCs w:val="28"/>
        </w:rPr>
        <w:t>authorised</w:t>
      </w:r>
      <w:proofErr w:type="spellEnd"/>
      <w:r w:rsidRPr="009F6A5F">
        <w:rPr>
          <w:rFonts w:ascii="Avenir Next" w:hAnsi="Avenir Next"/>
          <w:i/>
          <w:sz w:val="22"/>
          <w:szCs w:val="28"/>
        </w:rPr>
        <w:t xml:space="preserve"> representative seeks recognition of those proceedings in a US Bankruptcy Court. The “foreign representative” who seeks recognition is typically a receiver, liquidator, administrator or </w:t>
      </w:r>
      <w:r w:rsidRPr="009F6A5F">
        <w:rPr>
          <w:rFonts w:ascii="Avenir Next" w:hAnsi="Avenir Next"/>
          <w:i/>
          <w:sz w:val="22"/>
          <w:szCs w:val="28"/>
        </w:rPr>
        <w:lastRenderedPageBreak/>
        <w:t>similar officeholder including, in the context of a scheme/RP, a designated member of the board of directors of the scheme/RP company”</w:t>
      </w:r>
      <w:r>
        <w:rPr>
          <w:rFonts w:ascii="Avenir Next" w:hAnsi="Avenir Next"/>
          <w:sz w:val="22"/>
          <w:szCs w:val="28"/>
        </w:rPr>
        <w:t xml:space="preserve"> (</w:t>
      </w:r>
      <w:r w:rsidRPr="009F6A5F">
        <w:rPr>
          <w:rFonts w:ascii="Avenir Next" w:hAnsi="Avenir Next"/>
          <w:sz w:val="22"/>
          <w:szCs w:val="28"/>
        </w:rPr>
        <w:t>Pilkington on Creditor Schemes of Arrangement and Restructuring Plans</w:t>
      </w:r>
      <w:r w:rsidR="006801EC">
        <w:rPr>
          <w:rFonts w:ascii="Avenir Next" w:hAnsi="Avenir Next"/>
          <w:sz w:val="22"/>
          <w:szCs w:val="28"/>
        </w:rPr>
        <w:t>,</w:t>
      </w:r>
      <w:r w:rsidRPr="009F6A5F">
        <w:rPr>
          <w:rFonts w:ascii="Avenir Next" w:hAnsi="Avenir Next"/>
          <w:sz w:val="22"/>
          <w:szCs w:val="28"/>
        </w:rPr>
        <w:t xml:space="preserve"> 3rd Ed</w:t>
      </w:r>
      <w:r>
        <w:rPr>
          <w:rFonts w:ascii="Avenir Next" w:hAnsi="Avenir Next"/>
          <w:sz w:val="22"/>
          <w:szCs w:val="28"/>
        </w:rPr>
        <w:t xml:space="preserve">, para </w:t>
      </w:r>
      <w:r w:rsidRPr="009F6A5F">
        <w:rPr>
          <w:rFonts w:ascii="Avenir Next" w:hAnsi="Avenir Next"/>
          <w:sz w:val="22"/>
          <w:szCs w:val="28"/>
        </w:rPr>
        <w:t>11-026</w:t>
      </w:r>
      <w:r>
        <w:rPr>
          <w:rFonts w:ascii="Avenir Next" w:hAnsi="Avenir Next"/>
          <w:sz w:val="22"/>
          <w:szCs w:val="28"/>
        </w:rPr>
        <w:t xml:space="preserve">). </w:t>
      </w:r>
    </w:p>
    <w:p w14:paraId="27A928D7" w14:textId="1F907A07" w:rsidR="00236604" w:rsidRDefault="00236604" w:rsidP="009E3CA7">
      <w:pPr>
        <w:jc w:val="both"/>
        <w:rPr>
          <w:rFonts w:ascii="Avenir Next" w:hAnsi="Avenir Next"/>
          <w:sz w:val="22"/>
          <w:szCs w:val="28"/>
        </w:rPr>
      </w:pPr>
    </w:p>
    <w:p w14:paraId="04A621AF" w14:textId="3E40FA2A" w:rsidR="00236604" w:rsidRPr="004402FB" w:rsidRDefault="00236604" w:rsidP="009E3CA7">
      <w:pPr>
        <w:jc w:val="both"/>
        <w:rPr>
          <w:rFonts w:ascii="Avenir Next" w:hAnsi="Avenir Next"/>
          <w:sz w:val="22"/>
          <w:szCs w:val="28"/>
        </w:rPr>
      </w:pPr>
      <w:r>
        <w:rPr>
          <w:rFonts w:ascii="Avenir Next" w:hAnsi="Avenir Next"/>
          <w:sz w:val="22"/>
          <w:szCs w:val="28"/>
        </w:rPr>
        <w:t xml:space="preserve">The foreign representative </w:t>
      </w:r>
      <w:r w:rsidR="001363E4">
        <w:rPr>
          <w:rFonts w:ascii="Avenir Next" w:hAnsi="Avenir Next"/>
          <w:sz w:val="22"/>
          <w:szCs w:val="28"/>
        </w:rPr>
        <w:t xml:space="preserve">has a right of direct access (Article 9 / </w:t>
      </w:r>
      <w:r w:rsidR="001363E4" w:rsidRPr="00D73F2B">
        <w:rPr>
          <w:rFonts w:ascii="Avenir Next" w:hAnsi="Avenir Next"/>
          <w:sz w:val="22"/>
          <w:szCs w:val="28"/>
        </w:rPr>
        <w:t>§</w:t>
      </w:r>
      <w:r w:rsidR="001363E4">
        <w:rPr>
          <w:rFonts w:ascii="Avenir Next" w:hAnsi="Avenir Next"/>
          <w:sz w:val="22"/>
          <w:szCs w:val="28"/>
        </w:rPr>
        <w:t xml:space="preserve">1509), and </w:t>
      </w:r>
      <w:r>
        <w:rPr>
          <w:rFonts w:ascii="Avenir Next" w:hAnsi="Avenir Next"/>
          <w:sz w:val="22"/>
          <w:szCs w:val="28"/>
        </w:rPr>
        <w:t xml:space="preserve">is entitled to file the Chapter 15 petition, pursuant to Article 11 / </w:t>
      </w:r>
      <w:r w:rsidRPr="00D73F2B">
        <w:rPr>
          <w:rFonts w:ascii="Avenir Next" w:hAnsi="Avenir Next"/>
          <w:sz w:val="22"/>
          <w:szCs w:val="28"/>
        </w:rPr>
        <w:t>§</w:t>
      </w:r>
      <w:r w:rsidR="00F8482A" w:rsidRPr="00D73F2B">
        <w:rPr>
          <w:rFonts w:ascii="Avenir Next" w:hAnsi="Avenir Next"/>
          <w:sz w:val="22"/>
          <w:szCs w:val="28"/>
        </w:rPr>
        <w:t>§</w:t>
      </w:r>
      <w:r w:rsidR="00E25821">
        <w:rPr>
          <w:rFonts w:ascii="Avenir Next" w:hAnsi="Avenir Next"/>
          <w:sz w:val="22"/>
          <w:szCs w:val="28"/>
        </w:rPr>
        <w:t>1504</w:t>
      </w:r>
      <w:r w:rsidR="00F8482A">
        <w:rPr>
          <w:rFonts w:ascii="Avenir Next" w:hAnsi="Avenir Next"/>
          <w:sz w:val="22"/>
          <w:szCs w:val="28"/>
        </w:rPr>
        <w:t xml:space="preserve">, 1509(a). </w:t>
      </w:r>
    </w:p>
    <w:p w14:paraId="711F0370" w14:textId="77777777" w:rsidR="004402FB" w:rsidRDefault="004402FB" w:rsidP="009E3CA7">
      <w:pPr>
        <w:jc w:val="both"/>
        <w:rPr>
          <w:rFonts w:ascii="Avenir Next" w:hAnsi="Avenir Next"/>
          <w:sz w:val="22"/>
          <w:szCs w:val="28"/>
        </w:rPr>
      </w:pPr>
    </w:p>
    <w:p w14:paraId="1AF49712" w14:textId="68A2B966" w:rsidR="0084091F" w:rsidRDefault="00A75E02" w:rsidP="009E3CA7">
      <w:pPr>
        <w:jc w:val="both"/>
        <w:rPr>
          <w:rFonts w:ascii="Avenir Next" w:hAnsi="Avenir Next"/>
          <w:sz w:val="22"/>
          <w:szCs w:val="28"/>
        </w:rPr>
      </w:pPr>
      <w:r>
        <w:rPr>
          <w:rFonts w:ascii="Avenir Next" w:hAnsi="Avenir Next"/>
          <w:sz w:val="22"/>
          <w:szCs w:val="28"/>
        </w:rPr>
        <w:t xml:space="preserve">The application would be filed pursuant to </w:t>
      </w:r>
      <w:r w:rsidR="00FA67A9">
        <w:rPr>
          <w:rFonts w:ascii="Avenir Next" w:hAnsi="Avenir Next"/>
          <w:sz w:val="22"/>
          <w:szCs w:val="28"/>
        </w:rPr>
        <w:t xml:space="preserve">Article 15 </w:t>
      </w:r>
      <w:r w:rsidR="00DE091B">
        <w:rPr>
          <w:rFonts w:ascii="Avenir Next" w:hAnsi="Avenir Next"/>
          <w:sz w:val="22"/>
          <w:szCs w:val="28"/>
        </w:rPr>
        <w:t xml:space="preserve">/ </w:t>
      </w:r>
      <w:r w:rsidR="00DE091B" w:rsidRPr="00D73F2B">
        <w:rPr>
          <w:rFonts w:ascii="Avenir Next" w:hAnsi="Avenir Next"/>
          <w:sz w:val="22"/>
          <w:szCs w:val="28"/>
        </w:rPr>
        <w:t>§</w:t>
      </w:r>
      <w:r w:rsidR="00DE091B">
        <w:rPr>
          <w:rFonts w:ascii="Avenir Next" w:hAnsi="Avenir Next"/>
          <w:sz w:val="22"/>
          <w:szCs w:val="28"/>
        </w:rPr>
        <w:t>1515(a), and would include a copy of</w:t>
      </w:r>
      <w:r w:rsidR="007B518E">
        <w:rPr>
          <w:rFonts w:ascii="Avenir Next" w:hAnsi="Avenir Next"/>
          <w:sz w:val="22"/>
          <w:szCs w:val="28"/>
        </w:rPr>
        <w:t xml:space="preserve">, </w:t>
      </w:r>
      <w:r w:rsidR="007B518E">
        <w:rPr>
          <w:rFonts w:ascii="Avenir Next" w:hAnsi="Avenir Next"/>
          <w:i/>
          <w:sz w:val="22"/>
          <w:szCs w:val="28"/>
        </w:rPr>
        <w:t>inter alia</w:t>
      </w:r>
      <w:r w:rsidR="004D472E">
        <w:rPr>
          <w:rFonts w:ascii="Avenir Next" w:hAnsi="Avenir Next"/>
          <w:sz w:val="22"/>
          <w:szCs w:val="28"/>
        </w:rPr>
        <w:t>:</w:t>
      </w:r>
      <w:r w:rsidR="00DE091B">
        <w:rPr>
          <w:rFonts w:ascii="Avenir Next" w:hAnsi="Avenir Next"/>
          <w:sz w:val="22"/>
          <w:szCs w:val="28"/>
        </w:rPr>
        <w:t xml:space="preserve"> </w:t>
      </w:r>
    </w:p>
    <w:p w14:paraId="1518C26E" w14:textId="036FA6E3" w:rsidR="000C16B6" w:rsidRDefault="004D472E" w:rsidP="000C16B6">
      <w:pPr>
        <w:pStyle w:val="ListParagraph"/>
        <w:numPr>
          <w:ilvl w:val="0"/>
          <w:numId w:val="18"/>
        </w:numPr>
        <w:ind w:left="567" w:hanging="567"/>
        <w:jc w:val="both"/>
        <w:rPr>
          <w:rFonts w:ascii="Avenir Next" w:hAnsi="Avenir Next"/>
          <w:sz w:val="22"/>
          <w:szCs w:val="28"/>
        </w:rPr>
      </w:pPr>
      <w:r w:rsidRPr="000C16B6">
        <w:rPr>
          <w:rFonts w:ascii="Avenir Next" w:hAnsi="Avenir Next"/>
          <w:sz w:val="22"/>
          <w:szCs w:val="28"/>
        </w:rPr>
        <w:t>a certified copy of the decision</w:t>
      </w:r>
      <w:r w:rsidR="000C16B6">
        <w:rPr>
          <w:rFonts w:ascii="Avenir Next" w:hAnsi="Avenir Next"/>
          <w:sz w:val="22"/>
          <w:szCs w:val="28"/>
        </w:rPr>
        <w:t xml:space="preserve"> </w:t>
      </w:r>
      <w:r w:rsidRPr="000C16B6">
        <w:rPr>
          <w:rFonts w:ascii="Avenir Next" w:hAnsi="Avenir Next"/>
          <w:sz w:val="22"/>
          <w:szCs w:val="28"/>
        </w:rPr>
        <w:t xml:space="preserve">commencing </w:t>
      </w:r>
      <w:r w:rsidR="000C16B6" w:rsidRPr="000C16B6">
        <w:rPr>
          <w:rFonts w:ascii="Avenir Next" w:hAnsi="Avenir Next"/>
          <w:sz w:val="22"/>
          <w:szCs w:val="28"/>
        </w:rPr>
        <w:t>the</w:t>
      </w:r>
      <w:r w:rsidRPr="000C16B6">
        <w:rPr>
          <w:rFonts w:ascii="Avenir Next" w:hAnsi="Avenir Next"/>
          <w:sz w:val="22"/>
          <w:szCs w:val="28"/>
        </w:rPr>
        <w:t xml:space="preserve"> foreign proceeding and appointing the foreign representative</w:t>
      </w:r>
      <w:r w:rsidR="009236FB">
        <w:rPr>
          <w:rFonts w:ascii="Avenir Next" w:hAnsi="Avenir Next"/>
          <w:sz w:val="22"/>
          <w:szCs w:val="28"/>
        </w:rPr>
        <w:t xml:space="preserve"> (so, here the Cayman Court’s Convening Order)</w:t>
      </w:r>
      <w:r w:rsidRPr="000C16B6">
        <w:rPr>
          <w:rFonts w:ascii="Avenir Next" w:hAnsi="Avenir Next"/>
          <w:sz w:val="22"/>
          <w:szCs w:val="28"/>
        </w:rPr>
        <w:t>;</w:t>
      </w:r>
    </w:p>
    <w:p w14:paraId="75645F82" w14:textId="20E834C0" w:rsidR="004D472E" w:rsidRDefault="004D472E" w:rsidP="000C16B6">
      <w:pPr>
        <w:pStyle w:val="ListParagraph"/>
        <w:numPr>
          <w:ilvl w:val="0"/>
          <w:numId w:val="18"/>
        </w:numPr>
        <w:ind w:left="567" w:hanging="567"/>
        <w:jc w:val="both"/>
        <w:rPr>
          <w:rFonts w:ascii="Avenir Next" w:hAnsi="Avenir Next"/>
          <w:sz w:val="22"/>
          <w:szCs w:val="28"/>
        </w:rPr>
      </w:pPr>
      <w:r w:rsidRPr="000C16B6">
        <w:rPr>
          <w:rFonts w:ascii="Avenir Next" w:hAnsi="Avenir Next"/>
          <w:sz w:val="22"/>
          <w:szCs w:val="28"/>
        </w:rPr>
        <w:t xml:space="preserve">a certificate from the </w:t>
      </w:r>
      <w:r w:rsidR="000C16B6">
        <w:rPr>
          <w:rFonts w:ascii="Avenir Next" w:hAnsi="Avenir Next"/>
          <w:sz w:val="22"/>
          <w:szCs w:val="28"/>
        </w:rPr>
        <w:t>Court</w:t>
      </w:r>
      <w:r w:rsidRPr="000C16B6">
        <w:rPr>
          <w:rFonts w:ascii="Avenir Next" w:hAnsi="Avenir Next"/>
          <w:sz w:val="22"/>
          <w:szCs w:val="28"/>
        </w:rPr>
        <w:t xml:space="preserve"> affirming the existence of such foreign proceeding and of the appointment of the foreign representative</w:t>
      </w:r>
      <w:r w:rsidR="009236FB">
        <w:rPr>
          <w:rFonts w:ascii="Avenir Next" w:hAnsi="Avenir Next"/>
          <w:sz w:val="22"/>
          <w:szCs w:val="28"/>
        </w:rPr>
        <w:t xml:space="preserve"> a certificate and the Cayman Court’s Sanction Order)</w:t>
      </w:r>
      <w:r w:rsidRPr="000C16B6">
        <w:rPr>
          <w:rFonts w:ascii="Avenir Next" w:hAnsi="Avenir Next"/>
          <w:sz w:val="22"/>
          <w:szCs w:val="28"/>
        </w:rPr>
        <w:t xml:space="preserve">; </w:t>
      </w:r>
      <w:r w:rsidR="000C16B6">
        <w:rPr>
          <w:rFonts w:ascii="Avenir Next" w:hAnsi="Avenir Next"/>
          <w:sz w:val="22"/>
          <w:szCs w:val="28"/>
        </w:rPr>
        <w:t>and/</w:t>
      </w:r>
      <w:r w:rsidRPr="000C16B6">
        <w:rPr>
          <w:rFonts w:ascii="Avenir Next" w:hAnsi="Avenir Next"/>
          <w:sz w:val="22"/>
          <w:szCs w:val="28"/>
        </w:rPr>
        <w:t>or</w:t>
      </w:r>
    </w:p>
    <w:p w14:paraId="15B98A0C" w14:textId="2B0A736B" w:rsidR="0084091F" w:rsidRPr="000C16B6" w:rsidRDefault="004D472E" w:rsidP="000C16B6">
      <w:pPr>
        <w:pStyle w:val="ListParagraph"/>
        <w:numPr>
          <w:ilvl w:val="0"/>
          <w:numId w:val="18"/>
        </w:numPr>
        <w:ind w:left="567" w:hanging="567"/>
        <w:jc w:val="both"/>
        <w:rPr>
          <w:rFonts w:ascii="Avenir Next" w:hAnsi="Avenir Next"/>
          <w:sz w:val="22"/>
          <w:szCs w:val="28"/>
        </w:rPr>
      </w:pPr>
      <w:r w:rsidRPr="000C16B6">
        <w:rPr>
          <w:rFonts w:ascii="Avenir Next" w:hAnsi="Avenir Next"/>
          <w:sz w:val="22"/>
          <w:szCs w:val="28"/>
        </w:rPr>
        <w:t>any other evidence acceptable to the</w:t>
      </w:r>
      <w:r w:rsidR="000C16B6">
        <w:rPr>
          <w:rFonts w:ascii="Avenir Next" w:hAnsi="Avenir Next"/>
          <w:sz w:val="22"/>
          <w:szCs w:val="28"/>
        </w:rPr>
        <w:t xml:space="preserve"> US</w:t>
      </w:r>
      <w:r w:rsidRPr="000C16B6">
        <w:rPr>
          <w:rFonts w:ascii="Avenir Next" w:hAnsi="Avenir Next"/>
          <w:sz w:val="22"/>
          <w:szCs w:val="28"/>
        </w:rPr>
        <w:t xml:space="preserve"> court of the existence of such foreign proceeding and of the appointment of the foreign representative</w:t>
      </w:r>
      <w:r w:rsidR="000C16B6">
        <w:rPr>
          <w:rFonts w:ascii="Avenir Next" w:hAnsi="Avenir Next"/>
          <w:sz w:val="22"/>
          <w:szCs w:val="28"/>
        </w:rPr>
        <w:t xml:space="preserve"> (Article 15(2) / </w:t>
      </w:r>
      <w:r w:rsidR="000C16B6" w:rsidRPr="00D73F2B">
        <w:rPr>
          <w:rFonts w:ascii="Avenir Next" w:hAnsi="Avenir Next"/>
          <w:sz w:val="22"/>
          <w:szCs w:val="28"/>
        </w:rPr>
        <w:t>§</w:t>
      </w:r>
      <w:r w:rsidR="000C16B6">
        <w:rPr>
          <w:rFonts w:ascii="Avenir Next" w:hAnsi="Avenir Next"/>
          <w:sz w:val="22"/>
          <w:szCs w:val="28"/>
        </w:rPr>
        <w:t>1515(b))</w:t>
      </w:r>
      <w:r w:rsidR="009236FB">
        <w:rPr>
          <w:rFonts w:ascii="Avenir Next" w:hAnsi="Avenir Next"/>
          <w:sz w:val="22"/>
          <w:szCs w:val="28"/>
        </w:rPr>
        <w:t xml:space="preserve">, </w:t>
      </w:r>
      <w:r w:rsidR="009236FB">
        <w:rPr>
          <w:rFonts w:ascii="Avenir Next" w:hAnsi="Avenir Next"/>
          <w:i/>
          <w:sz w:val="22"/>
          <w:szCs w:val="28"/>
        </w:rPr>
        <w:t xml:space="preserve">e.g. </w:t>
      </w:r>
      <w:r w:rsidR="009236FB">
        <w:rPr>
          <w:rFonts w:ascii="Avenir Next" w:hAnsi="Avenir Next"/>
          <w:sz w:val="22"/>
          <w:szCs w:val="28"/>
        </w:rPr>
        <w:t xml:space="preserve">the Cayman Court’s Sanction Order, in the event that (for whatever reason) this is not a </w:t>
      </w:r>
      <w:r w:rsidR="009236FB">
        <w:rPr>
          <w:rFonts w:ascii="Avenir Next" w:hAnsi="Avenir Next"/>
          <w:i/>
          <w:sz w:val="22"/>
          <w:szCs w:val="28"/>
        </w:rPr>
        <w:t>‘certificate’</w:t>
      </w:r>
      <w:r w:rsidR="009236FB">
        <w:rPr>
          <w:rFonts w:ascii="Avenir Next" w:hAnsi="Avenir Next"/>
          <w:sz w:val="22"/>
          <w:szCs w:val="28"/>
        </w:rPr>
        <w:t>, as above</w:t>
      </w:r>
      <w:r w:rsidRPr="000C16B6">
        <w:rPr>
          <w:rFonts w:ascii="Avenir Next" w:hAnsi="Avenir Next"/>
          <w:sz w:val="22"/>
          <w:szCs w:val="28"/>
        </w:rPr>
        <w:t>.</w:t>
      </w:r>
    </w:p>
    <w:p w14:paraId="4E9D2EEB" w14:textId="4ACA81E0" w:rsidR="006D1AA2" w:rsidRDefault="006D1AA2" w:rsidP="009E3CA7">
      <w:pPr>
        <w:jc w:val="both"/>
        <w:rPr>
          <w:rFonts w:ascii="Avenir Next" w:hAnsi="Avenir Next"/>
          <w:sz w:val="22"/>
          <w:szCs w:val="28"/>
        </w:rPr>
      </w:pPr>
    </w:p>
    <w:p w14:paraId="55E53961" w14:textId="7476358D" w:rsidR="00634BE5" w:rsidRDefault="00634BE5" w:rsidP="009E3CA7">
      <w:pPr>
        <w:jc w:val="both"/>
        <w:rPr>
          <w:rFonts w:ascii="Avenir Next" w:hAnsi="Avenir Next"/>
          <w:sz w:val="22"/>
          <w:szCs w:val="28"/>
        </w:rPr>
      </w:pPr>
      <w:r>
        <w:rPr>
          <w:rFonts w:ascii="Avenir Next" w:hAnsi="Avenir Next"/>
          <w:sz w:val="22"/>
          <w:szCs w:val="28"/>
        </w:rPr>
        <w:t>The provision of th</w:t>
      </w:r>
      <w:r w:rsidR="00255C22">
        <w:rPr>
          <w:rFonts w:ascii="Avenir Next" w:hAnsi="Avenir Next"/>
          <w:sz w:val="22"/>
          <w:szCs w:val="28"/>
        </w:rPr>
        <w:t>e above (</w:t>
      </w:r>
      <w:r w:rsidR="00255C22">
        <w:rPr>
          <w:rFonts w:ascii="Avenir Next" w:hAnsi="Avenir Next"/>
          <w:i/>
          <w:sz w:val="22"/>
          <w:szCs w:val="28"/>
        </w:rPr>
        <w:t xml:space="preserve">i.e. </w:t>
      </w:r>
      <w:r w:rsidR="00255C22">
        <w:rPr>
          <w:rFonts w:ascii="Avenir Next" w:hAnsi="Avenir Next"/>
          <w:sz w:val="22"/>
          <w:szCs w:val="28"/>
        </w:rPr>
        <w:t xml:space="preserve">the Sanction Order and/or the Certificate) would </w:t>
      </w:r>
      <w:r w:rsidR="00DE322D">
        <w:rPr>
          <w:rFonts w:ascii="Avenir Next" w:hAnsi="Avenir Next"/>
          <w:sz w:val="22"/>
          <w:szCs w:val="28"/>
        </w:rPr>
        <w:t xml:space="preserve">also </w:t>
      </w:r>
      <w:r w:rsidR="00255C22">
        <w:rPr>
          <w:rFonts w:ascii="Avenir Next" w:hAnsi="Avenir Next"/>
          <w:sz w:val="22"/>
          <w:szCs w:val="28"/>
        </w:rPr>
        <w:t>enable the US Court to apply the presumption</w:t>
      </w:r>
      <w:r w:rsidR="00DE322D">
        <w:rPr>
          <w:rFonts w:ascii="Avenir Next" w:hAnsi="Avenir Next"/>
          <w:sz w:val="22"/>
          <w:szCs w:val="28"/>
        </w:rPr>
        <w:t>s</w:t>
      </w:r>
      <w:r w:rsidR="00255C22">
        <w:rPr>
          <w:rFonts w:ascii="Avenir Next" w:hAnsi="Avenir Next"/>
          <w:sz w:val="22"/>
          <w:szCs w:val="28"/>
        </w:rPr>
        <w:t xml:space="preserve"> in Article 16(1)</w:t>
      </w:r>
      <w:r w:rsidR="00A779B8">
        <w:rPr>
          <w:rFonts w:ascii="Avenir Next" w:hAnsi="Avenir Next"/>
          <w:sz w:val="22"/>
          <w:szCs w:val="28"/>
        </w:rPr>
        <w:t xml:space="preserve"> / </w:t>
      </w:r>
      <w:r w:rsidR="00A779B8" w:rsidRPr="00A779B8">
        <w:rPr>
          <w:rFonts w:ascii="Avenir Next" w:hAnsi="Avenir Next"/>
          <w:sz w:val="22"/>
          <w:szCs w:val="28"/>
        </w:rPr>
        <w:t>§ 1516</w:t>
      </w:r>
      <w:r w:rsidR="00A779B8">
        <w:rPr>
          <w:rFonts w:ascii="Avenir Next" w:hAnsi="Avenir Next"/>
          <w:sz w:val="22"/>
          <w:szCs w:val="28"/>
        </w:rPr>
        <w:t>(a)</w:t>
      </w:r>
      <w:r w:rsidR="00DE322D">
        <w:rPr>
          <w:rFonts w:ascii="Avenir Next" w:hAnsi="Avenir Next"/>
          <w:sz w:val="22"/>
          <w:szCs w:val="28"/>
        </w:rPr>
        <w:t xml:space="preserve">, </w:t>
      </w:r>
      <w:r w:rsidR="00DE322D">
        <w:rPr>
          <w:rFonts w:ascii="Avenir Next" w:hAnsi="Avenir Next"/>
          <w:i/>
          <w:sz w:val="22"/>
          <w:szCs w:val="28"/>
        </w:rPr>
        <w:t xml:space="preserve">i.e. </w:t>
      </w:r>
      <w:r w:rsidR="00DE322D">
        <w:rPr>
          <w:rFonts w:ascii="Avenir Next" w:hAnsi="Avenir Next"/>
          <w:sz w:val="22"/>
          <w:szCs w:val="28"/>
        </w:rPr>
        <w:t>presume the Cayman proceedings are foreign proceedings and that the foreign representative is a foreign representative under Article 2(d).</w:t>
      </w:r>
      <w:r w:rsidR="00255C22">
        <w:rPr>
          <w:rFonts w:ascii="Avenir Next" w:hAnsi="Avenir Next"/>
          <w:sz w:val="22"/>
          <w:szCs w:val="28"/>
        </w:rPr>
        <w:t xml:space="preserve"> </w:t>
      </w:r>
    </w:p>
    <w:p w14:paraId="36BDF4B5" w14:textId="77777777" w:rsidR="00634BE5" w:rsidRDefault="00634BE5" w:rsidP="009E3CA7">
      <w:pPr>
        <w:jc w:val="both"/>
        <w:rPr>
          <w:rFonts w:ascii="Avenir Next" w:hAnsi="Avenir Next"/>
          <w:sz w:val="22"/>
          <w:szCs w:val="28"/>
        </w:rPr>
      </w:pPr>
    </w:p>
    <w:p w14:paraId="23EB1132" w14:textId="4D1C6693" w:rsidR="00A75E02" w:rsidRDefault="000C16B6" w:rsidP="009E3CA7">
      <w:pPr>
        <w:jc w:val="both"/>
        <w:rPr>
          <w:rFonts w:ascii="Avenir Next" w:hAnsi="Avenir Next"/>
          <w:sz w:val="22"/>
          <w:szCs w:val="28"/>
        </w:rPr>
      </w:pPr>
      <w:r>
        <w:rPr>
          <w:rFonts w:ascii="Avenir Next" w:hAnsi="Avenir Next"/>
          <w:sz w:val="22"/>
          <w:szCs w:val="28"/>
        </w:rPr>
        <w:t xml:space="preserve">The application would also be filed with </w:t>
      </w:r>
      <w:r w:rsidR="001919CA" w:rsidRPr="001919CA">
        <w:rPr>
          <w:rFonts w:ascii="Avenir Next" w:hAnsi="Avenir Next"/>
          <w:sz w:val="22"/>
          <w:szCs w:val="28"/>
        </w:rPr>
        <w:t xml:space="preserve">a statement identifying all foreign proceedings with respect to </w:t>
      </w:r>
      <w:r w:rsidR="001919CA">
        <w:rPr>
          <w:rFonts w:ascii="Avenir Next" w:hAnsi="Avenir Next"/>
          <w:sz w:val="22"/>
          <w:szCs w:val="28"/>
        </w:rPr>
        <w:t xml:space="preserve">Globe Holdings </w:t>
      </w:r>
      <w:r w:rsidR="001919CA" w:rsidRPr="001919CA">
        <w:rPr>
          <w:rFonts w:ascii="Avenir Next" w:hAnsi="Avenir Next"/>
          <w:sz w:val="22"/>
          <w:szCs w:val="28"/>
        </w:rPr>
        <w:t>that are known to the foreign representative</w:t>
      </w:r>
      <w:r w:rsidR="001919CA">
        <w:rPr>
          <w:rFonts w:ascii="Avenir Next" w:hAnsi="Avenir Next"/>
          <w:sz w:val="22"/>
          <w:szCs w:val="28"/>
        </w:rPr>
        <w:t xml:space="preserve"> (Article 15(3) / </w:t>
      </w:r>
      <w:r w:rsidR="001919CA" w:rsidRPr="00D73F2B">
        <w:rPr>
          <w:rFonts w:ascii="Avenir Next" w:hAnsi="Avenir Next"/>
          <w:sz w:val="22"/>
          <w:szCs w:val="28"/>
        </w:rPr>
        <w:t>§</w:t>
      </w:r>
      <w:r w:rsidR="001919CA">
        <w:rPr>
          <w:rFonts w:ascii="Avenir Next" w:hAnsi="Avenir Next"/>
          <w:sz w:val="22"/>
          <w:szCs w:val="28"/>
        </w:rPr>
        <w:t xml:space="preserve">1515(c)). </w:t>
      </w:r>
    </w:p>
    <w:p w14:paraId="61682E05" w14:textId="77777777" w:rsidR="00A75E02" w:rsidRDefault="00A75E02" w:rsidP="009E3CA7">
      <w:pPr>
        <w:jc w:val="both"/>
        <w:rPr>
          <w:rFonts w:ascii="Avenir Next" w:hAnsi="Avenir Next"/>
          <w:sz w:val="22"/>
          <w:szCs w:val="28"/>
        </w:rPr>
      </w:pPr>
    </w:p>
    <w:p w14:paraId="534EE13D" w14:textId="17637362" w:rsidR="00236604" w:rsidRDefault="00CB3D72" w:rsidP="009E3CA7">
      <w:pPr>
        <w:jc w:val="both"/>
        <w:rPr>
          <w:rFonts w:ascii="Avenir Next" w:hAnsi="Avenir Next"/>
          <w:sz w:val="22"/>
          <w:szCs w:val="28"/>
        </w:rPr>
      </w:pPr>
      <w:r>
        <w:rPr>
          <w:rFonts w:ascii="Avenir Next" w:hAnsi="Avenir Next"/>
          <w:sz w:val="22"/>
          <w:szCs w:val="28"/>
        </w:rPr>
        <w:t xml:space="preserve">The </w:t>
      </w:r>
      <w:r w:rsidR="00DE091B">
        <w:rPr>
          <w:rFonts w:ascii="Avenir Next" w:hAnsi="Avenir Next"/>
          <w:sz w:val="22"/>
          <w:szCs w:val="28"/>
        </w:rPr>
        <w:t xml:space="preserve">US petition would argue, </w:t>
      </w:r>
      <w:r w:rsidR="00C45702">
        <w:rPr>
          <w:rFonts w:ascii="Avenir Next" w:hAnsi="Avenir Next"/>
          <w:sz w:val="22"/>
          <w:szCs w:val="28"/>
        </w:rPr>
        <w:t xml:space="preserve">as stated above, </w:t>
      </w:r>
      <w:r w:rsidR="00DE091B">
        <w:rPr>
          <w:rFonts w:ascii="Avenir Next" w:hAnsi="Avenir Next"/>
          <w:sz w:val="22"/>
          <w:szCs w:val="28"/>
        </w:rPr>
        <w:t xml:space="preserve">by way of primary contention, that the Cayman proceedings are </w:t>
      </w:r>
      <w:r w:rsidR="003472D1">
        <w:rPr>
          <w:rFonts w:ascii="Avenir Next" w:hAnsi="Avenir Next"/>
          <w:sz w:val="22"/>
          <w:szCs w:val="28"/>
        </w:rPr>
        <w:t xml:space="preserve">FMP </w:t>
      </w:r>
      <w:r w:rsidR="00DE091B">
        <w:rPr>
          <w:rFonts w:ascii="Avenir Next" w:hAnsi="Avenir Next"/>
          <w:sz w:val="22"/>
          <w:szCs w:val="28"/>
        </w:rPr>
        <w:t xml:space="preserve">in order to afford the client the greatest degree of protection possible, in terms of safeguarding the Cayman Scheme. The petition would, therefore, contend that </w:t>
      </w:r>
      <w:r w:rsidR="00236604">
        <w:rPr>
          <w:rFonts w:ascii="Avenir Next" w:hAnsi="Avenir Next"/>
          <w:sz w:val="22"/>
          <w:szCs w:val="28"/>
        </w:rPr>
        <w:t xml:space="preserve">the COMI in respect of the client is in Cayman (Article 2(b) / </w:t>
      </w:r>
      <w:r w:rsidR="00236604" w:rsidRPr="00D73F2B">
        <w:rPr>
          <w:rFonts w:ascii="Avenir Next" w:hAnsi="Avenir Next"/>
          <w:sz w:val="22"/>
          <w:szCs w:val="28"/>
        </w:rPr>
        <w:t>§</w:t>
      </w:r>
      <w:r w:rsidR="00084009" w:rsidRPr="00D73F2B">
        <w:rPr>
          <w:rFonts w:ascii="Avenir Next" w:hAnsi="Avenir Next"/>
          <w:sz w:val="22"/>
          <w:szCs w:val="28"/>
        </w:rPr>
        <w:t>§</w:t>
      </w:r>
      <w:r w:rsidR="00236604">
        <w:rPr>
          <w:rFonts w:ascii="Avenir Next" w:hAnsi="Avenir Next"/>
          <w:sz w:val="22"/>
          <w:szCs w:val="28"/>
        </w:rPr>
        <w:t>1502(4)</w:t>
      </w:r>
      <w:r w:rsidR="00084009">
        <w:rPr>
          <w:rFonts w:ascii="Avenir Next" w:hAnsi="Avenir Next"/>
          <w:sz w:val="22"/>
          <w:szCs w:val="28"/>
        </w:rPr>
        <w:t xml:space="preserve">; and Article 17(2)(a) / </w:t>
      </w:r>
      <w:r w:rsidR="00084009" w:rsidRPr="00D73F2B">
        <w:rPr>
          <w:rFonts w:ascii="Avenir Next" w:hAnsi="Avenir Next"/>
          <w:sz w:val="22"/>
          <w:szCs w:val="28"/>
        </w:rPr>
        <w:t>§</w:t>
      </w:r>
      <w:r w:rsidR="00084009">
        <w:rPr>
          <w:rFonts w:ascii="Avenir Next" w:hAnsi="Avenir Next"/>
          <w:sz w:val="22"/>
          <w:szCs w:val="28"/>
        </w:rPr>
        <w:t>1517(b)(1)</w:t>
      </w:r>
      <w:r w:rsidR="00236604">
        <w:rPr>
          <w:rFonts w:ascii="Avenir Next" w:hAnsi="Avenir Next"/>
          <w:sz w:val="22"/>
          <w:szCs w:val="28"/>
        </w:rPr>
        <w:t>). It would do this by asserting</w:t>
      </w:r>
      <w:r w:rsidR="00EE533D">
        <w:rPr>
          <w:rFonts w:ascii="Avenir Next" w:hAnsi="Avenir Next"/>
          <w:sz w:val="22"/>
          <w:szCs w:val="28"/>
        </w:rPr>
        <w:t xml:space="preserve">, </w:t>
      </w:r>
      <w:r w:rsidR="00EE533D">
        <w:rPr>
          <w:rFonts w:ascii="Avenir Next" w:hAnsi="Avenir Next"/>
          <w:i/>
          <w:sz w:val="22"/>
          <w:szCs w:val="28"/>
        </w:rPr>
        <w:t>inter alia</w:t>
      </w:r>
      <w:r w:rsidR="00EE533D">
        <w:rPr>
          <w:rFonts w:ascii="Avenir Next" w:hAnsi="Avenir Next"/>
          <w:sz w:val="22"/>
          <w:szCs w:val="28"/>
        </w:rPr>
        <w:t>,</w:t>
      </w:r>
      <w:r w:rsidR="00236604">
        <w:rPr>
          <w:rFonts w:ascii="Avenir Next" w:hAnsi="Avenir Next"/>
          <w:sz w:val="22"/>
          <w:szCs w:val="28"/>
        </w:rPr>
        <w:t xml:space="preserve"> that:</w:t>
      </w:r>
    </w:p>
    <w:p w14:paraId="3B92CC1C" w14:textId="77777777" w:rsidR="00236604" w:rsidRDefault="00236604" w:rsidP="009E3CA7">
      <w:pPr>
        <w:jc w:val="both"/>
        <w:rPr>
          <w:rFonts w:ascii="Avenir Next" w:hAnsi="Avenir Next"/>
          <w:sz w:val="22"/>
          <w:szCs w:val="28"/>
        </w:rPr>
      </w:pPr>
    </w:p>
    <w:p w14:paraId="141C0376" w14:textId="47ACB334" w:rsidR="00236604" w:rsidRDefault="00236604" w:rsidP="00EE533D">
      <w:pPr>
        <w:pStyle w:val="ListParagraph"/>
        <w:numPr>
          <w:ilvl w:val="0"/>
          <w:numId w:val="18"/>
        </w:numPr>
        <w:ind w:left="567" w:hanging="567"/>
        <w:jc w:val="both"/>
        <w:rPr>
          <w:rFonts w:ascii="Avenir Next" w:hAnsi="Avenir Next"/>
          <w:sz w:val="22"/>
          <w:szCs w:val="28"/>
        </w:rPr>
      </w:pPr>
      <w:r>
        <w:rPr>
          <w:rFonts w:ascii="Avenir Next" w:hAnsi="Avenir Next"/>
          <w:sz w:val="22"/>
          <w:szCs w:val="28"/>
        </w:rPr>
        <w:t>The presumption in Article 16</w:t>
      </w:r>
      <w:r w:rsidR="00A11BCE">
        <w:rPr>
          <w:rFonts w:ascii="Avenir Next" w:hAnsi="Avenir Next"/>
          <w:sz w:val="22"/>
          <w:szCs w:val="28"/>
        </w:rPr>
        <w:t xml:space="preserve">(3) / </w:t>
      </w:r>
      <w:r w:rsidR="00EE533D" w:rsidRPr="00D73F2B">
        <w:rPr>
          <w:rFonts w:ascii="Avenir Next" w:hAnsi="Avenir Next"/>
          <w:sz w:val="22"/>
          <w:szCs w:val="28"/>
        </w:rPr>
        <w:t>§</w:t>
      </w:r>
      <w:r w:rsidR="00EE533D">
        <w:rPr>
          <w:rFonts w:ascii="Avenir Next" w:hAnsi="Avenir Next"/>
          <w:sz w:val="22"/>
          <w:szCs w:val="28"/>
        </w:rPr>
        <w:t>1516(c) applies, given that the client</w:t>
      </w:r>
      <w:r w:rsidR="00EA4584">
        <w:rPr>
          <w:rFonts w:ascii="Avenir Next" w:hAnsi="Avenir Next"/>
          <w:sz w:val="22"/>
          <w:szCs w:val="28"/>
        </w:rPr>
        <w:t>’s</w:t>
      </w:r>
      <w:r w:rsidR="00EE533D">
        <w:rPr>
          <w:rFonts w:ascii="Avenir Next" w:hAnsi="Avenir Next"/>
          <w:sz w:val="22"/>
          <w:szCs w:val="28"/>
        </w:rPr>
        <w:t xml:space="preserve"> registered office is in Cayman, </w:t>
      </w:r>
      <w:r w:rsidR="00EE533D">
        <w:rPr>
          <w:rFonts w:ascii="Avenir Next" w:hAnsi="Avenir Next"/>
          <w:i/>
          <w:sz w:val="22"/>
          <w:szCs w:val="28"/>
        </w:rPr>
        <w:t xml:space="preserve">i.e. </w:t>
      </w:r>
      <w:r w:rsidR="00EE533D">
        <w:rPr>
          <w:rFonts w:ascii="Avenir Next" w:hAnsi="Avenir Next"/>
          <w:sz w:val="22"/>
          <w:szCs w:val="28"/>
        </w:rPr>
        <w:t xml:space="preserve">where Globe Holdings has been incorporated; </w:t>
      </w:r>
    </w:p>
    <w:p w14:paraId="3D61F1EE" w14:textId="662A5570" w:rsidR="00AC7E0D" w:rsidRDefault="00EE533D" w:rsidP="00EE533D">
      <w:pPr>
        <w:pStyle w:val="ListParagraph"/>
        <w:numPr>
          <w:ilvl w:val="0"/>
          <w:numId w:val="18"/>
        </w:numPr>
        <w:ind w:left="567" w:hanging="567"/>
        <w:jc w:val="both"/>
        <w:rPr>
          <w:rFonts w:ascii="Avenir Next" w:hAnsi="Avenir Next"/>
          <w:sz w:val="22"/>
          <w:szCs w:val="28"/>
        </w:rPr>
      </w:pPr>
      <w:r>
        <w:rPr>
          <w:rFonts w:ascii="Avenir Next" w:hAnsi="Avenir Next"/>
          <w:sz w:val="22"/>
          <w:szCs w:val="28"/>
        </w:rPr>
        <w:t>Globe Holdings maintain</w:t>
      </w:r>
      <w:r w:rsidR="000B5220">
        <w:rPr>
          <w:rFonts w:ascii="Avenir Next" w:hAnsi="Avenir Next"/>
          <w:sz w:val="22"/>
          <w:szCs w:val="28"/>
        </w:rPr>
        <w:t>s</w:t>
      </w:r>
      <w:r>
        <w:rPr>
          <w:rFonts w:ascii="Avenir Next" w:hAnsi="Avenir Next"/>
          <w:sz w:val="22"/>
          <w:szCs w:val="28"/>
        </w:rPr>
        <w:t xml:space="preserve"> its books and records in the Cayman Islands</w:t>
      </w:r>
      <w:r w:rsidR="00AC7E0D">
        <w:rPr>
          <w:rFonts w:ascii="Avenir Next" w:hAnsi="Avenir Next"/>
          <w:sz w:val="22"/>
          <w:szCs w:val="28"/>
        </w:rPr>
        <w:t xml:space="preserve"> (</w:t>
      </w:r>
      <w:r w:rsidR="00AC7E0D">
        <w:rPr>
          <w:rFonts w:ascii="Avenir Next" w:hAnsi="Avenir Next"/>
          <w:i/>
          <w:sz w:val="22"/>
          <w:szCs w:val="28"/>
        </w:rPr>
        <w:t xml:space="preserve">i.e. </w:t>
      </w:r>
      <w:r w:rsidR="00AC7E0D">
        <w:rPr>
          <w:rFonts w:ascii="Avenir Next" w:hAnsi="Avenir Next"/>
          <w:sz w:val="22"/>
          <w:szCs w:val="28"/>
        </w:rPr>
        <w:t>administrative functions take place there</w:t>
      </w:r>
      <w:r w:rsidR="00E34B18">
        <w:rPr>
          <w:rFonts w:ascii="Avenir Next" w:hAnsi="Avenir Next"/>
          <w:sz w:val="22"/>
          <w:szCs w:val="28"/>
        </w:rPr>
        <w:t xml:space="preserve"> </w:t>
      </w:r>
      <w:proofErr w:type="spellStart"/>
      <w:r w:rsidR="00E34B18">
        <w:rPr>
          <w:rFonts w:ascii="Avenir Next" w:hAnsi="Avenir Next"/>
          <w:sz w:val="22"/>
          <w:szCs w:val="28"/>
        </w:rPr>
        <w:t>etc</w:t>
      </w:r>
      <w:proofErr w:type="spellEnd"/>
      <w:r w:rsidR="00AC7E0D">
        <w:rPr>
          <w:rFonts w:ascii="Avenir Next" w:hAnsi="Avenir Next"/>
          <w:sz w:val="22"/>
          <w:szCs w:val="28"/>
        </w:rPr>
        <w:t xml:space="preserve">); </w:t>
      </w:r>
    </w:p>
    <w:p w14:paraId="2AD18483" w14:textId="385D646F" w:rsidR="00EE533D" w:rsidRDefault="00AC7E0D" w:rsidP="00EE533D">
      <w:pPr>
        <w:pStyle w:val="ListParagraph"/>
        <w:numPr>
          <w:ilvl w:val="0"/>
          <w:numId w:val="18"/>
        </w:numPr>
        <w:ind w:left="567" w:hanging="567"/>
        <w:jc w:val="both"/>
        <w:rPr>
          <w:rFonts w:ascii="Avenir Next" w:hAnsi="Avenir Next"/>
          <w:sz w:val="22"/>
          <w:szCs w:val="28"/>
        </w:rPr>
      </w:pPr>
      <w:r>
        <w:rPr>
          <w:rFonts w:ascii="Avenir Next" w:hAnsi="Avenir Next"/>
          <w:sz w:val="22"/>
          <w:szCs w:val="28"/>
        </w:rPr>
        <w:t xml:space="preserve">Board meetings, although held remotely, have been </w:t>
      </w:r>
      <w:proofErr w:type="spellStart"/>
      <w:r>
        <w:rPr>
          <w:rFonts w:ascii="Avenir Next" w:hAnsi="Avenir Next"/>
          <w:sz w:val="22"/>
          <w:szCs w:val="28"/>
        </w:rPr>
        <w:t>organi</w:t>
      </w:r>
      <w:r w:rsidR="00FE294E">
        <w:rPr>
          <w:rFonts w:ascii="Avenir Next" w:hAnsi="Avenir Next"/>
          <w:sz w:val="22"/>
          <w:szCs w:val="28"/>
        </w:rPr>
        <w:t>s</w:t>
      </w:r>
      <w:r>
        <w:rPr>
          <w:rFonts w:ascii="Avenir Next" w:hAnsi="Avenir Next"/>
          <w:sz w:val="22"/>
          <w:szCs w:val="28"/>
        </w:rPr>
        <w:t>ed</w:t>
      </w:r>
      <w:proofErr w:type="spellEnd"/>
      <w:r>
        <w:rPr>
          <w:rFonts w:ascii="Avenir Next" w:hAnsi="Avenir Next"/>
          <w:sz w:val="22"/>
          <w:szCs w:val="28"/>
        </w:rPr>
        <w:t xml:space="preserve"> by Cayman counsel;</w:t>
      </w:r>
      <w:r w:rsidR="00422AB5">
        <w:rPr>
          <w:rFonts w:ascii="Avenir Next" w:hAnsi="Avenir Next"/>
          <w:sz w:val="22"/>
          <w:szCs w:val="28"/>
        </w:rPr>
        <w:t xml:space="preserve"> and</w:t>
      </w:r>
    </w:p>
    <w:p w14:paraId="67361CCA" w14:textId="3D70BD59" w:rsidR="00AC7E0D" w:rsidRDefault="00AC7E0D" w:rsidP="00EE533D">
      <w:pPr>
        <w:pStyle w:val="ListParagraph"/>
        <w:numPr>
          <w:ilvl w:val="0"/>
          <w:numId w:val="18"/>
        </w:numPr>
        <w:ind w:left="567" w:hanging="567"/>
        <w:jc w:val="both"/>
        <w:rPr>
          <w:rFonts w:ascii="Avenir Next" w:hAnsi="Avenir Next"/>
          <w:sz w:val="22"/>
          <w:szCs w:val="28"/>
        </w:rPr>
      </w:pPr>
      <w:r>
        <w:rPr>
          <w:rFonts w:ascii="Avenir Next" w:hAnsi="Avenir Next"/>
          <w:sz w:val="22"/>
          <w:szCs w:val="28"/>
        </w:rPr>
        <w:t>The Scheme Meeting was held in the Offices of Cedar and Woods</w:t>
      </w:r>
      <w:r w:rsidR="00E34B18">
        <w:rPr>
          <w:rFonts w:ascii="Avenir Next" w:hAnsi="Avenir Next"/>
          <w:sz w:val="22"/>
          <w:szCs w:val="28"/>
        </w:rPr>
        <w:t xml:space="preserve"> etc</w:t>
      </w:r>
      <w:r w:rsidR="00422AB5">
        <w:rPr>
          <w:rFonts w:ascii="Avenir Next" w:hAnsi="Avenir Next"/>
          <w:sz w:val="22"/>
          <w:szCs w:val="28"/>
        </w:rPr>
        <w:t>.</w:t>
      </w:r>
    </w:p>
    <w:p w14:paraId="50F46167" w14:textId="291CCE9C" w:rsidR="00EE533D" w:rsidRDefault="00E34B18" w:rsidP="00E34B18">
      <w:pPr>
        <w:tabs>
          <w:tab w:val="left" w:pos="2676"/>
        </w:tabs>
        <w:jc w:val="both"/>
        <w:rPr>
          <w:rFonts w:ascii="Avenir Next" w:hAnsi="Avenir Next"/>
          <w:sz w:val="22"/>
          <w:szCs w:val="28"/>
        </w:rPr>
      </w:pPr>
      <w:r>
        <w:rPr>
          <w:rFonts w:ascii="Avenir Next" w:hAnsi="Avenir Next"/>
          <w:sz w:val="22"/>
          <w:szCs w:val="28"/>
        </w:rPr>
        <w:tab/>
      </w:r>
    </w:p>
    <w:p w14:paraId="75E13323" w14:textId="157E002D" w:rsidR="00C45702" w:rsidRDefault="00981D39" w:rsidP="00981D39">
      <w:pPr>
        <w:jc w:val="both"/>
        <w:rPr>
          <w:rFonts w:ascii="Avenir Next" w:hAnsi="Avenir Next"/>
          <w:sz w:val="22"/>
          <w:szCs w:val="28"/>
        </w:rPr>
      </w:pPr>
      <w:r>
        <w:rPr>
          <w:rFonts w:ascii="Avenir Next" w:hAnsi="Avenir Next"/>
          <w:sz w:val="22"/>
          <w:szCs w:val="28"/>
        </w:rPr>
        <w:t>Furthermore, the petition would contend that this is in line with the location of the COMI as at the date of filing</w:t>
      </w:r>
      <w:r w:rsidR="00176D8D">
        <w:rPr>
          <w:rFonts w:ascii="Avenir Next" w:hAnsi="Avenir Next"/>
          <w:sz w:val="22"/>
          <w:szCs w:val="28"/>
        </w:rPr>
        <w:t xml:space="preserve"> the Chapter 15 petition</w:t>
      </w:r>
      <w:r w:rsidR="00422AB5">
        <w:rPr>
          <w:rFonts w:ascii="Avenir Next" w:hAnsi="Avenir Next"/>
          <w:sz w:val="22"/>
          <w:szCs w:val="28"/>
        </w:rPr>
        <w:t>,</w:t>
      </w:r>
      <w:r>
        <w:rPr>
          <w:rFonts w:ascii="Avenir Next" w:hAnsi="Avenir Next"/>
          <w:sz w:val="22"/>
          <w:szCs w:val="28"/>
        </w:rPr>
        <w:t xml:space="preserve"> </w:t>
      </w:r>
      <w:r w:rsidRPr="00FE294E">
        <w:rPr>
          <w:rFonts w:ascii="Avenir Next" w:hAnsi="Avenir Next"/>
          <w:i/>
          <w:sz w:val="22"/>
          <w:szCs w:val="28"/>
        </w:rPr>
        <w:t>and</w:t>
      </w:r>
      <w:r>
        <w:rPr>
          <w:rFonts w:ascii="Avenir Next" w:hAnsi="Avenir Next"/>
          <w:sz w:val="22"/>
          <w:szCs w:val="28"/>
        </w:rPr>
        <w:t xml:space="preserve"> also </w:t>
      </w:r>
      <w:r w:rsidR="00422AB5">
        <w:rPr>
          <w:rFonts w:ascii="Avenir Next" w:hAnsi="Avenir Next"/>
          <w:sz w:val="22"/>
          <w:szCs w:val="28"/>
        </w:rPr>
        <w:t xml:space="preserve">as </w:t>
      </w:r>
      <w:r w:rsidR="00176D8D">
        <w:rPr>
          <w:rFonts w:ascii="Avenir Next" w:hAnsi="Avenir Next"/>
          <w:sz w:val="22"/>
          <w:szCs w:val="28"/>
        </w:rPr>
        <w:t xml:space="preserve">at </w:t>
      </w:r>
      <w:r w:rsidR="00422AB5">
        <w:rPr>
          <w:rFonts w:ascii="Avenir Next" w:hAnsi="Avenir Next"/>
          <w:sz w:val="22"/>
          <w:szCs w:val="28"/>
        </w:rPr>
        <w:t>d</w:t>
      </w:r>
      <w:r w:rsidR="00176D8D">
        <w:rPr>
          <w:rFonts w:ascii="Avenir Next" w:hAnsi="Avenir Next"/>
          <w:sz w:val="22"/>
          <w:szCs w:val="28"/>
        </w:rPr>
        <w:t>ate of the commencement of the foreign proceedings – in other words, that there has been no manipulation of the COMI in bad faith (</w:t>
      </w:r>
      <w:r w:rsidR="00176D8D" w:rsidRPr="00176D8D">
        <w:rPr>
          <w:rFonts w:ascii="Avenir Next" w:hAnsi="Avenir Next"/>
          <w:i/>
          <w:sz w:val="22"/>
          <w:szCs w:val="28"/>
        </w:rPr>
        <w:t xml:space="preserve">Morning Mist Holdings Ltd v </w:t>
      </w:r>
      <w:proofErr w:type="spellStart"/>
      <w:r w:rsidR="00176D8D" w:rsidRPr="00176D8D">
        <w:rPr>
          <w:rFonts w:ascii="Avenir Next" w:hAnsi="Avenir Next"/>
          <w:i/>
          <w:sz w:val="22"/>
          <w:szCs w:val="28"/>
        </w:rPr>
        <w:t>Krys</w:t>
      </w:r>
      <w:proofErr w:type="spellEnd"/>
      <w:r w:rsidR="00176D8D" w:rsidRPr="00176D8D">
        <w:rPr>
          <w:rFonts w:ascii="Avenir Next" w:hAnsi="Avenir Next"/>
          <w:i/>
          <w:sz w:val="22"/>
          <w:szCs w:val="28"/>
        </w:rPr>
        <w:t xml:space="preserve"> (Matter of Fairfield Sentry Ltd)</w:t>
      </w:r>
      <w:r w:rsidR="00176D8D" w:rsidRPr="00176D8D">
        <w:rPr>
          <w:rFonts w:ascii="Avenir Next" w:hAnsi="Avenir Next"/>
          <w:sz w:val="22"/>
          <w:szCs w:val="28"/>
        </w:rPr>
        <w:t xml:space="preserve"> (2nd Cir</w:t>
      </w:r>
      <w:r w:rsidR="00176D8D">
        <w:rPr>
          <w:rFonts w:ascii="Avenir Next" w:hAnsi="Avenir Next"/>
          <w:sz w:val="22"/>
          <w:szCs w:val="28"/>
        </w:rPr>
        <w:t xml:space="preserve"> </w:t>
      </w:r>
      <w:r w:rsidR="00176D8D" w:rsidRPr="00176D8D">
        <w:rPr>
          <w:rFonts w:ascii="Avenir Next" w:hAnsi="Avenir Next"/>
          <w:sz w:val="22"/>
          <w:szCs w:val="28"/>
        </w:rPr>
        <w:t>Appeals Apr. 16, 2013)</w:t>
      </w:r>
      <w:r w:rsidR="00176D8D">
        <w:rPr>
          <w:rFonts w:ascii="Avenir Next" w:hAnsi="Avenir Next"/>
          <w:sz w:val="22"/>
          <w:szCs w:val="28"/>
        </w:rPr>
        <w:t>)</w:t>
      </w:r>
      <w:r w:rsidR="00422AB5">
        <w:rPr>
          <w:rFonts w:ascii="Avenir Next" w:hAnsi="Avenir Next"/>
          <w:sz w:val="22"/>
          <w:szCs w:val="28"/>
        </w:rPr>
        <w:t xml:space="preserve">. That does, however, raise the issue of the bank account being opened a few days ago, to pay certain operating expenses. I would need to discuss that with the client to consider why, exactly, that has happened, so as to present this information in the best possible light, due to the risk of any opposing party asserting that it is an attempt to manipulate the COMI (prior to filing the Chapter 15 petition). </w:t>
      </w:r>
      <w:r w:rsidR="00DC3E90">
        <w:rPr>
          <w:rFonts w:ascii="Avenir Next" w:hAnsi="Avenir Next"/>
          <w:sz w:val="22"/>
          <w:szCs w:val="28"/>
        </w:rPr>
        <w:t>T</w:t>
      </w:r>
      <w:r w:rsidR="00C45702">
        <w:rPr>
          <w:rFonts w:ascii="Avenir Next" w:hAnsi="Avenir Next"/>
          <w:sz w:val="22"/>
          <w:szCs w:val="28"/>
        </w:rPr>
        <w:t xml:space="preserve">he petition would </w:t>
      </w:r>
      <w:r w:rsidR="00DC3E90">
        <w:rPr>
          <w:rFonts w:ascii="Avenir Next" w:hAnsi="Avenir Next"/>
          <w:sz w:val="22"/>
          <w:szCs w:val="28"/>
        </w:rPr>
        <w:t>also assert</w:t>
      </w:r>
      <w:r w:rsidR="00C45702">
        <w:rPr>
          <w:rFonts w:ascii="Avenir Next" w:hAnsi="Avenir Next"/>
          <w:sz w:val="22"/>
          <w:szCs w:val="28"/>
        </w:rPr>
        <w:t xml:space="preserve"> that client was re-incorporated in Cayman in 2010, well before the senior unsecured notes were issued</w:t>
      </w:r>
      <w:r w:rsidR="008217DE">
        <w:rPr>
          <w:rFonts w:ascii="Avenir Next" w:hAnsi="Avenir Next"/>
          <w:sz w:val="22"/>
          <w:szCs w:val="28"/>
        </w:rPr>
        <w:t xml:space="preserve"> (</w:t>
      </w:r>
      <w:r w:rsidR="00C45702">
        <w:rPr>
          <w:rFonts w:ascii="Avenir Next" w:hAnsi="Avenir Next"/>
          <w:sz w:val="22"/>
          <w:szCs w:val="28"/>
        </w:rPr>
        <w:t>in 2017</w:t>
      </w:r>
      <w:r w:rsidR="008217DE">
        <w:rPr>
          <w:rFonts w:ascii="Avenir Next" w:hAnsi="Avenir Next"/>
          <w:sz w:val="22"/>
          <w:szCs w:val="28"/>
        </w:rPr>
        <w:t>)</w:t>
      </w:r>
      <w:r w:rsidR="00C45702">
        <w:rPr>
          <w:rFonts w:ascii="Avenir Next" w:hAnsi="Avenir Next"/>
          <w:sz w:val="22"/>
          <w:szCs w:val="28"/>
        </w:rPr>
        <w:t xml:space="preserve">, and that </w:t>
      </w:r>
      <w:r w:rsidR="00C45702" w:rsidRPr="00E61F6E">
        <w:rPr>
          <w:rFonts w:ascii="Avenir Next" w:hAnsi="Avenir Next"/>
          <w:sz w:val="22"/>
          <w:szCs w:val="28"/>
        </w:rPr>
        <w:t>various notices of its re</w:t>
      </w:r>
      <w:r w:rsidR="00C45702">
        <w:rPr>
          <w:rFonts w:ascii="Avenir Next" w:hAnsi="Avenir Next"/>
          <w:sz w:val="22"/>
          <w:szCs w:val="28"/>
        </w:rPr>
        <w:t>-</w:t>
      </w:r>
      <w:r w:rsidR="00C45702" w:rsidRPr="00E61F6E">
        <w:rPr>
          <w:rFonts w:ascii="Avenir Next" w:hAnsi="Avenir Next"/>
          <w:sz w:val="22"/>
          <w:szCs w:val="28"/>
        </w:rPr>
        <w:t>incorporation</w:t>
      </w:r>
      <w:r w:rsidR="00C45702">
        <w:rPr>
          <w:rFonts w:ascii="Avenir Next" w:hAnsi="Avenir Next"/>
          <w:sz w:val="22"/>
          <w:szCs w:val="28"/>
        </w:rPr>
        <w:t xml:space="preserve"> </w:t>
      </w:r>
      <w:r w:rsidR="008217DE">
        <w:rPr>
          <w:rFonts w:ascii="Avenir Next" w:hAnsi="Avenir Next"/>
          <w:sz w:val="22"/>
          <w:szCs w:val="28"/>
        </w:rPr>
        <w:t>(</w:t>
      </w:r>
      <w:r w:rsidR="00C45702">
        <w:rPr>
          <w:rFonts w:ascii="Avenir Next" w:hAnsi="Avenir Next"/>
          <w:sz w:val="22"/>
          <w:szCs w:val="28"/>
        </w:rPr>
        <w:t>in 2010</w:t>
      </w:r>
      <w:r w:rsidR="008217DE">
        <w:rPr>
          <w:rFonts w:ascii="Avenir Next" w:hAnsi="Avenir Next"/>
          <w:sz w:val="22"/>
          <w:szCs w:val="28"/>
        </w:rPr>
        <w:t>)</w:t>
      </w:r>
      <w:r w:rsidR="00C45702" w:rsidRPr="00E61F6E">
        <w:rPr>
          <w:rFonts w:ascii="Avenir Next" w:hAnsi="Avenir Next"/>
          <w:sz w:val="22"/>
          <w:szCs w:val="28"/>
        </w:rPr>
        <w:t>,</w:t>
      </w:r>
      <w:r w:rsidR="00C45702">
        <w:rPr>
          <w:rFonts w:ascii="Avenir Next" w:hAnsi="Avenir Next"/>
          <w:sz w:val="22"/>
          <w:szCs w:val="28"/>
        </w:rPr>
        <w:t xml:space="preserve"> were</w:t>
      </w:r>
      <w:r w:rsidR="00C45702" w:rsidRPr="00E61F6E">
        <w:rPr>
          <w:rFonts w:ascii="Avenir Next" w:hAnsi="Avenir Next"/>
          <w:sz w:val="22"/>
          <w:szCs w:val="28"/>
        </w:rPr>
        <w:t xml:space="preserve"> includ</w:t>
      </w:r>
      <w:r w:rsidR="00C45702">
        <w:rPr>
          <w:rFonts w:ascii="Avenir Next" w:hAnsi="Avenir Next"/>
          <w:sz w:val="22"/>
          <w:szCs w:val="28"/>
        </w:rPr>
        <w:t>ed</w:t>
      </w:r>
      <w:r w:rsidR="00C45702" w:rsidRPr="00E61F6E">
        <w:rPr>
          <w:rFonts w:ascii="Avenir Next" w:hAnsi="Avenir Next"/>
          <w:sz w:val="22"/>
          <w:szCs w:val="28"/>
        </w:rPr>
        <w:t xml:space="preserve"> in public filings with the Securities and Exchange Commission (SEC). </w:t>
      </w:r>
      <w:r w:rsidR="008217DE">
        <w:rPr>
          <w:rFonts w:ascii="Avenir Next" w:hAnsi="Avenir Next"/>
          <w:sz w:val="22"/>
          <w:szCs w:val="28"/>
        </w:rPr>
        <w:t>Likewise</w:t>
      </w:r>
      <w:r w:rsidR="00C45702">
        <w:rPr>
          <w:rFonts w:ascii="Avenir Next" w:hAnsi="Avenir Next"/>
          <w:sz w:val="22"/>
          <w:szCs w:val="28"/>
        </w:rPr>
        <w:t>, counsel</w:t>
      </w:r>
      <w:r w:rsidR="00C45702" w:rsidRPr="00E61F6E">
        <w:rPr>
          <w:rFonts w:ascii="Avenir Next" w:hAnsi="Avenir Next"/>
          <w:sz w:val="22"/>
          <w:szCs w:val="28"/>
        </w:rPr>
        <w:t xml:space="preserve"> Cedar and </w:t>
      </w:r>
      <w:r w:rsidR="00C45702" w:rsidRPr="00E61F6E">
        <w:rPr>
          <w:rFonts w:ascii="Avenir Next" w:hAnsi="Avenir Next"/>
          <w:sz w:val="22"/>
          <w:szCs w:val="28"/>
        </w:rPr>
        <w:lastRenderedPageBreak/>
        <w:t>Woods</w:t>
      </w:r>
      <w:r w:rsidR="00C45702">
        <w:rPr>
          <w:rFonts w:ascii="Avenir Next" w:hAnsi="Avenir Next"/>
          <w:sz w:val="22"/>
          <w:szCs w:val="28"/>
        </w:rPr>
        <w:t xml:space="preserve"> were instructed in 2010</w:t>
      </w:r>
      <w:r w:rsidR="003C5102">
        <w:rPr>
          <w:rFonts w:ascii="Avenir Next" w:hAnsi="Avenir Next"/>
          <w:sz w:val="22"/>
          <w:szCs w:val="28"/>
        </w:rPr>
        <w:t xml:space="preserve"> </w:t>
      </w:r>
      <w:proofErr w:type="spellStart"/>
      <w:r w:rsidR="003C5102">
        <w:rPr>
          <w:rFonts w:ascii="Avenir Next" w:hAnsi="Avenir Next"/>
          <w:sz w:val="22"/>
          <w:szCs w:val="28"/>
        </w:rPr>
        <w:t>etc</w:t>
      </w:r>
      <w:proofErr w:type="spellEnd"/>
      <w:r w:rsidR="00A2012B">
        <w:rPr>
          <w:rFonts w:ascii="Avenir Next" w:hAnsi="Avenir Next"/>
          <w:sz w:val="22"/>
          <w:szCs w:val="28"/>
        </w:rPr>
        <w:t xml:space="preserve"> and the Prospectus disclosed that the client is a Cayman Islands company etc. </w:t>
      </w:r>
    </w:p>
    <w:p w14:paraId="3847B3BB" w14:textId="77777777" w:rsidR="00C45702" w:rsidRPr="00981D39" w:rsidRDefault="00C45702" w:rsidP="00981D39">
      <w:pPr>
        <w:jc w:val="both"/>
        <w:rPr>
          <w:rFonts w:ascii="Avenir Next" w:hAnsi="Avenir Next"/>
          <w:sz w:val="22"/>
          <w:szCs w:val="28"/>
        </w:rPr>
      </w:pPr>
    </w:p>
    <w:p w14:paraId="0020D5A1" w14:textId="614F129D" w:rsidR="00EE533D" w:rsidRPr="004C296A" w:rsidRDefault="00752BD3" w:rsidP="00EE533D">
      <w:pPr>
        <w:jc w:val="both"/>
        <w:rPr>
          <w:rFonts w:ascii="Avenir Next" w:hAnsi="Avenir Next"/>
          <w:sz w:val="22"/>
          <w:szCs w:val="28"/>
        </w:rPr>
      </w:pPr>
      <w:r>
        <w:rPr>
          <w:rFonts w:ascii="Avenir Next" w:hAnsi="Avenir Next"/>
          <w:sz w:val="22"/>
          <w:szCs w:val="28"/>
        </w:rPr>
        <w:t>All of t</w:t>
      </w:r>
      <w:r w:rsidR="00FE294E">
        <w:rPr>
          <w:rFonts w:ascii="Avenir Next" w:hAnsi="Avenir Next"/>
          <w:sz w:val="22"/>
          <w:szCs w:val="28"/>
        </w:rPr>
        <w:t xml:space="preserve">he above being said, there </w:t>
      </w:r>
      <w:r w:rsidR="00EE533D">
        <w:rPr>
          <w:rFonts w:ascii="Avenir Next" w:hAnsi="Avenir Next"/>
          <w:sz w:val="22"/>
          <w:szCs w:val="28"/>
        </w:rPr>
        <w:t>are</w:t>
      </w:r>
      <w:r w:rsidR="00FE294E">
        <w:rPr>
          <w:rFonts w:ascii="Avenir Next" w:hAnsi="Avenir Next"/>
          <w:sz w:val="22"/>
          <w:szCs w:val="28"/>
        </w:rPr>
        <w:t xml:space="preserve"> also</w:t>
      </w:r>
      <w:r w:rsidR="00EE533D">
        <w:rPr>
          <w:rFonts w:ascii="Avenir Next" w:hAnsi="Avenir Next"/>
          <w:sz w:val="22"/>
          <w:szCs w:val="28"/>
        </w:rPr>
        <w:t xml:space="preserve"> factors which point to the COMI potentially being elsewhere </w:t>
      </w:r>
      <w:r w:rsidR="002F2C8F">
        <w:rPr>
          <w:rFonts w:ascii="Avenir Next" w:hAnsi="Avenir Next"/>
          <w:sz w:val="22"/>
          <w:szCs w:val="28"/>
        </w:rPr>
        <w:t>(most obviously the HQ and employees being in the US</w:t>
      </w:r>
      <w:r w:rsidR="00037D54">
        <w:rPr>
          <w:rFonts w:ascii="Avenir Next" w:hAnsi="Avenir Next"/>
          <w:sz w:val="22"/>
          <w:szCs w:val="28"/>
        </w:rPr>
        <w:t>,</w:t>
      </w:r>
      <w:r w:rsidR="004C296A">
        <w:rPr>
          <w:rFonts w:ascii="Avenir Next" w:hAnsi="Avenir Next"/>
          <w:sz w:val="22"/>
          <w:szCs w:val="28"/>
        </w:rPr>
        <w:t xml:space="preserve"> and</w:t>
      </w:r>
      <w:r w:rsidR="00746DAC">
        <w:rPr>
          <w:rFonts w:ascii="Avenir Next" w:hAnsi="Avenir Next"/>
          <w:sz w:val="22"/>
          <w:szCs w:val="28"/>
        </w:rPr>
        <w:t xml:space="preserve"> </w:t>
      </w:r>
      <w:r w:rsidR="004C296A">
        <w:rPr>
          <w:rFonts w:ascii="Avenir Next" w:hAnsi="Avenir Next"/>
          <w:sz w:val="22"/>
          <w:szCs w:val="28"/>
        </w:rPr>
        <w:t>the RSA being governed by New York law</w:t>
      </w:r>
      <w:r w:rsidR="00397FF7">
        <w:rPr>
          <w:rFonts w:ascii="Avenir Next" w:hAnsi="Avenir Next"/>
          <w:sz w:val="22"/>
          <w:szCs w:val="28"/>
        </w:rPr>
        <w:t xml:space="preserve"> </w:t>
      </w:r>
      <w:proofErr w:type="spellStart"/>
      <w:r w:rsidR="00397FF7">
        <w:rPr>
          <w:rFonts w:ascii="Avenir Next" w:hAnsi="Avenir Next"/>
          <w:sz w:val="22"/>
          <w:szCs w:val="28"/>
        </w:rPr>
        <w:t>etc</w:t>
      </w:r>
      <w:proofErr w:type="spellEnd"/>
      <w:r w:rsidR="00397FF7">
        <w:rPr>
          <w:rFonts w:ascii="Avenir Next" w:hAnsi="Avenir Next"/>
          <w:sz w:val="22"/>
          <w:szCs w:val="28"/>
        </w:rPr>
        <w:t xml:space="preserve"> – albeit that the filing could also point to the fact that even the RSA envisaged that the restructuring is taking place </w:t>
      </w:r>
      <w:r w:rsidR="00397FF7">
        <w:rPr>
          <w:rFonts w:ascii="Avenir Next" w:hAnsi="Avenir Next"/>
          <w:i/>
          <w:sz w:val="22"/>
          <w:szCs w:val="28"/>
        </w:rPr>
        <w:t>in Cayman</w:t>
      </w:r>
      <w:r w:rsidR="00397FF7">
        <w:rPr>
          <w:rFonts w:ascii="Avenir Next" w:hAnsi="Avenir Next"/>
          <w:sz w:val="22"/>
          <w:szCs w:val="28"/>
        </w:rPr>
        <w:t>, despite being governed by NY law</w:t>
      </w:r>
      <w:r w:rsidR="002F2C8F">
        <w:rPr>
          <w:rFonts w:ascii="Avenir Next" w:hAnsi="Avenir Next"/>
          <w:sz w:val="22"/>
          <w:szCs w:val="28"/>
        </w:rPr>
        <w:t>)</w:t>
      </w:r>
      <w:r w:rsidR="00C3272D">
        <w:rPr>
          <w:rFonts w:ascii="Avenir Next" w:hAnsi="Avenir Next"/>
          <w:sz w:val="22"/>
          <w:szCs w:val="28"/>
        </w:rPr>
        <w:t>.</w:t>
      </w:r>
      <w:r w:rsidR="002F2C8F">
        <w:rPr>
          <w:rFonts w:ascii="Avenir Next" w:hAnsi="Avenir Next"/>
          <w:sz w:val="22"/>
          <w:szCs w:val="28"/>
        </w:rPr>
        <w:t xml:space="preserve"> </w:t>
      </w:r>
      <w:r w:rsidR="00C3272D">
        <w:rPr>
          <w:rFonts w:ascii="Avenir Next" w:hAnsi="Avenir Next"/>
          <w:sz w:val="22"/>
          <w:szCs w:val="28"/>
        </w:rPr>
        <w:t>C</w:t>
      </w:r>
      <w:r w:rsidR="00EE533D">
        <w:rPr>
          <w:rFonts w:ascii="Avenir Next" w:hAnsi="Avenir Next"/>
          <w:sz w:val="22"/>
          <w:szCs w:val="28"/>
        </w:rPr>
        <w:t>onsequently,</w:t>
      </w:r>
      <w:r w:rsidR="002A041E">
        <w:rPr>
          <w:rFonts w:ascii="Avenir Next" w:hAnsi="Avenir Next"/>
          <w:sz w:val="22"/>
          <w:szCs w:val="28"/>
        </w:rPr>
        <w:t xml:space="preserve"> and in any event,</w:t>
      </w:r>
      <w:r w:rsidR="00EE533D">
        <w:rPr>
          <w:rFonts w:ascii="Avenir Next" w:hAnsi="Avenir Next"/>
          <w:sz w:val="22"/>
          <w:szCs w:val="28"/>
        </w:rPr>
        <w:t xml:space="preserve"> the petition would argue</w:t>
      </w:r>
      <w:r w:rsidR="0028120A">
        <w:rPr>
          <w:rFonts w:ascii="Avenir Next" w:hAnsi="Avenir Next"/>
          <w:sz w:val="22"/>
          <w:szCs w:val="28"/>
        </w:rPr>
        <w:t>,</w:t>
      </w:r>
      <w:r w:rsidR="00EE533D">
        <w:rPr>
          <w:rFonts w:ascii="Avenir Next" w:hAnsi="Avenir Next"/>
          <w:sz w:val="22"/>
          <w:szCs w:val="28"/>
        </w:rPr>
        <w:t xml:space="preserve"> in the alternative</w:t>
      </w:r>
      <w:r w:rsidR="0028120A">
        <w:rPr>
          <w:rFonts w:ascii="Avenir Next" w:hAnsi="Avenir Next"/>
          <w:sz w:val="22"/>
          <w:szCs w:val="28"/>
        </w:rPr>
        <w:t>,</w:t>
      </w:r>
      <w:r w:rsidR="00EE533D">
        <w:rPr>
          <w:rFonts w:ascii="Avenir Next" w:hAnsi="Avenir Next"/>
          <w:sz w:val="22"/>
          <w:szCs w:val="28"/>
        </w:rPr>
        <w:t xml:space="preserve"> that the Cayman proceedings are </w:t>
      </w:r>
      <w:r w:rsidR="000F720F">
        <w:rPr>
          <w:rFonts w:ascii="Avenir Next" w:hAnsi="Avenir Next"/>
          <w:sz w:val="22"/>
          <w:szCs w:val="28"/>
        </w:rPr>
        <w:t>FNMP</w:t>
      </w:r>
      <w:r w:rsidR="00EE533D">
        <w:rPr>
          <w:rFonts w:ascii="Avenir Next" w:hAnsi="Avenir Next"/>
          <w:sz w:val="22"/>
          <w:szCs w:val="28"/>
        </w:rPr>
        <w:t xml:space="preserve">. It would do this by pointing to the fact that </w:t>
      </w:r>
      <w:r w:rsidR="00396709">
        <w:rPr>
          <w:rFonts w:ascii="Avenir Next" w:hAnsi="Avenir Next"/>
          <w:sz w:val="22"/>
          <w:szCs w:val="28"/>
        </w:rPr>
        <w:t>the client has an establishment in Cayman (Article</w:t>
      </w:r>
      <w:r w:rsidR="00782D48">
        <w:rPr>
          <w:rFonts w:ascii="Avenir Next" w:hAnsi="Avenir Next"/>
          <w:sz w:val="22"/>
          <w:szCs w:val="28"/>
        </w:rPr>
        <w:t xml:space="preserve"> 17(2)(b)</w:t>
      </w:r>
      <w:r w:rsidR="00396709">
        <w:rPr>
          <w:rFonts w:ascii="Avenir Next" w:hAnsi="Avenir Next"/>
          <w:sz w:val="22"/>
          <w:szCs w:val="28"/>
        </w:rPr>
        <w:t xml:space="preserve"> / </w:t>
      </w:r>
      <w:r w:rsidR="00396709" w:rsidRPr="00D73F2B">
        <w:rPr>
          <w:rFonts w:ascii="Avenir Next" w:hAnsi="Avenir Next"/>
          <w:sz w:val="22"/>
          <w:szCs w:val="28"/>
        </w:rPr>
        <w:t>§</w:t>
      </w:r>
      <w:r w:rsidR="00396709">
        <w:rPr>
          <w:rFonts w:ascii="Avenir Next" w:hAnsi="Avenir Next"/>
          <w:sz w:val="22"/>
          <w:szCs w:val="28"/>
        </w:rPr>
        <w:t>1517(b)(2))</w:t>
      </w:r>
      <w:r w:rsidR="001A4494">
        <w:rPr>
          <w:rFonts w:ascii="Avenir Next" w:hAnsi="Avenir Next"/>
          <w:sz w:val="22"/>
          <w:szCs w:val="28"/>
        </w:rPr>
        <w:t xml:space="preserve"> due to the presence of </w:t>
      </w:r>
      <w:r w:rsidR="0028120A">
        <w:rPr>
          <w:rFonts w:ascii="Avenir Next" w:hAnsi="Avenir Next"/>
          <w:sz w:val="22"/>
          <w:szCs w:val="28"/>
        </w:rPr>
        <w:t>operations</w:t>
      </w:r>
      <w:r w:rsidR="00EE2034">
        <w:rPr>
          <w:rFonts w:ascii="Avenir Next" w:hAnsi="Avenir Next"/>
          <w:sz w:val="22"/>
          <w:szCs w:val="28"/>
        </w:rPr>
        <w:t xml:space="preserve"> there,</w:t>
      </w:r>
      <w:r w:rsidR="0028120A">
        <w:rPr>
          <w:rFonts w:ascii="Avenir Next" w:hAnsi="Avenir Next"/>
          <w:sz w:val="22"/>
          <w:szCs w:val="28"/>
        </w:rPr>
        <w:t xml:space="preserve"> where </w:t>
      </w:r>
      <w:r w:rsidR="004C296A">
        <w:rPr>
          <w:rFonts w:ascii="Avenir Next" w:hAnsi="Avenir Next"/>
          <w:sz w:val="22"/>
          <w:szCs w:val="28"/>
        </w:rPr>
        <w:t>non-transitory</w:t>
      </w:r>
      <w:r w:rsidR="0028120A">
        <w:rPr>
          <w:rFonts w:ascii="Avenir Next" w:hAnsi="Avenir Next"/>
          <w:sz w:val="22"/>
          <w:szCs w:val="28"/>
        </w:rPr>
        <w:t xml:space="preserve"> economic activity takes place </w:t>
      </w:r>
      <w:r w:rsidR="001A4494">
        <w:rPr>
          <w:rFonts w:ascii="Avenir Next" w:hAnsi="Avenir Next"/>
          <w:sz w:val="22"/>
          <w:szCs w:val="28"/>
        </w:rPr>
        <w:t xml:space="preserve">(Article 2(f) / </w:t>
      </w:r>
      <w:r w:rsidR="001A4494" w:rsidRPr="00D73F2B">
        <w:rPr>
          <w:rFonts w:ascii="Avenir Next" w:hAnsi="Avenir Next"/>
          <w:sz w:val="22"/>
          <w:szCs w:val="28"/>
        </w:rPr>
        <w:t>§</w:t>
      </w:r>
      <w:r w:rsidR="001A4494">
        <w:rPr>
          <w:rFonts w:ascii="Avenir Next" w:hAnsi="Avenir Next"/>
          <w:sz w:val="22"/>
          <w:szCs w:val="28"/>
        </w:rPr>
        <w:t>1502(2))</w:t>
      </w:r>
      <w:r w:rsidR="00AF0A28">
        <w:rPr>
          <w:rFonts w:ascii="Avenir Next" w:hAnsi="Avenir Next"/>
          <w:sz w:val="22"/>
          <w:szCs w:val="28"/>
        </w:rPr>
        <w:t xml:space="preserve">, </w:t>
      </w:r>
      <w:r w:rsidR="00AF0A28">
        <w:rPr>
          <w:rFonts w:ascii="Avenir Next" w:hAnsi="Avenir Next"/>
          <w:i/>
          <w:sz w:val="22"/>
          <w:szCs w:val="28"/>
        </w:rPr>
        <w:t xml:space="preserve">i.e. </w:t>
      </w:r>
      <w:r w:rsidR="00AF0A28">
        <w:rPr>
          <w:rFonts w:ascii="Avenir Next" w:hAnsi="Avenir Next"/>
          <w:sz w:val="22"/>
          <w:szCs w:val="28"/>
        </w:rPr>
        <w:t xml:space="preserve">maintaining books and records etc. </w:t>
      </w:r>
      <w:r w:rsidR="00FE294E">
        <w:rPr>
          <w:rFonts w:ascii="Avenir Next" w:hAnsi="Avenir Next"/>
          <w:sz w:val="22"/>
          <w:szCs w:val="28"/>
        </w:rPr>
        <w:t xml:space="preserve">Appropriate evidence could be included, to that effect. </w:t>
      </w:r>
    </w:p>
    <w:p w14:paraId="72A85E89" w14:textId="35627B97" w:rsidR="00EE533D" w:rsidRDefault="00EE533D" w:rsidP="00EE533D">
      <w:pPr>
        <w:jc w:val="both"/>
        <w:rPr>
          <w:rFonts w:ascii="Avenir Next" w:hAnsi="Avenir Next"/>
          <w:sz w:val="22"/>
          <w:szCs w:val="28"/>
        </w:rPr>
      </w:pPr>
    </w:p>
    <w:p w14:paraId="1E2C2AE5" w14:textId="7EA730FA" w:rsidR="003B35D0" w:rsidRDefault="003B35D0" w:rsidP="00EE533D">
      <w:pPr>
        <w:jc w:val="both"/>
        <w:rPr>
          <w:rFonts w:ascii="Avenir Next" w:hAnsi="Avenir Next"/>
          <w:sz w:val="22"/>
          <w:szCs w:val="28"/>
        </w:rPr>
      </w:pPr>
      <w:r>
        <w:rPr>
          <w:rFonts w:ascii="Avenir Next" w:hAnsi="Avenir Next"/>
          <w:sz w:val="22"/>
          <w:szCs w:val="28"/>
        </w:rPr>
        <w:t>The relief sought in the filing would be designed, of course, to protect the Cayman Scheme</w:t>
      </w:r>
      <w:r w:rsidR="008511FB">
        <w:rPr>
          <w:rFonts w:ascii="Avenir Next" w:hAnsi="Avenir Next"/>
          <w:sz w:val="22"/>
          <w:szCs w:val="28"/>
        </w:rPr>
        <w:t>,</w:t>
      </w:r>
      <w:r>
        <w:rPr>
          <w:rFonts w:ascii="Avenir Next" w:hAnsi="Avenir Next"/>
          <w:sz w:val="22"/>
          <w:szCs w:val="28"/>
        </w:rPr>
        <w:t xml:space="preserve"> and try to shield it against any class action in the US. </w:t>
      </w:r>
    </w:p>
    <w:p w14:paraId="18EE351D" w14:textId="05784A18" w:rsidR="002A256B" w:rsidRDefault="002A256B" w:rsidP="00EE533D">
      <w:pPr>
        <w:jc w:val="both"/>
        <w:rPr>
          <w:rFonts w:ascii="Avenir Next" w:hAnsi="Avenir Next"/>
          <w:sz w:val="22"/>
          <w:szCs w:val="28"/>
        </w:rPr>
      </w:pPr>
    </w:p>
    <w:p w14:paraId="72BF22CD" w14:textId="699866F5" w:rsidR="002A256B" w:rsidRPr="00B17A33" w:rsidRDefault="002A256B" w:rsidP="00EE533D">
      <w:pPr>
        <w:jc w:val="both"/>
        <w:rPr>
          <w:rFonts w:ascii="Avenir Next" w:hAnsi="Avenir Next"/>
          <w:sz w:val="22"/>
          <w:szCs w:val="28"/>
        </w:rPr>
      </w:pPr>
      <w:r>
        <w:rPr>
          <w:rFonts w:ascii="Avenir Next" w:hAnsi="Avenir Next"/>
          <w:sz w:val="22"/>
          <w:szCs w:val="28"/>
        </w:rPr>
        <w:t xml:space="preserve">Upon filing the petition there is the issue of how long the Court would take to list the recognition hearing </w:t>
      </w:r>
      <w:r w:rsidR="00702B9B">
        <w:rPr>
          <w:rFonts w:ascii="Avenir Next" w:hAnsi="Avenir Next"/>
          <w:sz w:val="22"/>
          <w:szCs w:val="28"/>
        </w:rPr>
        <w:t>etc</w:t>
      </w:r>
      <w:r>
        <w:rPr>
          <w:rFonts w:ascii="Avenir Next" w:hAnsi="Avenir Next"/>
          <w:sz w:val="22"/>
          <w:szCs w:val="28"/>
        </w:rPr>
        <w:t xml:space="preserve">. Accordingly, if a class action is brewing it </w:t>
      </w:r>
      <w:r w:rsidR="009E7DE2">
        <w:rPr>
          <w:rFonts w:ascii="Avenir Next" w:hAnsi="Avenir Next"/>
          <w:sz w:val="22"/>
          <w:szCs w:val="28"/>
        </w:rPr>
        <w:t>may</w:t>
      </w:r>
      <w:r>
        <w:rPr>
          <w:rFonts w:ascii="Avenir Next" w:hAnsi="Avenir Next"/>
          <w:sz w:val="22"/>
          <w:szCs w:val="28"/>
        </w:rPr>
        <w:t xml:space="preserve"> be prudent to seek preliminary relief</w:t>
      </w:r>
      <w:r w:rsidR="00C929E5">
        <w:rPr>
          <w:rFonts w:ascii="Avenir Next" w:hAnsi="Avenir Next"/>
          <w:sz w:val="22"/>
          <w:szCs w:val="28"/>
        </w:rPr>
        <w:t xml:space="preserve"> right on day one of the filing</w:t>
      </w:r>
      <w:r>
        <w:rPr>
          <w:rFonts w:ascii="Avenir Next" w:hAnsi="Avenir Next"/>
          <w:sz w:val="22"/>
          <w:szCs w:val="28"/>
        </w:rPr>
        <w:t xml:space="preserve"> </w:t>
      </w:r>
      <w:r w:rsidR="002048DB">
        <w:rPr>
          <w:rFonts w:ascii="Avenir Next" w:hAnsi="Avenir Next"/>
          <w:sz w:val="22"/>
          <w:szCs w:val="28"/>
        </w:rPr>
        <w:t>(</w:t>
      </w:r>
      <w:r>
        <w:rPr>
          <w:rFonts w:ascii="Avenir Next" w:hAnsi="Avenir Next"/>
          <w:sz w:val="22"/>
          <w:szCs w:val="28"/>
        </w:rPr>
        <w:t xml:space="preserve">at the time of filing the </w:t>
      </w:r>
      <w:r w:rsidR="002048DB">
        <w:rPr>
          <w:rFonts w:ascii="Avenir Next" w:hAnsi="Avenir Next"/>
          <w:sz w:val="22"/>
          <w:szCs w:val="28"/>
        </w:rPr>
        <w:t xml:space="preserve">Chapter 15 </w:t>
      </w:r>
      <w:r>
        <w:rPr>
          <w:rFonts w:ascii="Avenir Next" w:hAnsi="Avenir Next"/>
          <w:sz w:val="22"/>
          <w:szCs w:val="28"/>
        </w:rPr>
        <w:t>petition</w:t>
      </w:r>
      <w:r w:rsidR="002048DB">
        <w:rPr>
          <w:rFonts w:ascii="Avenir Next" w:hAnsi="Avenir Next"/>
          <w:sz w:val="22"/>
          <w:szCs w:val="28"/>
        </w:rPr>
        <w:t>)</w:t>
      </w:r>
      <w:r>
        <w:rPr>
          <w:rFonts w:ascii="Avenir Next" w:hAnsi="Avenir Next"/>
          <w:sz w:val="22"/>
          <w:szCs w:val="28"/>
        </w:rPr>
        <w:t xml:space="preserve">, under Article </w:t>
      </w:r>
      <w:r w:rsidR="007C4514">
        <w:rPr>
          <w:rFonts w:ascii="Avenir Next" w:hAnsi="Avenir Next"/>
          <w:sz w:val="22"/>
          <w:szCs w:val="28"/>
        </w:rPr>
        <w:t xml:space="preserve">19 / </w:t>
      </w:r>
      <w:r w:rsidR="00A67E93" w:rsidRPr="00D73F2B">
        <w:rPr>
          <w:rFonts w:ascii="Avenir Next" w:hAnsi="Avenir Next"/>
          <w:sz w:val="22"/>
          <w:szCs w:val="28"/>
        </w:rPr>
        <w:t>§</w:t>
      </w:r>
      <w:r w:rsidR="00A67E93">
        <w:rPr>
          <w:rFonts w:ascii="Avenir Next" w:hAnsi="Avenir Next"/>
          <w:sz w:val="22"/>
          <w:szCs w:val="28"/>
        </w:rPr>
        <w:t xml:space="preserve">1519, including: staying </w:t>
      </w:r>
      <w:r w:rsidR="002048DB">
        <w:rPr>
          <w:rFonts w:ascii="Avenir Next" w:hAnsi="Avenir Next"/>
          <w:sz w:val="22"/>
          <w:szCs w:val="28"/>
        </w:rPr>
        <w:t xml:space="preserve">any claims / </w:t>
      </w:r>
      <w:r w:rsidR="00A67E93">
        <w:rPr>
          <w:rFonts w:ascii="Avenir Next" w:hAnsi="Avenir Next"/>
          <w:sz w:val="22"/>
          <w:szCs w:val="28"/>
        </w:rPr>
        <w:t>execution against the client’s assets; entrusting realization of the client’s US assets to the client as part of the Cayman Scheme</w:t>
      </w:r>
      <w:r w:rsidR="00C35DC5">
        <w:rPr>
          <w:rFonts w:ascii="Avenir Next" w:hAnsi="Avenir Next"/>
          <w:sz w:val="22"/>
          <w:szCs w:val="28"/>
        </w:rPr>
        <w:t xml:space="preserve">; suspending any rights that the prospective litigants may have against the client, in respect of its assets, etc. </w:t>
      </w:r>
      <w:r w:rsidR="007D20A1">
        <w:rPr>
          <w:rFonts w:ascii="Avenir Next" w:hAnsi="Avenir Next"/>
          <w:sz w:val="22"/>
          <w:szCs w:val="28"/>
        </w:rPr>
        <w:t>The client would</w:t>
      </w:r>
      <w:r w:rsidR="009E7DE2">
        <w:rPr>
          <w:rFonts w:ascii="Avenir Next" w:hAnsi="Avenir Next"/>
          <w:sz w:val="22"/>
          <w:szCs w:val="28"/>
        </w:rPr>
        <w:t xml:space="preserve"> have to</w:t>
      </w:r>
      <w:r w:rsidR="007D20A1">
        <w:rPr>
          <w:rFonts w:ascii="Avenir Next" w:hAnsi="Avenir Next"/>
          <w:sz w:val="22"/>
          <w:szCs w:val="28"/>
        </w:rPr>
        <w:t xml:space="preserve"> argue that this is necessary to protect the debtor’s assets</w:t>
      </w:r>
      <w:r w:rsidR="009E7DE2">
        <w:rPr>
          <w:rFonts w:ascii="Avenir Next" w:hAnsi="Avenir Next"/>
          <w:sz w:val="22"/>
          <w:szCs w:val="28"/>
        </w:rPr>
        <w:t>,</w:t>
      </w:r>
      <w:r w:rsidR="007D20A1">
        <w:rPr>
          <w:rFonts w:ascii="Avenir Next" w:hAnsi="Avenir Next"/>
          <w:sz w:val="22"/>
          <w:szCs w:val="28"/>
        </w:rPr>
        <w:t xml:space="preserve"> that</w:t>
      </w:r>
      <w:r w:rsidR="00376C98">
        <w:rPr>
          <w:rFonts w:ascii="Avenir Next" w:hAnsi="Avenir Next"/>
          <w:sz w:val="22"/>
          <w:szCs w:val="28"/>
        </w:rPr>
        <w:t xml:space="preserve"> </w:t>
      </w:r>
      <w:r w:rsidR="007D20A1">
        <w:rPr>
          <w:rFonts w:ascii="Avenir Next" w:hAnsi="Avenir Next"/>
          <w:sz w:val="22"/>
          <w:szCs w:val="28"/>
        </w:rPr>
        <w:t xml:space="preserve">it would also be in the interests of creditors for the Scheme to proceed without </w:t>
      </w:r>
      <w:r w:rsidR="00376C98">
        <w:rPr>
          <w:rFonts w:ascii="Avenir Next" w:hAnsi="Avenir Next"/>
          <w:sz w:val="22"/>
          <w:szCs w:val="28"/>
        </w:rPr>
        <w:t>disruption by way of US litigation</w:t>
      </w:r>
      <w:r w:rsidR="009E7DE2">
        <w:rPr>
          <w:rFonts w:ascii="Avenir Next" w:hAnsi="Avenir Next"/>
          <w:sz w:val="22"/>
          <w:szCs w:val="28"/>
        </w:rPr>
        <w:t xml:space="preserve">, and that the urgency test (Article 19(1)), is satisfied, although this might be difficult if the US litigation is merely </w:t>
      </w:r>
      <w:r w:rsidR="009E7DE2">
        <w:rPr>
          <w:rFonts w:ascii="Avenir Next" w:hAnsi="Avenir Next"/>
          <w:i/>
          <w:sz w:val="22"/>
          <w:szCs w:val="28"/>
        </w:rPr>
        <w:t xml:space="preserve">“brewing” </w:t>
      </w:r>
      <w:r w:rsidR="009E7DE2">
        <w:rPr>
          <w:rFonts w:ascii="Avenir Next" w:hAnsi="Avenir Next"/>
          <w:sz w:val="22"/>
          <w:szCs w:val="28"/>
        </w:rPr>
        <w:t>and has not been filed or threatened yet</w:t>
      </w:r>
      <w:r w:rsidR="007D20A1">
        <w:rPr>
          <w:rFonts w:ascii="Avenir Next" w:hAnsi="Avenir Next"/>
          <w:sz w:val="22"/>
          <w:szCs w:val="28"/>
        </w:rPr>
        <w:t xml:space="preserve">. </w:t>
      </w:r>
      <w:r w:rsidR="00EC274B">
        <w:rPr>
          <w:rFonts w:ascii="Avenir Next" w:hAnsi="Avenir Next"/>
          <w:sz w:val="22"/>
          <w:szCs w:val="28"/>
        </w:rPr>
        <w:t xml:space="preserve">Factors which the client could point to are the impending sale of the US HQ and </w:t>
      </w:r>
      <w:r w:rsidR="00B17A33">
        <w:rPr>
          <w:rFonts w:ascii="Avenir Next" w:hAnsi="Avenir Next"/>
          <w:sz w:val="22"/>
          <w:szCs w:val="28"/>
        </w:rPr>
        <w:t xml:space="preserve">the fact that a majority of note holders approved the Cayman Scheme and that it is in the interests of the note holders </w:t>
      </w:r>
      <w:r w:rsidR="00B17A33" w:rsidRPr="00336AA6">
        <w:rPr>
          <w:rFonts w:ascii="Avenir Next" w:hAnsi="Avenir Next"/>
          <w:sz w:val="22"/>
          <w:szCs w:val="28"/>
        </w:rPr>
        <w:t>as a whole</w:t>
      </w:r>
      <w:r w:rsidR="00B17A33">
        <w:rPr>
          <w:rFonts w:ascii="Avenir Next" w:hAnsi="Avenir Next"/>
          <w:sz w:val="22"/>
          <w:szCs w:val="28"/>
        </w:rPr>
        <w:t xml:space="preserve"> for the Cayman Scheme to proceed, with</w:t>
      </w:r>
      <w:r w:rsidR="00B17A33" w:rsidRPr="00B17A33">
        <w:rPr>
          <w:rFonts w:ascii="Avenir Next" w:hAnsi="Avenir Next"/>
          <w:sz w:val="22"/>
          <w:szCs w:val="28"/>
        </w:rPr>
        <w:t xml:space="preserve"> the</w:t>
      </w:r>
      <w:r w:rsidR="00B17A33">
        <w:rPr>
          <w:rFonts w:ascii="Avenir Next" w:hAnsi="Avenir Next"/>
          <w:sz w:val="22"/>
          <w:szCs w:val="28"/>
        </w:rPr>
        <w:t xml:space="preserve"> extension of</w:t>
      </w:r>
      <w:r w:rsidR="00B17A33" w:rsidRPr="00B17A33">
        <w:rPr>
          <w:rFonts w:ascii="Avenir Next" w:hAnsi="Avenir Next"/>
          <w:sz w:val="22"/>
          <w:szCs w:val="28"/>
        </w:rPr>
        <w:t xml:space="preserve"> maturity of the Notes and </w:t>
      </w:r>
      <w:r w:rsidR="00B17A33">
        <w:rPr>
          <w:rFonts w:ascii="Avenir Next" w:hAnsi="Avenir Next"/>
          <w:sz w:val="22"/>
          <w:szCs w:val="28"/>
        </w:rPr>
        <w:t xml:space="preserve">client’s </w:t>
      </w:r>
      <w:r w:rsidR="00B17A33" w:rsidRPr="00B17A33">
        <w:rPr>
          <w:rFonts w:ascii="Avenir Next" w:hAnsi="Avenir Next"/>
          <w:sz w:val="22"/>
          <w:szCs w:val="28"/>
        </w:rPr>
        <w:t xml:space="preserve">flexibility to pay the quarterly interest </w:t>
      </w:r>
      <w:r w:rsidR="00B17A33" w:rsidRPr="00B17A33">
        <w:rPr>
          <w:rFonts w:ascii="Avenir Next" w:hAnsi="Avenir Next"/>
          <w:i/>
          <w:sz w:val="22"/>
          <w:szCs w:val="28"/>
        </w:rPr>
        <w:t>“in kind”.</w:t>
      </w:r>
    </w:p>
    <w:p w14:paraId="6BA45D19" w14:textId="1B94733B" w:rsidR="00091E13" w:rsidRDefault="00091E13" w:rsidP="00EE533D">
      <w:pPr>
        <w:jc w:val="both"/>
        <w:rPr>
          <w:rFonts w:ascii="Avenir Next" w:hAnsi="Avenir Next"/>
          <w:sz w:val="22"/>
          <w:szCs w:val="28"/>
        </w:rPr>
      </w:pPr>
    </w:p>
    <w:p w14:paraId="2ABE0370" w14:textId="69AC8E30" w:rsidR="00146221" w:rsidRDefault="00091E13" w:rsidP="00091E13">
      <w:pPr>
        <w:jc w:val="both"/>
        <w:rPr>
          <w:rFonts w:ascii="Avenir Next" w:hAnsi="Avenir Next"/>
          <w:sz w:val="22"/>
          <w:szCs w:val="28"/>
        </w:rPr>
      </w:pPr>
      <w:r>
        <w:rPr>
          <w:rFonts w:ascii="Avenir Next" w:hAnsi="Avenir Next"/>
          <w:sz w:val="22"/>
          <w:szCs w:val="28"/>
        </w:rPr>
        <w:t>In that regard, should such relief be granted</w:t>
      </w:r>
      <w:r w:rsidR="00F2555B">
        <w:rPr>
          <w:rFonts w:ascii="Avenir Next" w:hAnsi="Avenir Next"/>
          <w:sz w:val="22"/>
          <w:szCs w:val="28"/>
        </w:rPr>
        <w:t>,</w:t>
      </w:r>
      <w:r>
        <w:rPr>
          <w:rFonts w:ascii="Avenir Next" w:hAnsi="Avenir Next"/>
          <w:sz w:val="22"/>
          <w:szCs w:val="28"/>
        </w:rPr>
        <w:t xml:space="preserve"> it will be terminated upon recognition of a foreign proceeding, unless extended under </w:t>
      </w:r>
      <w:r w:rsidRPr="00D73F2B">
        <w:rPr>
          <w:rFonts w:ascii="Avenir Next" w:hAnsi="Avenir Next"/>
          <w:sz w:val="22"/>
          <w:szCs w:val="28"/>
        </w:rPr>
        <w:t>§</w:t>
      </w:r>
      <w:r>
        <w:rPr>
          <w:rFonts w:ascii="Avenir Next" w:hAnsi="Avenir Next"/>
          <w:sz w:val="22"/>
          <w:szCs w:val="28"/>
        </w:rPr>
        <w:t xml:space="preserve">1521, as per </w:t>
      </w:r>
      <w:r w:rsidRPr="00091E13">
        <w:rPr>
          <w:rFonts w:ascii="Avenir Next" w:hAnsi="Avenir Next"/>
          <w:sz w:val="22"/>
          <w:szCs w:val="28"/>
        </w:rPr>
        <w:t>§1519</w:t>
      </w:r>
      <w:r>
        <w:rPr>
          <w:rFonts w:ascii="Avenir Next" w:hAnsi="Avenir Next"/>
          <w:sz w:val="22"/>
          <w:szCs w:val="28"/>
        </w:rPr>
        <w:t xml:space="preserve">(b): </w:t>
      </w:r>
      <w:r w:rsidRPr="00091E13">
        <w:rPr>
          <w:rFonts w:ascii="Avenir Next" w:hAnsi="Avenir Next"/>
          <w:i/>
          <w:sz w:val="22"/>
          <w:szCs w:val="28"/>
        </w:rPr>
        <w:t>“Unless extended under section 1521(a)(6), the relief granted under this section terminates when the petition for recognition is granted.”</w:t>
      </w:r>
      <w:r w:rsidR="00146221">
        <w:rPr>
          <w:rFonts w:ascii="Avenir Next" w:hAnsi="Avenir Next"/>
          <w:i/>
          <w:sz w:val="22"/>
          <w:szCs w:val="28"/>
        </w:rPr>
        <w:t xml:space="preserve"> </w:t>
      </w:r>
      <w:r w:rsidR="00146221">
        <w:rPr>
          <w:rFonts w:ascii="Avenir Next" w:hAnsi="Avenir Next"/>
          <w:sz w:val="22"/>
          <w:szCs w:val="28"/>
        </w:rPr>
        <w:t>In the event that this concerned distribution of US assets</w:t>
      </w:r>
      <w:r w:rsidR="00DC007F">
        <w:rPr>
          <w:rFonts w:ascii="Avenir Next" w:hAnsi="Avenir Next"/>
          <w:sz w:val="22"/>
          <w:szCs w:val="28"/>
        </w:rPr>
        <w:t xml:space="preserve"> (</w:t>
      </w:r>
      <w:r w:rsidR="00DC007F">
        <w:rPr>
          <w:rFonts w:ascii="Avenir Next" w:hAnsi="Avenir Next"/>
          <w:i/>
          <w:sz w:val="22"/>
          <w:szCs w:val="28"/>
        </w:rPr>
        <w:t xml:space="preserve">e.g. </w:t>
      </w:r>
      <w:r w:rsidR="00DC007F">
        <w:rPr>
          <w:rFonts w:ascii="Avenir Next" w:hAnsi="Avenir Next"/>
          <w:sz w:val="22"/>
          <w:szCs w:val="28"/>
        </w:rPr>
        <w:t xml:space="preserve">the HQ </w:t>
      </w:r>
      <w:proofErr w:type="spellStart"/>
      <w:r w:rsidR="00DC007F">
        <w:rPr>
          <w:rFonts w:ascii="Avenir Next" w:hAnsi="Avenir Next"/>
          <w:sz w:val="22"/>
          <w:szCs w:val="28"/>
        </w:rPr>
        <w:t>etc</w:t>
      </w:r>
      <w:proofErr w:type="spellEnd"/>
      <w:r w:rsidR="00DC007F">
        <w:rPr>
          <w:rFonts w:ascii="Avenir Next" w:hAnsi="Avenir Next"/>
          <w:sz w:val="22"/>
          <w:szCs w:val="28"/>
        </w:rPr>
        <w:t>)</w:t>
      </w:r>
      <w:r w:rsidR="00146221">
        <w:rPr>
          <w:rFonts w:ascii="Avenir Next" w:hAnsi="Avenir Next"/>
          <w:sz w:val="22"/>
          <w:szCs w:val="28"/>
        </w:rPr>
        <w:t xml:space="preserve">, the client would need to establish that the interests of US creditors are sufficiently protected (Article 21(2) / </w:t>
      </w:r>
      <w:r w:rsidR="00146221" w:rsidRPr="00D73F2B">
        <w:rPr>
          <w:rFonts w:ascii="Avenir Next" w:hAnsi="Avenir Next"/>
          <w:sz w:val="22"/>
          <w:szCs w:val="28"/>
        </w:rPr>
        <w:t>§</w:t>
      </w:r>
      <w:r w:rsidR="00146221">
        <w:rPr>
          <w:rFonts w:ascii="Avenir Next" w:hAnsi="Avenir Next"/>
          <w:sz w:val="22"/>
          <w:szCs w:val="28"/>
        </w:rPr>
        <w:t xml:space="preserve">1521(b)). </w:t>
      </w:r>
    </w:p>
    <w:p w14:paraId="6D0DDC18" w14:textId="77777777" w:rsidR="00146221" w:rsidRDefault="00146221" w:rsidP="00091E13">
      <w:pPr>
        <w:jc w:val="both"/>
        <w:rPr>
          <w:rFonts w:ascii="Avenir Next" w:hAnsi="Avenir Next"/>
          <w:i/>
          <w:sz w:val="22"/>
          <w:szCs w:val="28"/>
        </w:rPr>
      </w:pPr>
    </w:p>
    <w:p w14:paraId="65109AAE" w14:textId="45A4E2FD" w:rsidR="00091E13" w:rsidRPr="00146221" w:rsidRDefault="00146221" w:rsidP="00091E13">
      <w:pPr>
        <w:jc w:val="both"/>
        <w:rPr>
          <w:rFonts w:ascii="Avenir Next" w:hAnsi="Avenir Next"/>
          <w:sz w:val="22"/>
          <w:szCs w:val="28"/>
        </w:rPr>
      </w:pPr>
      <w:r>
        <w:rPr>
          <w:rFonts w:ascii="Avenir Next" w:hAnsi="Avenir Next"/>
          <w:sz w:val="22"/>
          <w:szCs w:val="28"/>
        </w:rPr>
        <w:t>In the event that preliminary relief is not obtained, for whatever reason</w:t>
      </w:r>
      <w:r w:rsidR="00F2555B">
        <w:rPr>
          <w:rFonts w:ascii="Avenir Next" w:hAnsi="Avenir Next"/>
          <w:sz w:val="22"/>
          <w:szCs w:val="28"/>
        </w:rPr>
        <w:t xml:space="preserve"> (including in the event that the US Court deems the relief not to be </w:t>
      </w:r>
      <w:r w:rsidR="00F2555B">
        <w:rPr>
          <w:rFonts w:ascii="Avenir Next" w:hAnsi="Avenir Next"/>
          <w:i/>
          <w:sz w:val="22"/>
          <w:szCs w:val="28"/>
        </w:rPr>
        <w:t>“urgently needed”</w:t>
      </w:r>
      <w:r w:rsidR="00F2555B">
        <w:rPr>
          <w:rFonts w:ascii="Avenir Next" w:hAnsi="Avenir Next"/>
          <w:sz w:val="22"/>
          <w:szCs w:val="28"/>
        </w:rPr>
        <w:t xml:space="preserve"> (</w:t>
      </w:r>
      <w:r w:rsidR="00F2555B" w:rsidRPr="00091E13">
        <w:rPr>
          <w:rFonts w:ascii="Avenir Next" w:hAnsi="Avenir Next"/>
          <w:sz w:val="22"/>
          <w:szCs w:val="28"/>
        </w:rPr>
        <w:t>§1519</w:t>
      </w:r>
      <w:r w:rsidR="00F2555B">
        <w:rPr>
          <w:rFonts w:ascii="Avenir Next" w:hAnsi="Avenir Next"/>
          <w:sz w:val="22"/>
          <w:szCs w:val="28"/>
        </w:rPr>
        <w:t>(a)))</w:t>
      </w:r>
      <w:r>
        <w:rPr>
          <w:rFonts w:ascii="Avenir Next" w:hAnsi="Avenir Next"/>
          <w:sz w:val="22"/>
          <w:szCs w:val="28"/>
        </w:rPr>
        <w:t xml:space="preserve">, but the petition for recognition is successful, and the Cayman Scheme is </w:t>
      </w:r>
      <w:proofErr w:type="spellStart"/>
      <w:r>
        <w:rPr>
          <w:rFonts w:ascii="Avenir Next" w:hAnsi="Avenir Next"/>
          <w:sz w:val="22"/>
          <w:szCs w:val="28"/>
        </w:rPr>
        <w:t>recognised</w:t>
      </w:r>
      <w:proofErr w:type="spellEnd"/>
      <w:r>
        <w:rPr>
          <w:rFonts w:ascii="Avenir Next" w:hAnsi="Avenir Next"/>
          <w:sz w:val="22"/>
          <w:szCs w:val="28"/>
        </w:rPr>
        <w:t xml:space="preserve"> as </w:t>
      </w:r>
      <w:proofErr w:type="gramStart"/>
      <w:r>
        <w:rPr>
          <w:rFonts w:ascii="Avenir Next" w:hAnsi="Avenir Next"/>
          <w:sz w:val="22"/>
          <w:szCs w:val="28"/>
        </w:rPr>
        <w:t>a</w:t>
      </w:r>
      <w:proofErr w:type="gramEnd"/>
      <w:r>
        <w:rPr>
          <w:rFonts w:ascii="Avenir Next" w:hAnsi="Avenir Next"/>
          <w:sz w:val="22"/>
          <w:szCs w:val="28"/>
        </w:rPr>
        <w:t xml:space="preserve"> FMP, the automatic stay would then apply, as per Article 20(1)</w:t>
      </w:r>
      <w:r>
        <w:rPr>
          <w:rFonts w:ascii="Avenir Next" w:hAnsi="Avenir Next"/>
          <w:i/>
          <w:sz w:val="22"/>
          <w:szCs w:val="28"/>
        </w:rPr>
        <w:t xml:space="preserve"> </w:t>
      </w:r>
      <w:r>
        <w:rPr>
          <w:rFonts w:ascii="Avenir Next" w:hAnsi="Avenir Next"/>
          <w:sz w:val="22"/>
          <w:szCs w:val="28"/>
        </w:rPr>
        <w:t xml:space="preserve">/ </w:t>
      </w:r>
      <w:r w:rsidRPr="00D73F2B">
        <w:rPr>
          <w:rFonts w:ascii="Avenir Next" w:hAnsi="Avenir Next"/>
          <w:sz w:val="22"/>
          <w:szCs w:val="28"/>
        </w:rPr>
        <w:t>§</w:t>
      </w:r>
      <w:r>
        <w:rPr>
          <w:rFonts w:ascii="Avenir Next" w:hAnsi="Avenir Next"/>
          <w:sz w:val="22"/>
          <w:szCs w:val="28"/>
        </w:rPr>
        <w:t xml:space="preserve">1520. If </w:t>
      </w:r>
      <w:r w:rsidR="00F2555B">
        <w:rPr>
          <w:rFonts w:ascii="Avenir Next" w:hAnsi="Avenir Next"/>
          <w:sz w:val="22"/>
          <w:szCs w:val="28"/>
        </w:rPr>
        <w:t>the Cayman Scheme</w:t>
      </w:r>
      <w:r>
        <w:rPr>
          <w:rFonts w:ascii="Avenir Next" w:hAnsi="Avenir Next"/>
          <w:sz w:val="22"/>
          <w:szCs w:val="28"/>
        </w:rPr>
        <w:t xml:space="preserve"> is </w:t>
      </w:r>
      <w:proofErr w:type="spellStart"/>
      <w:r>
        <w:rPr>
          <w:rFonts w:ascii="Avenir Next" w:hAnsi="Avenir Next"/>
          <w:sz w:val="22"/>
          <w:szCs w:val="28"/>
        </w:rPr>
        <w:t>recognised</w:t>
      </w:r>
      <w:proofErr w:type="spellEnd"/>
      <w:r>
        <w:rPr>
          <w:rFonts w:ascii="Avenir Next" w:hAnsi="Avenir Next"/>
          <w:sz w:val="22"/>
          <w:szCs w:val="28"/>
        </w:rPr>
        <w:t xml:space="preserve"> as a FNMP</w:t>
      </w:r>
      <w:r w:rsidR="00F2555B">
        <w:rPr>
          <w:rFonts w:ascii="Avenir Next" w:hAnsi="Avenir Next"/>
          <w:sz w:val="22"/>
          <w:szCs w:val="28"/>
        </w:rPr>
        <w:t xml:space="preserve">, however, then the automatic stay would not apply, and the client would have to apply for relief </w:t>
      </w:r>
      <w:r w:rsidR="004B632C">
        <w:rPr>
          <w:rFonts w:ascii="Avenir Next" w:hAnsi="Avenir Next"/>
          <w:sz w:val="22"/>
          <w:szCs w:val="28"/>
        </w:rPr>
        <w:t xml:space="preserve">(Article 21(1) / </w:t>
      </w:r>
      <w:r w:rsidR="004B632C" w:rsidRPr="00D73F2B">
        <w:rPr>
          <w:rFonts w:ascii="Avenir Next" w:hAnsi="Avenir Next"/>
          <w:sz w:val="22"/>
          <w:szCs w:val="28"/>
        </w:rPr>
        <w:t>§</w:t>
      </w:r>
      <w:r w:rsidR="004B632C">
        <w:rPr>
          <w:rFonts w:ascii="Avenir Next" w:hAnsi="Avenir Next"/>
          <w:sz w:val="22"/>
          <w:szCs w:val="28"/>
        </w:rPr>
        <w:t>1521(a)), contending that such relief is necessary to protect the assets of the debtor or the interests of the creditors</w:t>
      </w:r>
      <w:r w:rsidR="001A7AD7">
        <w:rPr>
          <w:rFonts w:ascii="Avenir Next" w:hAnsi="Avenir Next"/>
          <w:sz w:val="22"/>
          <w:szCs w:val="28"/>
        </w:rPr>
        <w:t xml:space="preserve"> (and that there is adequate protection of </w:t>
      </w:r>
      <w:r w:rsidR="00FD5075">
        <w:rPr>
          <w:rFonts w:ascii="Avenir Next" w:hAnsi="Avenir Next"/>
          <w:sz w:val="22"/>
          <w:szCs w:val="28"/>
        </w:rPr>
        <w:t xml:space="preserve">the parties’ </w:t>
      </w:r>
      <w:r w:rsidR="001A7AD7">
        <w:rPr>
          <w:rFonts w:ascii="Avenir Next" w:hAnsi="Avenir Next"/>
          <w:sz w:val="22"/>
          <w:szCs w:val="28"/>
        </w:rPr>
        <w:t>interests</w:t>
      </w:r>
      <w:r w:rsidR="00FD5075">
        <w:rPr>
          <w:rFonts w:ascii="Avenir Next" w:hAnsi="Avenir Next"/>
          <w:sz w:val="22"/>
          <w:szCs w:val="28"/>
        </w:rPr>
        <w:t>, as per</w:t>
      </w:r>
      <w:r w:rsidR="001A7AD7">
        <w:rPr>
          <w:rFonts w:ascii="Avenir Next" w:hAnsi="Avenir Next"/>
          <w:sz w:val="22"/>
          <w:szCs w:val="28"/>
        </w:rPr>
        <w:t xml:space="preserve"> Article 22 </w:t>
      </w:r>
      <w:proofErr w:type="spellStart"/>
      <w:r w:rsidR="001A7AD7">
        <w:rPr>
          <w:rFonts w:ascii="Avenir Next" w:hAnsi="Avenir Next"/>
          <w:sz w:val="22"/>
          <w:szCs w:val="28"/>
        </w:rPr>
        <w:t>etc</w:t>
      </w:r>
      <w:proofErr w:type="spellEnd"/>
      <w:r w:rsidR="001A7AD7">
        <w:rPr>
          <w:rFonts w:ascii="Avenir Next" w:hAnsi="Avenir Next"/>
          <w:sz w:val="22"/>
          <w:szCs w:val="28"/>
        </w:rPr>
        <w:t>)</w:t>
      </w:r>
      <w:r w:rsidR="004B632C">
        <w:rPr>
          <w:rFonts w:ascii="Avenir Next" w:hAnsi="Avenir Next"/>
          <w:sz w:val="22"/>
          <w:szCs w:val="28"/>
        </w:rPr>
        <w:t xml:space="preserve">. Moreover, the client would have to establish that the relief relates to assets that, under US law, should be administered </w:t>
      </w:r>
      <w:r w:rsidR="00DC2D15">
        <w:rPr>
          <w:rFonts w:ascii="Avenir Next" w:hAnsi="Avenir Next"/>
          <w:sz w:val="22"/>
          <w:szCs w:val="28"/>
        </w:rPr>
        <w:t>by the</w:t>
      </w:r>
      <w:r w:rsidR="004B632C">
        <w:rPr>
          <w:rFonts w:ascii="Avenir Next" w:hAnsi="Avenir Next"/>
          <w:sz w:val="22"/>
          <w:szCs w:val="28"/>
        </w:rPr>
        <w:t xml:space="preserve"> Cayman</w:t>
      </w:r>
      <w:r w:rsidR="00DC2D15">
        <w:rPr>
          <w:rFonts w:ascii="Avenir Next" w:hAnsi="Avenir Next"/>
          <w:sz w:val="22"/>
          <w:szCs w:val="28"/>
        </w:rPr>
        <w:t xml:space="preserve"> foreign representative</w:t>
      </w:r>
      <w:r w:rsidR="004B632C">
        <w:rPr>
          <w:rFonts w:ascii="Avenir Next" w:hAnsi="Avenir Next"/>
          <w:sz w:val="22"/>
          <w:szCs w:val="28"/>
        </w:rPr>
        <w:t xml:space="preserve">, or concerns information required in Cayman (Article 21(3) / </w:t>
      </w:r>
      <w:r w:rsidR="004B632C" w:rsidRPr="00D73F2B">
        <w:rPr>
          <w:rFonts w:ascii="Avenir Next" w:hAnsi="Avenir Next"/>
          <w:sz w:val="22"/>
          <w:szCs w:val="28"/>
        </w:rPr>
        <w:t>§</w:t>
      </w:r>
      <w:r w:rsidR="004B632C">
        <w:rPr>
          <w:rFonts w:ascii="Avenir Next" w:hAnsi="Avenir Next"/>
          <w:sz w:val="22"/>
          <w:szCs w:val="28"/>
        </w:rPr>
        <w:t>1521(c)).</w:t>
      </w:r>
    </w:p>
    <w:p w14:paraId="43A441E9" w14:textId="77777777" w:rsidR="00126E19" w:rsidRPr="00E2622D" w:rsidRDefault="00126E19" w:rsidP="00707FC8">
      <w:pPr>
        <w:jc w:val="both"/>
        <w:rPr>
          <w:rFonts w:ascii="Avenir Next" w:hAnsi="Avenir Next" w:cs="Arial"/>
          <w:sz w:val="22"/>
          <w:szCs w:val="22"/>
          <w:lang w:val="en-GB"/>
        </w:rPr>
      </w:pPr>
    </w:p>
    <w:bookmarkEnd w:id="2"/>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4F643" w14:textId="77777777" w:rsidR="00153C0E" w:rsidRDefault="00153C0E" w:rsidP="00241B44">
      <w:r>
        <w:separator/>
      </w:r>
    </w:p>
  </w:endnote>
  <w:endnote w:type="continuationSeparator" w:id="0">
    <w:p w14:paraId="0C2424AD" w14:textId="77777777" w:rsidR="00153C0E" w:rsidRDefault="00153C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880920"/>
      <w:docPartObj>
        <w:docPartGallery w:val="Page Numbers (Bottom of Page)"/>
        <w:docPartUnique/>
      </w:docPartObj>
    </w:sdtPr>
    <w:sdtEndPr>
      <w:rPr>
        <w:rStyle w:val="PageNumber"/>
      </w:rPr>
    </w:sdtEndPr>
    <w:sdtContent>
      <w:p w14:paraId="75DFA1A2" w14:textId="6BA13D30" w:rsidR="00153C0E" w:rsidRDefault="00153C0E"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153C0E" w:rsidRDefault="00153C0E"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9987" w14:textId="6E59C970" w:rsidR="00153C0E" w:rsidRPr="000300E0" w:rsidRDefault="00153C0E" w:rsidP="00A11BCE">
    <w:pPr>
      <w:pStyle w:val="Footer"/>
      <w:framePr w:wrap="none" w:vAnchor="text" w:hAnchor="margin" w:xAlign="right" w:y="1"/>
      <w:rPr>
        <w:rStyle w:val="PageNumber"/>
        <w:rFonts w:ascii="Avenir Next" w:hAnsi="Avenir Next"/>
        <w:sz w:val="22"/>
        <w:szCs w:val="22"/>
      </w:rPr>
    </w:pPr>
  </w:p>
  <w:p w14:paraId="6BA38AA4" w14:textId="0591D1DD" w:rsidR="00153C0E" w:rsidRDefault="00153C0E"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6495926"/>
      <w:docPartObj>
        <w:docPartGallery w:val="Page Numbers (Bottom of Page)"/>
        <w:docPartUnique/>
      </w:docPartObj>
    </w:sdtPr>
    <w:sdtEndPr>
      <w:rPr>
        <w:rStyle w:val="PageNumber"/>
      </w:rPr>
    </w:sdtEndPr>
    <w:sdtContent>
      <w:p w14:paraId="1F7F18A2" w14:textId="560E059B" w:rsidR="00153C0E" w:rsidRDefault="00153C0E" w:rsidP="00A11B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153C0E" w:rsidRPr="000300E0" w:rsidRDefault="00153C0E" w:rsidP="000300E0">
    <w:pPr>
      <w:pStyle w:val="Footer"/>
      <w:ind w:right="360"/>
      <w:rPr>
        <w:rFonts w:ascii="Avenir Next" w:hAnsi="Avenir Next" w:cs="Arial"/>
        <w:sz w:val="22"/>
        <w:szCs w:val="22"/>
      </w:rPr>
    </w:pPr>
  </w:p>
  <w:p w14:paraId="01028C96" w14:textId="77777777" w:rsidR="00153C0E" w:rsidRDefault="00153C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5745" w14:textId="45ACEB22" w:rsidR="00153C0E" w:rsidRPr="00B46CE2" w:rsidRDefault="00E42301" w:rsidP="000300E0">
    <w:pPr>
      <w:pStyle w:val="Footer"/>
      <w:ind w:right="360"/>
      <w:rPr>
        <w:rFonts w:ascii="Avenir Next" w:hAnsi="Avenir Next"/>
        <w:sz w:val="22"/>
        <w:szCs w:val="22"/>
      </w:rPr>
    </w:pPr>
    <w:r w:rsidRPr="00E42301">
      <w:rPr>
        <w:rFonts w:ascii="Avenir Next" w:hAnsi="Avenir Next"/>
        <w:sz w:val="22"/>
        <w:szCs w:val="22"/>
      </w:rPr>
      <w:t>FC202324-1447</w:t>
    </w:r>
    <w:r w:rsidR="00153C0E"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153C0E" w:rsidRPr="000300E0" w:rsidRDefault="00153C0E"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153C0E" w:rsidRPr="000300E0" w:rsidRDefault="00153C0E"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153C0E" w:rsidRDefault="00153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2154" w14:textId="77777777" w:rsidR="00153C0E" w:rsidRDefault="00153C0E" w:rsidP="00241B44">
      <w:r>
        <w:separator/>
      </w:r>
    </w:p>
  </w:footnote>
  <w:footnote w:type="continuationSeparator" w:id="0">
    <w:p w14:paraId="300F8B08" w14:textId="77777777" w:rsidR="00153C0E" w:rsidRDefault="00153C0E" w:rsidP="00241B44">
      <w:r>
        <w:continuationSeparator/>
      </w:r>
    </w:p>
  </w:footnote>
  <w:footnote w:id="1">
    <w:p w14:paraId="6F16C0DA" w14:textId="41068306" w:rsidR="00153C0E" w:rsidRDefault="00153C0E">
      <w:pPr>
        <w:pStyle w:val="FootnoteText"/>
      </w:pPr>
      <w:r>
        <w:rPr>
          <w:rStyle w:val="FootnoteReference"/>
        </w:rPr>
        <w:footnoteRef/>
      </w:r>
      <w:r>
        <w:t xml:space="preserve"> Course Guidance Text, p 27, fn 90. </w:t>
      </w:r>
    </w:p>
  </w:footnote>
  <w:footnote w:id="2">
    <w:p w14:paraId="73C20205" w14:textId="7FF9FD84" w:rsidR="00153C0E" w:rsidRDefault="00153C0E">
      <w:pPr>
        <w:pStyle w:val="FootnoteText"/>
      </w:pPr>
      <w:r>
        <w:rPr>
          <w:rStyle w:val="FootnoteReference"/>
        </w:rPr>
        <w:footnoteRef/>
      </w:r>
      <w:r>
        <w:t xml:space="preserve"> Module 2A Guidance Text, p 22.</w:t>
      </w:r>
    </w:p>
  </w:footnote>
  <w:footnote w:id="3">
    <w:p w14:paraId="2B3CA52A" w14:textId="7103F7BA" w:rsidR="00153C0E" w:rsidRDefault="00153C0E">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196D41"/>
    <w:multiLevelType w:val="hybridMultilevel"/>
    <w:tmpl w:val="F39E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EE7184"/>
    <w:multiLevelType w:val="hybridMultilevel"/>
    <w:tmpl w:val="9E62C314"/>
    <w:lvl w:ilvl="0" w:tplc="58FE851A">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2"/>
  </w:num>
  <w:num w:numId="4">
    <w:abstractNumId w:val="18"/>
  </w:num>
  <w:num w:numId="5">
    <w:abstractNumId w:val="17"/>
  </w:num>
  <w:num w:numId="6">
    <w:abstractNumId w:val="16"/>
  </w:num>
  <w:num w:numId="7">
    <w:abstractNumId w:val="4"/>
  </w:num>
  <w:num w:numId="8">
    <w:abstractNumId w:val="5"/>
  </w:num>
  <w:num w:numId="9">
    <w:abstractNumId w:val="12"/>
  </w:num>
  <w:num w:numId="10">
    <w:abstractNumId w:val="11"/>
  </w:num>
  <w:num w:numId="11">
    <w:abstractNumId w:val="3"/>
  </w:num>
  <w:num w:numId="12">
    <w:abstractNumId w:val="9"/>
  </w:num>
  <w:num w:numId="13">
    <w:abstractNumId w:val="10"/>
  </w:num>
  <w:num w:numId="14">
    <w:abstractNumId w:val="1"/>
  </w:num>
  <w:num w:numId="15">
    <w:abstractNumId w:val="0"/>
  </w:num>
  <w:num w:numId="16">
    <w:abstractNumId w:val="7"/>
  </w:num>
  <w:num w:numId="17">
    <w:abstractNumId w:val="15"/>
  </w:num>
  <w:num w:numId="18">
    <w:abstractNumId w:val="13"/>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22DD"/>
    <w:rsid w:val="000077DD"/>
    <w:rsid w:val="00010BA0"/>
    <w:rsid w:val="00011778"/>
    <w:rsid w:val="00011BA3"/>
    <w:rsid w:val="0001365B"/>
    <w:rsid w:val="00020557"/>
    <w:rsid w:val="000232A1"/>
    <w:rsid w:val="000250C7"/>
    <w:rsid w:val="00025CCF"/>
    <w:rsid w:val="000300E0"/>
    <w:rsid w:val="0003114A"/>
    <w:rsid w:val="000352C1"/>
    <w:rsid w:val="000354AB"/>
    <w:rsid w:val="0003619C"/>
    <w:rsid w:val="0003743B"/>
    <w:rsid w:val="00037621"/>
    <w:rsid w:val="00037D54"/>
    <w:rsid w:val="0004067A"/>
    <w:rsid w:val="00043EB6"/>
    <w:rsid w:val="00044D46"/>
    <w:rsid w:val="00045088"/>
    <w:rsid w:val="00045904"/>
    <w:rsid w:val="000464F7"/>
    <w:rsid w:val="0005141D"/>
    <w:rsid w:val="000570D2"/>
    <w:rsid w:val="00060E02"/>
    <w:rsid w:val="000649DC"/>
    <w:rsid w:val="00065166"/>
    <w:rsid w:val="000666B1"/>
    <w:rsid w:val="00067A88"/>
    <w:rsid w:val="00067C5E"/>
    <w:rsid w:val="00070B92"/>
    <w:rsid w:val="000718FC"/>
    <w:rsid w:val="00072037"/>
    <w:rsid w:val="00073474"/>
    <w:rsid w:val="000779A5"/>
    <w:rsid w:val="00077D49"/>
    <w:rsid w:val="00080100"/>
    <w:rsid w:val="00082609"/>
    <w:rsid w:val="000829D5"/>
    <w:rsid w:val="00083B38"/>
    <w:rsid w:val="00084009"/>
    <w:rsid w:val="000851CC"/>
    <w:rsid w:val="0008525B"/>
    <w:rsid w:val="00091E13"/>
    <w:rsid w:val="00093BE8"/>
    <w:rsid w:val="00096231"/>
    <w:rsid w:val="00097005"/>
    <w:rsid w:val="000A42A9"/>
    <w:rsid w:val="000A68ED"/>
    <w:rsid w:val="000B1384"/>
    <w:rsid w:val="000B4FEB"/>
    <w:rsid w:val="000B5220"/>
    <w:rsid w:val="000B5FF1"/>
    <w:rsid w:val="000B609F"/>
    <w:rsid w:val="000C078B"/>
    <w:rsid w:val="000C147F"/>
    <w:rsid w:val="000C16B6"/>
    <w:rsid w:val="000C6B99"/>
    <w:rsid w:val="000C6BB9"/>
    <w:rsid w:val="000C72CB"/>
    <w:rsid w:val="000D32A9"/>
    <w:rsid w:val="000D5254"/>
    <w:rsid w:val="000D55A8"/>
    <w:rsid w:val="000E1063"/>
    <w:rsid w:val="000E4841"/>
    <w:rsid w:val="000E6325"/>
    <w:rsid w:val="000F14CB"/>
    <w:rsid w:val="000F1677"/>
    <w:rsid w:val="000F3D6C"/>
    <w:rsid w:val="000F579C"/>
    <w:rsid w:val="000F69D5"/>
    <w:rsid w:val="000F720F"/>
    <w:rsid w:val="00100E8F"/>
    <w:rsid w:val="00101707"/>
    <w:rsid w:val="00101A9E"/>
    <w:rsid w:val="00114082"/>
    <w:rsid w:val="0011473D"/>
    <w:rsid w:val="00115C85"/>
    <w:rsid w:val="00116B7C"/>
    <w:rsid w:val="00123855"/>
    <w:rsid w:val="0012591B"/>
    <w:rsid w:val="00126A4D"/>
    <w:rsid w:val="00126E19"/>
    <w:rsid w:val="001272A6"/>
    <w:rsid w:val="001363E4"/>
    <w:rsid w:val="001374D8"/>
    <w:rsid w:val="00140E0A"/>
    <w:rsid w:val="0014171F"/>
    <w:rsid w:val="00146221"/>
    <w:rsid w:val="0014622C"/>
    <w:rsid w:val="00146655"/>
    <w:rsid w:val="001479BF"/>
    <w:rsid w:val="00151F58"/>
    <w:rsid w:val="00152348"/>
    <w:rsid w:val="00152845"/>
    <w:rsid w:val="00153C0E"/>
    <w:rsid w:val="0015456D"/>
    <w:rsid w:val="0015549B"/>
    <w:rsid w:val="00155FA2"/>
    <w:rsid w:val="001578CB"/>
    <w:rsid w:val="00161F1B"/>
    <w:rsid w:val="00162682"/>
    <w:rsid w:val="00162829"/>
    <w:rsid w:val="001672E0"/>
    <w:rsid w:val="00167C32"/>
    <w:rsid w:val="0017257C"/>
    <w:rsid w:val="00176079"/>
    <w:rsid w:val="0017652E"/>
    <w:rsid w:val="00176D8D"/>
    <w:rsid w:val="00180548"/>
    <w:rsid w:val="00180AC4"/>
    <w:rsid w:val="00180CCE"/>
    <w:rsid w:val="00182648"/>
    <w:rsid w:val="0018267A"/>
    <w:rsid w:val="00182779"/>
    <w:rsid w:val="001830DF"/>
    <w:rsid w:val="00190FD2"/>
    <w:rsid w:val="001919CA"/>
    <w:rsid w:val="0019311B"/>
    <w:rsid w:val="001966D9"/>
    <w:rsid w:val="001A24E7"/>
    <w:rsid w:val="001A2B78"/>
    <w:rsid w:val="001A4494"/>
    <w:rsid w:val="001A7AD7"/>
    <w:rsid w:val="001A7E9A"/>
    <w:rsid w:val="001B0F70"/>
    <w:rsid w:val="001B5016"/>
    <w:rsid w:val="001B5E1D"/>
    <w:rsid w:val="001C0188"/>
    <w:rsid w:val="001C45FC"/>
    <w:rsid w:val="001C78EC"/>
    <w:rsid w:val="001D02C5"/>
    <w:rsid w:val="001D4862"/>
    <w:rsid w:val="001E0C66"/>
    <w:rsid w:val="001E25B9"/>
    <w:rsid w:val="001E49E0"/>
    <w:rsid w:val="001E6087"/>
    <w:rsid w:val="001E60C3"/>
    <w:rsid w:val="001E7B5A"/>
    <w:rsid w:val="001F7412"/>
    <w:rsid w:val="00200FDD"/>
    <w:rsid w:val="0020121A"/>
    <w:rsid w:val="00201874"/>
    <w:rsid w:val="00202133"/>
    <w:rsid w:val="0020264E"/>
    <w:rsid w:val="002048DB"/>
    <w:rsid w:val="0020725B"/>
    <w:rsid w:val="002175BA"/>
    <w:rsid w:val="0022599E"/>
    <w:rsid w:val="00227C5E"/>
    <w:rsid w:val="002305E8"/>
    <w:rsid w:val="0023198D"/>
    <w:rsid w:val="0023317E"/>
    <w:rsid w:val="00234F2C"/>
    <w:rsid w:val="002361D7"/>
    <w:rsid w:val="00236604"/>
    <w:rsid w:val="00236706"/>
    <w:rsid w:val="00240794"/>
    <w:rsid w:val="00240B0E"/>
    <w:rsid w:val="0024116D"/>
    <w:rsid w:val="00241B44"/>
    <w:rsid w:val="00245EFB"/>
    <w:rsid w:val="00250E19"/>
    <w:rsid w:val="0025386E"/>
    <w:rsid w:val="002539D7"/>
    <w:rsid w:val="00255C22"/>
    <w:rsid w:val="00257437"/>
    <w:rsid w:val="00262884"/>
    <w:rsid w:val="002638B0"/>
    <w:rsid w:val="00264FFF"/>
    <w:rsid w:val="002650D7"/>
    <w:rsid w:val="002654E8"/>
    <w:rsid w:val="0026647A"/>
    <w:rsid w:val="00266552"/>
    <w:rsid w:val="002668D3"/>
    <w:rsid w:val="00266EB8"/>
    <w:rsid w:val="002675BE"/>
    <w:rsid w:val="00267704"/>
    <w:rsid w:val="00267BD2"/>
    <w:rsid w:val="0027299F"/>
    <w:rsid w:val="00276913"/>
    <w:rsid w:val="0028120A"/>
    <w:rsid w:val="0028135B"/>
    <w:rsid w:val="00282480"/>
    <w:rsid w:val="00284EBE"/>
    <w:rsid w:val="00290572"/>
    <w:rsid w:val="0029069C"/>
    <w:rsid w:val="0029433F"/>
    <w:rsid w:val="00294829"/>
    <w:rsid w:val="00294F3B"/>
    <w:rsid w:val="0029690F"/>
    <w:rsid w:val="002A041E"/>
    <w:rsid w:val="002A09A1"/>
    <w:rsid w:val="002A111D"/>
    <w:rsid w:val="002A1EEC"/>
    <w:rsid w:val="002A256B"/>
    <w:rsid w:val="002A29FB"/>
    <w:rsid w:val="002A2A60"/>
    <w:rsid w:val="002A37A0"/>
    <w:rsid w:val="002A78D9"/>
    <w:rsid w:val="002B1C45"/>
    <w:rsid w:val="002B232F"/>
    <w:rsid w:val="002C13C8"/>
    <w:rsid w:val="002C3547"/>
    <w:rsid w:val="002D0021"/>
    <w:rsid w:val="002D3473"/>
    <w:rsid w:val="002D5C95"/>
    <w:rsid w:val="002E00F8"/>
    <w:rsid w:val="002E1BB5"/>
    <w:rsid w:val="002E2322"/>
    <w:rsid w:val="002E38E2"/>
    <w:rsid w:val="002F1956"/>
    <w:rsid w:val="002F2C8F"/>
    <w:rsid w:val="002F3440"/>
    <w:rsid w:val="002F4EC0"/>
    <w:rsid w:val="002F71BE"/>
    <w:rsid w:val="002F75A3"/>
    <w:rsid w:val="002F78CA"/>
    <w:rsid w:val="00303C2F"/>
    <w:rsid w:val="00312911"/>
    <w:rsid w:val="003144EF"/>
    <w:rsid w:val="003148CA"/>
    <w:rsid w:val="00315506"/>
    <w:rsid w:val="00321773"/>
    <w:rsid w:val="003220BA"/>
    <w:rsid w:val="00322F3B"/>
    <w:rsid w:val="00323940"/>
    <w:rsid w:val="00326292"/>
    <w:rsid w:val="00326415"/>
    <w:rsid w:val="00330937"/>
    <w:rsid w:val="00330F31"/>
    <w:rsid w:val="0033442A"/>
    <w:rsid w:val="00334648"/>
    <w:rsid w:val="00336AA6"/>
    <w:rsid w:val="0033768C"/>
    <w:rsid w:val="00337938"/>
    <w:rsid w:val="00340769"/>
    <w:rsid w:val="00341AA6"/>
    <w:rsid w:val="00342459"/>
    <w:rsid w:val="003427B9"/>
    <w:rsid w:val="0034343E"/>
    <w:rsid w:val="00346B16"/>
    <w:rsid w:val="003472D1"/>
    <w:rsid w:val="00354805"/>
    <w:rsid w:val="003566A7"/>
    <w:rsid w:val="00361A0A"/>
    <w:rsid w:val="0036565C"/>
    <w:rsid w:val="0036625E"/>
    <w:rsid w:val="0036760B"/>
    <w:rsid w:val="00371588"/>
    <w:rsid w:val="0037465A"/>
    <w:rsid w:val="0037544E"/>
    <w:rsid w:val="00376C98"/>
    <w:rsid w:val="00380BAB"/>
    <w:rsid w:val="00382C98"/>
    <w:rsid w:val="0038533C"/>
    <w:rsid w:val="00386568"/>
    <w:rsid w:val="00387106"/>
    <w:rsid w:val="00391F3E"/>
    <w:rsid w:val="003948D5"/>
    <w:rsid w:val="003963D4"/>
    <w:rsid w:val="00396709"/>
    <w:rsid w:val="00396821"/>
    <w:rsid w:val="00397D3A"/>
    <w:rsid w:val="00397FF7"/>
    <w:rsid w:val="003A051E"/>
    <w:rsid w:val="003A2FEE"/>
    <w:rsid w:val="003B0676"/>
    <w:rsid w:val="003B1310"/>
    <w:rsid w:val="003B170F"/>
    <w:rsid w:val="003B35D0"/>
    <w:rsid w:val="003B3C5F"/>
    <w:rsid w:val="003C089D"/>
    <w:rsid w:val="003C140C"/>
    <w:rsid w:val="003C4471"/>
    <w:rsid w:val="003C5102"/>
    <w:rsid w:val="003C66B1"/>
    <w:rsid w:val="003C6FE6"/>
    <w:rsid w:val="003C790D"/>
    <w:rsid w:val="003D0A6D"/>
    <w:rsid w:val="003E0B16"/>
    <w:rsid w:val="003E67D1"/>
    <w:rsid w:val="003F77F7"/>
    <w:rsid w:val="00401A2D"/>
    <w:rsid w:val="00405DC1"/>
    <w:rsid w:val="0040710D"/>
    <w:rsid w:val="0041139B"/>
    <w:rsid w:val="004137C3"/>
    <w:rsid w:val="00413D3A"/>
    <w:rsid w:val="00415F1F"/>
    <w:rsid w:val="00417B0F"/>
    <w:rsid w:val="0042108F"/>
    <w:rsid w:val="0042195B"/>
    <w:rsid w:val="00422242"/>
    <w:rsid w:val="00422AB5"/>
    <w:rsid w:val="00424D07"/>
    <w:rsid w:val="00430018"/>
    <w:rsid w:val="00430FED"/>
    <w:rsid w:val="00432179"/>
    <w:rsid w:val="00434292"/>
    <w:rsid w:val="00434A8C"/>
    <w:rsid w:val="00435583"/>
    <w:rsid w:val="00436884"/>
    <w:rsid w:val="00437297"/>
    <w:rsid w:val="004402FB"/>
    <w:rsid w:val="00443403"/>
    <w:rsid w:val="00444284"/>
    <w:rsid w:val="00444E73"/>
    <w:rsid w:val="00445CE6"/>
    <w:rsid w:val="00447FE6"/>
    <w:rsid w:val="00452623"/>
    <w:rsid w:val="004534C2"/>
    <w:rsid w:val="0045446F"/>
    <w:rsid w:val="0045683E"/>
    <w:rsid w:val="00456E5F"/>
    <w:rsid w:val="00463D22"/>
    <w:rsid w:val="0047025B"/>
    <w:rsid w:val="004712BF"/>
    <w:rsid w:val="00473E62"/>
    <w:rsid w:val="00475D77"/>
    <w:rsid w:val="00484F1E"/>
    <w:rsid w:val="00491675"/>
    <w:rsid w:val="00491D44"/>
    <w:rsid w:val="00493855"/>
    <w:rsid w:val="0049508F"/>
    <w:rsid w:val="0049581D"/>
    <w:rsid w:val="004A171E"/>
    <w:rsid w:val="004A57DD"/>
    <w:rsid w:val="004A7B51"/>
    <w:rsid w:val="004A7D71"/>
    <w:rsid w:val="004A7EF3"/>
    <w:rsid w:val="004B0527"/>
    <w:rsid w:val="004B11FD"/>
    <w:rsid w:val="004B23A2"/>
    <w:rsid w:val="004B632C"/>
    <w:rsid w:val="004C296A"/>
    <w:rsid w:val="004C4E97"/>
    <w:rsid w:val="004C56DE"/>
    <w:rsid w:val="004D01B2"/>
    <w:rsid w:val="004D1A5A"/>
    <w:rsid w:val="004D2FFF"/>
    <w:rsid w:val="004D3721"/>
    <w:rsid w:val="004D441F"/>
    <w:rsid w:val="004D472E"/>
    <w:rsid w:val="004D4989"/>
    <w:rsid w:val="004D5F2E"/>
    <w:rsid w:val="004D64F9"/>
    <w:rsid w:val="004E0549"/>
    <w:rsid w:val="004E1674"/>
    <w:rsid w:val="004E2E92"/>
    <w:rsid w:val="004E30B0"/>
    <w:rsid w:val="004E622C"/>
    <w:rsid w:val="004F10DC"/>
    <w:rsid w:val="004F1FD3"/>
    <w:rsid w:val="004F5FDF"/>
    <w:rsid w:val="0050157D"/>
    <w:rsid w:val="00506803"/>
    <w:rsid w:val="0050682B"/>
    <w:rsid w:val="00507AAC"/>
    <w:rsid w:val="00516611"/>
    <w:rsid w:val="005177FE"/>
    <w:rsid w:val="0052263B"/>
    <w:rsid w:val="00524728"/>
    <w:rsid w:val="005256A1"/>
    <w:rsid w:val="00530003"/>
    <w:rsid w:val="00530E88"/>
    <w:rsid w:val="005331CA"/>
    <w:rsid w:val="0053353F"/>
    <w:rsid w:val="00533739"/>
    <w:rsid w:val="00534BA7"/>
    <w:rsid w:val="00537970"/>
    <w:rsid w:val="00540B44"/>
    <w:rsid w:val="00540E3A"/>
    <w:rsid w:val="005415F2"/>
    <w:rsid w:val="00544127"/>
    <w:rsid w:val="005441FD"/>
    <w:rsid w:val="00544273"/>
    <w:rsid w:val="005444AF"/>
    <w:rsid w:val="005463A9"/>
    <w:rsid w:val="00547993"/>
    <w:rsid w:val="00547A27"/>
    <w:rsid w:val="00553074"/>
    <w:rsid w:val="005536CA"/>
    <w:rsid w:val="00553EB2"/>
    <w:rsid w:val="00556777"/>
    <w:rsid w:val="0055688E"/>
    <w:rsid w:val="00560534"/>
    <w:rsid w:val="0056391B"/>
    <w:rsid w:val="005650E2"/>
    <w:rsid w:val="00565292"/>
    <w:rsid w:val="0056535A"/>
    <w:rsid w:val="00565DEE"/>
    <w:rsid w:val="00567AD7"/>
    <w:rsid w:val="00567F31"/>
    <w:rsid w:val="005727AC"/>
    <w:rsid w:val="005729E2"/>
    <w:rsid w:val="00573E73"/>
    <w:rsid w:val="00575B2D"/>
    <w:rsid w:val="005833D0"/>
    <w:rsid w:val="005846F3"/>
    <w:rsid w:val="0058622F"/>
    <w:rsid w:val="00587461"/>
    <w:rsid w:val="00590023"/>
    <w:rsid w:val="00592F82"/>
    <w:rsid w:val="005A0CCA"/>
    <w:rsid w:val="005A1E7A"/>
    <w:rsid w:val="005A726D"/>
    <w:rsid w:val="005B67AC"/>
    <w:rsid w:val="005C2C94"/>
    <w:rsid w:val="005C36BC"/>
    <w:rsid w:val="005C3A61"/>
    <w:rsid w:val="005C4865"/>
    <w:rsid w:val="005C6118"/>
    <w:rsid w:val="005D1870"/>
    <w:rsid w:val="005D43E0"/>
    <w:rsid w:val="005D58A3"/>
    <w:rsid w:val="005E1B79"/>
    <w:rsid w:val="005E5C28"/>
    <w:rsid w:val="005F026D"/>
    <w:rsid w:val="005F21F4"/>
    <w:rsid w:val="005F2D0B"/>
    <w:rsid w:val="005F4B31"/>
    <w:rsid w:val="00610388"/>
    <w:rsid w:val="00611095"/>
    <w:rsid w:val="00612CA5"/>
    <w:rsid w:val="006153EC"/>
    <w:rsid w:val="00621A17"/>
    <w:rsid w:val="00622586"/>
    <w:rsid w:val="00622C2B"/>
    <w:rsid w:val="00622DCB"/>
    <w:rsid w:val="00627CC9"/>
    <w:rsid w:val="00627E7B"/>
    <w:rsid w:val="00630542"/>
    <w:rsid w:val="00632E44"/>
    <w:rsid w:val="00634622"/>
    <w:rsid w:val="00634BE5"/>
    <w:rsid w:val="00636808"/>
    <w:rsid w:val="00641002"/>
    <w:rsid w:val="00641515"/>
    <w:rsid w:val="006462FC"/>
    <w:rsid w:val="006512AD"/>
    <w:rsid w:val="00651584"/>
    <w:rsid w:val="00651AE3"/>
    <w:rsid w:val="00651D16"/>
    <w:rsid w:val="00654C2F"/>
    <w:rsid w:val="00657087"/>
    <w:rsid w:val="00657CD8"/>
    <w:rsid w:val="006622B4"/>
    <w:rsid w:val="0066252C"/>
    <w:rsid w:val="006661EF"/>
    <w:rsid w:val="0066792A"/>
    <w:rsid w:val="0067294B"/>
    <w:rsid w:val="006731D0"/>
    <w:rsid w:val="006760BF"/>
    <w:rsid w:val="00677122"/>
    <w:rsid w:val="00677736"/>
    <w:rsid w:val="0067785F"/>
    <w:rsid w:val="00677AEB"/>
    <w:rsid w:val="006801EC"/>
    <w:rsid w:val="00680EF2"/>
    <w:rsid w:val="0068349B"/>
    <w:rsid w:val="006839C2"/>
    <w:rsid w:val="00687A1D"/>
    <w:rsid w:val="006920CC"/>
    <w:rsid w:val="00692AB2"/>
    <w:rsid w:val="0069416D"/>
    <w:rsid w:val="0069647C"/>
    <w:rsid w:val="00697EA1"/>
    <w:rsid w:val="006A1850"/>
    <w:rsid w:val="006A2646"/>
    <w:rsid w:val="006A3DF0"/>
    <w:rsid w:val="006A6530"/>
    <w:rsid w:val="006B435A"/>
    <w:rsid w:val="006B4C64"/>
    <w:rsid w:val="006B4FFC"/>
    <w:rsid w:val="006B7E9B"/>
    <w:rsid w:val="006C2172"/>
    <w:rsid w:val="006C27A2"/>
    <w:rsid w:val="006D0E6E"/>
    <w:rsid w:val="006D1AA2"/>
    <w:rsid w:val="006D6BD5"/>
    <w:rsid w:val="006E481A"/>
    <w:rsid w:val="006E5298"/>
    <w:rsid w:val="006F2CE3"/>
    <w:rsid w:val="006F2FF0"/>
    <w:rsid w:val="006F734A"/>
    <w:rsid w:val="00700D83"/>
    <w:rsid w:val="00702B9B"/>
    <w:rsid w:val="00703819"/>
    <w:rsid w:val="00704852"/>
    <w:rsid w:val="00706297"/>
    <w:rsid w:val="00706AD5"/>
    <w:rsid w:val="007074E9"/>
    <w:rsid w:val="00707FC8"/>
    <w:rsid w:val="00713DA4"/>
    <w:rsid w:val="00714BF1"/>
    <w:rsid w:val="007167F7"/>
    <w:rsid w:val="00720E09"/>
    <w:rsid w:val="00721383"/>
    <w:rsid w:val="00723A45"/>
    <w:rsid w:val="0072554C"/>
    <w:rsid w:val="00725911"/>
    <w:rsid w:val="00730F39"/>
    <w:rsid w:val="00731DBD"/>
    <w:rsid w:val="007333CC"/>
    <w:rsid w:val="0073399A"/>
    <w:rsid w:val="00746DAC"/>
    <w:rsid w:val="0075196E"/>
    <w:rsid w:val="00751F66"/>
    <w:rsid w:val="00752BD3"/>
    <w:rsid w:val="007603F5"/>
    <w:rsid w:val="00764DB0"/>
    <w:rsid w:val="00765520"/>
    <w:rsid w:val="00766F8A"/>
    <w:rsid w:val="0076764D"/>
    <w:rsid w:val="007713CB"/>
    <w:rsid w:val="0077498C"/>
    <w:rsid w:val="00777183"/>
    <w:rsid w:val="00782D48"/>
    <w:rsid w:val="00784128"/>
    <w:rsid w:val="00784B4B"/>
    <w:rsid w:val="007854ED"/>
    <w:rsid w:val="00793173"/>
    <w:rsid w:val="007B3AC7"/>
    <w:rsid w:val="007B3FFB"/>
    <w:rsid w:val="007B497A"/>
    <w:rsid w:val="007B518E"/>
    <w:rsid w:val="007C1FCC"/>
    <w:rsid w:val="007C32A8"/>
    <w:rsid w:val="007C3888"/>
    <w:rsid w:val="007C3FE5"/>
    <w:rsid w:val="007C4514"/>
    <w:rsid w:val="007C513D"/>
    <w:rsid w:val="007C6201"/>
    <w:rsid w:val="007C6988"/>
    <w:rsid w:val="007C7C7C"/>
    <w:rsid w:val="007D20A1"/>
    <w:rsid w:val="007D28A1"/>
    <w:rsid w:val="007D7C92"/>
    <w:rsid w:val="007E1154"/>
    <w:rsid w:val="007E581B"/>
    <w:rsid w:val="007E6BA4"/>
    <w:rsid w:val="007E7678"/>
    <w:rsid w:val="007F41F8"/>
    <w:rsid w:val="007F60D0"/>
    <w:rsid w:val="007F6A8E"/>
    <w:rsid w:val="008036A1"/>
    <w:rsid w:val="0080454E"/>
    <w:rsid w:val="00804C32"/>
    <w:rsid w:val="00806302"/>
    <w:rsid w:val="00806439"/>
    <w:rsid w:val="00807119"/>
    <w:rsid w:val="00812AFE"/>
    <w:rsid w:val="00813D73"/>
    <w:rsid w:val="00817D57"/>
    <w:rsid w:val="008217DE"/>
    <w:rsid w:val="00822764"/>
    <w:rsid w:val="008241C4"/>
    <w:rsid w:val="0082483F"/>
    <w:rsid w:val="008257BF"/>
    <w:rsid w:val="008264CB"/>
    <w:rsid w:val="008279C0"/>
    <w:rsid w:val="00835FD1"/>
    <w:rsid w:val="008404E7"/>
    <w:rsid w:val="0084091F"/>
    <w:rsid w:val="0084683C"/>
    <w:rsid w:val="008511FB"/>
    <w:rsid w:val="008512FA"/>
    <w:rsid w:val="00853A74"/>
    <w:rsid w:val="00857763"/>
    <w:rsid w:val="00860E61"/>
    <w:rsid w:val="00867A8F"/>
    <w:rsid w:val="008723F3"/>
    <w:rsid w:val="00873EC3"/>
    <w:rsid w:val="00881DE6"/>
    <w:rsid w:val="008837A6"/>
    <w:rsid w:val="00884381"/>
    <w:rsid w:val="0088581A"/>
    <w:rsid w:val="0089145D"/>
    <w:rsid w:val="00893A03"/>
    <w:rsid w:val="008A0C6E"/>
    <w:rsid w:val="008A46CF"/>
    <w:rsid w:val="008A4DF2"/>
    <w:rsid w:val="008A5095"/>
    <w:rsid w:val="008A6CFE"/>
    <w:rsid w:val="008A7470"/>
    <w:rsid w:val="008B1A08"/>
    <w:rsid w:val="008B2DE3"/>
    <w:rsid w:val="008B5333"/>
    <w:rsid w:val="008B6223"/>
    <w:rsid w:val="008C0CC8"/>
    <w:rsid w:val="008C66E0"/>
    <w:rsid w:val="008D77E9"/>
    <w:rsid w:val="008E07E5"/>
    <w:rsid w:val="008E25BF"/>
    <w:rsid w:val="008E2DFA"/>
    <w:rsid w:val="008E3339"/>
    <w:rsid w:val="008E549B"/>
    <w:rsid w:val="008F18EF"/>
    <w:rsid w:val="008F20FC"/>
    <w:rsid w:val="008F2B24"/>
    <w:rsid w:val="008F5FFE"/>
    <w:rsid w:val="00902D5C"/>
    <w:rsid w:val="0090421A"/>
    <w:rsid w:val="00905A43"/>
    <w:rsid w:val="00907DC2"/>
    <w:rsid w:val="00912C79"/>
    <w:rsid w:val="009224F3"/>
    <w:rsid w:val="009236FB"/>
    <w:rsid w:val="009260A2"/>
    <w:rsid w:val="009326FD"/>
    <w:rsid w:val="009344C1"/>
    <w:rsid w:val="00942123"/>
    <w:rsid w:val="00943461"/>
    <w:rsid w:val="00944AE9"/>
    <w:rsid w:val="00951031"/>
    <w:rsid w:val="0095207B"/>
    <w:rsid w:val="00954461"/>
    <w:rsid w:val="00956085"/>
    <w:rsid w:val="00957951"/>
    <w:rsid w:val="00962045"/>
    <w:rsid w:val="00967EDA"/>
    <w:rsid w:val="00970897"/>
    <w:rsid w:val="0097337E"/>
    <w:rsid w:val="00980314"/>
    <w:rsid w:val="009816D0"/>
    <w:rsid w:val="00981D39"/>
    <w:rsid w:val="00982731"/>
    <w:rsid w:val="009836D5"/>
    <w:rsid w:val="00983EA4"/>
    <w:rsid w:val="009877C1"/>
    <w:rsid w:val="00991428"/>
    <w:rsid w:val="00992676"/>
    <w:rsid w:val="00996691"/>
    <w:rsid w:val="009A4880"/>
    <w:rsid w:val="009A4E79"/>
    <w:rsid w:val="009A58D1"/>
    <w:rsid w:val="009A7865"/>
    <w:rsid w:val="009B0723"/>
    <w:rsid w:val="009B07AD"/>
    <w:rsid w:val="009B0883"/>
    <w:rsid w:val="009B15E2"/>
    <w:rsid w:val="009B5832"/>
    <w:rsid w:val="009B6312"/>
    <w:rsid w:val="009B640D"/>
    <w:rsid w:val="009C0850"/>
    <w:rsid w:val="009C0B8E"/>
    <w:rsid w:val="009C1533"/>
    <w:rsid w:val="009C1BC8"/>
    <w:rsid w:val="009C1DA7"/>
    <w:rsid w:val="009C2442"/>
    <w:rsid w:val="009D0811"/>
    <w:rsid w:val="009D0EE1"/>
    <w:rsid w:val="009D151B"/>
    <w:rsid w:val="009D30BB"/>
    <w:rsid w:val="009D5979"/>
    <w:rsid w:val="009E2AEB"/>
    <w:rsid w:val="009E2E27"/>
    <w:rsid w:val="009E2FB7"/>
    <w:rsid w:val="009E3CA7"/>
    <w:rsid w:val="009E4DE3"/>
    <w:rsid w:val="009E7DE2"/>
    <w:rsid w:val="009F351B"/>
    <w:rsid w:val="009F6A5F"/>
    <w:rsid w:val="00A047EE"/>
    <w:rsid w:val="00A114EA"/>
    <w:rsid w:val="00A11BCE"/>
    <w:rsid w:val="00A153F7"/>
    <w:rsid w:val="00A2012B"/>
    <w:rsid w:val="00A2274A"/>
    <w:rsid w:val="00A235B7"/>
    <w:rsid w:val="00A27A7A"/>
    <w:rsid w:val="00A407EF"/>
    <w:rsid w:val="00A46B4C"/>
    <w:rsid w:val="00A5117B"/>
    <w:rsid w:val="00A54000"/>
    <w:rsid w:val="00A54689"/>
    <w:rsid w:val="00A60074"/>
    <w:rsid w:val="00A6627C"/>
    <w:rsid w:val="00A6649C"/>
    <w:rsid w:val="00A67E93"/>
    <w:rsid w:val="00A70BBC"/>
    <w:rsid w:val="00A71019"/>
    <w:rsid w:val="00A75E02"/>
    <w:rsid w:val="00A779B8"/>
    <w:rsid w:val="00A81029"/>
    <w:rsid w:val="00A83CB5"/>
    <w:rsid w:val="00A85220"/>
    <w:rsid w:val="00A865A7"/>
    <w:rsid w:val="00A96489"/>
    <w:rsid w:val="00A96A02"/>
    <w:rsid w:val="00AA3A42"/>
    <w:rsid w:val="00AA5311"/>
    <w:rsid w:val="00AA7BAA"/>
    <w:rsid w:val="00AB685C"/>
    <w:rsid w:val="00AB6C2D"/>
    <w:rsid w:val="00AB6C32"/>
    <w:rsid w:val="00AC08F7"/>
    <w:rsid w:val="00AC3839"/>
    <w:rsid w:val="00AC7082"/>
    <w:rsid w:val="00AC7E0D"/>
    <w:rsid w:val="00AD0E59"/>
    <w:rsid w:val="00AD3FEA"/>
    <w:rsid w:val="00AD7BBD"/>
    <w:rsid w:val="00AE4B31"/>
    <w:rsid w:val="00AE6215"/>
    <w:rsid w:val="00AF0A28"/>
    <w:rsid w:val="00AF228E"/>
    <w:rsid w:val="00AF302B"/>
    <w:rsid w:val="00B013FF"/>
    <w:rsid w:val="00B04137"/>
    <w:rsid w:val="00B1112C"/>
    <w:rsid w:val="00B11A80"/>
    <w:rsid w:val="00B11D19"/>
    <w:rsid w:val="00B12936"/>
    <w:rsid w:val="00B12C2D"/>
    <w:rsid w:val="00B12CCB"/>
    <w:rsid w:val="00B13554"/>
    <w:rsid w:val="00B14819"/>
    <w:rsid w:val="00B15031"/>
    <w:rsid w:val="00B17A33"/>
    <w:rsid w:val="00B17AA9"/>
    <w:rsid w:val="00B2586C"/>
    <w:rsid w:val="00B263D0"/>
    <w:rsid w:val="00B27382"/>
    <w:rsid w:val="00B32DE4"/>
    <w:rsid w:val="00B33578"/>
    <w:rsid w:val="00B33E41"/>
    <w:rsid w:val="00B370C3"/>
    <w:rsid w:val="00B411AE"/>
    <w:rsid w:val="00B413F5"/>
    <w:rsid w:val="00B457BF"/>
    <w:rsid w:val="00B46CE2"/>
    <w:rsid w:val="00B60190"/>
    <w:rsid w:val="00B61419"/>
    <w:rsid w:val="00B66441"/>
    <w:rsid w:val="00B72F5F"/>
    <w:rsid w:val="00B736DF"/>
    <w:rsid w:val="00B74FBD"/>
    <w:rsid w:val="00B77352"/>
    <w:rsid w:val="00B812D5"/>
    <w:rsid w:val="00B82586"/>
    <w:rsid w:val="00B829A3"/>
    <w:rsid w:val="00B86DB1"/>
    <w:rsid w:val="00B87147"/>
    <w:rsid w:val="00B87869"/>
    <w:rsid w:val="00B94324"/>
    <w:rsid w:val="00B953BD"/>
    <w:rsid w:val="00BA0993"/>
    <w:rsid w:val="00BA0E44"/>
    <w:rsid w:val="00BA47C5"/>
    <w:rsid w:val="00BA7630"/>
    <w:rsid w:val="00BB0F2B"/>
    <w:rsid w:val="00BB10F1"/>
    <w:rsid w:val="00BB4B9E"/>
    <w:rsid w:val="00BD0D57"/>
    <w:rsid w:val="00BE1A50"/>
    <w:rsid w:val="00BF50F7"/>
    <w:rsid w:val="00BF534D"/>
    <w:rsid w:val="00C00111"/>
    <w:rsid w:val="00C02F29"/>
    <w:rsid w:val="00C10C13"/>
    <w:rsid w:val="00C17111"/>
    <w:rsid w:val="00C20747"/>
    <w:rsid w:val="00C20AFE"/>
    <w:rsid w:val="00C21F93"/>
    <w:rsid w:val="00C22A25"/>
    <w:rsid w:val="00C23A95"/>
    <w:rsid w:val="00C23B79"/>
    <w:rsid w:val="00C3272D"/>
    <w:rsid w:val="00C33D50"/>
    <w:rsid w:val="00C35671"/>
    <w:rsid w:val="00C35B77"/>
    <w:rsid w:val="00C35DC5"/>
    <w:rsid w:val="00C370D3"/>
    <w:rsid w:val="00C376EB"/>
    <w:rsid w:val="00C4003A"/>
    <w:rsid w:val="00C426B5"/>
    <w:rsid w:val="00C44C16"/>
    <w:rsid w:val="00C4510C"/>
    <w:rsid w:val="00C45702"/>
    <w:rsid w:val="00C46EC1"/>
    <w:rsid w:val="00C504E5"/>
    <w:rsid w:val="00C53E2C"/>
    <w:rsid w:val="00C550C8"/>
    <w:rsid w:val="00C56B61"/>
    <w:rsid w:val="00C606C3"/>
    <w:rsid w:val="00C620F4"/>
    <w:rsid w:val="00C62A2D"/>
    <w:rsid w:val="00C6500B"/>
    <w:rsid w:val="00C668B6"/>
    <w:rsid w:val="00C67ECE"/>
    <w:rsid w:val="00C7161B"/>
    <w:rsid w:val="00C72848"/>
    <w:rsid w:val="00C7736C"/>
    <w:rsid w:val="00C82D87"/>
    <w:rsid w:val="00C841ED"/>
    <w:rsid w:val="00C85F17"/>
    <w:rsid w:val="00C8602E"/>
    <w:rsid w:val="00C8712A"/>
    <w:rsid w:val="00C91324"/>
    <w:rsid w:val="00C914F7"/>
    <w:rsid w:val="00C9216B"/>
    <w:rsid w:val="00C929E5"/>
    <w:rsid w:val="00C963D3"/>
    <w:rsid w:val="00CA2781"/>
    <w:rsid w:val="00CA63DA"/>
    <w:rsid w:val="00CA6E0D"/>
    <w:rsid w:val="00CB2CBB"/>
    <w:rsid w:val="00CB2F92"/>
    <w:rsid w:val="00CB3D72"/>
    <w:rsid w:val="00CB56CE"/>
    <w:rsid w:val="00CB7CAC"/>
    <w:rsid w:val="00CB7FE2"/>
    <w:rsid w:val="00CC0EA0"/>
    <w:rsid w:val="00CC5335"/>
    <w:rsid w:val="00CC5BA4"/>
    <w:rsid w:val="00CC70BB"/>
    <w:rsid w:val="00CD3347"/>
    <w:rsid w:val="00CD3420"/>
    <w:rsid w:val="00CD4998"/>
    <w:rsid w:val="00CD5B00"/>
    <w:rsid w:val="00CE1035"/>
    <w:rsid w:val="00CE2A6A"/>
    <w:rsid w:val="00CE5406"/>
    <w:rsid w:val="00CF2819"/>
    <w:rsid w:val="00CF4F9D"/>
    <w:rsid w:val="00CF70DC"/>
    <w:rsid w:val="00D05058"/>
    <w:rsid w:val="00D148DC"/>
    <w:rsid w:val="00D17FDC"/>
    <w:rsid w:val="00D24C1D"/>
    <w:rsid w:val="00D262AD"/>
    <w:rsid w:val="00D26E50"/>
    <w:rsid w:val="00D34CCF"/>
    <w:rsid w:val="00D444C5"/>
    <w:rsid w:val="00D45AEA"/>
    <w:rsid w:val="00D474F0"/>
    <w:rsid w:val="00D5244F"/>
    <w:rsid w:val="00D52E4F"/>
    <w:rsid w:val="00D53499"/>
    <w:rsid w:val="00D56A37"/>
    <w:rsid w:val="00D57202"/>
    <w:rsid w:val="00D6386E"/>
    <w:rsid w:val="00D63A8B"/>
    <w:rsid w:val="00D63EFD"/>
    <w:rsid w:val="00D64826"/>
    <w:rsid w:val="00D64C2A"/>
    <w:rsid w:val="00D65179"/>
    <w:rsid w:val="00D7080A"/>
    <w:rsid w:val="00D73F2B"/>
    <w:rsid w:val="00D80ACD"/>
    <w:rsid w:val="00D80DF2"/>
    <w:rsid w:val="00D81EA8"/>
    <w:rsid w:val="00D84150"/>
    <w:rsid w:val="00D84752"/>
    <w:rsid w:val="00D85AB0"/>
    <w:rsid w:val="00D86B3B"/>
    <w:rsid w:val="00D8748A"/>
    <w:rsid w:val="00D93196"/>
    <w:rsid w:val="00D94A4D"/>
    <w:rsid w:val="00D95055"/>
    <w:rsid w:val="00D96226"/>
    <w:rsid w:val="00D97A93"/>
    <w:rsid w:val="00DA1083"/>
    <w:rsid w:val="00DA26C8"/>
    <w:rsid w:val="00DB243C"/>
    <w:rsid w:val="00DB45DD"/>
    <w:rsid w:val="00DB482A"/>
    <w:rsid w:val="00DB56F2"/>
    <w:rsid w:val="00DB6EF5"/>
    <w:rsid w:val="00DC007F"/>
    <w:rsid w:val="00DC2D15"/>
    <w:rsid w:val="00DC3089"/>
    <w:rsid w:val="00DC3E90"/>
    <w:rsid w:val="00DC4420"/>
    <w:rsid w:val="00DC6F64"/>
    <w:rsid w:val="00DD0802"/>
    <w:rsid w:val="00DD0A50"/>
    <w:rsid w:val="00DD2E11"/>
    <w:rsid w:val="00DE03AF"/>
    <w:rsid w:val="00DE091B"/>
    <w:rsid w:val="00DE121C"/>
    <w:rsid w:val="00DE2A27"/>
    <w:rsid w:val="00DE322D"/>
    <w:rsid w:val="00DE3705"/>
    <w:rsid w:val="00DE5688"/>
    <w:rsid w:val="00DE5E28"/>
    <w:rsid w:val="00DE6633"/>
    <w:rsid w:val="00DF75F8"/>
    <w:rsid w:val="00DF7A3A"/>
    <w:rsid w:val="00E00C00"/>
    <w:rsid w:val="00E04A7C"/>
    <w:rsid w:val="00E059FB"/>
    <w:rsid w:val="00E069C4"/>
    <w:rsid w:val="00E07275"/>
    <w:rsid w:val="00E07866"/>
    <w:rsid w:val="00E07C5A"/>
    <w:rsid w:val="00E11011"/>
    <w:rsid w:val="00E15BA9"/>
    <w:rsid w:val="00E17DE7"/>
    <w:rsid w:val="00E20B15"/>
    <w:rsid w:val="00E21140"/>
    <w:rsid w:val="00E25821"/>
    <w:rsid w:val="00E25B22"/>
    <w:rsid w:val="00E2622D"/>
    <w:rsid w:val="00E26E19"/>
    <w:rsid w:val="00E27E3C"/>
    <w:rsid w:val="00E314BC"/>
    <w:rsid w:val="00E31DF3"/>
    <w:rsid w:val="00E32814"/>
    <w:rsid w:val="00E33448"/>
    <w:rsid w:val="00E33486"/>
    <w:rsid w:val="00E34181"/>
    <w:rsid w:val="00E34B18"/>
    <w:rsid w:val="00E4027F"/>
    <w:rsid w:val="00E419D2"/>
    <w:rsid w:val="00E42301"/>
    <w:rsid w:val="00E438C9"/>
    <w:rsid w:val="00E450A4"/>
    <w:rsid w:val="00E505F1"/>
    <w:rsid w:val="00E506BE"/>
    <w:rsid w:val="00E55547"/>
    <w:rsid w:val="00E57410"/>
    <w:rsid w:val="00E60D41"/>
    <w:rsid w:val="00E61C42"/>
    <w:rsid w:val="00E625C8"/>
    <w:rsid w:val="00E6302B"/>
    <w:rsid w:val="00E6452F"/>
    <w:rsid w:val="00E64619"/>
    <w:rsid w:val="00E64F45"/>
    <w:rsid w:val="00E6742D"/>
    <w:rsid w:val="00E71CB0"/>
    <w:rsid w:val="00E73529"/>
    <w:rsid w:val="00E77C3D"/>
    <w:rsid w:val="00E8036C"/>
    <w:rsid w:val="00E82E22"/>
    <w:rsid w:val="00E850FE"/>
    <w:rsid w:val="00E856E5"/>
    <w:rsid w:val="00E908A1"/>
    <w:rsid w:val="00E909F0"/>
    <w:rsid w:val="00E90D47"/>
    <w:rsid w:val="00E92C83"/>
    <w:rsid w:val="00E93993"/>
    <w:rsid w:val="00E9597C"/>
    <w:rsid w:val="00EA0765"/>
    <w:rsid w:val="00EA0913"/>
    <w:rsid w:val="00EA0A2F"/>
    <w:rsid w:val="00EA4584"/>
    <w:rsid w:val="00EA6D31"/>
    <w:rsid w:val="00EB146B"/>
    <w:rsid w:val="00EB30A0"/>
    <w:rsid w:val="00EB45AC"/>
    <w:rsid w:val="00EB5A63"/>
    <w:rsid w:val="00EC274B"/>
    <w:rsid w:val="00EC2AEA"/>
    <w:rsid w:val="00EC7B11"/>
    <w:rsid w:val="00EC7F95"/>
    <w:rsid w:val="00ED0BC4"/>
    <w:rsid w:val="00ED3771"/>
    <w:rsid w:val="00ED4422"/>
    <w:rsid w:val="00ED4AB7"/>
    <w:rsid w:val="00ED6A32"/>
    <w:rsid w:val="00EE2034"/>
    <w:rsid w:val="00EE4971"/>
    <w:rsid w:val="00EE533D"/>
    <w:rsid w:val="00EE7DEA"/>
    <w:rsid w:val="00EF090E"/>
    <w:rsid w:val="00EF112F"/>
    <w:rsid w:val="00EF4718"/>
    <w:rsid w:val="00F033DA"/>
    <w:rsid w:val="00F11AAB"/>
    <w:rsid w:val="00F13FB1"/>
    <w:rsid w:val="00F17BC1"/>
    <w:rsid w:val="00F17C87"/>
    <w:rsid w:val="00F20272"/>
    <w:rsid w:val="00F223E7"/>
    <w:rsid w:val="00F2288D"/>
    <w:rsid w:val="00F2555B"/>
    <w:rsid w:val="00F25779"/>
    <w:rsid w:val="00F27194"/>
    <w:rsid w:val="00F2750A"/>
    <w:rsid w:val="00F276D2"/>
    <w:rsid w:val="00F27CD8"/>
    <w:rsid w:val="00F27E9E"/>
    <w:rsid w:val="00F30351"/>
    <w:rsid w:val="00F31EE9"/>
    <w:rsid w:val="00F3323E"/>
    <w:rsid w:val="00F341F4"/>
    <w:rsid w:val="00F34F9D"/>
    <w:rsid w:val="00F35CCE"/>
    <w:rsid w:val="00F515AC"/>
    <w:rsid w:val="00F51EE5"/>
    <w:rsid w:val="00F55241"/>
    <w:rsid w:val="00F5524B"/>
    <w:rsid w:val="00F60397"/>
    <w:rsid w:val="00F60538"/>
    <w:rsid w:val="00F60F0B"/>
    <w:rsid w:val="00F61DD2"/>
    <w:rsid w:val="00F62CDD"/>
    <w:rsid w:val="00F6523A"/>
    <w:rsid w:val="00F66AFF"/>
    <w:rsid w:val="00F71433"/>
    <w:rsid w:val="00F7241A"/>
    <w:rsid w:val="00F83E76"/>
    <w:rsid w:val="00F8482A"/>
    <w:rsid w:val="00F85EDF"/>
    <w:rsid w:val="00F87BEA"/>
    <w:rsid w:val="00F90A57"/>
    <w:rsid w:val="00F91BF6"/>
    <w:rsid w:val="00F9660D"/>
    <w:rsid w:val="00F97C5B"/>
    <w:rsid w:val="00FA05D2"/>
    <w:rsid w:val="00FA359A"/>
    <w:rsid w:val="00FA3D50"/>
    <w:rsid w:val="00FA67A9"/>
    <w:rsid w:val="00FB009F"/>
    <w:rsid w:val="00FB25B0"/>
    <w:rsid w:val="00FB6136"/>
    <w:rsid w:val="00FB693B"/>
    <w:rsid w:val="00FC374A"/>
    <w:rsid w:val="00FC5134"/>
    <w:rsid w:val="00FC7B47"/>
    <w:rsid w:val="00FD035C"/>
    <w:rsid w:val="00FD1A35"/>
    <w:rsid w:val="00FD1FE6"/>
    <w:rsid w:val="00FD36C5"/>
    <w:rsid w:val="00FD428C"/>
    <w:rsid w:val="00FD5075"/>
    <w:rsid w:val="00FD6310"/>
    <w:rsid w:val="00FD7C7B"/>
    <w:rsid w:val="00FD7FD0"/>
    <w:rsid w:val="00FE17ED"/>
    <w:rsid w:val="00FE1D12"/>
    <w:rsid w:val="00FE2122"/>
    <w:rsid w:val="00FE294E"/>
    <w:rsid w:val="00FE2A86"/>
    <w:rsid w:val="00FE2D9B"/>
    <w:rsid w:val="00FF1066"/>
    <w:rsid w:val="00FF296F"/>
    <w:rsid w:val="00FF41EB"/>
    <w:rsid w:val="00FF43A1"/>
    <w:rsid w:val="00FF5E23"/>
    <w:rsid w:val="00FF6EE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274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0053749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8F88-C497-4962-9B37-F935272B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5930</Words>
  <Characters>30610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Sellick</cp:lastModifiedBy>
  <cp:revision>2</cp:revision>
  <cp:lastPrinted>2024-02-27T13:49:00Z</cp:lastPrinted>
  <dcterms:created xsi:type="dcterms:W3CDTF">2024-02-29T15:12:00Z</dcterms:created>
  <dcterms:modified xsi:type="dcterms:W3CDTF">2024-02-29T15:12:00Z</dcterms:modified>
</cp:coreProperties>
</file>