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093D74"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093D74">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093D74"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093D74">
        <w:rPr>
          <w:rFonts w:ascii="Avenir Next" w:hAnsi="Avenir Next" w:cs="Arial"/>
          <w:sz w:val="22"/>
          <w:szCs w:val="22"/>
          <w:highlight w:val="yellow"/>
          <w:lang w:val="en-GB"/>
        </w:rPr>
        <w:t>Options (</w:t>
      </w:r>
      <w:proofErr w:type="spellStart"/>
      <w:r w:rsidRPr="00093D74">
        <w:rPr>
          <w:rFonts w:ascii="Avenir Next" w:hAnsi="Avenir Next" w:cs="Arial"/>
          <w:sz w:val="22"/>
          <w:szCs w:val="22"/>
          <w:highlight w:val="yellow"/>
          <w:lang w:val="en-GB"/>
        </w:rPr>
        <w:t>i</w:t>
      </w:r>
      <w:proofErr w:type="spellEnd"/>
      <w:r w:rsidRPr="00093D74">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ListParagraph"/>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093D74" w:rsidRDefault="00893A03" w:rsidP="00893A03">
      <w:pPr>
        <w:pStyle w:val="ListParagraph"/>
        <w:numPr>
          <w:ilvl w:val="0"/>
          <w:numId w:val="16"/>
        </w:numPr>
        <w:ind w:left="426" w:hanging="426"/>
        <w:jc w:val="both"/>
        <w:rPr>
          <w:rFonts w:ascii="Avenir Next" w:hAnsi="Avenir Next" w:cs="Arial"/>
          <w:sz w:val="22"/>
          <w:szCs w:val="22"/>
          <w:highlight w:val="yellow"/>
          <w:lang w:val="en-GB"/>
        </w:rPr>
      </w:pPr>
      <w:proofErr w:type="gramStart"/>
      <w:r w:rsidRPr="00093D74">
        <w:rPr>
          <w:rFonts w:ascii="Avenir Next" w:hAnsi="Avenir Next" w:cs="Arial"/>
          <w:sz w:val="22"/>
          <w:szCs w:val="22"/>
          <w:highlight w:val="yellow"/>
          <w:lang w:val="en-GB"/>
        </w:rPr>
        <w:t>All of</w:t>
      </w:r>
      <w:proofErr w:type="gramEnd"/>
      <w:r w:rsidRPr="00093D74">
        <w:rPr>
          <w:rFonts w:ascii="Avenir Next" w:hAnsi="Avenir Next" w:cs="Arial"/>
          <w:sz w:val="22"/>
          <w:szCs w:val="22"/>
          <w:highlight w:val="yellow"/>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04EC2"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D04EC2">
        <w:rPr>
          <w:rFonts w:ascii="Avenir Next" w:hAnsi="Avenir Next" w:cs="Arial"/>
          <w:sz w:val="22"/>
          <w:szCs w:val="22"/>
          <w:highlight w:val="yellow"/>
          <w:lang w:val="en-GB"/>
        </w:rPr>
        <w:t>Options (</w:t>
      </w:r>
      <w:proofErr w:type="spellStart"/>
      <w:r w:rsidRPr="00D04EC2">
        <w:rPr>
          <w:rFonts w:ascii="Avenir Next" w:hAnsi="Avenir Next" w:cs="Arial"/>
          <w:sz w:val="22"/>
          <w:szCs w:val="22"/>
          <w:highlight w:val="yellow"/>
          <w:lang w:val="en-GB"/>
        </w:rPr>
        <w:t>i</w:t>
      </w:r>
      <w:proofErr w:type="spellEnd"/>
      <w:r w:rsidRPr="00D04EC2">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8F745F"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8F745F">
        <w:rPr>
          <w:rFonts w:ascii="Avenir Next" w:hAnsi="Avenir Next" w:cs="Arial"/>
          <w:sz w:val="22"/>
          <w:szCs w:val="22"/>
          <w:highlight w:val="yellow"/>
          <w:lang w:val="en-GB"/>
        </w:rPr>
        <w:t>Options (</w:t>
      </w:r>
      <w:proofErr w:type="spellStart"/>
      <w:r w:rsidRPr="008F745F">
        <w:rPr>
          <w:rFonts w:ascii="Avenir Next" w:hAnsi="Avenir Next" w:cs="Arial"/>
          <w:sz w:val="22"/>
          <w:szCs w:val="22"/>
          <w:highlight w:val="yellow"/>
          <w:lang w:val="en-GB"/>
        </w:rPr>
        <w:t>i</w:t>
      </w:r>
      <w:proofErr w:type="spellEnd"/>
      <w:r w:rsidRPr="008F745F">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4C4B3E"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4C4B3E">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4C4B3E"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4C4B3E">
        <w:rPr>
          <w:rFonts w:ascii="Avenir Next" w:hAnsi="Avenir Next" w:cs="Arial"/>
          <w:sz w:val="22"/>
          <w:szCs w:val="22"/>
          <w:highlight w:val="yellow"/>
          <w:lang w:val="en-GB"/>
        </w:rPr>
        <w:t>Options (</w:t>
      </w:r>
      <w:proofErr w:type="spellStart"/>
      <w:r w:rsidRPr="004C4B3E">
        <w:rPr>
          <w:rFonts w:ascii="Avenir Next" w:hAnsi="Avenir Next" w:cs="Arial"/>
          <w:sz w:val="22"/>
          <w:szCs w:val="22"/>
          <w:highlight w:val="yellow"/>
          <w:lang w:val="en-GB"/>
        </w:rPr>
        <w:t>i</w:t>
      </w:r>
      <w:proofErr w:type="spellEnd"/>
      <w:r w:rsidRPr="004C4B3E">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4C4B3E" w:rsidRDefault="0097337E" w:rsidP="0097337E">
      <w:pPr>
        <w:pStyle w:val="ListParagraph"/>
        <w:numPr>
          <w:ilvl w:val="0"/>
          <w:numId w:val="28"/>
        </w:numPr>
        <w:ind w:left="426" w:hanging="426"/>
        <w:jc w:val="both"/>
        <w:rPr>
          <w:rFonts w:ascii="Avenir Next" w:hAnsi="Avenir Next" w:cs="Arial"/>
          <w:sz w:val="22"/>
          <w:szCs w:val="22"/>
          <w:highlight w:val="yellow"/>
          <w:lang w:val="en-GB"/>
        </w:rPr>
      </w:pPr>
      <w:proofErr w:type="gramStart"/>
      <w:r w:rsidRPr="004C4B3E">
        <w:rPr>
          <w:rFonts w:ascii="Avenir Next" w:hAnsi="Avenir Next" w:cs="Arial"/>
          <w:sz w:val="22"/>
          <w:szCs w:val="22"/>
          <w:highlight w:val="yellow"/>
          <w:lang w:val="en-GB"/>
        </w:rPr>
        <w:t>All of</w:t>
      </w:r>
      <w:proofErr w:type="gramEnd"/>
      <w:r w:rsidRPr="004C4B3E">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C837CD"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C837CD">
        <w:rPr>
          <w:rFonts w:ascii="Avenir Next" w:hAnsi="Avenir Next" w:cs="Arial"/>
          <w:sz w:val="22"/>
          <w:szCs w:val="22"/>
          <w:highlight w:val="yellow"/>
          <w:lang w:val="en-GB"/>
        </w:rPr>
        <w:t>Options (iii), (</w:t>
      </w:r>
      <w:proofErr w:type="spellStart"/>
      <w:r w:rsidRPr="00C837CD">
        <w:rPr>
          <w:rFonts w:ascii="Avenir Next" w:hAnsi="Avenir Next" w:cs="Arial"/>
          <w:sz w:val="22"/>
          <w:szCs w:val="22"/>
          <w:highlight w:val="yellow"/>
          <w:lang w:val="en-GB"/>
        </w:rPr>
        <w:t>i</w:t>
      </w:r>
      <w:proofErr w:type="spellEnd"/>
      <w:r w:rsidRPr="00C837CD">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C837CD"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C837CD">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2CF74044" w14:textId="77777777" w:rsidR="00C303C5"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303C5">
        <w:rPr>
          <w:rFonts w:ascii="Avenir Next" w:hAnsi="Avenir Next" w:cs="Arial"/>
          <w:color w:val="808080" w:themeColor="background1" w:themeShade="80"/>
          <w:sz w:val="22"/>
          <w:szCs w:val="22"/>
          <w:lang w:val="en-GB"/>
        </w:rPr>
        <w:t xml:space="preserve">The MLCBI is a model law which countries can adopt into their national law if they so choose, whereas the EIR is an EU Regulation which is a binding law on the Member States of the EU following adoption. </w:t>
      </w:r>
    </w:p>
    <w:p w14:paraId="57C79DC2" w14:textId="77777777" w:rsidR="00C303C5" w:rsidRDefault="00C303C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key benefit of the MLCBI model law approach is flexibility. It does not require states that have chosen to adopt it (partially or fully) to notify some supranational body or other states that have chosen to adopt it. However, as a form of soft law, the precise method of adoption may vary between states, leading to a lack of uniformity.</w:t>
      </w:r>
    </w:p>
    <w:p w14:paraId="654B0E66" w14:textId="46DE90FF" w:rsidR="00CB56CE" w:rsidRPr="00B77352" w:rsidRDefault="00C303C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key benefit of the use of an EU Regulation is that it is binding and therefore ensures uniformity across all the EU states. However, given its binding nature, the reach of the EIR is limited and the process of its enactment was lengthier as a result.</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069323B"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303C5">
        <w:rPr>
          <w:rFonts w:ascii="Avenir Next" w:hAnsi="Avenir Next" w:cs="Arial"/>
          <w:color w:val="808080" w:themeColor="background1" w:themeShade="80"/>
          <w:sz w:val="22"/>
          <w:szCs w:val="22"/>
          <w:lang w:val="en-GB"/>
        </w:rPr>
        <w:t>The Court should consider and be satisfied that the interests of the debtor’s creditors and other interested parties are adequately protected.</w:t>
      </w:r>
      <w:r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625323A" w:rsidR="00867A8F" w:rsidRPr="00B77352" w:rsidRDefault="00867A8F" w:rsidP="00100E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303C5">
        <w:rPr>
          <w:rFonts w:ascii="Avenir Next" w:hAnsi="Avenir Next" w:cs="Arial"/>
          <w:color w:val="808080" w:themeColor="background1" w:themeShade="80"/>
          <w:sz w:val="22"/>
          <w:szCs w:val="22"/>
          <w:lang w:val="en-GB"/>
        </w:rPr>
        <w:t xml:space="preserve">Under Article 13, foreign creditors will be given the same rights as creditors domiciled in the enacting state without affecting the ranking of the claims in the enacting state. Foreign creditors cannot be accorded lower priority solely </w:t>
      </w:r>
      <w:proofErr w:type="gramStart"/>
      <w:r w:rsidR="00C303C5">
        <w:rPr>
          <w:rFonts w:ascii="Avenir Next" w:hAnsi="Avenir Next" w:cs="Arial"/>
          <w:color w:val="808080" w:themeColor="background1" w:themeShade="80"/>
          <w:sz w:val="22"/>
          <w:szCs w:val="22"/>
          <w:lang w:val="en-GB"/>
        </w:rPr>
        <w:t>because of the fact that</w:t>
      </w:r>
      <w:proofErr w:type="gramEnd"/>
      <w:r w:rsidR="00C303C5">
        <w:rPr>
          <w:rFonts w:ascii="Avenir Next" w:hAnsi="Avenir Next" w:cs="Arial"/>
          <w:color w:val="808080" w:themeColor="background1" w:themeShade="80"/>
          <w:sz w:val="22"/>
          <w:szCs w:val="22"/>
          <w:lang w:val="en-GB"/>
        </w:rPr>
        <w:t xml:space="preserve"> they are a foreign creditor. This protects the foreign creditors by ensuring that they are granted equal treatment under the law of the enacting state and will not be discriminated against on account of their foreign status.</w:t>
      </w:r>
      <w:r w:rsidRPr="00B77352">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18508268" w:rsidR="00867A8F" w:rsidRDefault="00867A8F" w:rsidP="00100E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54B6C">
        <w:rPr>
          <w:rFonts w:ascii="Avenir Next" w:hAnsi="Avenir Next" w:cs="Arial"/>
          <w:color w:val="808080" w:themeColor="background1" w:themeShade="80"/>
          <w:sz w:val="22"/>
          <w:szCs w:val="22"/>
          <w:lang w:val="en-GB"/>
        </w:rPr>
        <w:t>The key distinction is whether automatic relief will be granted, or only discretionary post-recognition relief. It is only in the case of a foreign main proceeding that Article 20 provides for automatic mandatory relief, being a stay of the commencement or continuation of proceedings concerning the debtor’s assets, rights, obligations or liabilities (save to the extent necessary to preserve the claims); a stay of execution against the debtor’s assets; and a suspension of the right to transfer, encumber or dispose of the debtor’s assets. In the case of non-main proceedings, no automatic relief is accorded.</w:t>
      </w:r>
      <w:r w:rsidRPr="00B77352">
        <w:rPr>
          <w:rFonts w:ascii="Avenir Next" w:hAnsi="Avenir Next" w:cs="Arial"/>
          <w:color w:val="808080" w:themeColor="background1" w:themeShade="80"/>
          <w:sz w:val="22"/>
          <w:szCs w:val="22"/>
          <w:lang w:val="en-GB"/>
        </w:rPr>
        <w: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5CC862FB"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54B6C">
        <w:rPr>
          <w:rFonts w:ascii="Avenir Next" w:hAnsi="Avenir Next" w:cs="Arial"/>
          <w:color w:val="808080" w:themeColor="background1" w:themeShade="80"/>
          <w:sz w:val="22"/>
          <w:szCs w:val="22"/>
          <w:lang w:val="en-GB"/>
        </w:rPr>
        <w:t>The foreign main proceedings must have been filed in Germany, as the debtor’s COMI is in Germany. Under Article 17, whether foreign proceedings are foreign main proceedings depends on the location of the debtor’s COMI. As the debtor’s COMI is in Germany, those proceedings will be the foreign main proceedings. The proceedings in Bermuda must be the foreign non-main proceedings, as the debtor only has an establishment there. Under Article 17, a foreign proceeding is a foreign non-main proceeding if the debtor has an establishment there. The US recognition proceedings will likely recognise the foreign proceedings. Automatic relief will be granted in respect of the foreign main proceedings in Germany, whereas applications will need to be sought for post-recognition reliefs.</w:t>
      </w:r>
      <w:r w:rsidRPr="00B77352">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27E84FFB"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13A3D">
        <w:rPr>
          <w:rFonts w:ascii="Avenir Next" w:hAnsi="Avenir Next" w:cs="Arial"/>
          <w:color w:val="808080" w:themeColor="background1" w:themeShade="80"/>
          <w:sz w:val="22"/>
          <w:szCs w:val="22"/>
          <w:lang w:val="en-GB"/>
        </w:rPr>
        <w:t xml:space="preserve">Nothing is likely to result as the act of commencing recognition proceedings by the liquidators is unlikely to be considered tortious interference with contract. As the claim for tortious interference is likely against the liquidators personally, the liquidators will have to contest the </w:t>
      </w:r>
      <w:r w:rsidR="00E13A3D">
        <w:rPr>
          <w:rFonts w:ascii="Avenir Next" w:hAnsi="Avenir Next" w:cs="Arial"/>
          <w:color w:val="808080" w:themeColor="background1" w:themeShade="80"/>
          <w:sz w:val="22"/>
          <w:szCs w:val="22"/>
          <w:lang w:val="en-GB"/>
        </w:rPr>
        <w:lastRenderedPageBreak/>
        <w:t>claim under US law. However, if the claim is against the foreign debtor, the liquidators can seek a stay of the action under Article 19 pending the recognition proceedings or Article 21 after recognition.</w:t>
      </w:r>
      <w:r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0756D3B8" w:rsidR="00867A8F" w:rsidRPr="00F31EE9" w:rsidRDefault="00867A8F" w:rsidP="00F31EE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E5BA0">
        <w:rPr>
          <w:rFonts w:ascii="Avenir Next" w:hAnsi="Avenir Next" w:cs="Arial"/>
          <w:color w:val="808080" w:themeColor="background1" w:themeShade="80"/>
          <w:sz w:val="22"/>
          <w:szCs w:val="22"/>
          <w:lang w:val="en-GB"/>
        </w:rPr>
        <w:t xml:space="preserve">The leases and IP licenses are governed by US law, and the applicable US law renders such </w:t>
      </w:r>
      <w:r w:rsidR="000E5BA0">
        <w:rPr>
          <w:rFonts w:ascii="Avenir Next" w:hAnsi="Avenir Next" w:cs="Arial"/>
          <w:i/>
          <w:iCs/>
          <w:color w:val="808080" w:themeColor="background1" w:themeShade="80"/>
          <w:sz w:val="22"/>
          <w:szCs w:val="22"/>
          <w:lang w:val="en-GB"/>
        </w:rPr>
        <w:t xml:space="preserve">ipso facto </w:t>
      </w:r>
      <w:r w:rsidR="000E5BA0">
        <w:rPr>
          <w:rFonts w:ascii="Avenir Next" w:hAnsi="Avenir Next" w:cs="Arial"/>
          <w:color w:val="808080" w:themeColor="background1" w:themeShade="80"/>
          <w:sz w:val="22"/>
          <w:szCs w:val="22"/>
          <w:lang w:val="en-GB"/>
        </w:rPr>
        <w:t xml:space="preserve">clauses unenforceable. This is therefore unlike the case of </w:t>
      </w:r>
      <w:proofErr w:type="spellStart"/>
      <w:r w:rsidR="000E5BA0">
        <w:rPr>
          <w:rFonts w:ascii="Avenir Next" w:hAnsi="Avenir Next" w:cs="Arial"/>
          <w:color w:val="808080" w:themeColor="background1" w:themeShade="80"/>
          <w:sz w:val="22"/>
          <w:szCs w:val="22"/>
          <w:lang w:val="en-GB"/>
        </w:rPr>
        <w:t>Fibria</w:t>
      </w:r>
      <w:proofErr w:type="spellEnd"/>
      <w:r w:rsidR="000E5BA0">
        <w:rPr>
          <w:rFonts w:ascii="Avenir Next" w:hAnsi="Avenir Next" w:cs="Arial"/>
          <w:color w:val="808080" w:themeColor="background1" w:themeShade="80"/>
          <w:sz w:val="22"/>
          <w:szCs w:val="22"/>
          <w:lang w:val="en-GB"/>
        </w:rPr>
        <w:t xml:space="preserve"> </w:t>
      </w:r>
      <w:proofErr w:type="spellStart"/>
      <w:r w:rsidR="000E5BA0">
        <w:rPr>
          <w:rFonts w:ascii="Avenir Next" w:hAnsi="Avenir Next" w:cs="Arial"/>
          <w:color w:val="808080" w:themeColor="background1" w:themeShade="80"/>
          <w:sz w:val="22"/>
          <w:szCs w:val="22"/>
          <w:lang w:val="en-GB"/>
        </w:rPr>
        <w:t>Celulose</w:t>
      </w:r>
      <w:proofErr w:type="spellEnd"/>
      <w:r w:rsidR="000E5BA0">
        <w:rPr>
          <w:rFonts w:ascii="Avenir Next" w:hAnsi="Avenir Next" w:cs="Arial"/>
          <w:color w:val="808080" w:themeColor="background1" w:themeShade="80"/>
          <w:sz w:val="22"/>
          <w:szCs w:val="22"/>
          <w:lang w:val="en-GB"/>
        </w:rPr>
        <w:t xml:space="preserve"> S/A v Pan Ocean Co Ltd, where the foreign representative from Korea tried to argue that Korean Insolvency Law should apply to render the </w:t>
      </w:r>
      <w:r w:rsidR="000E5BA0">
        <w:rPr>
          <w:rFonts w:ascii="Avenir Next" w:hAnsi="Avenir Next" w:cs="Arial"/>
          <w:i/>
          <w:iCs/>
          <w:color w:val="808080" w:themeColor="background1" w:themeShade="80"/>
          <w:sz w:val="22"/>
          <w:szCs w:val="22"/>
          <w:lang w:val="en-GB"/>
        </w:rPr>
        <w:t xml:space="preserve">ipso facto </w:t>
      </w:r>
      <w:r w:rsidR="000E5BA0" w:rsidRPr="000E5BA0">
        <w:rPr>
          <w:rFonts w:ascii="Avenir Next" w:hAnsi="Avenir Next" w:cs="Arial"/>
          <w:color w:val="808080" w:themeColor="background1" w:themeShade="80"/>
          <w:sz w:val="22"/>
          <w:szCs w:val="22"/>
          <w:lang w:val="en-GB"/>
        </w:rPr>
        <w:t xml:space="preserve">clauses </w:t>
      </w:r>
      <w:r w:rsidR="000E5BA0">
        <w:rPr>
          <w:rFonts w:ascii="Avenir Next" w:hAnsi="Avenir Next" w:cs="Arial"/>
          <w:color w:val="808080" w:themeColor="background1" w:themeShade="80"/>
          <w:sz w:val="22"/>
          <w:szCs w:val="22"/>
          <w:lang w:val="en-GB"/>
        </w:rPr>
        <w:t xml:space="preserve">null and void, even though the clauses were contained in contracts governed by English law, which did not render such clauses null and void. The US Court hearing the recognition proceedings is therefore unlikely to find that such clauses are enforceable. However, as there is no litigation threatened or pending, and because a notice of termination does not constitute the commencement or continuation of an action or proceeding, it is unlikely that any relief is required to be sought. </w:t>
      </w:r>
      <w:r w:rsidRPr="00B77352">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689E3996"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B21D3C">
        <w:rPr>
          <w:rFonts w:ascii="Avenir Next" w:hAnsi="Avenir Next" w:cs="Arial"/>
          <w:color w:val="808080" w:themeColor="background1" w:themeShade="80"/>
          <w:sz w:val="22"/>
          <w:szCs w:val="22"/>
          <w:lang w:val="en-GB"/>
        </w:rPr>
        <w:t>From the outset, the foreign representative should have commenced insolvency proceedings in Country B. Alternatively, if they wanted to commence proceedings in Country A, they ought to have relied on the presumption in Article 16 that the COMI of the debtor is the country in which it has its registered office. However, as it is unlikely that the registered office alone is sufficient to show that the COMI is in Country A, where “not much more” is going on, the presumption is likely to be rebutted. Commencing proceedings in Country B to begin with will be the most practical step moving forwards.</w:t>
      </w:r>
      <w:r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w:t>
      </w:r>
      <w:r w:rsidRPr="00E61F6E">
        <w:rPr>
          <w:rFonts w:ascii="Avenir Next" w:hAnsi="Avenir Next"/>
          <w:sz w:val="22"/>
          <w:szCs w:val="28"/>
        </w:rPr>
        <w:lastRenderedPageBreak/>
        <w:t xml:space="preserve">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011E2E26" w14:textId="08B95E15" w:rsidR="00DA481F"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w:t>
      </w:r>
      <w:r w:rsidR="00DA481F" w:rsidRPr="00DA481F">
        <w:rPr>
          <w:rFonts w:ascii="Avenir Next" w:hAnsi="Avenir Next"/>
          <w:color w:val="808080" w:themeColor="background1" w:themeShade="80"/>
          <w:sz w:val="22"/>
          <w:szCs w:val="28"/>
        </w:rPr>
        <w:t>Globe Financial Holdings Inc</w:t>
      </w:r>
      <w:r w:rsidR="00DA481F">
        <w:rPr>
          <w:rFonts w:ascii="Avenir Next" w:hAnsi="Avenir Next"/>
          <w:color w:val="808080" w:themeColor="background1" w:themeShade="80"/>
          <w:sz w:val="22"/>
          <w:szCs w:val="28"/>
        </w:rPr>
        <w:t xml:space="preserve"> should seek recognition of the Cayman scheme. The scheme is a collective proceeding in a foreign state outside the US that is authorized or conducted under a law relating to insolvency under which the assets and affairs of Globe Financial Holdings Inc are subject to supervision by a foreign court, the Cayman Court, and for the purposes of reorganization. </w:t>
      </w:r>
    </w:p>
    <w:p w14:paraId="1583E55A" w14:textId="77777777" w:rsidR="00DA481F" w:rsidRDefault="00DA481F" w:rsidP="009E3CA7">
      <w:pPr>
        <w:jc w:val="both"/>
        <w:rPr>
          <w:rFonts w:ascii="Avenir Next" w:hAnsi="Avenir Next"/>
          <w:color w:val="808080" w:themeColor="background1" w:themeShade="80"/>
          <w:sz w:val="22"/>
          <w:szCs w:val="28"/>
        </w:rPr>
      </w:pPr>
    </w:p>
    <w:p w14:paraId="50111547" w14:textId="26145738" w:rsidR="00DA481F" w:rsidRDefault="00DA481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Recognition can be sought on the basis that the COMI of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is in the Cayman Islands. This will allow the scheme to be recognized as a foreign main proceeding. Under Article 16, it is presumed that the registered office of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is the COMI. As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is registered in the Cayman Islands, this presumption applies. The registration also took place in 2009, and therefore cannot be said to have been for an untoward motive. Public filings also announced the incorporation, and local Cayman counsel organize board meetings (though the board members attend virtually). Additionally, another factor is that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’s books and records are maintained in the Cayman Islands. It appears that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has a bank in the Cayman Islands, but this is unlikely to have been their primary bank as it was opened a few days ago whereas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has been registered in the Cayman Islands since 2009. The benefit of seeking recognition as foreign main proceedings is that automatic reliefs will be granted.</w:t>
      </w:r>
    </w:p>
    <w:p w14:paraId="7FF743A7" w14:textId="77777777" w:rsidR="00DA481F" w:rsidRDefault="00DA481F" w:rsidP="009E3CA7">
      <w:pPr>
        <w:jc w:val="both"/>
        <w:rPr>
          <w:rFonts w:ascii="Avenir Next" w:hAnsi="Avenir Next"/>
          <w:color w:val="808080" w:themeColor="background1" w:themeShade="80"/>
          <w:sz w:val="22"/>
          <w:szCs w:val="28"/>
        </w:rPr>
      </w:pPr>
    </w:p>
    <w:p w14:paraId="5164F23A" w14:textId="4A3D8D73" w:rsidR="00DA481F" w:rsidRDefault="00DA481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However, there are factors that point against the COMI being in the Cayman Islands. The Guide to Enactment focuses on the location of central administration and which is readily ascertainable as such by creditors. Therefore, it should also be argued in the alternative that recognition of the Cayman Island scheme should be as a foreign non-main proceeding. This is because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is a letterbox holding company that has no business </w:t>
      </w:r>
      <w:proofErr w:type="gramStart"/>
      <w:r>
        <w:rPr>
          <w:rFonts w:ascii="Avenir Next" w:hAnsi="Avenir Next"/>
          <w:color w:val="808080" w:themeColor="background1" w:themeShade="80"/>
          <w:sz w:val="22"/>
          <w:szCs w:val="28"/>
        </w:rPr>
        <w:t>operations, and</w:t>
      </w:r>
      <w:proofErr w:type="gramEnd"/>
      <w:r>
        <w:rPr>
          <w:rFonts w:ascii="Avenir Next" w:hAnsi="Avenir Next"/>
          <w:color w:val="808080" w:themeColor="background1" w:themeShade="80"/>
          <w:sz w:val="22"/>
          <w:szCs w:val="28"/>
        </w:rPr>
        <w:t xml:space="preserve"> carries out all its actual business through subsidiaries incorporated under US laws and operating in the US. </w:t>
      </w:r>
      <w:proofErr w:type="gramStart"/>
      <w:r>
        <w:rPr>
          <w:rFonts w:ascii="Avenir Next" w:hAnsi="Avenir Next"/>
          <w:color w:val="808080" w:themeColor="background1" w:themeShade="80"/>
          <w:sz w:val="22"/>
          <w:szCs w:val="28"/>
        </w:rPr>
        <w:t>All of</w:t>
      </w:r>
      <w:proofErr w:type="gramEnd"/>
      <w:r>
        <w:rPr>
          <w:rFonts w:ascii="Avenir Next" w:hAnsi="Avenir Next"/>
          <w:color w:val="808080" w:themeColor="background1" w:themeShade="80"/>
          <w:sz w:val="22"/>
          <w:szCs w:val="28"/>
        </w:rPr>
        <w:t xml:space="preserve"> its employees are also in the US, and its headquarters are in the US. Therefore, central administration decisions are not made in the Cayman Islands, but in the US. This is where the principal assets and operations of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can be found, where its employees are located, where its commercial policy is determined, and its customers are in the commercial automobile insurance sector in the US. Its main contracts are therefore likely to be governed by US law.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is also </w:t>
      </w:r>
      <w:r>
        <w:rPr>
          <w:rFonts w:ascii="Avenir Next" w:hAnsi="Avenir Next"/>
          <w:color w:val="808080" w:themeColor="background1" w:themeShade="80"/>
          <w:sz w:val="22"/>
          <w:szCs w:val="28"/>
        </w:rPr>
        <w:lastRenderedPageBreak/>
        <w:t xml:space="preserve">under some subject and supervision by the SEC, at least until its shares were delisted. While the fact that the office is registered in the Cayman Islands and the fact that it has recently opened a bank account is not likely to be sufficient to show an “establishment”, the board meetings are organized from the Cayman </w:t>
      </w:r>
      <w:proofErr w:type="gramStart"/>
      <w:r>
        <w:rPr>
          <w:rFonts w:ascii="Avenir Next" w:hAnsi="Avenir Next"/>
          <w:color w:val="808080" w:themeColor="background1" w:themeShade="80"/>
          <w:sz w:val="22"/>
          <w:szCs w:val="28"/>
        </w:rPr>
        <w:t>Islands</w:t>
      </w:r>
      <w:proofErr w:type="gramEnd"/>
      <w:r>
        <w:rPr>
          <w:rFonts w:ascii="Avenir Next" w:hAnsi="Avenir Next"/>
          <w:color w:val="808080" w:themeColor="background1" w:themeShade="80"/>
          <w:sz w:val="22"/>
          <w:szCs w:val="28"/>
        </w:rPr>
        <w:t xml:space="preserve"> and it has facilities to maintain its books and records in the Cayman Islands. The expectations of the Noteholders were also that the contemplated restructuring would take place in the Cayman Islands. </w:t>
      </w:r>
    </w:p>
    <w:p w14:paraId="20934A05" w14:textId="77777777" w:rsidR="00DA481F" w:rsidRDefault="00DA481F" w:rsidP="009E3CA7">
      <w:pPr>
        <w:jc w:val="both"/>
        <w:rPr>
          <w:rFonts w:ascii="Avenir Next" w:hAnsi="Avenir Next"/>
          <w:color w:val="808080" w:themeColor="background1" w:themeShade="80"/>
          <w:sz w:val="22"/>
          <w:szCs w:val="28"/>
        </w:rPr>
      </w:pPr>
    </w:p>
    <w:p w14:paraId="5A82F63C" w14:textId="10FDE7C3" w:rsidR="00DA481F" w:rsidRDefault="00DA481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papers that must be submitted include a certified copy of the decision commencing the foreign proceeding and appointing the foreign representative or a certificate from the foreign court affirming the existence of the foreign proceeding and of the appointment of the foreign representative or other evidence acceptable to the US court showing the existence of the foreign proceeding and the appointment of the foreign representative. The Cayman Court should therefore be asked for this evidence for the purposes of recognition </w:t>
      </w:r>
      <w:proofErr w:type="gramStart"/>
      <w:r>
        <w:rPr>
          <w:rFonts w:ascii="Avenir Next" w:hAnsi="Avenir Next"/>
          <w:color w:val="808080" w:themeColor="background1" w:themeShade="80"/>
          <w:sz w:val="22"/>
          <w:szCs w:val="28"/>
        </w:rPr>
        <w:t>proceedings, if</w:t>
      </w:r>
      <w:proofErr w:type="gramEnd"/>
      <w:r>
        <w:rPr>
          <w:rFonts w:ascii="Avenir Next" w:hAnsi="Avenir Next"/>
          <w:color w:val="808080" w:themeColor="background1" w:themeShade="80"/>
          <w:sz w:val="22"/>
          <w:szCs w:val="28"/>
        </w:rPr>
        <w:t xml:space="preserve"> the Sanction Order is not considered to be sufficient proof. The application must also be accompanied by a statement identifying other foreign proceedings of </w:t>
      </w:r>
      <w:r w:rsidRPr="00DA481F">
        <w:rPr>
          <w:rFonts w:ascii="Avenir Next" w:hAnsi="Avenir Next"/>
          <w:color w:val="808080" w:themeColor="background1" w:themeShade="80"/>
          <w:sz w:val="22"/>
          <w:szCs w:val="28"/>
        </w:rPr>
        <w:t>Globe Financial Holdings Inc</w:t>
      </w:r>
      <w:r>
        <w:rPr>
          <w:rFonts w:ascii="Avenir Next" w:hAnsi="Avenir Next"/>
          <w:color w:val="808080" w:themeColor="background1" w:themeShade="80"/>
          <w:sz w:val="22"/>
          <w:szCs w:val="28"/>
        </w:rPr>
        <w:t xml:space="preserve"> known to the foreign representative.</w:t>
      </w:r>
    </w:p>
    <w:p w14:paraId="7A2D62DC" w14:textId="77777777" w:rsidR="00DA481F" w:rsidRDefault="00DA481F" w:rsidP="009E3CA7">
      <w:pPr>
        <w:jc w:val="both"/>
        <w:rPr>
          <w:rFonts w:ascii="Avenir Next" w:hAnsi="Avenir Next"/>
          <w:color w:val="808080" w:themeColor="background1" w:themeShade="80"/>
          <w:sz w:val="22"/>
          <w:szCs w:val="28"/>
        </w:rPr>
      </w:pPr>
    </w:p>
    <w:p w14:paraId="30D7E6F9" w14:textId="3C76000B" w:rsidR="009E3CA7" w:rsidRPr="00710C24" w:rsidRDefault="00DA481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likely event that the scheme is recognized as a foreign non-main proceeding, no automatic reliefs will be granted. If recognition is granted, the stay on actions or proceedings should be sought, in order to ward off the brewing class action litigation in the US</w:t>
      </w:r>
      <w:proofErr w:type="gramStart"/>
      <w:r>
        <w:rPr>
          <w:rFonts w:ascii="Avenir Next" w:hAnsi="Avenir Next"/>
          <w:color w:val="808080" w:themeColor="background1" w:themeShade="80"/>
          <w:sz w:val="22"/>
          <w:szCs w:val="28"/>
        </w:rPr>
        <w:t xml:space="preserve">. </w:t>
      </w:r>
      <w:r w:rsidR="009E3CA7" w:rsidRPr="009E3CA7">
        <w:rPr>
          <w:rFonts w:ascii="Avenir Next" w:hAnsi="Avenir Next"/>
          <w:color w:val="808080" w:themeColor="background1" w:themeShade="80"/>
          <w:sz w:val="22"/>
          <w:szCs w:val="28"/>
        </w:rPr>
        <w:t>]</w:t>
      </w:r>
      <w:proofErr w:type="gramEnd"/>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5FD6" w14:textId="77777777" w:rsidR="00364F90" w:rsidRDefault="00364F90" w:rsidP="00241B44">
      <w:r>
        <w:separator/>
      </w:r>
    </w:p>
  </w:endnote>
  <w:endnote w:type="continuationSeparator" w:id="0">
    <w:p w14:paraId="19B29812" w14:textId="77777777" w:rsidR="00364F90" w:rsidRDefault="00364F9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A8B7292" w:rsidR="000300E0" w:rsidRPr="00B46CE2" w:rsidRDefault="00093D74" w:rsidP="000300E0">
    <w:pPr>
      <w:pStyle w:val="Footer"/>
      <w:ind w:right="360"/>
      <w:rPr>
        <w:rFonts w:ascii="Avenir Next" w:hAnsi="Avenir Next"/>
        <w:sz w:val="22"/>
        <w:szCs w:val="22"/>
      </w:rPr>
    </w:pPr>
    <w:r w:rsidRPr="00601BAB">
      <w:rPr>
        <w:rFonts w:ascii="Avenir Next" w:hAnsi="Avenir Next" w:cs="Arial"/>
        <w:sz w:val="22"/>
        <w:szCs w:val="22"/>
        <w:lang w:val="en-GB"/>
      </w:rPr>
      <w:t>FC202324</w:t>
    </w:r>
    <w:r>
      <w:rPr>
        <w:rFonts w:ascii="Avenir Next" w:hAnsi="Avenir Next" w:cs="Arial"/>
        <w:sz w:val="22"/>
        <w:szCs w:val="22"/>
        <w:lang w:val="en-GB"/>
      </w:rPr>
      <w:t>-1376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08A4" w14:textId="77777777" w:rsidR="00364F90" w:rsidRDefault="00364F90" w:rsidP="00241B44">
      <w:r>
        <w:separator/>
      </w:r>
    </w:p>
  </w:footnote>
  <w:footnote w:type="continuationSeparator" w:id="0">
    <w:p w14:paraId="5F46A3A2" w14:textId="77777777" w:rsidR="00364F90" w:rsidRDefault="00364F9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4B6C"/>
    <w:rsid w:val="00060E02"/>
    <w:rsid w:val="00065166"/>
    <w:rsid w:val="00067A88"/>
    <w:rsid w:val="00070B92"/>
    <w:rsid w:val="00073474"/>
    <w:rsid w:val="00077D49"/>
    <w:rsid w:val="00082609"/>
    <w:rsid w:val="00083B38"/>
    <w:rsid w:val="000851CC"/>
    <w:rsid w:val="00093BE8"/>
    <w:rsid w:val="00093D74"/>
    <w:rsid w:val="000A68ED"/>
    <w:rsid w:val="000B4FEB"/>
    <w:rsid w:val="000B5FF1"/>
    <w:rsid w:val="000B609F"/>
    <w:rsid w:val="000C147F"/>
    <w:rsid w:val="000C6BB9"/>
    <w:rsid w:val="000D32A9"/>
    <w:rsid w:val="000D55A8"/>
    <w:rsid w:val="000E4841"/>
    <w:rsid w:val="000E5BA0"/>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4F90"/>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B3E"/>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8F745F"/>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1D3C"/>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03C5"/>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37CD"/>
    <w:rsid w:val="00C841ED"/>
    <w:rsid w:val="00C85F17"/>
    <w:rsid w:val="00C8712A"/>
    <w:rsid w:val="00C91324"/>
    <w:rsid w:val="00C914F7"/>
    <w:rsid w:val="00C963D3"/>
    <w:rsid w:val="00CA6BC4"/>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04EC2"/>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A481F"/>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3A3D"/>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NG (JUDICIARY)</cp:lastModifiedBy>
  <cp:revision>10</cp:revision>
  <cp:lastPrinted>2019-08-27T05:42:00Z</cp:lastPrinted>
  <dcterms:created xsi:type="dcterms:W3CDTF">2024-02-29T07:32:00Z</dcterms:created>
  <dcterms:modified xsi:type="dcterms:W3CDTF">2024-02-29T10:39:00Z</dcterms:modified>
</cp:coreProperties>
</file>