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54406A" w:rsidRDefault="00F746D8" w:rsidP="00F746D8">
      <w:pPr>
        <w:pStyle w:val="ListParagraph"/>
        <w:numPr>
          <w:ilvl w:val="0"/>
          <w:numId w:val="26"/>
        </w:numPr>
        <w:ind w:left="426"/>
        <w:jc w:val="both"/>
        <w:rPr>
          <w:rFonts w:ascii="Avenir Next" w:hAnsi="Avenir Next" w:cs="Arial"/>
          <w:sz w:val="22"/>
          <w:szCs w:val="22"/>
          <w:highlight w:val="yellow"/>
          <w:lang w:val="en-GB"/>
        </w:rPr>
      </w:pPr>
      <w:r w:rsidRPr="0054406A">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1C7962"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1C7962">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E07C01" w:rsidRDefault="00F746D8" w:rsidP="00F746D8">
      <w:pPr>
        <w:pStyle w:val="ListParagraph"/>
        <w:numPr>
          <w:ilvl w:val="0"/>
          <w:numId w:val="3"/>
        </w:numPr>
        <w:ind w:left="426"/>
        <w:jc w:val="both"/>
        <w:rPr>
          <w:rFonts w:ascii="Avenir Next" w:hAnsi="Avenir Next" w:cs="Arial"/>
          <w:iCs/>
          <w:sz w:val="22"/>
          <w:szCs w:val="22"/>
          <w:lang w:val="en-GB"/>
        </w:rPr>
      </w:pPr>
      <w:r w:rsidRPr="00E07C01">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E07C01" w:rsidRDefault="00F746D8" w:rsidP="00F746D8">
      <w:pPr>
        <w:pStyle w:val="ListParagraph"/>
        <w:numPr>
          <w:ilvl w:val="0"/>
          <w:numId w:val="27"/>
        </w:numPr>
        <w:ind w:left="426"/>
        <w:jc w:val="both"/>
        <w:rPr>
          <w:rFonts w:ascii="Avenir Next" w:hAnsi="Avenir Next"/>
          <w:sz w:val="22"/>
          <w:highlight w:val="yellow"/>
          <w:lang w:val="en-GB"/>
        </w:rPr>
      </w:pPr>
      <w:r w:rsidRPr="00E07C01">
        <w:rPr>
          <w:rFonts w:ascii="Avenir Next" w:hAnsi="Avenir Next"/>
          <w:sz w:val="22"/>
          <w:highlight w:val="yellow"/>
          <w:lang w:val="en-GB"/>
        </w:rPr>
        <w:t xml:space="preserve">The EIR 2000 </w:t>
      </w:r>
      <w:r w:rsidRPr="00E07C01">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E07C01">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4227AB" w:rsidRDefault="00F746D8" w:rsidP="00F746D8">
      <w:pPr>
        <w:pStyle w:val="ListParagraph"/>
        <w:numPr>
          <w:ilvl w:val="0"/>
          <w:numId w:val="5"/>
        </w:numPr>
        <w:ind w:left="426"/>
        <w:jc w:val="both"/>
        <w:rPr>
          <w:rFonts w:ascii="Avenir Next" w:hAnsi="Avenir Next" w:cs="Arial"/>
          <w:sz w:val="22"/>
          <w:szCs w:val="22"/>
          <w:highlight w:val="yellow"/>
          <w:lang w:val="en-GB"/>
        </w:rPr>
      </w:pPr>
      <w:r w:rsidRPr="004227AB">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0549D9" w:rsidRDefault="00F746D8" w:rsidP="00F746D8">
      <w:pPr>
        <w:pStyle w:val="ListParagraph"/>
        <w:numPr>
          <w:ilvl w:val="0"/>
          <w:numId w:val="28"/>
        </w:numPr>
        <w:ind w:left="426"/>
        <w:jc w:val="both"/>
        <w:rPr>
          <w:rFonts w:ascii="Avenir Next" w:hAnsi="Avenir Next" w:cs="Arial"/>
          <w:sz w:val="22"/>
          <w:szCs w:val="22"/>
          <w:highlight w:val="yellow"/>
          <w:lang w:val="en-GB"/>
        </w:rPr>
      </w:pPr>
      <w:r w:rsidRPr="000549D9">
        <w:rPr>
          <w:rFonts w:ascii="Avenir Next" w:hAnsi="Avenir Next" w:cs="Arial"/>
          <w:sz w:val="22"/>
          <w:szCs w:val="22"/>
          <w:highlight w:val="yellow"/>
          <w:lang w:val="en-GB"/>
        </w:rPr>
        <w:t>Article 3 states that the courts of the Member State within the territory of which the debtor has its centre of main</w:t>
      </w:r>
      <w:r w:rsidR="003E1D56" w:rsidRPr="000549D9">
        <w:rPr>
          <w:rFonts w:ascii="Avenir Next" w:hAnsi="Avenir Next" w:cs="Arial"/>
          <w:sz w:val="22"/>
          <w:szCs w:val="22"/>
          <w:highlight w:val="yellow"/>
          <w:lang w:val="en-GB"/>
        </w:rPr>
        <w:t xml:space="preserve"> interest</w:t>
      </w:r>
      <w:r w:rsidRPr="000549D9">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ListParagraph"/>
        <w:numPr>
          <w:ilvl w:val="0"/>
          <w:numId w:val="7"/>
        </w:numPr>
        <w:ind w:left="426"/>
        <w:jc w:val="both"/>
        <w:rPr>
          <w:rFonts w:ascii="Avenir Next" w:hAnsi="Avenir Next" w:cs="Arial"/>
          <w:sz w:val="22"/>
          <w:szCs w:val="22"/>
          <w:lang w:val="en-GB"/>
        </w:rPr>
      </w:pPr>
      <w:r w:rsidRPr="00AD35E0">
        <w:rPr>
          <w:rFonts w:ascii="Avenir Next" w:hAnsi="Avenir Next" w:cs="Arial"/>
          <w:sz w:val="22"/>
          <w:szCs w:val="22"/>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Pr="0023231E" w:rsidRDefault="00F746D8" w:rsidP="00F746D8">
      <w:pPr>
        <w:pStyle w:val="ListParagraph"/>
        <w:numPr>
          <w:ilvl w:val="0"/>
          <w:numId w:val="7"/>
        </w:numPr>
        <w:ind w:left="426"/>
        <w:jc w:val="both"/>
        <w:rPr>
          <w:rFonts w:ascii="Avenir Next" w:hAnsi="Avenir Next" w:cs="Arial"/>
          <w:sz w:val="22"/>
          <w:szCs w:val="22"/>
          <w:highlight w:val="yellow"/>
          <w:lang w:val="en-GB"/>
        </w:rPr>
      </w:pPr>
      <w:r w:rsidRPr="0023231E">
        <w:rPr>
          <w:rFonts w:ascii="Avenir Next" w:hAnsi="Avenir Next" w:cs="Arial"/>
          <w:sz w:val="22"/>
          <w:szCs w:val="22"/>
          <w:highlight w:val="yellow"/>
          <w:lang w:val="en-GB"/>
        </w:rPr>
        <w:t>Deciding whether a debtor is “insolvent”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B0331F" w:rsidRDefault="00F746D8" w:rsidP="00F746D8">
      <w:pPr>
        <w:pStyle w:val="ListParagraph"/>
        <w:numPr>
          <w:ilvl w:val="0"/>
          <w:numId w:val="31"/>
        </w:numPr>
        <w:ind w:left="426"/>
        <w:jc w:val="both"/>
        <w:rPr>
          <w:rFonts w:ascii="Avenir Next" w:hAnsi="Avenir Next" w:cs="Arial"/>
          <w:sz w:val="22"/>
          <w:szCs w:val="22"/>
          <w:highlight w:val="yellow"/>
          <w:lang w:val="en-GB"/>
        </w:rPr>
      </w:pPr>
      <w:r w:rsidRPr="00B0331F">
        <w:rPr>
          <w:rFonts w:ascii="Avenir Next" w:hAnsi="Avenir Next" w:cs="Arial"/>
          <w:sz w:val="22"/>
          <w:szCs w:val="22"/>
          <w:highlight w:val="yellow"/>
          <w:lang w:val="en-GB"/>
        </w:rPr>
        <w:t>Article 31 EIR Recast (entitled “</w:t>
      </w:r>
      <w:r w:rsidRPr="00B0331F">
        <w:rPr>
          <w:rFonts w:ascii="Avenir Next" w:hAnsi="Avenir Next" w:cs="Arial"/>
          <w:bCs/>
          <w:sz w:val="22"/>
          <w:szCs w:val="22"/>
          <w:highlight w:val="yellow"/>
          <w:lang w:val="en-GB"/>
        </w:rPr>
        <w:t>Honouring of an obligation to a debtor”</w:t>
      </w:r>
      <w:r w:rsidRPr="00B0331F">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AA7F2F" w:rsidRDefault="00F746D8" w:rsidP="00F746D8">
      <w:pPr>
        <w:pStyle w:val="ListParagraph"/>
        <w:numPr>
          <w:ilvl w:val="0"/>
          <w:numId w:val="8"/>
        </w:numPr>
        <w:ind w:left="426"/>
        <w:jc w:val="both"/>
        <w:rPr>
          <w:rFonts w:ascii="Avenir Next" w:hAnsi="Avenir Next" w:cs="Arial"/>
          <w:sz w:val="22"/>
          <w:szCs w:val="22"/>
          <w:highlight w:val="yellow"/>
          <w:lang w:val="en-GB"/>
        </w:rPr>
      </w:pPr>
      <w:r w:rsidRPr="00AA7F2F">
        <w:rPr>
          <w:rFonts w:ascii="Avenir Next" w:hAnsi="Avenir Next"/>
          <w:sz w:val="22"/>
          <w:highlight w:val="yellow"/>
          <w:lang w:val="en-GB"/>
        </w:rPr>
        <w:t xml:space="preserve">The </w:t>
      </w:r>
      <w:r w:rsidRPr="00AA7F2F">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7766DA" w:rsidRDefault="00F746D8" w:rsidP="00F746D8">
      <w:pPr>
        <w:pStyle w:val="ListParagraph"/>
        <w:numPr>
          <w:ilvl w:val="0"/>
          <w:numId w:val="32"/>
        </w:numPr>
        <w:ind w:left="426"/>
        <w:jc w:val="both"/>
        <w:rPr>
          <w:rFonts w:ascii="Avenir Next" w:hAnsi="Avenir Next" w:cs="Arial"/>
          <w:sz w:val="22"/>
          <w:szCs w:val="22"/>
          <w:highlight w:val="yellow"/>
          <w:lang w:val="en-GB"/>
        </w:rPr>
      </w:pPr>
      <w:r w:rsidRPr="007766DA">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CB7147" w:rsidRDefault="00F746D8" w:rsidP="00F746D8">
      <w:pPr>
        <w:pStyle w:val="ListParagraph"/>
        <w:numPr>
          <w:ilvl w:val="0"/>
          <w:numId w:val="9"/>
        </w:numPr>
        <w:ind w:left="426"/>
        <w:jc w:val="both"/>
        <w:rPr>
          <w:rFonts w:ascii="Avenir Next" w:hAnsi="Avenir Next" w:cs="Arial"/>
          <w:sz w:val="22"/>
          <w:szCs w:val="22"/>
          <w:highlight w:val="yellow"/>
          <w:lang w:val="en-GB"/>
        </w:rPr>
      </w:pPr>
      <w:r w:rsidRPr="00CB7147">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3E7D7BF5" w:rsidR="006C3FB7" w:rsidRDefault="006C3FB7" w:rsidP="000A3278">
      <w:pPr>
        <w:jc w:val="both"/>
        <w:rPr>
          <w:rFonts w:ascii="Avenir Next" w:hAnsi="Avenir Next" w:cs="Arial"/>
          <w:color w:val="7B7B7B" w:themeColor="accent3" w:themeShade="BF"/>
          <w:sz w:val="22"/>
          <w:szCs w:val="22"/>
        </w:rPr>
      </w:pPr>
      <w:r w:rsidRPr="006C3FB7">
        <w:rPr>
          <w:rFonts w:ascii="Avenir Next" w:hAnsi="Avenir Next"/>
          <w:b/>
          <w:color w:val="7B7B7B" w:themeColor="accent3" w:themeShade="BF"/>
          <w:sz w:val="22"/>
        </w:rPr>
        <w:t xml:space="preserve"> </w:t>
      </w:r>
      <w:r w:rsidR="00FC36AD">
        <w:rPr>
          <w:rFonts w:ascii="Avenir Next" w:hAnsi="Avenir Next" w:cs="Arial"/>
          <w:color w:val="7B7B7B" w:themeColor="accent3" w:themeShade="BF"/>
          <w:sz w:val="22"/>
          <w:szCs w:val="22"/>
        </w:rPr>
        <w:t>[</w:t>
      </w:r>
      <w:r w:rsidR="007B6275" w:rsidRPr="007B6275">
        <w:rPr>
          <w:rFonts w:ascii="Avenir Next" w:hAnsi="Avenir Next" w:cs="Arial"/>
          <w:color w:val="7B7B7B" w:themeColor="accent3" w:themeShade="BF"/>
          <w:sz w:val="22"/>
          <w:szCs w:val="22"/>
          <w:u w:val="single"/>
        </w:rPr>
        <w:t>Statement 1</w:t>
      </w:r>
      <w:r w:rsidR="007B6275">
        <w:rPr>
          <w:rFonts w:ascii="Avenir Next" w:hAnsi="Avenir Next" w:cs="Arial"/>
          <w:color w:val="7B7B7B" w:themeColor="accent3" w:themeShade="BF"/>
          <w:sz w:val="22"/>
          <w:szCs w:val="22"/>
        </w:rPr>
        <w:t xml:space="preserve"> refers to Article 1 of the EIR Recast. It is expands the scope of the EIR Recast to include not only insolvent situations, but also interim proceedings and rescue proceedings, therefore </w:t>
      </w:r>
      <w:r w:rsidR="007B6275">
        <w:rPr>
          <w:rFonts w:ascii="Avenir Next" w:hAnsi="Avenir Next" w:cs="Arial"/>
          <w:color w:val="7B7B7B" w:themeColor="accent3" w:themeShade="BF"/>
          <w:sz w:val="22"/>
          <w:szCs w:val="22"/>
        </w:rPr>
        <w:lastRenderedPageBreak/>
        <w:t xml:space="preserve">encompassing the type of proceedings that promote the rescue of economically viable debtors at a stage where there is a mere likelihood of insolvency. Rescue is promoted because the court at this earlier stage my grant a stay of further proceedings and thereby protect the integrity of the rescue plan and the estate. </w:t>
      </w:r>
      <w:r w:rsidR="007B6275" w:rsidRPr="007B6275">
        <w:rPr>
          <w:rFonts w:ascii="Avenir Next" w:hAnsi="Avenir Next" w:cs="Arial"/>
          <w:color w:val="7B7B7B" w:themeColor="accent3" w:themeShade="BF"/>
          <w:sz w:val="22"/>
          <w:szCs w:val="22"/>
          <w:u w:val="single"/>
        </w:rPr>
        <w:t>Statement 2</w:t>
      </w:r>
      <w:r w:rsidR="007B6275">
        <w:rPr>
          <w:rFonts w:ascii="Avenir Next" w:hAnsi="Avenir Next" w:cs="Arial"/>
          <w:color w:val="7B7B7B" w:themeColor="accent3" w:themeShade="BF"/>
          <w:sz w:val="22"/>
          <w:szCs w:val="22"/>
        </w:rPr>
        <w:t xml:space="preserve"> refers to Article 18 of the EIR Recast, which provides that the effects of insolvency proceedings on a pending lawsuit will be determined by and governed under the law of the country where the pending lawsuit was brought.</w:t>
      </w:r>
      <w:r w:rsidR="00FC36AD">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4B00AF44"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D006C1">
        <w:rPr>
          <w:rFonts w:ascii="Avenir Next" w:hAnsi="Avenir Next" w:cs="Arial"/>
          <w:color w:val="7B7B7B" w:themeColor="accent3" w:themeShade="BF"/>
          <w:sz w:val="22"/>
          <w:szCs w:val="22"/>
        </w:rPr>
        <w:t xml:space="preserve">First, Article 3(2) of the EIR Recast provides the option of commencing secondary proceedings in a country in which the debtor has an “establishment”, which shows that the EIR Recast adopts modified universality. In secondary proceedings, the law of the secondary proceedings applies and the assets that are dealt with is limited to the assets located in the territory of the secondary proceedings. This therefore detracts from the universality of the main proceedings. Second, Article 8 of the EIR Recast excludes rights </w:t>
      </w:r>
      <w:r w:rsidR="00D006C1">
        <w:rPr>
          <w:rFonts w:ascii="Avenir Next" w:hAnsi="Avenir Next" w:cs="Arial"/>
          <w:i/>
          <w:iCs/>
          <w:color w:val="7B7B7B" w:themeColor="accent3" w:themeShade="BF"/>
          <w:sz w:val="22"/>
          <w:szCs w:val="22"/>
        </w:rPr>
        <w:t xml:space="preserve">in rem </w:t>
      </w:r>
      <w:r w:rsidR="00D006C1">
        <w:rPr>
          <w:rFonts w:ascii="Avenir Next" w:hAnsi="Avenir Next" w:cs="Arial"/>
          <w:color w:val="7B7B7B" w:themeColor="accent3" w:themeShade="BF"/>
          <w:sz w:val="22"/>
          <w:szCs w:val="22"/>
        </w:rPr>
        <w:t>of creditors</w:t>
      </w:r>
      <w:r w:rsidR="00134342">
        <w:rPr>
          <w:rFonts w:ascii="Avenir Next" w:hAnsi="Avenir Next" w:cs="Arial"/>
          <w:color w:val="7B7B7B" w:themeColor="accent3" w:themeShade="BF"/>
          <w:sz w:val="22"/>
          <w:szCs w:val="22"/>
        </w:rPr>
        <w:t xml:space="preserve"> on assets located outside of the location of the main insolvency proceedings, which shows that the EIR Recast adopts modified universality. The exemption of such rights means that the main insolvency proceedings are not truly universal in encompassing the debtor’s assets. Third, Article 13 of the EIR Recast excludes employment contracts and relationships, which are governed only by the law applicable to the employment contract, which shows that the EIR Recast adopts modified universality. This “protects” the rights of employees by ensuring certainty, but departs from universality as different groups of employees may be treated different depending on their employment contracts and location.</w:t>
      </w:r>
      <w:r>
        <w:rPr>
          <w:rFonts w:ascii="Avenir Next" w:hAnsi="Avenir Next" w:cs="Arial"/>
          <w:color w:val="7B7B7B" w:themeColor="accent3" w:themeShade="BF"/>
          <w:sz w:val="22"/>
          <w:szCs w:val="22"/>
        </w:rPr>
        <w:t>]</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3AD97B48"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EB47AD">
        <w:rPr>
          <w:rFonts w:ascii="Avenir Next" w:hAnsi="Avenir Next" w:cs="Arial"/>
          <w:color w:val="7B7B7B" w:themeColor="accent3" w:themeShade="BF"/>
          <w:sz w:val="22"/>
          <w:szCs w:val="22"/>
        </w:rPr>
        <w:t>First, the EIR Recast is “opt in” in that the Member States have filled in Annex A a list of national insolvency proceedings which are subject to the provisions of the EIR Recast. If a type of proceeding is not included within Annex A, it is not regulated by the EIR Recast (for example, the UK scheme of arrangement).</w:t>
      </w:r>
      <w:r w:rsidR="00270CB0">
        <w:rPr>
          <w:rFonts w:ascii="Avenir Next" w:hAnsi="Avenir Next" w:cs="Arial"/>
          <w:color w:val="7B7B7B" w:themeColor="accent3" w:themeShade="BF"/>
          <w:sz w:val="22"/>
          <w:szCs w:val="22"/>
        </w:rPr>
        <w:t xml:space="preserve"> The EIR Recast therefore regulates the material scope of the Regulation by allowing Member States to autonomously decide to opt in.</w:t>
      </w:r>
      <w:r w:rsidR="00EB47AD">
        <w:rPr>
          <w:rFonts w:ascii="Avenir Next" w:hAnsi="Avenir Next" w:cs="Arial"/>
          <w:color w:val="7B7B7B" w:themeColor="accent3" w:themeShade="BF"/>
          <w:sz w:val="22"/>
          <w:szCs w:val="22"/>
        </w:rPr>
        <w:t xml:space="preserve"> Second, the material scope of the EIR Recast allows for the opening of secondary proceedings under Article 3(2), subject to some restrictions. This allows national insolvency proceedings to commence and apply national laws rather than the laws of the main proceedings</w:t>
      </w:r>
      <w:r w:rsidR="00270CB0">
        <w:rPr>
          <w:rFonts w:ascii="Avenir Next" w:hAnsi="Avenir Next" w:cs="Arial"/>
          <w:color w:val="7B7B7B" w:themeColor="accent3" w:themeShade="BF"/>
          <w:sz w:val="22"/>
          <w:szCs w:val="22"/>
        </w:rPr>
        <w:t xml:space="preserve">. </w:t>
      </w:r>
      <w:r w:rsidR="00270CB0">
        <w:rPr>
          <w:rFonts w:ascii="Avenir Next" w:hAnsi="Avenir Next" w:cs="Arial"/>
          <w:color w:val="7B7B7B" w:themeColor="accent3" w:themeShade="BF"/>
          <w:sz w:val="22"/>
          <w:szCs w:val="22"/>
        </w:rPr>
        <w:t>The EIR Recast therefore regulates the material scope of the Regulation by allowing</w:t>
      </w:r>
      <w:r w:rsidR="00270CB0">
        <w:rPr>
          <w:rFonts w:ascii="Avenir Next" w:hAnsi="Avenir Next" w:cs="Arial"/>
          <w:color w:val="7B7B7B" w:themeColor="accent3" w:themeShade="BF"/>
          <w:sz w:val="22"/>
          <w:szCs w:val="22"/>
        </w:rPr>
        <w:t xml:space="preserve"> secondary proceedings to exist. Third, the EIR Recast is very limited in terms of the substantive insolvency law it contains, and rather provides a supranational framework for resolving the procedure of international insolvency. </w:t>
      </w:r>
      <w:r w:rsidR="00270CB0">
        <w:rPr>
          <w:rFonts w:ascii="Avenir Next" w:hAnsi="Avenir Next" w:cs="Arial"/>
          <w:color w:val="7B7B7B" w:themeColor="accent3" w:themeShade="BF"/>
          <w:sz w:val="22"/>
          <w:szCs w:val="22"/>
        </w:rPr>
        <w:t>The EIR Recast therefore regulates the material scope of the Regulation by allowing</w:t>
      </w:r>
      <w:r w:rsidR="00270CB0">
        <w:rPr>
          <w:rFonts w:ascii="Avenir Next" w:hAnsi="Avenir Next" w:cs="Arial"/>
          <w:color w:val="7B7B7B" w:themeColor="accent3" w:themeShade="BF"/>
          <w:sz w:val="22"/>
          <w:szCs w:val="22"/>
        </w:rPr>
        <w:t xml:space="preserve"> national insolvency proceedings to apply national laws</w:t>
      </w:r>
      <w:r>
        <w:rPr>
          <w:rFonts w:ascii="Avenir Next" w:hAnsi="Avenir Next" w:cs="Arial"/>
          <w:color w:val="7B7B7B" w:themeColor="accent3" w:themeShade="BF"/>
          <w:sz w:val="22"/>
          <w:szCs w:val="22"/>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w:t>
      </w:r>
      <w:r w:rsidRPr="008E3C96">
        <w:rPr>
          <w:rFonts w:ascii="Avenir Next" w:hAnsi="Avenir Next" w:cs="Arial"/>
          <w:sz w:val="22"/>
          <w:szCs w:val="22"/>
          <w:lang w:val="en-GB"/>
        </w:rPr>
        <w:lastRenderedPageBreak/>
        <w:t xml:space="preserve">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002BC547" w14:textId="4E5231F1"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DC4821">
        <w:rPr>
          <w:rFonts w:ascii="Avenir Next" w:hAnsi="Avenir Next" w:cs="Arial"/>
          <w:color w:val="7B7B7B" w:themeColor="accent3" w:themeShade="BF"/>
          <w:sz w:val="22"/>
          <w:szCs w:val="22"/>
        </w:rPr>
        <w:t xml:space="preserve">First, the Insolvency Practitioner of the main insolvency proceedings may give an undertaking in accordance with Article 36 of the EIR Recast, after which the court asked to open secondary proceedings will have regard to Article 38(2) of the EIR Recast, which provides that the court should not allow secondary proceedings to be opened if the undertaking adequately protects the general interests of local creditors. The Insolvency Practitioner can promise to apply the relevant foreign laws that would apply if formal secondary proceedings had been taken out. Allowing for such “virtual” secondary proceedings to exist instead of “real” secondary proceeds meets the needs of creditors, who can enjoy the application of a law they expected, and reduces the costs of actually opening “real” secondary proceedings. Second, </w:t>
      </w:r>
      <w:r w:rsidR="00A47382">
        <w:rPr>
          <w:rFonts w:ascii="Avenir Next" w:hAnsi="Avenir Next" w:cs="Arial"/>
          <w:color w:val="7B7B7B" w:themeColor="accent3" w:themeShade="BF"/>
          <w:sz w:val="22"/>
          <w:szCs w:val="22"/>
        </w:rPr>
        <w:t>under Article 38(3) of the EIR Recast, the Insolvency Practitioner of the main proceedings can make a request for a stay of secondary proceedings when a stay of individual enforcement proceedings has been granted in the main insolvency proceedings</w:t>
      </w:r>
      <w:r w:rsidR="00E843C1">
        <w:rPr>
          <w:rFonts w:ascii="Avenir Next" w:hAnsi="Avenir Next" w:cs="Arial"/>
          <w:color w:val="7B7B7B" w:themeColor="accent3" w:themeShade="BF"/>
          <w:sz w:val="22"/>
          <w:szCs w:val="22"/>
        </w:rPr>
        <w:t>. Such an application can be procedurally faster than the recognition of an undertaking. The discretionary stay, if granted, has the effect of temporarily freezing the secondary proceedings for three months.</w:t>
      </w:r>
      <w:r>
        <w:rPr>
          <w:rFonts w:ascii="Avenir Next" w:hAnsi="Avenir Next" w:cs="Arial"/>
          <w:color w:val="7B7B7B" w:themeColor="accent3" w:themeShade="BF"/>
          <w:sz w:val="22"/>
          <w:szCs w:val="22"/>
        </w:rPr>
        <w:t>]</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5ADCF95" w14:textId="7604752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61372C">
        <w:rPr>
          <w:rFonts w:ascii="Avenir Next" w:hAnsi="Avenir Next" w:cs="Arial"/>
          <w:color w:val="7B7B7B" w:themeColor="accent3" w:themeShade="BF"/>
          <w:sz w:val="22"/>
          <w:szCs w:val="22"/>
        </w:rPr>
        <w:t xml:space="preserve">First, </w:t>
      </w:r>
      <w:r w:rsidR="00A76B5E">
        <w:rPr>
          <w:rFonts w:ascii="Avenir Next" w:hAnsi="Avenir Next" w:cs="Arial"/>
          <w:color w:val="7B7B7B" w:themeColor="accent3" w:themeShade="BF"/>
          <w:sz w:val="22"/>
          <w:szCs w:val="22"/>
        </w:rPr>
        <w:t>the Commission identified the scope of the Regulation as needing revision. R</w:t>
      </w:r>
      <w:r w:rsidR="0061372C">
        <w:rPr>
          <w:rFonts w:ascii="Avenir Next" w:hAnsi="Avenir Next" w:cs="Arial"/>
          <w:color w:val="7B7B7B" w:themeColor="accent3" w:themeShade="BF"/>
          <w:sz w:val="22"/>
          <w:szCs w:val="22"/>
        </w:rPr>
        <w:t xml:space="preserve">evision was needed as the </w:t>
      </w:r>
      <w:r w:rsidR="00A76B5E">
        <w:rPr>
          <w:rFonts w:ascii="Avenir Next" w:hAnsi="Avenir Next" w:cs="Arial"/>
          <w:color w:val="7B7B7B" w:themeColor="accent3" w:themeShade="BF"/>
          <w:sz w:val="22"/>
          <w:szCs w:val="22"/>
        </w:rPr>
        <w:t>advent of new interim, pre-insolvency, and hybrid proceedings meant that the EIR 2000 was not equipped to encompass these new types of proceedings and did not apply to them, which can hamper efforts to rescue companies. Second, the use of COMI was noted to be of great importance but brought about some practical issues as the Courts of the Member States were not always consistently applying presumptions or carrying out comprehensive analysis.</w:t>
      </w:r>
      <w:r w:rsidR="00BC50C5">
        <w:rPr>
          <w:rFonts w:ascii="Avenir Next" w:hAnsi="Avenir Next" w:cs="Arial"/>
          <w:color w:val="7B7B7B" w:themeColor="accent3" w:themeShade="BF"/>
          <w:sz w:val="22"/>
          <w:szCs w:val="22"/>
        </w:rPr>
        <w:t xml:space="preserve"> Third, the Commission recognized that there existed some uncertainty in relation to the operation of the exceptions to the lex fori principle. Fourth, greater clarity was needed in ascertaining when the opening of insolvency proceedings occurred. Fifth, greater coordination between main and secondary proceedings was required, as in practice the secondary proceedings were not used as a tool for supporting the main proceedings and there was no provision allowing the competent court to refuse to open secondary proceedings if contrary to the interests of creditors. There was also a need to implement less vague duties of cooperation and communication of information. Sixth, the EIR 2000 was not equipped to deal with cross-border insolvencies of groups of companies and was only concerned with single legal entities.</w:t>
      </w:r>
    </w:p>
    <w:p w14:paraId="1176503D" w14:textId="77777777" w:rsidR="0061372C" w:rsidRDefault="0061372C"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79A1FFA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w:t>
      </w:r>
      <w:r w:rsidR="0061372C">
        <w:rPr>
          <w:rFonts w:ascii="Avenir Next" w:hAnsi="Avenir Next" w:cs="Arial"/>
          <w:color w:val="7B7B7B" w:themeColor="accent3" w:themeShade="BF"/>
          <w:sz w:val="22"/>
          <w:szCs w:val="22"/>
        </w:rPr>
        <w:t>According to the Virgos-Schmit Report, the use of COMI as an autonomous concept</w:t>
      </w:r>
      <w:r w:rsidR="00BC50C5">
        <w:rPr>
          <w:rFonts w:ascii="Avenir Next" w:hAnsi="Avenir Next" w:cs="Arial"/>
          <w:color w:val="7B7B7B" w:themeColor="accent3" w:themeShade="BF"/>
          <w:sz w:val="22"/>
          <w:szCs w:val="22"/>
        </w:rPr>
        <w:t xml:space="preserve"> is praised as it</w:t>
      </w:r>
      <w:r w:rsidR="0061372C">
        <w:rPr>
          <w:rFonts w:ascii="Avenir Next" w:hAnsi="Avenir Next" w:cs="Arial"/>
          <w:color w:val="7B7B7B" w:themeColor="accent3" w:themeShade="BF"/>
          <w:sz w:val="22"/>
          <w:szCs w:val="22"/>
        </w:rPr>
        <w:t xml:space="preserve"> brings </w:t>
      </w:r>
      <w:r w:rsidR="00BC50C5">
        <w:rPr>
          <w:rFonts w:ascii="Avenir Next" w:hAnsi="Avenir Next" w:cs="Arial"/>
          <w:color w:val="7B7B7B" w:themeColor="accent3" w:themeShade="BF"/>
          <w:sz w:val="22"/>
          <w:szCs w:val="22"/>
        </w:rPr>
        <w:t>practical certainty as the applicable law is that of the country with which the debtor has the most genuine connection. Creditors can therefore more accurately factor in the risk of insolvency and are more likely to be familiar with the relevant law. However, a shortcoming of the COMI concept is that it is unclear and cannot provide basis for fashioning a reliable test in practice. There is no clear definition and guidance must be sought from the CJEU.</w:t>
      </w:r>
      <w:r>
        <w:rPr>
          <w:rFonts w:ascii="Avenir Next" w:hAnsi="Avenir Next" w:cs="Arial"/>
          <w:color w:val="7B7B7B" w:themeColor="accent3" w:themeShade="BF"/>
          <w:sz w:val="22"/>
          <w:szCs w:val="22"/>
        </w:rPr>
        <w:t>]</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3C3D8F4A"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BA4178">
        <w:rPr>
          <w:rFonts w:ascii="Avenir Next" w:hAnsi="Avenir Next" w:cs="Arial"/>
          <w:color w:val="7B7B7B" w:themeColor="accent3" w:themeShade="BF"/>
          <w:sz w:val="22"/>
          <w:szCs w:val="22"/>
        </w:rPr>
        <w:t xml:space="preserve">First, the Directive is addressed towards </w:t>
      </w:r>
      <w:bookmarkStart w:id="0" w:name="_Hlk159878366"/>
      <w:r w:rsidR="00BA4178">
        <w:rPr>
          <w:rFonts w:ascii="Avenir Next" w:hAnsi="Avenir Next" w:cs="Arial"/>
          <w:color w:val="7B7B7B" w:themeColor="accent3" w:themeShade="BF"/>
          <w:sz w:val="22"/>
          <w:szCs w:val="22"/>
        </w:rPr>
        <w:t>preventative restructuring procedures</w:t>
      </w:r>
      <w:bookmarkEnd w:id="0"/>
      <w:r w:rsidR="00BA4178">
        <w:rPr>
          <w:rFonts w:ascii="Avenir Next" w:hAnsi="Avenir Next" w:cs="Arial"/>
          <w:color w:val="7B7B7B" w:themeColor="accent3" w:themeShade="BF"/>
          <w:sz w:val="22"/>
          <w:szCs w:val="22"/>
        </w:rPr>
        <w:t>, whereas the EIR Recast is addressed towards both preventative restructuring procedures and other interim proceedings, as well as insolvency proceedings.</w:t>
      </w:r>
      <w:r w:rsidR="007D46A7">
        <w:rPr>
          <w:rFonts w:ascii="Avenir Next" w:hAnsi="Avenir Next" w:cs="Arial"/>
          <w:color w:val="7B7B7B" w:themeColor="accent3" w:themeShade="BF"/>
          <w:sz w:val="22"/>
          <w:szCs w:val="22"/>
        </w:rPr>
        <w:t xml:space="preserve"> The Directive is therefore focused more on rescue and providing tools that promotes preventative measures. Second, within the sphere of </w:t>
      </w:r>
      <w:r w:rsidR="007D46A7">
        <w:rPr>
          <w:rFonts w:ascii="Avenir Next" w:hAnsi="Avenir Next" w:cs="Arial"/>
          <w:color w:val="7B7B7B" w:themeColor="accent3" w:themeShade="BF"/>
          <w:sz w:val="22"/>
          <w:szCs w:val="22"/>
        </w:rPr>
        <w:t>preventative restructuring procedures</w:t>
      </w:r>
      <w:r w:rsidR="007D46A7">
        <w:rPr>
          <w:rFonts w:ascii="Avenir Next" w:hAnsi="Avenir Next" w:cs="Arial"/>
          <w:color w:val="7B7B7B" w:themeColor="accent3" w:themeShade="BF"/>
          <w:sz w:val="22"/>
          <w:szCs w:val="22"/>
        </w:rPr>
        <w:t>, the Directive provides narrow substantive law as opposed to the EIR Recast’s procedural framework. It establishes minimum standards for mechanisms to be implemented by the Member States.</w:t>
      </w:r>
      <w:r>
        <w:rPr>
          <w:rFonts w:ascii="Avenir Next" w:hAnsi="Avenir Next" w:cs="Arial"/>
          <w:color w:val="7B7B7B" w:themeColor="accent3" w:themeShade="BF"/>
          <w:sz w:val="22"/>
          <w:szCs w:val="22"/>
        </w:rPr>
        <w:t>]</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r>
        <w:rPr>
          <w:rFonts w:ascii="Avenir Next" w:hAnsi="Avenir Next" w:cs="Arial"/>
          <w:sz w:val="22"/>
          <w:szCs w:val="22"/>
          <w:lang w:val="en-GB"/>
        </w:rPr>
        <w:t>Dinosaurus</w:t>
      </w:r>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Flèche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r>
        <w:rPr>
          <w:rFonts w:ascii="Avenir Next" w:hAnsi="Avenir Next" w:cs="Arial"/>
          <w:sz w:val="22"/>
          <w:szCs w:val="22"/>
          <w:lang w:val="en-GB"/>
        </w:rPr>
        <w:t>Dinosaurus</w:t>
      </w:r>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r>
        <w:rPr>
          <w:rFonts w:ascii="Avenir Next" w:hAnsi="Avenir Next" w:cs="Arial"/>
          <w:sz w:val="22"/>
          <w:szCs w:val="22"/>
          <w:lang w:val="en-GB"/>
        </w:rPr>
        <w:t>Dinosaurus</w:t>
      </w:r>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1"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0F93024D"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A14FB8">
        <w:rPr>
          <w:rFonts w:ascii="Avenir Next" w:hAnsi="Avenir Next" w:cs="Arial"/>
          <w:color w:val="7B7B7B" w:themeColor="accent3" w:themeShade="BF"/>
          <w:sz w:val="22"/>
          <w:szCs w:val="22"/>
        </w:rPr>
        <w:t xml:space="preserve">The EIR 2000 does not apply to the case. Unlike the EIR Recast, which has an expanded scope of application to interim proceedings, the EIR 2000 mentions only insolvency proceedings which entail partial or total divestment of a debtor and the appointment of a liquidator under Article 1. The French </w:t>
      </w:r>
      <w:r w:rsidR="00A14FB8" w:rsidRPr="00A14FB8">
        <w:rPr>
          <w:rFonts w:ascii="Avenir Next" w:hAnsi="Avenir Next" w:cs="Arial"/>
          <w:color w:val="7B7B7B" w:themeColor="accent3" w:themeShade="BF"/>
          <w:sz w:val="22"/>
          <w:szCs w:val="22"/>
        </w:rPr>
        <w:t>sauvegarde financière accélérée</w:t>
      </w:r>
      <w:r w:rsidR="00A14FB8">
        <w:rPr>
          <w:rFonts w:ascii="Avenir Next" w:hAnsi="Avenir Next" w:cs="Arial"/>
          <w:color w:val="7B7B7B" w:themeColor="accent3" w:themeShade="BF"/>
          <w:sz w:val="22"/>
          <w:szCs w:val="22"/>
        </w:rPr>
        <w:t xml:space="preserve"> was not included in Annex A.</w:t>
      </w:r>
      <w:r>
        <w:rPr>
          <w:rFonts w:ascii="Avenir Next" w:hAnsi="Avenir Next" w:cs="Arial"/>
          <w:color w:val="7B7B7B" w:themeColor="accent3" w:themeShade="BF"/>
          <w:sz w:val="22"/>
          <w:szCs w:val="22"/>
        </w:rPr>
        <w:t>]</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782DEAFA"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A14FB8">
        <w:rPr>
          <w:rFonts w:ascii="Avenir Next" w:hAnsi="Avenir Next" w:cs="Arial"/>
          <w:color w:val="7B7B7B" w:themeColor="accent3" w:themeShade="BF"/>
          <w:sz w:val="22"/>
          <w:szCs w:val="22"/>
        </w:rPr>
        <w:t>The EIR Recast is applicable to the proceedings. The French safeguard proceedings are listed under Annex A of the EIR Recast. It therefore falls within the material scope under Articles 1 and 2 of the EIR Recast. It is a public collective interim proceeding. The application was made in 20 June 2023, and the decision to open was made on 23 June 2023. The proceedings were therefore opened after the indicated date of 26 June 2017 (Article 92 of the EIR Recast). Dinosaurus SARL does not fall under any of the excluded categories of debtors (for example, it is not an insurance undertaking</w:t>
      </w:r>
      <w:r w:rsidR="000259A6">
        <w:rPr>
          <w:rFonts w:ascii="Avenir Next" w:hAnsi="Avenir Next" w:cs="Arial"/>
          <w:color w:val="7B7B7B" w:themeColor="accent3" w:themeShade="BF"/>
          <w:sz w:val="22"/>
          <w:szCs w:val="22"/>
        </w:rPr>
        <w:t xml:space="preserve"> or bank</w:t>
      </w:r>
      <w:r w:rsidR="00A14FB8">
        <w:rPr>
          <w:rFonts w:ascii="Avenir Next" w:hAnsi="Avenir Next" w:cs="Arial"/>
          <w:color w:val="7B7B7B" w:themeColor="accent3" w:themeShade="BF"/>
          <w:sz w:val="22"/>
          <w:szCs w:val="22"/>
        </w:rPr>
        <w:t>).</w:t>
      </w:r>
      <w:r w:rsidR="000259A6">
        <w:rPr>
          <w:rFonts w:ascii="Avenir Next" w:hAnsi="Avenir Next" w:cs="Arial"/>
          <w:color w:val="7B7B7B" w:themeColor="accent3" w:themeShade="BF"/>
          <w:sz w:val="22"/>
          <w:szCs w:val="22"/>
        </w:rPr>
        <w:t xml:space="preserve"> The COMI, which is presumed to be France, is a Member State that is not Denmark.</w:t>
      </w:r>
      <w:r w:rsidR="004852B3">
        <w:rPr>
          <w:rFonts w:ascii="Avenir Next" w:hAnsi="Avenir Next" w:cs="Arial"/>
          <w:color w:val="7B7B7B" w:themeColor="accent3" w:themeShade="BF"/>
          <w:sz w:val="22"/>
          <w:szCs w:val="22"/>
        </w:rPr>
        <w:t xml:space="preserve"> The EIR Recast therefore applies.</w:t>
      </w:r>
      <w:r>
        <w:rPr>
          <w:rFonts w:ascii="Avenir Next" w:hAnsi="Avenir Next" w:cs="Arial"/>
          <w:color w:val="7B7B7B" w:themeColor="accent3" w:themeShade="BF"/>
          <w:sz w:val="22"/>
          <w:szCs w:val="22"/>
        </w:rPr>
        <w:t>]</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1"/>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0E2F947A"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4852B3">
        <w:rPr>
          <w:rFonts w:ascii="Avenir Next" w:hAnsi="Avenir Next" w:cs="Arial"/>
          <w:color w:val="7B7B7B" w:themeColor="accent3" w:themeShade="BF"/>
          <w:sz w:val="22"/>
          <w:szCs w:val="22"/>
        </w:rPr>
        <w:t xml:space="preserve">Secondary proceedings cannot be opened in </w:t>
      </w:r>
      <w:r w:rsidR="004852B3" w:rsidRPr="004852B3">
        <w:rPr>
          <w:rFonts w:ascii="Avenir Next" w:hAnsi="Avenir Next" w:cs="Arial"/>
          <w:b/>
          <w:bCs/>
          <w:color w:val="7B7B7B" w:themeColor="accent3" w:themeShade="BF"/>
          <w:sz w:val="22"/>
          <w:szCs w:val="22"/>
        </w:rPr>
        <w:t>Italy</w:t>
      </w:r>
      <w:r w:rsidR="004852B3">
        <w:rPr>
          <w:rFonts w:ascii="Avenir Next" w:hAnsi="Avenir Next" w:cs="Arial"/>
          <w:color w:val="7B7B7B" w:themeColor="accent3" w:themeShade="BF"/>
          <w:sz w:val="22"/>
          <w:szCs w:val="22"/>
        </w:rPr>
        <w:t xml:space="preserve"> because Dinosaurus SARL has no link whatsoever with Italy. Pursuant to Article 3(2), secondary proceedings can only be commenced in a Member State other than the Member State of the main proceedings where the debtor, </w:t>
      </w:r>
      <w:r w:rsidR="004852B3">
        <w:rPr>
          <w:rFonts w:ascii="Avenir Next" w:hAnsi="Avenir Next" w:cs="Arial"/>
          <w:color w:val="7B7B7B" w:themeColor="accent3" w:themeShade="BF"/>
          <w:sz w:val="22"/>
          <w:szCs w:val="22"/>
        </w:rPr>
        <w:t>Dinosaurus SARL</w:t>
      </w:r>
      <w:r w:rsidR="004852B3">
        <w:rPr>
          <w:rFonts w:ascii="Avenir Next" w:hAnsi="Avenir Next" w:cs="Arial"/>
          <w:color w:val="7B7B7B" w:themeColor="accent3" w:themeShade="BF"/>
          <w:sz w:val="22"/>
          <w:szCs w:val="22"/>
        </w:rPr>
        <w:t>, possesses an establishment within the territory of the other Member State. Under Article 2(10), an “establishment” is “</w:t>
      </w:r>
      <w:r w:rsidR="004852B3" w:rsidRPr="004852B3">
        <w:rPr>
          <w:rFonts w:ascii="Avenir Next" w:hAnsi="Avenir Next" w:cs="Arial"/>
          <w:color w:val="7B7B7B" w:themeColor="accent3" w:themeShade="BF"/>
          <w:sz w:val="22"/>
          <w:szCs w:val="22"/>
        </w:rPr>
        <w:t>any place of operations where a debtor carries out or has carried out in the 3-month period prior to the request to open main insolvency proceedings a non-transitory economic activity with human means and assets</w:t>
      </w:r>
      <w:r w:rsidR="004852B3">
        <w:rPr>
          <w:rFonts w:ascii="Avenir Next" w:hAnsi="Avenir Next" w:cs="Arial"/>
          <w:color w:val="7B7B7B" w:themeColor="accent3" w:themeShade="BF"/>
          <w:sz w:val="22"/>
          <w:szCs w:val="22"/>
        </w:rPr>
        <w:t xml:space="preserve">”. Per the CJEU in </w:t>
      </w:r>
      <w:r w:rsidR="004852B3" w:rsidRPr="004852B3">
        <w:rPr>
          <w:rFonts w:ascii="Avenir Next" w:hAnsi="Avenir Next" w:cs="Arial"/>
          <w:i/>
          <w:iCs/>
          <w:color w:val="7B7B7B" w:themeColor="accent3" w:themeShade="BF"/>
          <w:sz w:val="22"/>
          <w:szCs w:val="22"/>
        </w:rPr>
        <w:t>Interedil</w:t>
      </w:r>
      <w:r w:rsidR="004852B3">
        <w:rPr>
          <w:rFonts w:ascii="Avenir Next" w:hAnsi="Avenir Next" w:cs="Arial"/>
          <w:color w:val="7B7B7B" w:themeColor="accent3" w:themeShade="BF"/>
          <w:sz w:val="22"/>
          <w:szCs w:val="22"/>
        </w:rPr>
        <w:t xml:space="preserve">, there needs to be the pursuit of an economic activity and the presence of human resources, for a minimum level of organization and a degree of stability. Mere presence of goods or bank accounts is insufficient to show that there is an “establishment”. As there is no link whatsoever with Italy, secondary proceedings cannot be opened under the EIR Recast. In the case of </w:t>
      </w:r>
      <w:r w:rsidR="004852B3" w:rsidRPr="004852B3">
        <w:rPr>
          <w:rFonts w:ascii="Avenir Next" w:hAnsi="Avenir Next" w:cs="Arial"/>
          <w:b/>
          <w:bCs/>
          <w:color w:val="7B7B7B" w:themeColor="accent3" w:themeShade="BF"/>
          <w:sz w:val="22"/>
          <w:szCs w:val="22"/>
        </w:rPr>
        <w:t>Spain</w:t>
      </w:r>
      <w:r w:rsidR="004852B3">
        <w:rPr>
          <w:rFonts w:ascii="Avenir Next" w:hAnsi="Avenir Next" w:cs="Arial"/>
          <w:color w:val="7B7B7B" w:themeColor="accent3" w:themeShade="BF"/>
          <w:sz w:val="22"/>
          <w:szCs w:val="22"/>
        </w:rPr>
        <w:t>, the existence of a warehouse and the opening of bank accounts does not alone show “establishment”.</w:t>
      </w:r>
      <w:r>
        <w:rPr>
          <w:rFonts w:ascii="Avenir Next" w:hAnsi="Avenir Next" w:cs="Arial"/>
          <w:color w:val="7B7B7B" w:themeColor="accent3" w:themeShade="BF"/>
          <w:sz w:val="22"/>
          <w:szCs w:val="22"/>
        </w:rPr>
        <w:t>]</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4F6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23A4" w14:textId="77777777" w:rsidR="00734F61" w:rsidRDefault="00734F61" w:rsidP="00241B44">
      <w:r>
        <w:separator/>
      </w:r>
    </w:p>
  </w:endnote>
  <w:endnote w:type="continuationSeparator" w:id="0">
    <w:p w14:paraId="6301A4F9" w14:textId="77777777" w:rsidR="00734F61" w:rsidRDefault="00734F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412BE4EA" w:rsidR="00D509A5" w:rsidRPr="005418A0" w:rsidRDefault="00601BAB" w:rsidP="009B4976">
    <w:pPr>
      <w:pStyle w:val="Footer"/>
      <w:ind w:right="360"/>
      <w:rPr>
        <w:rFonts w:ascii="Avenir Next" w:hAnsi="Avenir Next" w:cs="Arial"/>
        <w:sz w:val="22"/>
        <w:szCs w:val="22"/>
        <w:lang w:val="en-GB"/>
      </w:rPr>
    </w:pPr>
    <w:r w:rsidRPr="00601BAB">
      <w:rPr>
        <w:rFonts w:ascii="Avenir Next" w:hAnsi="Avenir Next" w:cs="Arial"/>
        <w:sz w:val="22"/>
        <w:szCs w:val="22"/>
        <w:lang w:val="en-GB"/>
      </w:rPr>
      <w:t>FC202324-1376</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AF0B" w14:textId="77777777" w:rsidR="00734F61" w:rsidRDefault="00734F61" w:rsidP="00241B44">
      <w:r>
        <w:separator/>
      </w:r>
    </w:p>
  </w:footnote>
  <w:footnote w:type="continuationSeparator" w:id="0">
    <w:p w14:paraId="2ECFEFF2" w14:textId="77777777" w:rsidR="00734F61" w:rsidRDefault="00734F6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1"/>
  </w:num>
  <w:num w:numId="34" w16cid:durableId="10316858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59A6"/>
    <w:rsid w:val="00026F16"/>
    <w:rsid w:val="00037621"/>
    <w:rsid w:val="00041B32"/>
    <w:rsid w:val="00044D46"/>
    <w:rsid w:val="00045088"/>
    <w:rsid w:val="00045904"/>
    <w:rsid w:val="000549D9"/>
    <w:rsid w:val="00054E15"/>
    <w:rsid w:val="00065166"/>
    <w:rsid w:val="000756D2"/>
    <w:rsid w:val="00082609"/>
    <w:rsid w:val="00084AA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34342"/>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C7962"/>
    <w:rsid w:val="001D0469"/>
    <w:rsid w:val="001D4862"/>
    <w:rsid w:val="001D6E1C"/>
    <w:rsid w:val="001E25B9"/>
    <w:rsid w:val="001E49E0"/>
    <w:rsid w:val="001E5F8A"/>
    <w:rsid w:val="001E7B5A"/>
    <w:rsid w:val="001F7412"/>
    <w:rsid w:val="00202DFE"/>
    <w:rsid w:val="00203720"/>
    <w:rsid w:val="0020725B"/>
    <w:rsid w:val="002110F1"/>
    <w:rsid w:val="00222FB5"/>
    <w:rsid w:val="0023231E"/>
    <w:rsid w:val="0024116D"/>
    <w:rsid w:val="00241B44"/>
    <w:rsid w:val="00241FA3"/>
    <w:rsid w:val="00244C44"/>
    <w:rsid w:val="00245EFB"/>
    <w:rsid w:val="0025386E"/>
    <w:rsid w:val="002638B0"/>
    <w:rsid w:val="0026647A"/>
    <w:rsid w:val="002668D3"/>
    <w:rsid w:val="00270CB0"/>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27AB"/>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852B3"/>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06A"/>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1BAB"/>
    <w:rsid w:val="006048C0"/>
    <w:rsid w:val="00610388"/>
    <w:rsid w:val="00611DE6"/>
    <w:rsid w:val="00612CA5"/>
    <w:rsid w:val="0061372C"/>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34F61"/>
    <w:rsid w:val="00745D6F"/>
    <w:rsid w:val="00751788"/>
    <w:rsid w:val="007603F5"/>
    <w:rsid w:val="00764DB0"/>
    <w:rsid w:val="0076764D"/>
    <w:rsid w:val="0077498C"/>
    <w:rsid w:val="007766DA"/>
    <w:rsid w:val="007772BD"/>
    <w:rsid w:val="007809BC"/>
    <w:rsid w:val="00782DF0"/>
    <w:rsid w:val="00782EE1"/>
    <w:rsid w:val="00784128"/>
    <w:rsid w:val="0078463C"/>
    <w:rsid w:val="00793173"/>
    <w:rsid w:val="007A107A"/>
    <w:rsid w:val="007A2A33"/>
    <w:rsid w:val="007A6B8D"/>
    <w:rsid w:val="007A7B20"/>
    <w:rsid w:val="007B6275"/>
    <w:rsid w:val="007C1FCC"/>
    <w:rsid w:val="007C50AA"/>
    <w:rsid w:val="007C6201"/>
    <w:rsid w:val="007D46A7"/>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5333"/>
    <w:rsid w:val="008B6223"/>
    <w:rsid w:val="008C1791"/>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4FB8"/>
    <w:rsid w:val="00A17858"/>
    <w:rsid w:val="00A2274A"/>
    <w:rsid w:val="00A235B7"/>
    <w:rsid w:val="00A27A7A"/>
    <w:rsid w:val="00A33FA6"/>
    <w:rsid w:val="00A407EF"/>
    <w:rsid w:val="00A46B4C"/>
    <w:rsid w:val="00A47382"/>
    <w:rsid w:val="00A50055"/>
    <w:rsid w:val="00A5117B"/>
    <w:rsid w:val="00A54CB5"/>
    <w:rsid w:val="00A60074"/>
    <w:rsid w:val="00A620A6"/>
    <w:rsid w:val="00A62FDA"/>
    <w:rsid w:val="00A6627C"/>
    <w:rsid w:val="00A71019"/>
    <w:rsid w:val="00A76B5E"/>
    <w:rsid w:val="00A81029"/>
    <w:rsid w:val="00A83E9F"/>
    <w:rsid w:val="00A96489"/>
    <w:rsid w:val="00AA55B5"/>
    <w:rsid w:val="00AA7F2F"/>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331F"/>
    <w:rsid w:val="00B070D2"/>
    <w:rsid w:val="00B12499"/>
    <w:rsid w:val="00B12EF7"/>
    <w:rsid w:val="00B137B0"/>
    <w:rsid w:val="00B14819"/>
    <w:rsid w:val="00B15E2F"/>
    <w:rsid w:val="00B17AA9"/>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4178"/>
    <w:rsid w:val="00BA543A"/>
    <w:rsid w:val="00BB0F2B"/>
    <w:rsid w:val="00BB38D1"/>
    <w:rsid w:val="00BC50C5"/>
    <w:rsid w:val="00BD73DA"/>
    <w:rsid w:val="00BE4BFD"/>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2E32"/>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147"/>
    <w:rsid w:val="00CB7CAC"/>
    <w:rsid w:val="00CC5335"/>
    <w:rsid w:val="00CC5BA4"/>
    <w:rsid w:val="00CD4998"/>
    <w:rsid w:val="00CE1035"/>
    <w:rsid w:val="00CE4206"/>
    <w:rsid w:val="00CE6E50"/>
    <w:rsid w:val="00CF0F57"/>
    <w:rsid w:val="00CF1AF7"/>
    <w:rsid w:val="00CF2819"/>
    <w:rsid w:val="00CF4F9D"/>
    <w:rsid w:val="00CF70DC"/>
    <w:rsid w:val="00D006C1"/>
    <w:rsid w:val="00D148DC"/>
    <w:rsid w:val="00D17FDC"/>
    <w:rsid w:val="00D21F62"/>
    <w:rsid w:val="00D24871"/>
    <w:rsid w:val="00D26E26"/>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C4821"/>
    <w:rsid w:val="00DD0802"/>
    <w:rsid w:val="00DD1686"/>
    <w:rsid w:val="00DD2E11"/>
    <w:rsid w:val="00DD47EF"/>
    <w:rsid w:val="00DE03AF"/>
    <w:rsid w:val="00DE121C"/>
    <w:rsid w:val="00DE6633"/>
    <w:rsid w:val="00DF0864"/>
    <w:rsid w:val="00DF75F8"/>
    <w:rsid w:val="00DF7A3A"/>
    <w:rsid w:val="00E00C00"/>
    <w:rsid w:val="00E03AF0"/>
    <w:rsid w:val="00E07C01"/>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843C1"/>
    <w:rsid w:val="00E90991"/>
    <w:rsid w:val="00E909F0"/>
    <w:rsid w:val="00E90D47"/>
    <w:rsid w:val="00E93993"/>
    <w:rsid w:val="00E9597C"/>
    <w:rsid w:val="00EA0913"/>
    <w:rsid w:val="00EA14EE"/>
    <w:rsid w:val="00EA5B00"/>
    <w:rsid w:val="00EB146B"/>
    <w:rsid w:val="00EB45AC"/>
    <w:rsid w:val="00EB47AD"/>
    <w:rsid w:val="00EB5CA4"/>
    <w:rsid w:val="00EC00F9"/>
    <w:rsid w:val="00EC0181"/>
    <w:rsid w:val="00EC242E"/>
    <w:rsid w:val="00ED0BC4"/>
    <w:rsid w:val="00ED20E8"/>
    <w:rsid w:val="00ED472A"/>
    <w:rsid w:val="00ED54B6"/>
    <w:rsid w:val="00ED5F37"/>
    <w:rsid w:val="00EE4971"/>
    <w:rsid w:val="00EF090E"/>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Ng</cp:lastModifiedBy>
  <cp:revision>25</cp:revision>
  <cp:lastPrinted>2019-08-27T05:42:00Z</cp:lastPrinted>
  <dcterms:created xsi:type="dcterms:W3CDTF">2024-02-26T09:07:00Z</dcterms:created>
  <dcterms:modified xsi:type="dcterms:W3CDTF">2024-02-26T14:37:00Z</dcterms:modified>
</cp:coreProperties>
</file>