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PargrafodaLista"/>
        <w:ind w:left="426"/>
        <w:jc w:val="both"/>
        <w:rPr>
          <w:rFonts w:ascii="Avenir Next" w:hAnsi="Avenir Next" w:cs="Arial"/>
          <w:sz w:val="22"/>
          <w:szCs w:val="22"/>
          <w:lang w:val="en-GB"/>
        </w:rPr>
      </w:pPr>
    </w:p>
    <w:p w14:paraId="05419608" w14:textId="77777777" w:rsidR="00F746D8" w:rsidRPr="008E3C96" w:rsidRDefault="00F746D8" w:rsidP="00F746D8">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PargrafodaLista"/>
        <w:ind w:left="426"/>
        <w:jc w:val="both"/>
        <w:rPr>
          <w:rFonts w:ascii="Avenir Next" w:hAnsi="Avenir Next" w:cs="Arial"/>
          <w:sz w:val="22"/>
          <w:szCs w:val="22"/>
          <w:lang w:val="en-GB"/>
        </w:rPr>
      </w:pPr>
    </w:p>
    <w:p w14:paraId="780CB84D" w14:textId="77777777" w:rsidR="00F746D8" w:rsidRPr="008E3C96" w:rsidRDefault="00F746D8" w:rsidP="00F746D8">
      <w:pPr>
        <w:pStyle w:val="PargrafodaLista"/>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PargrafodaLista"/>
        <w:ind w:left="426"/>
        <w:jc w:val="both"/>
        <w:rPr>
          <w:rFonts w:ascii="Avenir Next" w:hAnsi="Avenir Next" w:cs="Arial"/>
          <w:sz w:val="22"/>
          <w:szCs w:val="22"/>
          <w:lang w:val="en-GB"/>
        </w:rPr>
      </w:pPr>
    </w:p>
    <w:p w14:paraId="04E0EF03" w14:textId="77777777" w:rsidR="00F746D8" w:rsidRPr="0018519F" w:rsidRDefault="00F746D8" w:rsidP="00F746D8">
      <w:pPr>
        <w:pStyle w:val="PargrafodaLista"/>
        <w:numPr>
          <w:ilvl w:val="0"/>
          <w:numId w:val="26"/>
        </w:numPr>
        <w:ind w:left="426"/>
        <w:jc w:val="both"/>
        <w:rPr>
          <w:rFonts w:ascii="Avenir Next" w:hAnsi="Avenir Next" w:cs="Arial"/>
          <w:sz w:val="22"/>
          <w:szCs w:val="22"/>
          <w:highlight w:val="yellow"/>
          <w:lang w:val="en-GB"/>
        </w:rPr>
      </w:pPr>
      <w:r w:rsidRPr="0018519F">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18519F" w:rsidRDefault="00F746D8" w:rsidP="00F746D8">
      <w:pPr>
        <w:pStyle w:val="PargrafodaLista"/>
        <w:numPr>
          <w:ilvl w:val="0"/>
          <w:numId w:val="3"/>
        </w:numPr>
        <w:ind w:left="426"/>
        <w:jc w:val="both"/>
        <w:rPr>
          <w:rFonts w:ascii="Avenir Next" w:hAnsi="Avenir Next" w:cs="Arial"/>
          <w:iCs/>
          <w:sz w:val="22"/>
          <w:szCs w:val="22"/>
          <w:highlight w:val="yellow"/>
          <w:lang w:val="en-GB"/>
        </w:rPr>
      </w:pPr>
      <w:r w:rsidRPr="0018519F">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PargrafodaLista"/>
        <w:ind w:left="426"/>
        <w:jc w:val="both"/>
        <w:rPr>
          <w:rFonts w:ascii="Avenir Next" w:hAnsi="Avenir Next" w:cs="Arial"/>
          <w:iCs/>
          <w:sz w:val="22"/>
          <w:szCs w:val="22"/>
          <w:lang w:val="en-GB"/>
        </w:rPr>
      </w:pPr>
    </w:p>
    <w:p w14:paraId="676F8887" w14:textId="77777777" w:rsidR="00F746D8" w:rsidRPr="00DE27FF" w:rsidRDefault="00F746D8" w:rsidP="00F746D8">
      <w:pPr>
        <w:pStyle w:val="Pargrafoda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DE27FF" w:rsidRDefault="00F746D8" w:rsidP="00F746D8">
      <w:pPr>
        <w:pStyle w:val="Pargrafoda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w:t>
      </w:r>
      <w:r>
        <w:rPr>
          <w:rFonts w:ascii="Avenir Next" w:hAnsi="Avenir Next" w:cs="Arial"/>
          <w:iCs/>
          <w:sz w:val="22"/>
          <w:szCs w:val="22"/>
          <w:lang w:val="en-GB"/>
        </w:rPr>
        <w:t xml:space="preserve"> and</w:t>
      </w:r>
      <w:r w:rsidRPr="00DE27FF">
        <w:rPr>
          <w:rFonts w:ascii="Avenir Next" w:hAnsi="Avenir Next" w:cs="Arial"/>
          <w:iCs/>
          <w:sz w:val="22"/>
          <w:szCs w:val="22"/>
          <w:lang w:val="en-GB"/>
        </w:rPr>
        <w:t xml:space="preserve"> are public.</w:t>
      </w:r>
    </w:p>
    <w:p w14:paraId="4A83C482" w14:textId="77777777" w:rsidR="00F746D8" w:rsidRPr="00DE27FF" w:rsidRDefault="00F746D8" w:rsidP="00F746D8">
      <w:pPr>
        <w:pStyle w:val="PargrafodaLista"/>
        <w:ind w:left="426"/>
        <w:jc w:val="both"/>
        <w:rPr>
          <w:rFonts w:ascii="Avenir Next" w:hAnsi="Avenir Next" w:cs="Arial"/>
          <w:iCs/>
          <w:sz w:val="22"/>
          <w:szCs w:val="22"/>
          <w:lang w:val="en-GB"/>
        </w:rPr>
      </w:pPr>
    </w:p>
    <w:p w14:paraId="3C1680F9" w14:textId="77777777" w:rsidR="00F746D8" w:rsidRPr="00DE27FF" w:rsidRDefault="00F746D8" w:rsidP="00F746D8">
      <w:pPr>
        <w:pStyle w:val="PargrafodaLista"/>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lastRenderedPageBreak/>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PargrafodaLista"/>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PargrafodaLista"/>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PargrafodaLista"/>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PargrafodaLista"/>
        <w:ind w:left="426"/>
        <w:jc w:val="both"/>
        <w:rPr>
          <w:rFonts w:ascii="Avenir Next" w:hAnsi="Avenir Next" w:cs="Arial"/>
          <w:iCs/>
          <w:sz w:val="22"/>
          <w:szCs w:val="22"/>
          <w:lang w:val="en-GB"/>
        </w:rPr>
      </w:pPr>
    </w:p>
    <w:p w14:paraId="3469FC75" w14:textId="77777777" w:rsidR="00F746D8" w:rsidRPr="00AF277F" w:rsidRDefault="00F746D8" w:rsidP="00F746D8">
      <w:pPr>
        <w:pStyle w:val="PargrafodaLista"/>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PargrafodaLista"/>
        <w:ind w:left="426"/>
        <w:jc w:val="both"/>
        <w:rPr>
          <w:rFonts w:ascii="Avenir Next" w:hAnsi="Avenir Next" w:cs="Arial"/>
          <w:iCs/>
          <w:sz w:val="22"/>
          <w:szCs w:val="22"/>
          <w:lang w:val="en-GB"/>
        </w:rPr>
      </w:pPr>
    </w:p>
    <w:p w14:paraId="6328E9AC" w14:textId="77777777" w:rsidR="00F746D8" w:rsidRPr="0018519F" w:rsidRDefault="00F746D8" w:rsidP="00F746D8">
      <w:pPr>
        <w:pStyle w:val="PargrafodaLista"/>
        <w:numPr>
          <w:ilvl w:val="0"/>
          <w:numId w:val="27"/>
        </w:numPr>
        <w:ind w:left="426"/>
        <w:jc w:val="both"/>
        <w:rPr>
          <w:rFonts w:ascii="Avenir Next" w:hAnsi="Avenir Next"/>
          <w:sz w:val="22"/>
          <w:highlight w:val="yellow"/>
          <w:lang w:val="en-GB"/>
        </w:rPr>
      </w:pPr>
      <w:r w:rsidRPr="0018519F">
        <w:rPr>
          <w:rFonts w:ascii="Avenir Next" w:hAnsi="Avenir Next"/>
          <w:sz w:val="22"/>
          <w:highlight w:val="yellow"/>
          <w:lang w:val="en-GB"/>
        </w:rPr>
        <w:t xml:space="preserve">The EIR 2000 </w:t>
      </w:r>
      <w:r w:rsidRPr="0018519F">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18519F">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18519F" w:rsidRDefault="00F746D8" w:rsidP="00F746D8">
      <w:pPr>
        <w:pStyle w:val="PargrafodaLista"/>
        <w:numPr>
          <w:ilvl w:val="0"/>
          <w:numId w:val="5"/>
        </w:numPr>
        <w:ind w:left="426"/>
        <w:jc w:val="both"/>
        <w:rPr>
          <w:rFonts w:ascii="Avenir Next" w:hAnsi="Avenir Next" w:cs="Arial"/>
          <w:sz w:val="22"/>
          <w:szCs w:val="22"/>
          <w:highlight w:val="yellow"/>
          <w:lang w:val="en-GB"/>
        </w:rPr>
      </w:pPr>
      <w:r w:rsidRPr="0018519F">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PargrafodaLista"/>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PargrafodaLista"/>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lastRenderedPageBreak/>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PargrafodaLista"/>
        <w:ind w:left="426"/>
        <w:jc w:val="both"/>
        <w:rPr>
          <w:rFonts w:ascii="Avenir Next" w:hAnsi="Avenir Next" w:cs="Arial"/>
          <w:sz w:val="22"/>
          <w:szCs w:val="22"/>
          <w:lang w:val="en-GB"/>
        </w:rPr>
      </w:pPr>
    </w:p>
    <w:p w14:paraId="54DF3437" w14:textId="20CAC8AA" w:rsidR="00F746D8" w:rsidRPr="0018519F" w:rsidRDefault="00F746D8" w:rsidP="00F746D8">
      <w:pPr>
        <w:pStyle w:val="PargrafodaLista"/>
        <w:numPr>
          <w:ilvl w:val="0"/>
          <w:numId w:val="28"/>
        </w:numPr>
        <w:ind w:left="426"/>
        <w:jc w:val="both"/>
        <w:rPr>
          <w:rFonts w:ascii="Avenir Next" w:hAnsi="Avenir Next" w:cs="Arial"/>
          <w:sz w:val="22"/>
          <w:szCs w:val="22"/>
          <w:highlight w:val="yellow"/>
          <w:lang w:val="en-GB"/>
        </w:rPr>
      </w:pPr>
      <w:r w:rsidRPr="0018519F">
        <w:rPr>
          <w:rFonts w:ascii="Avenir Next" w:hAnsi="Avenir Next" w:cs="Arial"/>
          <w:sz w:val="22"/>
          <w:szCs w:val="22"/>
          <w:highlight w:val="yellow"/>
          <w:lang w:val="en-GB"/>
        </w:rPr>
        <w:t>Article 3 states that the courts of the Member State within the territory of which the debtor has its centre of main</w:t>
      </w:r>
      <w:r w:rsidR="003E1D56" w:rsidRPr="0018519F">
        <w:rPr>
          <w:rFonts w:ascii="Avenir Next" w:hAnsi="Avenir Next" w:cs="Arial"/>
          <w:sz w:val="22"/>
          <w:szCs w:val="22"/>
          <w:highlight w:val="yellow"/>
          <w:lang w:val="en-GB"/>
        </w:rPr>
        <w:t xml:space="preserve"> interest</w:t>
      </w:r>
      <w:r w:rsidRPr="0018519F">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PargrafodaLista"/>
        <w:ind w:left="426"/>
        <w:jc w:val="both"/>
        <w:rPr>
          <w:rFonts w:ascii="Avenir Next" w:hAnsi="Avenir Next" w:cs="Arial"/>
          <w:sz w:val="22"/>
          <w:szCs w:val="22"/>
          <w:lang w:val="en-GB"/>
        </w:rPr>
      </w:pPr>
    </w:p>
    <w:p w14:paraId="4E7B7B16" w14:textId="77777777" w:rsidR="00F746D8" w:rsidRPr="008E3C96" w:rsidRDefault="00F746D8" w:rsidP="00F746D8">
      <w:pPr>
        <w:pStyle w:val="PargrafodaLista"/>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PargrafodaLista"/>
        <w:ind w:left="426"/>
        <w:jc w:val="both"/>
        <w:rPr>
          <w:rFonts w:ascii="Avenir Next" w:hAnsi="Avenir Next" w:cs="Arial"/>
          <w:sz w:val="22"/>
          <w:szCs w:val="22"/>
          <w:lang w:val="en-GB"/>
        </w:rPr>
      </w:pPr>
    </w:p>
    <w:p w14:paraId="644A958A" w14:textId="77777777" w:rsidR="00F746D8" w:rsidRPr="008E3C96" w:rsidRDefault="00F746D8" w:rsidP="00F746D8">
      <w:pPr>
        <w:pStyle w:val="PargrafodaLista"/>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PargrafodaLista"/>
        <w:ind w:left="426"/>
        <w:jc w:val="both"/>
        <w:rPr>
          <w:rFonts w:ascii="Avenir Next" w:hAnsi="Avenir Next" w:cs="Arial"/>
          <w:sz w:val="22"/>
          <w:szCs w:val="22"/>
          <w:lang w:val="en-GB"/>
        </w:rPr>
      </w:pPr>
    </w:p>
    <w:p w14:paraId="5E504FB7" w14:textId="77777777" w:rsidR="00F746D8" w:rsidRPr="008E3C96" w:rsidRDefault="00F746D8" w:rsidP="00F746D8">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Pr>
          <w:rFonts w:ascii="Avenir Next" w:hAnsi="Avenir Next" w:cs="Arial"/>
          <w:sz w:val="22"/>
          <w:szCs w:val="22"/>
          <w:lang w:val="en-GB"/>
        </w:rPr>
        <w:t>“</w:t>
      </w:r>
      <w:r w:rsidRPr="008E3C96">
        <w:rPr>
          <w:rFonts w:ascii="Avenir Next" w:hAnsi="Avenir Next" w:cs="Arial"/>
          <w:sz w:val="22"/>
          <w:szCs w:val="22"/>
          <w:lang w:val="en-GB"/>
        </w:rPr>
        <w:t>New Approach to Business Failure</w:t>
      </w:r>
      <w:r>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18519F" w:rsidRDefault="00F746D8" w:rsidP="00F746D8">
      <w:pPr>
        <w:pStyle w:val="PargrafodaLista"/>
        <w:numPr>
          <w:ilvl w:val="0"/>
          <w:numId w:val="7"/>
        </w:numPr>
        <w:ind w:left="426"/>
        <w:jc w:val="both"/>
        <w:rPr>
          <w:rFonts w:ascii="Avenir Next" w:hAnsi="Avenir Next" w:cs="Arial"/>
          <w:sz w:val="22"/>
          <w:szCs w:val="22"/>
          <w:highlight w:val="yellow"/>
          <w:lang w:val="en-GB"/>
        </w:rPr>
      </w:pPr>
      <w:r w:rsidRPr="0018519F">
        <w:rPr>
          <w:rFonts w:ascii="Avenir Next" w:hAnsi="Avenir Next" w:cs="Arial"/>
          <w:sz w:val="22"/>
          <w:szCs w:val="22"/>
          <w:highlight w:val="yellow"/>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PargrafodaLista"/>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Pargrafoda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PargrafodaLista"/>
        <w:ind w:left="426"/>
        <w:jc w:val="both"/>
        <w:rPr>
          <w:rFonts w:ascii="Avenir Next" w:hAnsi="Avenir Next" w:cs="Arial"/>
          <w:sz w:val="22"/>
          <w:szCs w:val="22"/>
          <w:lang w:val="en-GB"/>
        </w:rPr>
      </w:pPr>
    </w:p>
    <w:p w14:paraId="12FF3881" w14:textId="77777777" w:rsidR="00F746D8" w:rsidRPr="008E3C96" w:rsidRDefault="00F746D8" w:rsidP="00F746D8">
      <w:pPr>
        <w:pStyle w:val="Pargrafoda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PargrafodaLista"/>
        <w:ind w:left="426"/>
        <w:jc w:val="both"/>
        <w:rPr>
          <w:rFonts w:ascii="Avenir Next" w:hAnsi="Avenir Next" w:cs="Arial"/>
          <w:sz w:val="22"/>
          <w:szCs w:val="22"/>
          <w:lang w:val="en-GB"/>
        </w:rPr>
      </w:pPr>
    </w:p>
    <w:p w14:paraId="54884835" w14:textId="77777777" w:rsidR="00F746D8" w:rsidRPr="008E3C96" w:rsidRDefault="00F746D8" w:rsidP="00F746D8">
      <w:pPr>
        <w:pStyle w:val="PargrafodaLista"/>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“Applicable law”).</w:t>
      </w:r>
    </w:p>
    <w:p w14:paraId="0B470F1F" w14:textId="77777777" w:rsidR="00F746D8" w:rsidRPr="008E3C96" w:rsidRDefault="00F746D8" w:rsidP="00F746D8">
      <w:pPr>
        <w:pStyle w:val="PargrafodaLista"/>
        <w:ind w:left="426"/>
        <w:jc w:val="both"/>
        <w:rPr>
          <w:rFonts w:ascii="Avenir Next" w:hAnsi="Avenir Next" w:cs="Arial"/>
          <w:sz w:val="22"/>
          <w:szCs w:val="22"/>
          <w:lang w:val="en-GB"/>
        </w:rPr>
      </w:pPr>
    </w:p>
    <w:p w14:paraId="401BC106" w14:textId="77777777" w:rsidR="00F746D8" w:rsidRPr="00D566DB" w:rsidRDefault="00F746D8" w:rsidP="00F746D8">
      <w:pPr>
        <w:pStyle w:val="PargrafodaLista"/>
        <w:numPr>
          <w:ilvl w:val="0"/>
          <w:numId w:val="31"/>
        </w:numPr>
        <w:ind w:left="426"/>
        <w:jc w:val="both"/>
        <w:rPr>
          <w:rFonts w:ascii="Avenir Next" w:hAnsi="Avenir Next" w:cs="Arial"/>
          <w:sz w:val="22"/>
          <w:szCs w:val="22"/>
          <w:highlight w:val="yellow"/>
          <w:lang w:val="en-GB"/>
        </w:rPr>
      </w:pPr>
      <w:r w:rsidRPr="00D566DB">
        <w:rPr>
          <w:rFonts w:ascii="Avenir Next" w:hAnsi="Avenir Next" w:cs="Arial"/>
          <w:sz w:val="22"/>
          <w:szCs w:val="22"/>
          <w:highlight w:val="yellow"/>
          <w:lang w:val="en-GB"/>
        </w:rPr>
        <w:t>Article 31 EIR Recast (entitled “</w:t>
      </w:r>
      <w:r w:rsidRPr="00D566DB">
        <w:rPr>
          <w:rFonts w:ascii="Avenir Next" w:hAnsi="Avenir Next" w:cs="Arial"/>
          <w:bCs/>
          <w:sz w:val="22"/>
          <w:szCs w:val="22"/>
          <w:highlight w:val="yellow"/>
          <w:lang w:val="en-GB"/>
        </w:rPr>
        <w:t>Honouring of an obligation to a debtor”</w:t>
      </w:r>
      <w:r w:rsidRPr="00D566DB">
        <w:rPr>
          <w:rFonts w:ascii="Avenir Next" w:hAnsi="Avenir Next" w:cs="Arial"/>
          <w:sz w:val="22"/>
          <w:szCs w:val="22"/>
          <w:highlight w:val="yellow"/>
          <w:lang w:val="en-GB"/>
        </w:rPr>
        <w:t>).</w:t>
      </w:r>
    </w:p>
    <w:p w14:paraId="03C8D5D4" w14:textId="77777777" w:rsidR="00F746D8" w:rsidRPr="008E3C96" w:rsidRDefault="00F746D8" w:rsidP="00F746D8">
      <w:pPr>
        <w:pStyle w:val="PargrafodaLista"/>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lastRenderedPageBreak/>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PargrafodaLista"/>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PargrafodaLista"/>
        <w:ind w:left="426"/>
        <w:jc w:val="both"/>
        <w:rPr>
          <w:rFonts w:ascii="Avenir Next" w:hAnsi="Avenir Next" w:cs="Arial"/>
          <w:sz w:val="22"/>
          <w:szCs w:val="22"/>
          <w:lang w:val="en-GB"/>
        </w:rPr>
      </w:pPr>
    </w:p>
    <w:p w14:paraId="5165E85E" w14:textId="77777777" w:rsidR="00F746D8" w:rsidRPr="008E3C96" w:rsidRDefault="00F746D8" w:rsidP="00F746D8">
      <w:pPr>
        <w:pStyle w:val="PargrafodaLista"/>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PargrafodaLista"/>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D566DB" w:rsidRDefault="00F746D8" w:rsidP="00F746D8">
      <w:pPr>
        <w:pStyle w:val="PargrafodaLista"/>
        <w:numPr>
          <w:ilvl w:val="0"/>
          <w:numId w:val="8"/>
        </w:numPr>
        <w:ind w:left="426"/>
        <w:jc w:val="both"/>
        <w:rPr>
          <w:rFonts w:ascii="Avenir Next" w:hAnsi="Avenir Next" w:cs="Arial"/>
          <w:sz w:val="22"/>
          <w:szCs w:val="22"/>
          <w:highlight w:val="yellow"/>
          <w:lang w:val="en-GB"/>
        </w:rPr>
      </w:pPr>
      <w:r w:rsidRPr="00D566DB">
        <w:rPr>
          <w:rFonts w:ascii="Avenir Next" w:hAnsi="Avenir Next"/>
          <w:sz w:val="22"/>
          <w:highlight w:val="yellow"/>
          <w:lang w:val="en-GB"/>
        </w:rPr>
        <w:t xml:space="preserve">The </w:t>
      </w:r>
      <w:r w:rsidRPr="00D566DB">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C302EB" w:rsidRDefault="00F746D8" w:rsidP="00F746D8">
      <w:pPr>
        <w:pStyle w:val="PargrafodaLista"/>
        <w:numPr>
          <w:ilvl w:val="0"/>
          <w:numId w:val="32"/>
        </w:numPr>
        <w:ind w:left="426"/>
        <w:jc w:val="both"/>
        <w:rPr>
          <w:rFonts w:ascii="Avenir Next" w:hAnsi="Avenir Next" w:cs="Arial"/>
          <w:sz w:val="22"/>
          <w:szCs w:val="22"/>
          <w:highlight w:val="yellow"/>
          <w:lang w:val="en-GB"/>
        </w:rPr>
      </w:pPr>
      <w:r w:rsidRPr="00C302EB">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PargrafodaLista"/>
        <w:ind w:left="426"/>
        <w:jc w:val="both"/>
        <w:rPr>
          <w:rFonts w:ascii="Avenir Next" w:hAnsi="Avenir Next" w:cs="Arial"/>
          <w:sz w:val="22"/>
          <w:szCs w:val="22"/>
          <w:lang w:val="en-GB"/>
        </w:rPr>
      </w:pPr>
    </w:p>
    <w:p w14:paraId="12CA0080" w14:textId="77777777" w:rsidR="00F746D8" w:rsidRPr="008E3C96" w:rsidRDefault="00F746D8" w:rsidP="00F746D8">
      <w:pPr>
        <w:pStyle w:val="Pargrafoda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Pargrafoda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PargrafodaLista"/>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lastRenderedPageBreak/>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Pargrafoda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Pargrafoda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PargrafodaLista"/>
        <w:ind w:left="426"/>
        <w:jc w:val="both"/>
        <w:rPr>
          <w:rFonts w:ascii="Avenir Next" w:hAnsi="Avenir Next" w:cs="Arial"/>
          <w:sz w:val="22"/>
          <w:szCs w:val="22"/>
          <w:lang w:val="en-GB"/>
        </w:rPr>
      </w:pPr>
    </w:p>
    <w:p w14:paraId="39B9C266" w14:textId="77777777" w:rsidR="00F746D8" w:rsidRPr="00C302EB" w:rsidRDefault="00F746D8" w:rsidP="00F746D8">
      <w:pPr>
        <w:pStyle w:val="PargrafodaLista"/>
        <w:numPr>
          <w:ilvl w:val="0"/>
          <w:numId w:val="9"/>
        </w:numPr>
        <w:ind w:left="426"/>
        <w:jc w:val="both"/>
        <w:rPr>
          <w:rFonts w:ascii="Avenir Next" w:hAnsi="Avenir Next" w:cs="Arial"/>
          <w:sz w:val="22"/>
          <w:szCs w:val="22"/>
          <w:highlight w:val="yellow"/>
          <w:lang w:val="en-GB"/>
        </w:rPr>
      </w:pPr>
      <w:r w:rsidRPr="00C302EB">
        <w:rPr>
          <w:rFonts w:ascii="Avenir Next" w:hAnsi="Avenir Next" w:cs="Arial"/>
          <w:sz w:val="22"/>
          <w:szCs w:val="22"/>
          <w:highlight w:val="yellow"/>
          <w:lang w:val="en-GB"/>
        </w:rPr>
        <w:t xml:space="preserve">Its centre of main interest </w:t>
      </w:r>
      <w:proofErr w:type="gramStart"/>
      <w:r w:rsidRPr="00C302EB">
        <w:rPr>
          <w:rFonts w:ascii="Avenir Next" w:hAnsi="Avenir Next" w:cs="Arial"/>
          <w:sz w:val="22"/>
          <w:szCs w:val="22"/>
          <w:highlight w:val="yellow"/>
          <w:lang w:val="en-GB"/>
        </w:rPr>
        <w:t>is located in</w:t>
      </w:r>
      <w:proofErr w:type="gramEnd"/>
      <w:r w:rsidRPr="00C302EB">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PargrafodaLista"/>
        <w:ind w:left="426"/>
        <w:jc w:val="both"/>
        <w:rPr>
          <w:rFonts w:ascii="Avenir Next" w:hAnsi="Avenir Next" w:cs="Arial"/>
          <w:sz w:val="22"/>
          <w:szCs w:val="22"/>
          <w:lang w:val="en-GB"/>
        </w:rPr>
      </w:pPr>
    </w:p>
    <w:p w14:paraId="5769E4A5" w14:textId="77777777" w:rsidR="00F746D8" w:rsidRPr="008E3C96" w:rsidRDefault="00F746D8" w:rsidP="00F746D8">
      <w:pPr>
        <w:pStyle w:val="PargrafodaLista"/>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PargrafodaLista"/>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B32588"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35F26768" w14:textId="6A7BFB5D" w:rsidR="00C302EB" w:rsidRDefault="006C3FB7" w:rsidP="000A3278">
      <w:pPr>
        <w:jc w:val="both"/>
        <w:rPr>
          <w:rFonts w:ascii="Avenir Next" w:hAnsi="Avenir Next" w:cs="Arial"/>
          <w:color w:val="7B7B7B" w:themeColor="accent3" w:themeShade="BF"/>
          <w:sz w:val="22"/>
          <w:szCs w:val="22"/>
        </w:rPr>
      </w:pPr>
      <w:r w:rsidRPr="006C3FB7">
        <w:rPr>
          <w:rFonts w:ascii="Avenir Next" w:hAnsi="Avenir Next"/>
          <w:b/>
          <w:color w:val="7B7B7B" w:themeColor="accent3" w:themeShade="BF"/>
          <w:sz w:val="22"/>
        </w:rPr>
        <w:t xml:space="preserve"> </w:t>
      </w:r>
      <w:r w:rsidR="00FC36AD">
        <w:rPr>
          <w:rFonts w:ascii="Avenir Next" w:hAnsi="Avenir Next" w:cs="Arial"/>
          <w:color w:val="7B7B7B" w:themeColor="accent3" w:themeShade="BF"/>
          <w:sz w:val="22"/>
          <w:szCs w:val="22"/>
        </w:rPr>
        <w:t>[</w:t>
      </w:r>
      <w:r w:rsidR="00C302EB" w:rsidRPr="00C302EB">
        <w:rPr>
          <w:rFonts w:ascii="Avenir Next" w:hAnsi="Avenir Next" w:cs="Arial"/>
          <w:color w:val="7B7B7B" w:themeColor="accent3" w:themeShade="BF"/>
          <w:sz w:val="22"/>
          <w:szCs w:val="22"/>
        </w:rPr>
        <w:t xml:space="preserve">Statement 1 refers to the concept of preventive </w:t>
      </w:r>
      <w:r w:rsidR="00C1359C">
        <w:rPr>
          <w:rFonts w:ascii="Avenir Next" w:hAnsi="Avenir Next" w:cs="Arial"/>
          <w:color w:val="7B7B7B" w:themeColor="accent3" w:themeShade="BF"/>
          <w:sz w:val="22"/>
          <w:szCs w:val="22"/>
        </w:rPr>
        <w:t>insolvency proceedings</w:t>
      </w:r>
      <w:r w:rsidR="00C302EB" w:rsidRPr="00C302EB">
        <w:rPr>
          <w:rFonts w:ascii="Avenir Next" w:hAnsi="Avenir Next" w:cs="Arial"/>
          <w:color w:val="7B7B7B" w:themeColor="accent3" w:themeShade="BF"/>
          <w:sz w:val="22"/>
          <w:szCs w:val="22"/>
        </w:rPr>
        <w:t xml:space="preserve">, which </w:t>
      </w:r>
      <w:r w:rsidR="00C1359C">
        <w:rPr>
          <w:rFonts w:ascii="Avenir Next" w:hAnsi="Avenir Next" w:cs="Arial"/>
          <w:color w:val="7B7B7B" w:themeColor="accent3" w:themeShade="BF"/>
          <w:sz w:val="22"/>
          <w:szCs w:val="22"/>
        </w:rPr>
        <w:t>is expressed by the</w:t>
      </w:r>
      <w:r w:rsidR="00C302EB" w:rsidRPr="00C302EB">
        <w:rPr>
          <w:rFonts w:ascii="Avenir Next" w:hAnsi="Avenir Next" w:cs="Arial"/>
          <w:color w:val="7B7B7B" w:themeColor="accent3" w:themeShade="BF"/>
          <w:sz w:val="22"/>
          <w:szCs w:val="22"/>
        </w:rPr>
        <w:t xml:space="preserve"> EIR Recast's consideration of proceedings that aim to rescue economically viable debtors</w:t>
      </w:r>
      <w:r w:rsidR="00C302EB">
        <w:rPr>
          <w:rFonts w:ascii="Avenir Next" w:hAnsi="Avenir Next" w:cs="Arial"/>
          <w:color w:val="7B7B7B" w:themeColor="accent3" w:themeShade="BF"/>
          <w:sz w:val="22"/>
          <w:szCs w:val="22"/>
        </w:rPr>
        <w:t xml:space="preserve"> (Article 6 EIR Recast)</w:t>
      </w:r>
    </w:p>
    <w:p w14:paraId="1A1637C6" w14:textId="1301FC75" w:rsidR="006C3FB7" w:rsidRDefault="00C302EB" w:rsidP="000A3278">
      <w:pPr>
        <w:jc w:val="both"/>
        <w:rPr>
          <w:rFonts w:ascii="Avenir Next" w:hAnsi="Avenir Next" w:cs="Arial"/>
          <w:color w:val="7B7B7B" w:themeColor="accent3" w:themeShade="BF"/>
          <w:sz w:val="22"/>
          <w:szCs w:val="22"/>
        </w:rPr>
      </w:pPr>
      <w:r w:rsidRPr="00C302EB">
        <w:rPr>
          <w:rFonts w:ascii="Avenir Next" w:hAnsi="Avenir Next" w:cs="Arial"/>
          <w:color w:val="7B7B7B" w:themeColor="accent3" w:themeShade="BF"/>
          <w:sz w:val="22"/>
          <w:szCs w:val="22"/>
        </w:rPr>
        <w:t xml:space="preserve">Statement 2 deals with the concept of exclusion of certain lawsuits from the effects of the insolvency proceedings' applicable law </w:t>
      </w:r>
      <w:r>
        <w:rPr>
          <w:rFonts w:ascii="Avenir Next" w:hAnsi="Avenir Next" w:cs="Arial"/>
          <w:color w:val="7B7B7B" w:themeColor="accent3" w:themeShade="BF"/>
          <w:sz w:val="22"/>
          <w:szCs w:val="22"/>
        </w:rPr>
        <w:t xml:space="preserve">- </w:t>
      </w:r>
      <w:r w:rsidRPr="00C302EB">
        <w:rPr>
          <w:rFonts w:ascii="Avenir Next" w:hAnsi="Avenir Next" w:cs="Arial"/>
          <w:color w:val="7B7B7B" w:themeColor="accent3" w:themeShade="BF"/>
          <w:sz w:val="22"/>
          <w:szCs w:val="22"/>
        </w:rPr>
        <w:t>lex concursus</w:t>
      </w:r>
      <w:r>
        <w:rPr>
          <w:rFonts w:ascii="Avenir Next" w:hAnsi="Avenir Next" w:cs="Arial"/>
          <w:color w:val="7B7B7B" w:themeColor="accent3" w:themeShade="BF"/>
          <w:sz w:val="22"/>
          <w:szCs w:val="22"/>
        </w:rPr>
        <w:t xml:space="preserve"> (Article</w:t>
      </w:r>
      <w:r w:rsidR="00C1359C">
        <w:rPr>
          <w:rFonts w:ascii="Avenir Next" w:hAnsi="Avenir Next" w:cs="Arial"/>
          <w:color w:val="7B7B7B" w:themeColor="accent3" w:themeShade="BF"/>
          <w:sz w:val="22"/>
          <w:szCs w:val="22"/>
        </w:rPr>
        <w:t>s 7 c.c.</w:t>
      </w:r>
      <w:r>
        <w:rPr>
          <w:rFonts w:ascii="Avenir Next" w:hAnsi="Avenir Next" w:cs="Arial"/>
          <w:color w:val="7B7B7B" w:themeColor="accent3" w:themeShade="BF"/>
          <w:sz w:val="22"/>
          <w:szCs w:val="22"/>
        </w:rPr>
        <w:t xml:space="preserve"> 18 EIR Recast</w:t>
      </w:r>
      <w:proofErr w:type="gramStart"/>
      <w:r>
        <w:rPr>
          <w:rFonts w:ascii="Avenir Next" w:hAnsi="Avenir Next" w:cs="Arial"/>
          <w:color w:val="7B7B7B" w:themeColor="accent3" w:themeShade="BF"/>
          <w:sz w:val="22"/>
          <w:szCs w:val="22"/>
        </w:rPr>
        <w:t xml:space="preserve">) </w:t>
      </w:r>
      <w:r w:rsidR="00FC36AD">
        <w:rPr>
          <w:rFonts w:ascii="Avenir Next" w:hAnsi="Avenir Next" w:cs="Arial"/>
          <w:color w:val="7B7B7B" w:themeColor="accent3" w:themeShade="BF"/>
          <w:sz w:val="22"/>
          <w:szCs w:val="22"/>
        </w:rPr>
        <w:t>]</w:t>
      </w:r>
      <w:proofErr w:type="gramEnd"/>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lastRenderedPageBreak/>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0BB9555E" w14:textId="651DA342" w:rsidR="00C302EB" w:rsidRPr="00C302EB" w:rsidRDefault="000A3278" w:rsidP="00C302E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C302EB" w:rsidRPr="00C302EB">
        <w:rPr>
          <w:rFonts w:ascii="Avenir Next" w:hAnsi="Avenir Next" w:cs="Arial"/>
          <w:color w:val="7B7B7B" w:themeColor="accent3" w:themeShade="BF"/>
          <w:sz w:val="22"/>
          <w:szCs w:val="22"/>
        </w:rPr>
        <w:t xml:space="preserve">The European Insolvency Regulation (EIR) Recast aims for universality in insolvency proceedings across the EU. However, it </w:t>
      </w:r>
      <w:r w:rsidR="00534840">
        <w:rPr>
          <w:rFonts w:ascii="Avenir Next" w:hAnsi="Avenir Next" w:cs="Arial"/>
          <w:color w:val="7B7B7B" w:themeColor="accent3" w:themeShade="BF"/>
          <w:sz w:val="22"/>
          <w:szCs w:val="22"/>
        </w:rPr>
        <w:t>brings</w:t>
      </w:r>
      <w:r w:rsidR="00C302EB" w:rsidRPr="00C302EB">
        <w:rPr>
          <w:rFonts w:ascii="Avenir Next" w:hAnsi="Avenir Next" w:cs="Arial"/>
          <w:color w:val="7B7B7B" w:themeColor="accent3" w:themeShade="BF"/>
          <w:sz w:val="22"/>
          <w:szCs w:val="22"/>
        </w:rPr>
        <w:t xml:space="preserve"> several provisions that </w:t>
      </w:r>
      <w:r w:rsidR="00C1359C">
        <w:rPr>
          <w:rFonts w:ascii="Avenir Next" w:hAnsi="Avenir Next" w:cs="Arial"/>
          <w:color w:val="7B7B7B" w:themeColor="accent3" w:themeShade="BF"/>
          <w:sz w:val="22"/>
          <w:szCs w:val="22"/>
        </w:rPr>
        <w:t>can represent</w:t>
      </w:r>
      <w:r w:rsidR="00C302EB" w:rsidRPr="00C302EB">
        <w:rPr>
          <w:rFonts w:ascii="Avenir Next" w:hAnsi="Avenir Next" w:cs="Arial"/>
          <w:color w:val="7B7B7B" w:themeColor="accent3" w:themeShade="BF"/>
          <w:sz w:val="22"/>
          <w:szCs w:val="22"/>
        </w:rPr>
        <w:t xml:space="preserve"> exceptions </w:t>
      </w:r>
      <w:r w:rsidR="00C1359C">
        <w:rPr>
          <w:rFonts w:ascii="Avenir Next" w:hAnsi="Avenir Next" w:cs="Arial"/>
          <w:color w:val="7B7B7B" w:themeColor="accent3" w:themeShade="BF"/>
          <w:sz w:val="22"/>
          <w:szCs w:val="22"/>
        </w:rPr>
        <w:t>(</w:t>
      </w:r>
      <w:proofErr w:type="spellStart"/>
      <w:r w:rsidR="00C1359C">
        <w:rPr>
          <w:rFonts w:ascii="Avenir Next" w:hAnsi="Avenir Next" w:cs="Arial"/>
          <w:i/>
          <w:iCs/>
          <w:color w:val="7B7B7B" w:themeColor="accent3" w:themeShade="BF"/>
          <w:sz w:val="22"/>
          <w:szCs w:val="22"/>
        </w:rPr>
        <w:t>rectius</w:t>
      </w:r>
      <w:proofErr w:type="spellEnd"/>
      <w:r w:rsidR="00C1359C">
        <w:rPr>
          <w:rFonts w:ascii="Avenir Next" w:hAnsi="Avenir Next" w:cs="Arial"/>
          <w:i/>
          <w:iCs/>
          <w:color w:val="7B7B7B" w:themeColor="accent3" w:themeShade="BF"/>
          <w:sz w:val="22"/>
          <w:szCs w:val="22"/>
        </w:rPr>
        <w:t xml:space="preserve"> </w:t>
      </w:r>
      <w:r w:rsidR="00C1359C">
        <w:rPr>
          <w:rFonts w:ascii="Avenir Next" w:hAnsi="Avenir Next" w:cs="Arial"/>
          <w:color w:val="7B7B7B" w:themeColor="accent3" w:themeShade="BF"/>
          <w:sz w:val="22"/>
          <w:szCs w:val="22"/>
        </w:rPr>
        <w:t xml:space="preserve">depart from) </w:t>
      </w:r>
      <w:r w:rsidR="00C302EB" w:rsidRPr="00C302EB">
        <w:rPr>
          <w:rFonts w:ascii="Avenir Next" w:hAnsi="Avenir Next" w:cs="Arial"/>
          <w:color w:val="7B7B7B" w:themeColor="accent3" w:themeShade="BF"/>
          <w:sz w:val="22"/>
          <w:szCs w:val="22"/>
        </w:rPr>
        <w:t>to this universal approach:</w:t>
      </w:r>
    </w:p>
    <w:p w14:paraId="600CBE8E" w14:textId="77777777" w:rsidR="00C302EB" w:rsidRPr="00C302EB" w:rsidRDefault="00C302EB" w:rsidP="00C302EB">
      <w:pPr>
        <w:jc w:val="both"/>
        <w:rPr>
          <w:rFonts w:ascii="Avenir Next" w:hAnsi="Avenir Next" w:cs="Arial"/>
          <w:color w:val="7B7B7B" w:themeColor="accent3" w:themeShade="BF"/>
          <w:sz w:val="22"/>
          <w:szCs w:val="22"/>
        </w:rPr>
      </w:pPr>
    </w:p>
    <w:p w14:paraId="63F72B65" w14:textId="5C8FA59E" w:rsidR="00C302EB" w:rsidRPr="00C302EB" w:rsidRDefault="00C302EB" w:rsidP="00C302EB">
      <w:pPr>
        <w:jc w:val="both"/>
        <w:rPr>
          <w:rFonts w:ascii="Avenir Next" w:hAnsi="Avenir Next" w:cs="Arial"/>
          <w:color w:val="7B7B7B" w:themeColor="accent3" w:themeShade="BF"/>
          <w:sz w:val="22"/>
          <w:szCs w:val="22"/>
        </w:rPr>
      </w:pPr>
      <w:r w:rsidRPr="00C302EB">
        <w:rPr>
          <w:rFonts w:ascii="Avenir Next" w:hAnsi="Avenir Next" w:cs="Arial"/>
          <w:color w:val="7B7B7B" w:themeColor="accent3" w:themeShade="BF"/>
          <w:sz w:val="22"/>
          <w:szCs w:val="22"/>
        </w:rPr>
        <w:t>1-</w:t>
      </w:r>
      <w:r w:rsidRPr="00C302EB">
        <w:rPr>
          <w:rFonts w:ascii="Avenir Next" w:hAnsi="Avenir Next" w:cs="Arial"/>
          <w:color w:val="7B7B7B" w:themeColor="accent3" w:themeShade="BF"/>
          <w:sz w:val="22"/>
          <w:szCs w:val="22"/>
        </w:rPr>
        <w:tab/>
        <w:t xml:space="preserve">Article 3(2) EIR Recast </w:t>
      </w:r>
      <w:r w:rsidR="00C1359C">
        <w:rPr>
          <w:rFonts w:ascii="Avenir Next" w:hAnsi="Avenir Next" w:cs="Arial"/>
          <w:color w:val="7B7B7B" w:themeColor="accent3" w:themeShade="BF"/>
          <w:sz w:val="22"/>
          <w:szCs w:val="22"/>
        </w:rPr>
        <w:t xml:space="preserve">c.c. Article 34 </w:t>
      </w:r>
      <w:r w:rsidRPr="00C302EB">
        <w:rPr>
          <w:rFonts w:ascii="Avenir Next" w:hAnsi="Avenir Next" w:cs="Arial"/>
          <w:color w:val="7B7B7B" w:themeColor="accent3" w:themeShade="BF"/>
          <w:sz w:val="22"/>
          <w:szCs w:val="22"/>
        </w:rPr>
        <w:t xml:space="preserve">- Jurisdiction to open secondary insolvency proceedings: </w:t>
      </w:r>
      <w:r w:rsidR="00534840">
        <w:rPr>
          <w:rFonts w:ascii="Avenir Next" w:hAnsi="Avenir Next" w:cs="Arial"/>
          <w:color w:val="7B7B7B" w:themeColor="accent3" w:themeShade="BF"/>
          <w:sz w:val="22"/>
          <w:szCs w:val="22"/>
        </w:rPr>
        <w:t>t</w:t>
      </w:r>
      <w:r w:rsidR="00C1359C">
        <w:rPr>
          <w:rFonts w:ascii="Avenir Next" w:hAnsi="Avenir Next" w:cs="Arial"/>
          <w:color w:val="7B7B7B" w:themeColor="accent3" w:themeShade="BF"/>
          <w:sz w:val="22"/>
          <w:szCs w:val="22"/>
        </w:rPr>
        <w:t>hese provisions</w:t>
      </w:r>
      <w:r w:rsidRPr="00C302EB">
        <w:rPr>
          <w:rFonts w:ascii="Avenir Next" w:hAnsi="Avenir Next" w:cs="Arial"/>
          <w:color w:val="7B7B7B" w:themeColor="accent3" w:themeShade="BF"/>
          <w:sz w:val="22"/>
          <w:szCs w:val="22"/>
        </w:rPr>
        <w:t xml:space="preserve"> permit the opening of secondary insolvency proceedings in a Member State other than the one where the main insolvency proceedings were opened. Secondary proceedings can only be opened in the Member State where the debtor has an establishment, and they are limited to the assets located in that </w:t>
      </w:r>
      <w:proofErr w:type="gramStart"/>
      <w:r w:rsidRPr="00C302EB">
        <w:rPr>
          <w:rFonts w:ascii="Avenir Next" w:hAnsi="Avenir Next" w:cs="Arial"/>
          <w:color w:val="7B7B7B" w:themeColor="accent3" w:themeShade="BF"/>
          <w:sz w:val="22"/>
          <w:szCs w:val="22"/>
        </w:rPr>
        <w:t>State</w:t>
      </w:r>
      <w:r w:rsidR="00C1359C">
        <w:rPr>
          <w:rFonts w:ascii="Avenir Next" w:hAnsi="Avenir Next" w:cs="Arial"/>
          <w:color w:val="7B7B7B" w:themeColor="accent3" w:themeShade="BF"/>
          <w:sz w:val="22"/>
          <w:szCs w:val="22"/>
        </w:rPr>
        <w:t>;</w:t>
      </w:r>
      <w:proofErr w:type="gramEnd"/>
    </w:p>
    <w:p w14:paraId="1C48AB6B" w14:textId="77777777" w:rsidR="00C302EB" w:rsidRPr="00C302EB" w:rsidRDefault="00C302EB" w:rsidP="00C302EB">
      <w:pPr>
        <w:jc w:val="both"/>
        <w:rPr>
          <w:rFonts w:ascii="Avenir Next" w:hAnsi="Avenir Next" w:cs="Arial"/>
          <w:color w:val="7B7B7B" w:themeColor="accent3" w:themeShade="BF"/>
          <w:sz w:val="22"/>
          <w:szCs w:val="22"/>
        </w:rPr>
      </w:pPr>
    </w:p>
    <w:p w14:paraId="2A71C37A" w14:textId="51A949ED" w:rsidR="00C302EB" w:rsidRDefault="00C302EB" w:rsidP="00C302EB">
      <w:pPr>
        <w:jc w:val="both"/>
        <w:rPr>
          <w:rFonts w:ascii="Avenir Next" w:hAnsi="Avenir Next" w:cs="Arial"/>
          <w:color w:val="7B7B7B" w:themeColor="accent3" w:themeShade="BF"/>
          <w:sz w:val="22"/>
          <w:szCs w:val="22"/>
        </w:rPr>
      </w:pPr>
      <w:r w:rsidRPr="00C302EB">
        <w:rPr>
          <w:rFonts w:ascii="Avenir Next" w:hAnsi="Avenir Next" w:cs="Arial"/>
          <w:color w:val="7B7B7B" w:themeColor="accent3" w:themeShade="BF"/>
          <w:sz w:val="22"/>
          <w:szCs w:val="22"/>
        </w:rPr>
        <w:t>2-</w:t>
      </w:r>
      <w:r w:rsidRPr="00C302EB">
        <w:rPr>
          <w:rFonts w:ascii="Avenir Next" w:hAnsi="Avenir Next" w:cs="Arial"/>
          <w:color w:val="7B7B7B" w:themeColor="accent3" w:themeShade="BF"/>
          <w:sz w:val="22"/>
          <w:szCs w:val="22"/>
        </w:rPr>
        <w:tab/>
        <w:t xml:space="preserve">Article </w:t>
      </w:r>
      <w:r w:rsidR="00C1359C">
        <w:rPr>
          <w:rFonts w:ascii="Avenir Next" w:hAnsi="Avenir Next" w:cs="Arial"/>
          <w:color w:val="7B7B7B" w:themeColor="accent3" w:themeShade="BF"/>
          <w:sz w:val="22"/>
          <w:szCs w:val="22"/>
        </w:rPr>
        <w:t>33</w:t>
      </w:r>
      <w:r w:rsidRPr="00C302EB">
        <w:rPr>
          <w:rFonts w:ascii="Avenir Next" w:hAnsi="Avenir Next" w:cs="Arial"/>
          <w:color w:val="7B7B7B" w:themeColor="accent3" w:themeShade="BF"/>
          <w:sz w:val="22"/>
          <w:szCs w:val="22"/>
        </w:rPr>
        <w:t xml:space="preserve"> EIR Recast </w:t>
      </w:r>
      <w:r w:rsidR="00C1359C">
        <w:rPr>
          <w:rFonts w:ascii="Avenir Next" w:hAnsi="Avenir Next" w:cs="Arial"/>
          <w:color w:val="7B7B7B" w:themeColor="accent3" w:themeShade="BF"/>
          <w:sz w:val="22"/>
          <w:szCs w:val="22"/>
        </w:rPr>
        <w:t>–</w:t>
      </w:r>
      <w:r w:rsidRPr="00C302EB">
        <w:rPr>
          <w:rFonts w:ascii="Avenir Next" w:hAnsi="Avenir Next" w:cs="Arial"/>
          <w:color w:val="7B7B7B" w:themeColor="accent3" w:themeShade="BF"/>
          <w:sz w:val="22"/>
          <w:szCs w:val="22"/>
        </w:rPr>
        <w:t xml:space="preserve"> </w:t>
      </w:r>
      <w:r w:rsidR="00C1359C">
        <w:rPr>
          <w:rFonts w:ascii="Avenir Next" w:hAnsi="Avenir Next" w:cs="Arial"/>
          <w:color w:val="7B7B7B" w:themeColor="accent3" w:themeShade="BF"/>
          <w:sz w:val="22"/>
          <w:szCs w:val="22"/>
        </w:rPr>
        <w:t xml:space="preserve">Public Policy Exception: allows a member State to refuse to recognize insolvency proceedings or refuse to enforce a judgment form another member state if such recognition or enforcement should be manifestly contrary to that state’s public </w:t>
      </w:r>
      <w:proofErr w:type="gramStart"/>
      <w:r w:rsidR="00C1359C">
        <w:rPr>
          <w:rFonts w:ascii="Avenir Next" w:hAnsi="Avenir Next" w:cs="Arial"/>
          <w:color w:val="7B7B7B" w:themeColor="accent3" w:themeShade="BF"/>
          <w:sz w:val="22"/>
          <w:szCs w:val="22"/>
        </w:rPr>
        <w:t>policy;</w:t>
      </w:r>
      <w:proofErr w:type="gramEnd"/>
    </w:p>
    <w:p w14:paraId="006E6B3A" w14:textId="77777777" w:rsidR="00C1359C" w:rsidRPr="00C302EB" w:rsidRDefault="00C1359C" w:rsidP="00C302EB">
      <w:pPr>
        <w:jc w:val="both"/>
        <w:rPr>
          <w:rFonts w:ascii="Avenir Next" w:hAnsi="Avenir Next" w:cs="Arial"/>
          <w:color w:val="7B7B7B" w:themeColor="accent3" w:themeShade="BF"/>
          <w:sz w:val="22"/>
          <w:szCs w:val="22"/>
        </w:rPr>
      </w:pPr>
    </w:p>
    <w:p w14:paraId="541F1100" w14:textId="38C4E4E9" w:rsidR="000A3278" w:rsidRDefault="00C302EB" w:rsidP="00C302EB">
      <w:pPr>
        <w:jc w:val="both"/>
        <w:rPr>
          <w:rFonts w:ascii="Avenir Next" w:hAnsi="Avenir Next" w:cs="Arial"/>
          <w:color w:val="7B7B7B" w:themeColor="accent3" w:themeShade="BF"/>
          <w:sz w:val="22"/>
          <w:szCs w:val="22"/>
        </w:rPr>
      </w:pPr>
      <w:r w:rsidRPr="00C302EB">
        <w:rPr>
          <w:rFonts w:ascii="Avenir Next" w:hAnsi="Avenir Next" w:cs="Arial"/>
          <w:color w:val="7B7B7B" w:themeColor="accent3" w:themeShade="BF"/>
          <w:sz w:val="22"/>
          <w:szCs w:val="22"/>
        </w:rPr>
        <w:t>3-</w:t>
      </w:r>
      <w:r w:rsidRPr="00C302EB">
        <w:rPr>
          <w:rFonts w:ascii="Avenir Next" w:hAnsi="Avenir Next" w:cs="Arial"/>
          <w:color w:val="7B7B7B" w:themeColor="accent3" w:themeShade="BF"/>
          <w:sz w:val="22"/>
          <w:szCs w:val="22"/>
        </w:rPr>
        <w:tab/>
        <w:t xml:space="preserve">Article 36 EIR Recast - Undertakings: </w:t>
      </w:r>
      <w:r w:rsidR="00534840">
        <w:rPr>
          <w:rFonts w:ascii="Avenir Next" w:hAnsi="Avenir Next" w:cs="Arial"/>
          <w:color w:val="7B7B7B" w:themeColor="accent3" w:themeShade="BF"/>
          <w:sz w:val="22"/>
          <w:szCs w:val="22"/>
        </w:rPr>
        <w:t>t</w:t>
      </w:r>
      <w:r w:rsidRPr="00C302EB">
        <w:rPr>
          <w:rFonts w:ascii="Avenir Next" w:hAnsi="Avenir Next" w:cs="Arial"/>
          <w:color w:val="7B7B7B" w:themeColor="accent3" w:themeShade="BF"/>
          <w:sz w:val="22"/>
          <w:szCs w:val="22"/>
        </w:rPr>
        <w:t xml:space="preserve">his provision introduces the concept of "synthetic" secondary proceedings by allowing the insolvency practitioner in the main proceedings to provide an undertaking to local creditors in another Member State as an alternative to opening secondary proceedings. This can ensure that local creditors receive the same treatment as if secondary proceedings had been opened without </w:t>
      </w:r>
      <w:r w:rsidR="00C1359C" w:rsidRPr="00C302EB">
        <w:rPr>
          <w:rFonts w:ascii="Avenir Next" w:hAnsi="Avenir Next" w:cs="Arial"/>
          <w:color w:val="7B7B7B" w:themeColor="accent3" w:themeShade="BF"/>
          <w:sz w:val="22"/>
          <w:szCs w:val="22"/>
        </w:rPr>
        <w:t>opening</w:t>
      </w:r>
      <w:r w:rsidRPr="00C302EB">
        <w:rPr>
          <w:rFonts w:ascii="Avenir Next" w:hAnsi="Avenir Next" w:cs="Arial"/>
          <w:color w:val="7B7B7B" w:themeColor="accent3" w:themeShade="BF"/>
          <w:sz w:val="22"/>
          <w:szCs w:val="22"/>
        </w:rPr>
        <w:t xml:space="preserve"> such proceedings.</w:t>
      </w:r>
      <w:r w:rsidR="000A3278">
        <w:rPr>
          <w:rFonts w:ascii="Avenir Next" w:hAnsi="Avenir Next" w:cs="Arial"/>
          <w:color w:val="7B7B7B" w:themeColor="accent3" w:themeShade="BF"/>
          <w:sz w:val="22"/>
          <w:szCs w:val="22"/>
        </w:rPr>
        <w:t>]</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E0FF7D1" w14:textId="13125F04" w:rsidR="00205AAD" w:rsidRPr="00205AAD" w:rsidRDefault="000A3278" w:rsidP="00205AA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205AAD">
        <w:rPr>
          <w:rFonts w:ascii="Avenir Next" w:hAnsi="Avenir Next" w:cs="Arial"/>
          <w:color w:val="7B7B7B" w:themeColor="accent3" w:themeShade="BF"/>
          <w:sz w:val="22"/>
          <w:szCs w:val="22"/>
        </w:rPr>
        <w:t>Three</w:t>
      </w:r>
      <w:r w:rsidR="00205AAD" w:rsidRPr="00205AAD">
        <w:rPr>
          <w:rFonts w:ascii="Avenir Next" w:hAnsi="Avenir Next" w:cs="Arial"/>
          <w:color w:val="7B7B7B" w:themeColor="accent3" w:themeShade="BF"/>
          <w:sz w:val="22"/>
          <w:szCs w:val="22"/>
        </w:rPr>
        <w:t xml:space="preserve"> elements of the EIR Recast that deal with the material scope:</w:t>
      </w:r>
    </w:p>
    <w:p w14:paraId="45A2F946" w14:textId="77777777" w:rsidR="00205AAD" w:rsidRPr="00205AAD" w:rsidRDefault="00205AAD" w:rsidP="00205AAD">
      <w:pPr>
        <w:jc w:val="both"/>
        <w:rPr>
          <w:rFonts w:ascii="Avenir Next" w:hAnsi="Avenir Next" w:cs="Arial"/>
          <w:color w:val="7B7B7B" w:themeColor="accent3" w:themeShade="BF"/>
          <w:sz w:val="22"/>
          <w:szCs w:val="22"/>
        </w:rPr>
      </w:pPr>
    </w:p>
    <w:p w14:paraId="1841BEEF" w14:textId="51CB4DDB" w:rsidR="00205AAD" w:rsidRPr="00205AAD" w:rsidRDefault="00205AAD" w:rsidP="00205AA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1- </w:t>
      </w:r>
      <w:r w:rsidRPr="00205AAD">
        <w:rPr>
          <w:rFonts w:ascii="Avenir Next" w:hAnsi="Avenir Next" w:cs="Arial"/>
          <w:color w:val="7B7B7B" w:themeColor="accent3" w:themeShade="BF"/>
          <w:sz w:val="22"/>
          <w:szCs w:val="22"/>
        </w:rPr>
        <w:t xml:space="preserve">Collective Insolvency Proceedings (Article 1): This article defines the scope of the EIR Recast by listing the types of proceedings that are included. It specifies that the Regulation applies to public collective proceedings, including those aimed at the rescue, adjustment of debt, or rehabilitation of a </w:t>
      </w:r>
      <w:proofErr w:type="gramStart"/>
      <w:r w:rsidRPr="00205AAD">
        <w:rPr>
          <w:rFonts w:ascii="Avenir Next" w:hAnsi="Avenir Next" w:cs="Arial"/>
          <w:color w:val="7B7B7B" w:themeColor="accent3" w:themeShade="BF"/>
          <w:sz w:val="22"/>
          <w:szCs w:val="22"/>
        </w:rPr>
        <w:t>debtor</w:t>
      </w:r>
      <w:r>
        <w:rPr>
          <w:rFonts w:ascii="Avenir Next" w:hAnsi="Avenir Next" w:cs="Arial"/>
          <w:color w:val="7B7B7B" w:themeColor="accent3" w:themeShade="BF"/>
          <w:sz w:val="22"/>
          <w:szCs w:val="22"/>
        </w:rPr>
        <w:t>;</w:t>
      </w:r>
      <w:proofErr w:type="gramEnd"/>
    </w:p>
    <w:p w14:paraId="2D469BC2" w14:textId="77777777" w:rsidR="00205AAD" w:rsidRPr="00205AAD" w:rsidRDefault="00205AAD" w:rsidP="00205AAD">
      <w:pPr>
        <w:jc w:val="both"/>
        <w:rPr>
          <w:rFonts w:ascii="Avenir Next" w:hAnsi="Avenir Next" w:cs="Arial"/>
          <w:color w:val="7B7B7B" w:themeColor="accent3" w:themeShade="BF"/>
          <w:sz w:val="22"/>
          <w:szCs w:val="22"/>
        </w:rPr>
      </w:pPr>
    </w:p>
    <w:p w14:paraId="08D23F84" w14:textId="1F9B1A84" w:rsidR="00205AAD" w:rsidRPr="00205AAD" w:rsidRDefault="00205AAD" w:rsidP="00205AA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2- </w:t>
      </w:r>
      <w:r w:rsidRPr="00205AAD">
        <w:rPr>
          <w:rFonts w:ascii="Avenir Next" w:hAnsi="Avenir Next" w:cs="Arial"/>
          <w:color w:val="7B7B7B" w:themeColor="accent3" w:themeShade="BF"/>
          <w:sz w:val="22"/>
          <w:szCs w:val="22"/>
        </w:rPr>
        <w:t xml:space="preserve">Annex A (Article 1): Annex A of the EIR Recast contains an exhaustive list of the insolvency proceedings that fall within the scope of the Regulation as per each Member State’s </w:t>
      </w:r>
      <w:proofErr w:type="gramStart"/>
      <w:r w:rsidRPr="00205AAD">
        <w:rPr>
          <w:rFonts w:ascii="Avenir Next" w:hAnsi="Avenir Next" w:cs="Arial"/>
          <w:color w:val="7B7B7B" w:themeColor="accent3" w:themeShade="BF"/>
          <w:sz w:val="22"/>
          <w:szCs w:val="22"/>
        </w:rPr>
        <w:t>legislation</w:t>
      </w:r>
      <w:r>
        <w:rPr>
          <w:rFonts w:ascii="Avenir Next" w:hAnsi="Avenir Next" w:cs="Arial"/>
          <w:color w:val="7B7B7B" w:themeColor="accent3" w:themeShade="BF"/>
          <w:sz w:val="22"/>
          <w:szCs w:val="22"/>
        </w:rPr>
        <w:t>;</w:t>
      </w:r>
      <w:proofErr w:type="gramEnd"/>
    </w:p>
    <w:p w14:paraId="04DB5CDC" w14:textId="77777777" w:rsidR="00205AAD" w:rsidRPr="00205AAD" w:rsidRDefault="00205AAD" w:rsidP="00205AAD">
      <w:pPr>
        <w:jc w:val="both"/>
        <w:rPr>
          <w:rFonts w:ascii="Avenir Next" w:hAnsi="Avenir Next" w:cs="Arial"/>
          <w:color w:val="7B7B7B" w:themeColor="accent3" w:themeShade="BF"/>
          <w:sz w:val="22"/>
          <w:szCs w:val="22"/>
        </w:rPr>
      </w:pPr>
    </w:p>
    <w:p w14:paraId="6E861659" w14:textId="34562F3F" w:rsidR="00205AAD" w:rsidRPr="00205AAD" w:rsidRDefault="00205AAD" w:rsidP="00205AA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3- </w:t>
      </w:r>
      <w:r w:rsidRPr="00205AAD">
        <w:rPr>
          <w:rFonts w:ascii="Avenir Next" w:hAnsi="Avenir Next" w:cs="Arial"/>
          <w:color w:val="7B7B7B" w:themeColor="accent3" w:themeShade="BF"/>
          <w:sz w:val="22"/>
          <w:szCs w:val="22"/>
        </w:rPr>
        <w:t>Pre-Insolvency Proceedings and Hybrid Procedures (Recitals and Article 1)</w:t>
      </w:r>
    </w:p>
    <w:p w14:paraId="2914378A" w14:textId="77777777" w:rsidR="00205AAD" w:rsidRPr="00205AAD" w:rsidRDefault="00205AAD" w:rsidP="00205AAD">
      <w:pPr>
        <w:jc w:val="both"/>
        <w:rPr>
          <w:rFonts w:ascii="Avenir Next" w:hAnsi="Avenir Next" w:cs="Arial"/>
          <w:color w:val="7B7B7B" w:themeColor="accent3" w:themeShade="BF"/>
          <w:sz w:val="22"/>
          <w:szCs w:val="22"/>
        </w:rPr>
      </w:pPr>
    </w:p>
    <w:p w14:paraId="67E24F60" w14:textId="1429CE26" w:rsidR="000A3278" w:rsidRDefault="00205AAD" w:rsidP="00205AAD">
      <w:pPr>
        <w:jc w:val="both"/>
        <w:rPr>
          <w:rFonts w:ascii="Avenir Next" w:hAnsi="Avenir Next" w:cs="Arial"/>
          <w:color w:val="7B7B7B" w:themeColor="accent3" w:themeShade="BF"/>
          <w:sz w:val="22"/>
          <w:szCs w:val="22"/>
        </w:rPr>
      </w:pPr>
      <w:r w:rsidRPr="00205AAD">
        <w:rPr>
          <w:rFonts w:ascii="Avenir Next" w:hAnsi="Avenir Next" w:cs="Arial"/>
          <w:color w:val="7B7B7B" w:themeColor="accent3" w:themeShade="BF"/>
          <w:sz w:val="22"/>
          <w:szCs w:val="22"/>
        </w:rPr>
        <w:lastRenderedPageBreak/>
        <w:t xml:space="preserve">These elements help to delineate the types of proceedings that the EIR Recast governs, ensuring that there's a clear understanding of which national insolvency-related proceedings fall </w:t>
      </w:r>
      <w:r>
        <w:rPr>
          <w:rFonts w:ascii="Avenir Next" w:hAnsi="Avenir Next" w:cs="Arial"/>
          <w:color w:val="7B7B7B" w:themeColor="accent3" w:themeShade="BF"/>
          <w:sz w:val="22"/>
          <w:szCs w:val="22"/>
        </w:rPr>
        <w:t>within the remit</w:t>
      </w:r>
      <w:r w:rsidRPr="00205AAD">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of the Regulation</w:t>
      </w:r>
      <w:r w:rsidRPr="00205AAD">
        <w:rPr>
          <w:rFonts w:ascii="Avenir Next" w:hAnsi="Avenir Next" w:cs="Arial"/>
          <w:color w:val="7B7B7B" w:themeColor="accent3" w:themeShade="BF"/>
          <w:sz w:val="22"/>
          <w:szCs w:val="22"/>
        </w:rPr>
        <w:t>, facilitating better cooperation between Member States in cross-border insolvency ca</w:t>
      </w:r>
      <w:r>
        <w:rPr>
          <w:rFonts w:ascii="Avenir Next" w:hAnsi="Avenir Next" w:cs="Arial"/>
          <w:color w:val="7B7B7B" w:themeColor="accent3" w:themeShade="BF"/>
          <w:sz w:val="22"/>
          <w:szCs w:val="22"/>
        </w:rPr>
        <w:t>ses.</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01D03511" w14:textId="77777777" w:rsidR="000A373F" w:rsidRPr="008E3C96" w:rsidRDefault="000A373F" w:rsidP="002A37BB">
      <w:pPr>
        <w:jc w:val="both"/>
        <w:rPr>
          <w:rFonts w:ascii="Avenir Next" w:hAnsi="Avenir Next" w:cs="Arial"/>
          <w:sz w:val="22"/>
          <w:szCs w:val="22"/>
          <w:lang w:val="en-GB"/>
        </w:rPr>
      </w:pPr>
    </w:p>
    <w:p w14:paraId="099FFE4D" w14:textId="1FD9E92B" w:rsidR="00DB05FF" w:rsidRDefault="000A3278" w:rsidP="00DB05FF">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810499">
        <w:rPr>
          <w:rFonts w:ascii="Avenir Next" w:hAnsi="Avenir Next" w:cs="Arial"/>
          <w:color w:val="7B7B7B" w:themeColor="accent3" w:themeShade="BF"/>
          <w:sz w:val="22"/>
          <w:szCs w:val="22"/>
        </w:rPr>
        <w:t xml:space="preserve">EIR Recast, in fact, </w:t>
      </w:r>
      <w:r w:rsidR="00810499" w:rsidRPr="00810499">
        <w:rPr>
          <w:rFonts w:ascii="Avenir Next" w:hAnsi="Avenir Next" w:cs="Arial"/>
          <w:color w:val="7B7B7B" w:themeColor="accent3" w:themeShade="BF"/>
          <w:sz w:val="22"/>
          <w:szCs w:val="22"/>
        </w:rPr>
        <w:t>provides for several legal instruments to control the opening, conduct and closure of secondary proceedings, which are those opened in Member States other than where the main insolvency proceedings were opened. Here are two examples:</w:t>
      </w:r>
    </w:p>
    <w:p w14:paraId="07CCDFA5" w14:textId="77777777" w:rsidR="001D7B75" w:rsidRDefault="001D7B75" w:rsidP="00DB05FF">
      <w:pPr>
        <w:jc w:val="both"/>
        <w:rPr>
          <w:rFonts w:ascii="Avenir Next" w:hAnsi="Avenir Next" w:cs="Arial"/>
          <w:color w:val="7B7B7B" w:themeColor="accent3" w:themeShade="BF"/>
          <w:sz w:val="22"/>
          <w:szCs w:val="22"/>
        </w:rPr>
      </w:pPr>
    </w:p>
    <w:p w14:paraId="079399BA" w14:textId="3E438CD9" w:rsidR="00810499" w:rsidRDefault="00810499" w:rsidP="00DB05FF">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1- </w:t>
      </w:r>
      <w:r w:rsidRPr="00810499">
        <w:rPr>
          <w:rFonts w:ascii="Avenir Next" w:hAnsi="Avenir Next" w:cs="Arial"/>
          <w:color w:val="7B7B7B" w:themeColor="accent3" w:themeShade="BF"/>
          <w:sz w:val="22"/>
          <w:szCs w:val="22"/>
        </w:rPr>
        <w:t xml:space="preserve">Synthetic Proceedings (Article 36): EIR Recast allows the insolvency practitioner in the main proceedings to provide a </w:t>
      </w:r>
      <w:r w:rsidRPr="00810499">
        <w:rPr>
          <w:rFonts w:ascii="Avenir Next" w:hAnsi="Avenir Next" w:cs="Arial"/>
          <w:i/>
          <w:iCs/>
          <w:color w:val="7B7B7B" w:themeColor="accent3" w:themeShade="BF"/>
          <w:sz w:val="22"/>
          <w:szCs w:val="22"/>
        </w:rPr>
        <w:t xml:space="preserve">synthetic </w:t>
      </w:r>
      <w:r w:rsidRPr="00810499">
        <w:rPr>
          <w:rFonts w:ascii="Avenir Next" w:hAnsi="Avenir Next" w:cs="Arial"/>
          <w:color w:val="7B7B7B" w:themeColor="accent3" w:themeShade="BF"/>
          <w:sz w:val="22"/>
          <w:szCs w:val="22"/>
        </w:rPr>
        <w:t xml:space="preserve">guarantee to local creditors in jurisdictions where secondary proceedings might be opened. This means that the practitioner can assure these creditors that they will receive the same treatment as if secondary proceedings </w:t>
      </w:r>
      <w:r>
        <w:rPr>
          <w:rFonts w:ascii="Avenir Next" w:hAnsi="Avenir Next" w:cs="Arial"/>
          <w:color w:val="7B7B7B" w:themeColor="accent3" w:themeShade="BF"/>
          <w:sz w:val="22"/>
          <w:szCs w:val="22"/>
        </w:rPr>
        <w:t xml:space="preserve">are </w:t>
      </w:r>
      <w:r w:rsidRPr="00810499">
        <w:rPr>
          <w:rFonts w:ascii="Avenir Next" w:hAnsi="Avenir Next" w:cs="Arial"/>
          <w:color w:val="7B7B7B" w:themeColor="accent3" w:themeShade="BF"/>
          <w:sz w:val="22"/>
          <w:szCs w:val="22"/>
        </w:rPr>
        <w:t xml:space="preserve">opened. If accepted by local creditors, this can prevent the opening of secondary </w:t>
      </w:r>
      <w:proofErr w:type="gramStart"/>
      <w:r w:rsidRPr="00810499">
        <w:rPr>
          <w:rFonts w:ascii="Avenir Next" w:hAnsi="Avenir Next" w:cs="Arial"/>
          <w:color w:val="7B7B7B" w:themeColor="accent3" w:themeShade="BF"/>
          <w:sz w:val="22"/>
          <w:szCs w:val="22"/>
        </w:rPr>
        <w:t>proceedings</w:t>
      </w:r>
      <w:r>
        <w:rPr>
          <w:rFonts w:ascii="Avenir Next" w:hAnsi="Avenir Next" w:cs="Arial"/>
          <w:color w:val="7B7B7B" w:themeColor="accent3" w:themeShade="BF"/>
          <w:sz w:val="22"/>
          <w:szCs w:val="22"/>
        </w:rPr>
        <w:t>;</w:t>
      </w:r>
      <w:proofErr w:type="gramEnd"/>
    </w:p>
    <w:p w14:paraId="48C8DA61" w14:textId="77777777" w:rsidR="001D7B75" w:rsidRDefault="001D7B75" w:rsidP="00DB05FF">
      <w:pPr>
        <w:jc w:val="both"/>
        <w:rPr>
          <w:rFonts w:ascii="Avenir Next" w:hAnsi="Avenir Next" w:cs="Arial"/>
          <w:color w:val="7B7B7B" w:themeColor="accent3" w:themeShade="BF"/>
          <w:sz w:val="22"/>
          <w:szCs w:val="22"/>
        </w:rPr>
      </w:pPr>
    </w:p>
    <w:p w14:paraId="002BC547" w14:textId="44428379" w:rsidR="000A3278" w:rsidRDefault="00810499" w:rsidP="00AD5924">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2- </w:t>
      </w:r>
      <w:r w:rsidRPr="00810499">
        <w:rPr>
          <w:rFonts w:ascii="Avenir Next" w:hAnsi="Avenir Next" w:cs="Arial"/>
          <w:color w:val="7B7B7B" w:themeColor="accent3" w:themeShade="BF"/>
          <w:sz w:val="22"/>
          <w:szCs w:val="22"/>
        </w:rPr>
        <w:t xml:space="preserve">Restriction on Secondary Proceedings (Article 38): EIR Recast allows the insolvency practitioner in the main proceedings to </w:t>
      </w:r>
      <w:proofErr w:type="gramStart"/>
      <w:r w:rsidRPr="00810499">
        <w:rPr>
          <w:rFonts w:ascii="Avenir Next" w:hAnsi="Avenir Next" w:cs="Arial"/>
          <w:color w:val="7B7B7B" w:themeColor="accent3" w:themeShade="BF"/>
          <w:sz w:val="22"/>
          <w:szCs w:val="22"/>
        </w:rPr>
        <w:t xml:space="preserve">enter </w:t>
      </w:r>
      <w:r>
        <w:rPr>
          <w:rFonts w:ascii="Avenir Next" w:hAnsi="Avenir Next" w:cs="Arial"/>
          <w:color w:val="7B7B7B" w:themeColor="accent3" w:themeShade="BF"/>
          <w:sz w:val="22"/>
          <w:szCs w:val="22"/>
        </w:rPr>
        <w:t>into</w:t>
      </w:r>
      <w:proofErr w:type="gramEnd"/>
      <w:r>
        <w:rPr>
          <w:rFonts w:ascii="Avenir Next" w:hAnsi="Avenir Next" w:cs="Arial"/>
          <w:color w:val="7B7B7B" w:themeColor="accent3" w:themeShade="BF"/>
          <w:sz w:val="22"/>
          <w:szCs w:val="22"/>
        </w:rPr>
        <w:t xml:space="preserve"> </w:t>
      </w:r>
      <w:r w:rsidRPr="00810499">
        <w:rPr>
          <w:rFonts w:ascii="Avenir Next" w:hAnsi="Avenir Next" w:cs="Arial"/>
          <w:color w:val="7B7B7B" w:themeColor="accent3" w:themeShade="BF"/>
          <w:sz w:val="22"/>
          <w:szCs w:val="22"/>
        </w:rPr>
        <w:t>commitments with local creditors in other Member States (where secondary proceedings may be opened) relating to the distribution of income from the debtor's assets located there. This instrument can prevent the opening of secondary proceedings if creditors' rights are sufficiently protected in the main proceedings</w:t>
      </w:r>
      <w:r w:rsidR="00AD5924" w:rsidRPr="00AD5924">
        <w:rPr>
          <w:rFonts w:ascii="Avenir Next" w:hAnsi="Avenir Next" w:cs="Arial"/>
          <w:color w:val="7B7B7B" w:themeColor="accent3" w:themeShade="BF"/>
          <w:sz w:val="22"/>
          <w:szCs w:val="22"/>
        </w:rPr>
        <w:t>.</w:t>
      </w:r>
      <w:r w:rsidR="000A3278">
        <w:rPr>
          <w:rFonts w:ascii="Avenir Next" w:hAnsi="Avenir Next" w:cs="Arial"/>
          <w:color w:val="7B7B7B" w:themeColor="accent3" w:themeShade="BF"/>
          <w:sz w:val="22"/>
          <w:szCs w:val="22"/>
        </w:rPr>
        <w:t>]</w:t>
      </w:r>
    </w:p>
    <w:p w14:paraId="1A72971A" w14:textId="77777777" w:rsidR="00D72770" w:rsidRPr="008E3C96" w:rsidRDefault="00D72770"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614E3249" w14:textId="662C3328" w:rsidR="00AD5924" w:rsidRPr="00AD5924" w:rsidRDefault="000A3278" w:rsidP="00AD5924">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AD5924" w:rsidRPr="00AD5924">
        <w:rPr>
          <w:rFonts w:ascii="Avenir Next" w:hAnsi="Avenir Next" w:cs="Arial"/>
          <w:color w:val="7B7B7B" w:themeColor="accent3" w:themeShade="BF"/>
          <w:sz w:val="22"/>
          <w:szCs w:val="22"/>
        </w:rPr>
        <w:t xml:space="preserve">During the reform process of the European Insolvency Regulation (EIR) 2000, which led to the EIR Recast in 2015, the European Commission identified several </w:t>
      </w:r>
      <w:r w:rsidR="00810499">
        <w:rPr>
          <w:rFonts w:ascii="Avenir Next" w:hAnsi="Avenir Next" w:cs="Arial"/>
          <w:color w:val="7B7B7B" w:themeColor="accent3" w:themeShade="BF"/>
          <w:sz w:val="22"/>
          <w:szCs w:val="22"/>
        </w:rPr>
        <w:t xml:space="preserve">aspects </w:t>
      </w:r>
      <w:r w:rsidR="00AD5924" w:rsidRPr="00AD5924">
        <w:rPr>
          <w:rFonts w:ascii="Avenir Next" w:hAnsi="Avenir Next" w:cs="Arial"/>
          <w:color w:val="7B7B7B" w:themeColor="accent3" w:themeShade="BF"/>
          <w:sz w:val="22"/>
          <w:szCs w:val="22"/>
        </w:rPr>
        <w:t xml:space="preserve">that needed revision. These elements aimed to address the challenges faced in cross-border insolvency </w:t>
      </w:r>
      <w:r w:rsidR="00AD5924" w:rsidRPr="00AD5924">
        <w:rPr>
          <w:rFonts w:ascii="Avenir Next" w:hAnsi="Avenir Next" w:cs="Arial"/>
          <w:color w:val="7B7B7B" w:themeColor="accent3" w:themeShade="BF"/>
          <w:sz w:val="22"/>
          <w:szCs w:val="22"/>
        </w:rPr>
        <w:lastRenderedPageBreak/>
        <w:t>proceedings within the EU and to enhance the efficiency and effectiveness of such proceedings. The main elements identified for revision included:</w:t>
      </w:r>
    </w:p>
    <w:p w14:paraId="0FEC00CD" w14:textId="77777777" w:rsidR="00AD5924" w:rsidRPr="00AD5924" w:rsidRDefault="00AD5924" w:rsidP="00AD5924">
      <w:pPr>
        <w:jc w:val="both"/>
        <w:rPr>
          <w:rFonts w:ascii="Avenir Next" w:hAnsi="Avenir Next" w:cs="Arial"/>
          <w:color w:val="7B7B7B" w:themeColor="accent3" w:themeShade="BF"/>
          <w:sz w:val="22"/>
          <w:szCs w:val="22"/>
        </w:rPr>
      </w:pPr>
    </w:p>
    <w:p w14:paraId="27CBFEF6" w14:textId="715AE4C7" w:rsidR="00AD5924" w:rsidRPr="00AD5924" w:rsidRDefault="00AD5924" w:rsidP="00AD5924">
      <w:pPr>
        <w:jc w:val="both"/>
        <w:rPr>
          <w:rFonts w:ascii="Avenir Next" w:hAnsi="Avenir Next" w:cs="Arial"/>
          <w:color w:val="7B7B7B" w:themeColor="accent3" w:themeShade="BF"/>
          <w:sz w:val="22"/>
          <w:szCs w:val="22"/>
        </w:rPr>
      </w:pPr>
      <w:r w:rsidRPr="00AD5924">
        <w:rPr>
          <w:rFonts w:ascii="Avenir Next" w:hAnsi="Avenir Next" w:cs="Arial"/>
          <w:color w:val="7B7B7B" w:themeColor="accent3" w:themeShade="BF"/>
          <w:sz w:val="22"/>
          <w:szCs w:val="22"/>
        </w:rPr>
        <w:t>1-</w:t>
      </w:r>
      <w:r w:rsidR="00810499">
        <w:rPr>
          <w:rFonts w:ascii="Avenir Next" w:hAnsi="Avenir Next" w:cs="Arial"/>
          <w:color w:val="7B7B7B" w:themeColor="accent3" w:themeShade="BF"/>
          <w:sz w:val="22"/>
          <w:szCs w:val="22"/>
        </w:rPr>
        <w:t xml:space="preserve"> </w:t>
      </w:r>
      <w:r w:rsidRPr="00AD5924">
        <w:rPr>
          <w:rFonts w:ascii="Avenir Next" w:hAnsi="Avenir Next" w:cs="Arial"/>
          <w:color w:val="7B7B7B" w:themeColor="accent3" w:themeShade="BF"/>
          <w:sz w:val="22"/>
          <w:szCs w:val="22"/>
        </w:rPr>
        <w:t>Clarifying the Jurisdiction and</w:t>
      </w:r>
      <w:r w:rsidR="00810499">
        <w:rPr>
          <w:rFonts w:ascii="Avenir Next" w:hAnsi="Avenir Next" w:cs="Arial"/>
          <w:color w:val="7B7B7B" w:themeColor="accent3" w:themeShade="BF"/>
          <w:sz w:val="22"/>
          <w:szCs w:val="22"/>
        </w:rPr>
        <w:t xml:space="preserve"> COMI</w:t>
      </w:r>
      <w:r w:rsidRPr="00AD5924">
        <w:rPr>
          <w:rFonts w:ascii="Avenir Next" w:hAnsi="Avenir Next" w:cs="Arial"/>
          <w:color w:val="7B7B7B" w:themeColor="accent3" w:themeShade="BF"/>
          <w:sz w:val="22"/>
          <w:szCs w:val="22"/>
        </w:rPr>
        <w:t>:</w:t>
      </w:r>
      <w:r w:rsidR="00810499">
        <w:rPr>
          <w:rFonts w:ascii="Avenir Next" w:hAnsi="Avenir Next" w:cs="Arial"/>
          <w:color w:val="7B7B7B" w:themeColor="accent3" w:themeShade="BF"/>
          <w:sz w:val="22"/>
          <w:szCs w:val="22"/>
        </w:rPr>
        <w:t xml:space="preserve"> t</w:t>
      </w:r>
      <w:r w:rsidRPr="00AD5924">
        <w:rPr>
          <w:rFonts w:ascii="Avenir Next" w:hAnsi="Avenir Next" w:cs="Arial"/>
          <w:color w:val="7B7B7B" w:themeColor="accent3" w:themeShade="BF"/>
          <w:sz w:val="22"/>
          <w:szCs w:val="22"/>
        </w:rPr>
        <w:t xml:space="preserve">he Commission sought to address the issue of "forum shopping" and to provide clearer guidance on determining the debtor's COMI, which is crucial for deciding jurisdiction over insolvency </w:t>
      </w:r>
      <w:proofErr w:type="gramStart"/>
      <w:r w:rsidRPr="00AD5924">
        <w:rPr>
          <w:rFonts w:ascii="Avenir Next" w:hAnsi="Avenir Next" w:cs="Arial"/>
          <w:color w:val="7B7B7B" w:themeColor="accent3" w:themeShade="BF"/>
          <w:sz w:val="22"/>
          <w:szCs w:val="22"/>
        </w:rPr>
        <w:t>proceedings</w:t>
      </w:r>
      <w:r w:rsidR="0050717C">
        <w:rPr>
          <w:rFonts w:ascii="Avenir Next" w:hAnsi="Avenir Next" w:cs="Arial"/>
          <w:color w:val="7B7B7B" w:themeColor="accent3" w:themeShade="BF"/>
          <w:sz w:val="22"/>
          <w:szCs w:val="22"/>
        </w:rPr>
        <w:t>;</w:t>
      </w:r>
      <w:proofErr w:type="gramEnd"/>
    </w:p>
    <w:p w14:paraId="5800E321" w14:textId="77777777" w:rsidR="00AD5924" w:rsidRPr="00AD5924" w:rsidRDefault="00AD5924" w:rsidP="00AD5924">
      <w:pPr>
        <w:jc w:val="both"/>
        <w:rPr>
          <w:rFonts w:ascii="Avenir Next" w:hAnsi="Avenir Next" w:cs="Arial"/>
          <w:color w:val="7B7B7B" w:themeColor="accent3" w:themeShade="BF"/>
          <w:sz w:val="22"/>
          <w:szCs w:val="22"/>
        </w:rPr>
      </w:pPr>
    </w:p>
    <w:p w14:paraId="355E8A8A" w14:textId="390D7C61" w:rsidR="00AD5924" w:rsidRPr="00AD5924" w:rsidRDefault="00AD5924" w:rsidP="00AD5924">
      <w:pPr>
        <w:jc w:val="both"/>
        <w:rPr>
          <w:rFonts w:ascii="Avenir Next" w:hAnsi="Avenir Next" w:cs="Arial"/>
          <w:color w:val="7B7B7B" w:themeColor="accent3" w:themeShade="BF"/>
          <w:sz w:val="22"/>
          <w:szCs w:val="22"/>
        </w:rPr>
      </w:pPr>
      <w:r w:rsidRPr="00AD5924">
        <w:rPr>
          <w:rFonts w:ascii="Avenir Next" w:hAnsi="Avenir Next" w:cs="Arial"/>
          <w:color w:val="7B7B7B" w:themeColor="accent3" w:themeShade="BF"/>
          <w:sz w:val="22"/>
          <w:szCs w:val="22"/>
        </w:rPr>
        <w:t>2-</w:t>
      </w:r>
      <w:r w:rsidR="0050717C">
        <w:rPr>
          <w:rFonts w:ascii="Avenir Next" w:hAnsi="Avenir Next" w:cs="Arial"/>
          <w:color w:val="7B7B7B" w:themeColor="accent3" w:themeShade="BF"/>
          <w:sz w:val="22"/>
          <w:szCs w:val="22"/>
        </w:rPr>
        <w:t xml:space="preserve"> </w:t>
      </w:r>
      <w:r w:rsidRPr="00AD5924">
        <w:rPr>
          <w:rFonts w:ascii="Avenir Next" w:hAnsi="Avenir Next" w:cs="Arial"/>
          <w:color w:val="7B7B7B" w:themeColor="accent3" w:themeShade="BF"/>
          <w:sz w:val="22"/>
          <w:szCs w:val="22"/>
        </w:rPr>
        <w:t xml:space="preserve">Secondary </w:t>
      </w:r>
      <w:r w:rsidR="00810499">
        <w:rPr>
          <w:rFonts w:ascii="Avenir Next" w:hAnsi="Avenir Next" w:cs="Arial"/>
          <w:color w:val="7B7B7B" w:themeColor="accent3" w:themeShade="BF"/>
          <w:sz w:val="22"/>
          <w:szCs w:val="22"/>
        </w:rPr>
        <w:t xml:space="preserve">insolvency </w:t>
      </w:r>
      <w:r w:rsidRPr="00AD5924">
        <w:rPr>
          <w:rFonts w:ascii="Avenir Next" w:hAnsi="Avenir Next" w:cs="Arial"/>
          <w:color w:val="7B7B7B" w:themeColor="accent3" w:themeShade="BF"/>
          <w:sz w:val="22"/>
          <w:szCs w:val="22"/>
        </w:rPr>
        <w:t>Proceedings:</w:t>
      </w:r>
      <w:r w:rsidR="0050717C">
        <w:rPr>
          <w:rFonts w:ascii="Avenir Next" w:hAnsi="Avenir Next" w:cs="Arial"/>
          <w:color w:val="7B7B7B" w:themeColor="accent3" w:themeShade="BF"/>
          <w:sz w:val="22"/>
          <w:szCs w:val="22"/>
        </w:rPr>
        <w:t xml:space="preserve"> r</w:t>
      </w:r>
      <w:r w:rsidRPr="00AD5924">
        <w:rPr>
          <w:rFonts w:ascii="Avenir Next" w:hAnsi="Avenir Next" w:cs="Arial"/>
          <w:color w:val="7B7B7B" w:themeColor="accent3" w:themeShade="BF"/>
          <w:sz w:val="22"/>
          <w:szCs w:val="22"/>
        </w:rPr>
        <w:t>eforms were proposed to make secondary proceedings more flexible and to allow for their avoidance where possible to facilitate the rescu</w:t>
      </w:r>
      <w:r w:rsidR="0050717C">
        <w:rPr>
          <w:rFonts w:ascii="Avenir Next" w:hAnsi="Avenir Next" w:cs="Arial"/>
          <w:color w:val="7B7B7B" w:themeColor="accent3" w:themeShade="BF"/>
          <w:sz w:val="22"/>
          <w:szCs w:val="22"/>
        </w:rPr>
        <w:t>ing</w:t>
      </w:r>
      <w:r w:rsidRPr="00AD5924">
        <w:rPr>
          <w:rFonts w:ascii="Avenir Next" w:hAnsi="Avenir Next" w:cs="Arial"/>
          <w:color w:val="7B7B7B" w:themeColor="accent3" w:themeShade="BF"/>
          <w:sz w:val="22"/>
          <w:szCs w:val="22"/>
        </w:rPr>
        <w:t xml:space="preserve"> of companies and </w:t>
      </w:r>
      <w:r w:rsidR="0050717C">
        <w:rPr>
          <w:rFonts w:ascii="Avenir Next" w:hAnsi="Avenir Next" w:cs="Arial"/>
          <w:color w:val="7B7B7B" w:themeColor="accent3" w:themeShade="BF"/>
          <w:sz w:val="22"/>
          <w:szCs w:val="22"/>
        </w:rPr>
        <w:t>preserving</w:t>
      </w:r>
      <w:r w:rsidRPr="00AD5924">
        <w:rPr>
          <w:rFonts w:ascii="Avenir Next" w:hAnsi="Avenir Next" w:cs="Arial"/>
          <w:color w:val="7B7B7B" w:themeColor="accent3" w:themeShade="BF"/>
          <w:sz w:val="22"/>
          <w:szCs w:val="22"/>
        </w:rPr>
        <w:t xml:space="preserve"> the value of their </w:t>
      </w:r>
      <w:proofErr w:type="gramStart"/>
      <w:r w:rsidRPr="00AD5924">
        <w:rPr>
          <w:rFonts w:ascii="Avenir Next" w:hAnsi="Avenir Next" w:cs="Arial"/>
          <w:color w:val="7B7B7B" w:themeColor="accent3" w:themeShade="BF"/>
          <w:sz w:val="22"/>
          <w:szCs w:val="22"/>
        </w:rPr>
        <w:t>assets</w:t>
      </w:r>
      <w:r w:rsidR="0050717C">
        <w:rPr>
          <w:rFonts w:ascii="Avenir Next" w:hAnsi="Avenir Next" w:cs="Arial"/>
          <w:color w:val="7B7B7B" w:themeColor="accent3" w:themeShade="BF"/>
          <w:sz w:val="22"/>
          <w:szCs w:val="22"/>
        </w:rPr>
        <w:t>;</w:t>
      </w:r>
      <w:proofErr w:type="gramEnd"/>
    </w:p>
    <w:p w14:paraId="06F58F14" w14:textId="77777777" w:rsidR="00AD5924" w:rsidRPr="00AD5924" w:rsidRDefault="00AD5924" w:rsidP="00AD5924">
      <w:pPr>
        <w:jc w:val="both"/>
        <w:rPr>
          <w:rFonts w:ascii="Avenir Next" w:hAnsi="Avenir Next" w:cs="Arial"/>
          <w:color w:val="7B7B7B" w:themeColor="accent3" w:themeShade="BF"/>
          <w:sz w:val="22"/>
          <w:szCs w:val="22"/>
        </w:rPr>
      </w:pPr>
    </w:p>
    <w:p w14:paraId="343C57A1" w14:textId="60A1D118" w:rsidR="00AD5924" w:rsidRPr="00AD5924" w:rsidRDefault="00AD5924" w:rsidP="00AD5924">
      <w:pPr>
        <w:jc w:val="both"/>
        <w:rPr>
          <w:rFonts w:ascii="Avenir Next" w:hAnsi="Avenir Next" w:cs="Arial"/>
          <w:color w:val="7B7B7B" w:themeColor="accent3" w:themeShade="BF"/>
          <w:sz w:val="22"/>
          <w:szCs w:val="22"/>
        </w:rPr>
      </w:pPr>
      <w:r w:rsidRPr="00AD5924">
        <w:rPr>
          <w:rFonts w:ascii="Avenir Next" w:hAnsi="Avenir Next" w:cs="Arial"/>
          <w:color w:val="7B7B7B" w:themeColor="accent3" w:themeShade="BF"/>
          <w:sz w:val="22"/>
          <w:szCs w:val="22"/>
        </w:rPr>
        <w:t>3-</w:t>
      </w:r>
      <w:r w:rsidR="0050717C">
        <w:rPr>
          <w:rFonts w:ascii="Avenir Next" w:hAnsi="Avenir Next" w:cs="Arial"/>
          <w:color w:val="7B7B7B" w:themeColor="accent3" w:themeShade="BF"/>
          <w:sz w:val="22"/>
          <w:szCs w:val="22"/>
        </w:rPr>
        <w:t xml:space="preserve"> </w:t>
      </w:r>
      <w:r w:rsidRPr="00AD5924">
        <w:rPr>
          <w:rFonts w:ascii="Avenir Next" w:hAnsi="Avenir Next" w:cs="Arial"/>
          <w:color w:val="7B7B7B" w:themeColor="accent3" w:themeShade="BF"/>
          <w:sz w:val="22"/>
          <w:szCs w:val="22"/>
        </w:rPr>
        <w:t>Group Insolvency Proceedings:</w:t>
      </w:r>
      <w:r w:rsidR="0050717C">
        <w:rPr>
          <w:rFonts w:ascii="Avenir Next" w:hAnsi="Avenir Next" w:cs="Arial"/>
          <w:color w:val="7B7B7B" w:themeColor="accent3" w:themeShade="BF"/>
          <w:sz w:val="22"/>
          <w:szCs w:val="22"/>
        </w:rPr>
        <w:t xml:space="preserve"> the </w:t>
      </w:r>
      <w:r w:rsidRPr="00AD5924">
        <w:rPr>
          <w:rFonts w:ascii="Avenir Next" w:hAnsi="Avenir Next" w:cs="Arial"/>
          <w:color w:val="7B7B7B" w:themeColor="accent3" w:themeShade="BF"/>
          <w:sz w:val="22"/>
          <w:szCs w:val="22"/>
        </w:rPr>
        <w:t xml:space="preserve">Commission recognized the need for specific provisions to better coordinate insolvency proceedings within groups of companies operating across </w:t>
      </w:r>
      <w:proofErr w:type="gramStart"/>
      <w:r w:rsidRPr="00AD5924">
        <w:rPr>
          <w:rFonts w:ascii="Avenir Next" w:hAnsi="Avenir Next" w:cs="Arial"/>
          <w:color w:val="7B7B7B" w:themeColor="accent3" w:themeShade="BF"/>
          <w:sz w:val="22"/>
          <w:szCs w:val="22"/>
        </w:rPr>
        <w:t>borders</w:t>
      </w:r>
      <w:r w:rsidR="0050717C">
        <w:rPr>
          <w:rFonts w:ascii="Avenir Next" w:hAnsi="Avenir Next" w:cs="Arial"/>
          <w:color w:val="7B7B7B" w:themeColor="accent3" w:themeShade="BF"/>
          <w:sz w:val="22"/>
          <w:szCs w:val="22"/>
        </w:rPr>
        <w:t>;</w:t>
      </w:r>
      <w:proofErr w:type="gramEnd"/>
    </w:p>
    <w:p w14:paraId="09FA9CAD" w14:textId="77777777" w:rsidR="00AD5924" w:rsidRPr="00AD5924" w:rsidRDefault="00AD5924" w:rsidP="00AD5924">
      <w:pPr>
        <w:jc w:val="both"/>
        <w:rPr>
          <w:rFonts w:ascii="Avenir Next" w:hAnsi="Avenir Next" w:cs="Arial"/>
          <w:color w:val="7B7B7B" w:themeColor="accent3" w:themeShade="BF"/>
          <w:sz w:val="22"/>
          <w:szCs w:val="22"/>
        </w:rPr>
      </w:pPr>
    </w:p>
    <w:p w14:paraId="7073591C" w14:textId="3C426E48" w:rsidR="00AD5924" w:rsidRPr="00AD5924" w:rsidRDefault="00AD5924" w:rsidP="00AD5924">
      <w:pPr>
        <w:jc w:val="both"/>
        <w:rPr>
          <w:rFonts w:ascii="Avenir Next" w:hAnsi="Avenir Next" w:cs="Arial"/>
          <w:color w:val="7B7B7B" w:themeColor="accent3" w:themeShade="BF"/>
          <w:sz w:val="22"/>
          <w:szCs w:val="22"/>
        </w:rPr>
      </w:pPr>
      <w:r w:rsidRPr="00AD5924">
        <w:rPr>
          <w:rFonts w:ascii="Avenir Next" w:hAnsi="Avenir Next" w:cs="Arial"/>
          <w:color w:val="7B7B7B" w:themeColor="accent3" w:themeShade="BF"/>
          <w:sz w:val="22"/>
          <w:szCs w:val="22"/>
        </w:rPr>
        <w:t>4-</w:t>
      </w:r>
      <w:r w:rsidR="0050717C">
        <w:rPr>
          <w:rFonts w:ascii="Avenir Next" w:hAnsi="Avenir Next" w:cs="Arial"/>
          <w:color w:val="7B7B7B" w:themeColor="accent3" w:themeShade="BF"/>
          <w:sz w:val="22"/>
          <w:szCs w:val="22"/>
        </w:rPr>
        <w:t xml:space="preserve"> </w:t>
      </w:r>
      <w:r w:rsidRPr="00AD5924">
        <w:rPr>
          <w:rFonts w:ascii="Avenir Next" w:hAnsi="Avenir Next" w:cs="Arial"/>
          <w:color w:val="7B7B7B" w:themeColor="accent3" w:themeShade="BF"/>
          <w:sz w:val="22"/>
          <w:szCs w:val="22"/>
        </w:rPr>
        <w:t>Procedural Safeguards and Rights of Creditors:</w:t>
      </w:r>
      <w:r w:rsidR="0050717C">
        <w:rPr>
          <w:rFonts w:ascii="Avenir Next" w:hAnsi="Avenir Next" w:cs="Arial"/>
          <w:color w:val="7B7B7B" w:themeColor="accent3" w:themeShade="BF"/>
          <w:sz w:val="22"/>
          <w:szCs w:val="22"/>
        </w:rPr>
        <w:t xml:space="preserve"> e</w:t>
      </w:r>
      <w:r w:rsidRPr="00AD5924">
        <w:rPr>
          <w:rFonts w:ascii="Avenir Next" w:hAnsi="Avenir Next" w:cs="Arial"/>
          <w:color w:val="7B7B7B" w:themeColor="accent3" w:themeShade="BF"/>
          <w:sz w:val="22"/>
          <w:szCs w:val="22"/>
        </w:rPr>
        <w:t xml:space="preserve">nhancing the rights and involvement of creditors in the proceedings was seen as necessary, including improvements to the lodging of claims and participation in </w:t>
      </w:r>
      <w:proofErr w:type="gramStart"/>
      <w:r w:rsidRPr="00AD5924">
        <w:rPr>
          <w:rFonts w:ascii="Avenir Next" w:hAnsi="Avenir Next" w:cs="Arial"/>
          <w:color w:val="7B7B7B" w:themeColor="accent3" w:themeShade="BF"/>
          <w:sz w:val="22"/>
          <w:szCs w:val="22"/>
        </w:rPr>
        <w:t>decision-making</w:t>
      </w:r>
      <w:r w:rsidR="0050717C">
        <w:rPr>
          <w:rFonts w:ascii="Avenir Next" w:hAnsi="Avenir Next" w:cs="Arial"/>
          <w:color w:val="7B7B7B" w:themeColor="accent3" w:themeShade="BF"/>
          <w:sz w:val="22"/>
          <w:szCs w:val="22"/>
        </w:rPr>
        <w:t>;</w:t>
      </w:r>
      <w:proofErr w:type="gramEnd"/>
    </w:p>
    <w:p w14:paraId="539AA08C" w14:textId="77777777" w:rsidR="00AD5924" w:rsidRPr="00AD5924" w:rsidRDefault="00AD5924" w:rsidP="00AD5924">
      <w:pPr>
        <w:jc w:val="both"/>
        <w:rPr>
          <w:rFonts w:ascii="Avenir Next" w:hAnsi="Avenir Next" w:cs="Arial"/>
          <w:color w:val="7B7B7B" w:themeColor="accent3" w:themeShade="BF"/>
          <w:sz w:val="22"/>
          <w:szCs w:val="22"/>
        </w:rPr>
      </w:pPr>
    </w:p>
    <w:p w14:paraId="6E0DF67F" w14:textId="18883413" w:rsidR="00AD5924" w:rsidRPr="00AD5924" w:rsidRDefault="0050717C" w:rsidP="00AD5924">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5</w:t>
      </w:r>
      <w:r w:rsidR="00AD5924" w:rsidRPr="00AD5924">
        <w:rPr>
          <w:rFonts w:ascii="Avenir Next" w:hAnsi="Avenir Next" w:cs="Arial"/>
          <w:color w:val="7B7B7B" w:themeColor="accent3" w:themeShade="BF"/>
          <w:sz w:val="22"/>
          <w:szCs w:val="22"/>
        </w:rPr>
        <w:t>-</w:t>
      </w:r>
      <w:r>
        <w:rPr>
          <w:rFonts w:ascii="Avenir Next" w:hAnsi="Avenir Next" w:cs="Arial"/>
          <w:color w:val="7B7B7B" w:themeColor="accent3" w:themeShade="BF"/>
          <w:sz w:val="22"/>
          <w:szCs w:val="22"/>
        </w:rPr>
        <w:t xml:space="preserve"> </w:t>
      </w:r>
      <w:r w:rsidR="00AD5924" w:rsidRPr="00AD5924">
        <w:rPr>
          <w:rFonts w:ascii="Avenir Next" w:hAnsi="Avenir Next" w:cs="Arial"/>
          <w:color w:val="7B7B7B" w:themeColor="accent3" w:themeShade="BF"/>
          <w:sz w:val="22"/>
          <w:szCs w:val="22"/>
        </w:rPr>
        <w:t>Introduction of Pre-Insolvency Proceedings:</w:t>
      </w:r>
    </w:p>
    <w:p w14:paraId="28B64599" w14:textId="77777777" w:rsidR="00AD5924" w:rsidRPr="00AD5924" w:rsidRDefault="00AD5924" w:rsidP="00AD5924">
      <w:pPr>
        <w:jc w:val="both"/>
        <w:rPr>
          <w:rFonts w:ascii="Avenir Next" w:hAnsi="Avenir Next" w:cs="Arial"/>
          <w:color w:val="7B7B7B" w:themeColor="accent3" w:themeShade="BF"/>
          <w:sz w:val="22"/>
          <w:szCs w:val="22"/>
        </w:rPr>
      </w:pPr>
      <w:r w:rsidRPr="00AD5924">
        <w:rPr>
          <w:rFonts w:ascii="Avenir Next" w:hAnsi="Avenir Next" w:cs="Arial"/>
          <w:color w:val="7B7B7B" w:themeColor="accent3" w:themeShade="BF"/>
          <w:sz w:val="22"/>
          <w:szCs w:val="22"/>
        </w:rPr>
        <w:t>The inclusion of pre-insolvency and hybrid proceedings that aim to prevent insolvency and allow for restructuring was considered.</w:t>
      </w:r>
    </w:p>
    <w:p w14:paraId="7398C1CA" w14:textId="77777777" w:rsidR="00AD5924" w:rsidRPr="00AD5924" w:rsidRDefault="00AD5924" w:rsidP="00AD5924">
      <w:pPr>
        <w:jc w:val="both"/>
        <w:rPr>
          <w:rFonts w:ascii="Avenir Next" w:hAnsi="Avenir Next" w:cs="Arial"/>
          <w:color w:val="7B7B7B" w:themeColor="accent3" w:themeShade="BF"/>
          <w:sz w:val="22"/>
          <w:szCs w:val="22"/>
        </w:rPr>
      </w:pPr>
    </w:p>
    <w:p w14:paraId="35ADCF95" w14:textId="718500BA" w:rsidR="000A3278" w:rsidRDefault="00AD5924" w:rsidP="00AD5924">
      <w:pPr>
        <w:jc w:val="both"/>
        <w:rPr>
          <w:rFonts w:ascii="Avenir Next" w:hAnsi="Avenir Next" w:cs="Arial"/>
          <w:color w:val="7B7B7B" w:themeColor="accent3" w:themeShade="BF"/>
          <w:sz w:val="22"/>
          <w:szCs w:val="22"/>
        </w:rPr>
      </w:pPr>
      <w:r w:rsidRPr="00AD5924">
        <w:rPr>
          <w:rFonts w:ascii="Avenir Next" w:hAnsi="Avenir Next" w:cs="Arial"/>
          <w:color w:val="7B7B7B" w:themeColor="accent3" w:themeShade="BF"/>
          <w:sz w:val="22"/>
          <w:szCs w:val="22"/>
        </w:rPr>
        <w:t xml:space="preserve">These proposed revisions were debated, and some were incorporated into the EIR Recast to address the evolving landscape of cross-border insolvency within the EU. </w:t>
      </w:r>
      <w:r w:rsidR="0050717C">
        <w:rPr>
          <w:rFonts w:ascii="Avenir Next" w:hAnsi="Avenir Next" w:cs="Arial"/>
          <w:color w:val="7B7B7B" w:themeColor="accent3" w:themeShade="BF"/>
          <w:sz w:val="22"/>
          <w:szCs w:val="22"/>
        </w:rPr>
        <w:t xml:space="preserve">Since this is an INSOL course, it is important to notice that INSOL has formulated proposals from a practitioner’s point of view </w:t>
      </w:r>
      <w:proofErr w:type="gramStart"/>
      <w:r w:rsidR="0050717C">
        <w:rPr>
          <w:rFonts w:ascii="Avenir Next" w:hAnsi="Avenir Next" w:cs="Arial"/>
          <w:color w:val="7B7B7B" w:themeColor="accent3" w:themeShade="BF"/>
          <w:sz w:val="22"/>
          <w:szCs w:val="22"/>
        </w:rPr>
        <w:t>on the basis of</w:t>
      </w:r>
      <w:proofErr w:type="gramEnd"/>
      <w:r w:rsidR="0050717C">
        <w:rPr>
          <w:rFonts w:ascii="Avenir Next" w:hAnsi="Avenir Next" w:cs="Arial"/>
          <w:color w:val="7B7B7B" w:themeColor="accent3" w:themeShade="BF"/>
          <w:sz w:val="22"/>
          <w:szCs w:val="22"/>
        </w:rPr>
        <w:t xml:space="preserve"> a legal analysis of the Regulation and the European Commission has in fact adopted some of them</w:t>
      </w:r>
      <w:r w:rsidR="0050717C">
        <w:rPr>
          <w:rStyle w:val="Refdenotaderodap"/>
          <w:rFonts w:ascii="Avenir Next" w:hAnsi="Avenir Next" w:cs="Arial"/>
          <w:color w:val="7B7B7B" w:themeColor="accent3" w:themeShade="BF"/>
          <w:sz w:val="22"/>
          <w:szCs w:val="22"/>
        </w:rPr>
        <w:footnoteReference w:id="1"/>
      </w:r>
      <w:r w:rsidRPr="00AD5924">
        <w:rPr>
          <w:rFonts w:ascii="Avenir Next" w:hAnsi="Avenir Next" w:cs="Arial"/>
          <w:color w:val="7B7B7B" w:themeColor="accent3" w:themeShade="BF"/>
          <w:sz w:val="22"/>
          <w:szCs w:val="22"/>
        </w:rPr>
        <w:t>.</w:t>
      </w:r>
      <w:r w:rsidR="000A3278">
        <w:rPr>
          <w:rFonts w:ascii="Avenir Next" w:hAnsi="Avenir Next" w:cs="Arial"/>
          <w:color w:val="7B7B7B" w:themeColor="accent3" w:themeShade="BF"/>
          <w:sz w:val="22"/>
          <w:szCs w:val="22"/>
        </w:rPr>
        <w:t>]</w:t>
      </w:r>
    </w:p>
    <w:p w14:paraId="0E3B387A" w14:textId="77777777" w:rsidR="00AD5924" w:rsidRDefault="00AD5924" w:rsidP="00AD5924">
      <w:pPr>
        <w:jc w:val="both"/>
        <w:rPr>
          <w:rFonts w:ascii="Avenir Next" w:hAnsi="Avenir Next" w:cs="Arial"/>
          <w:color w:val="7B7B7B" w:themeColor="accent3" w:themeShade="BF"/>
          <w:sz w:val="22"/>
          <w:szCs w:val="22"/>
        </w:rPr>
      </w:pPr>
    </w:p>
    <w:p w14:paraId="755D6AFF" w14:textId="0FC51646"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5321F311" w14:textId="77777777" w:rsidR="00D02670" w:rsidRPr="00D02670" w:rsidRDefault="000A3278" w:rsidP="00D0267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D02670" w:rsidRPr="00D02670">
        <w:rPr>
          <w:rFonts w:ascii="Avenir Next" w:hAnsi="Avenir Next" w:cs="Arial"/>
          <w:color w:val="7B7B7B" w:themeColor="accent3" w:themeShade="BF"/>
          <w:sz w:val="22"/>
          <w:szCs w:val="22"/>
        </w:rPr>
        <w:t>The concept of the "</w:t>
      </w:r>
      <w:proofErr w:type="spellStart"/>
      <w:r w:rsidR="00D02670" w:rsidRPr="00D02670">
        <w:rPr>
          <w:rFonts w:ascii="Avenir Next" w:hAnsi="Avenir Next" w:cs="Arial"/>
          <w:color w:val="7B7B7B" w:themeColor="accent3" w:themeShade="BF"/>
          <w:sz w:val="22"/>
          <w:szCs w:val="22"/>
        </w:rPr>
        <w:t>centre</w:t>
      </w:r>
      <w:proofErr w:type="spellEnd"/>
      <w:r w:rsidR="00D02670" w:rsidRPr="00D02670">
        <w:rPr>
          <w:rFonts w:ascii="Avenir Next" w:hAnsi="Avenir Next" w:cs="Arial"/>
          <w:color w:val="7B7B7B" w:themeColor="accent3" w:themeShade="BF"/>
          <w:sz w:val="22"/>
          <w:szCs w:val="22"/>
        </w:rPr>
        <w:t xml:space="preserve"> of main interests" (COMI) is a central feature of the European Insolvency Regulation and is used to determine jurisdiction for insolvency proceedings within the EU. It has been subject to both praise and criticism for various reasons:</w:t>
      </w:r>
    </w:p>
    <w:p w14:paraId="5876B2EF" w14:textId="77777777" w:rsidR="00D02670" w:rsidRPr="00D02670" w:rsidRDefault="00D02670" w:rsidP="00D02670">
      <w:pPr>
        <w:jc w:val="both"/>
        <w:rPr>
          <w:rFonts w:ascii="Avenir Next" w:hAnsi="Avenir Next" w:cs="Arial"/>
          <w:color w:val="7B7B7B" w:themeColor="accent3" w:themeShade="BF"/>
          <w:sz w:val="22"/>
          <w:szCs w:val="22"/>
        </w:rPr>
      </w:pPr>
    </w:p>
    <w:p w14:paraId="48E3C376" w14:textId="77777777" w:rsidR="0050717C" w:rsidRDefault="00D02670" w:rsidP="00D02670">
      <w:pPr>
        <w:jc w:val="both"/>
        <w:rPr>
          <w:rFonts w:ascii="Avenir Next" w:hAnsi="Avenir Next" w:cs="Arial"/>
          <w:color w:val="7B7B7B" w:themeColor="accent3" w:themeShade="BF"/>
          <w:sz w:val="22"/>
          <w:szCs w:val="22"/>
        </w:rPr>
      </w:pPr>
      <w:r w:rsidRPr="00D02670">
        <w:rPr>
          <w:rFonts w:ascii="Avenir Next" w:hAnsi="Avenir Next" w:cs="Arial"/>
          <w:color w:val="7B7B7B" w:themeColor="accent3" w:themeShade="BF"/>
          <w:sz w:val="22"/>
          <w:szCs w:val="22"/>
        </w:rPr>
        <w:t>Praises</w:t>
      </w:r>
      <w:r w:rsidR="0050717C">
        <w:rPr>
          <w:rFonts w:ascii="Avenir Next" w:hAnsi="Avenir Next" w:cs="Arial"/>
          <w:color w:val="7B7B7B" w:themeColor="accent3" w:themeShade="BF"/>
          <w:sz w:val="22"/>
          <w:szCs w:val="22"/>
        </w:rPr>
        <w:t>:</w:t>
      </w:r>
    </w:p>
    <w:p w14:paraId="16827CB3" w14:textId="42A0F3EC" w:rsidR="00D02670" w:rsidRPr="00D02670" w:rsidRDefault="0050717C" w:rsidP="00D0267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1- </w:t>
      </w:r>
      <w:r w:rsidR="00D02670" w:rsidRPr="00D02670">
        <w:rPr>
          <w:rFonts w:ascii="Avenir Next" w:hAnsi="Avenir Next" w:cs="Arial"/>
          <w:color w:val="7B7B7B" w:themeColor="accent3" w:themeShade="BF"/>
          <w:sz w:val="22"/>
          <w:szCs w:val="22"/>
        </w:rPr>
        <w:t xml:space="preserve">Predictability and Certainty: COMI provides a single point of reference for determining the main insolvency proceedings, which can offer predictability and legal certainty for debtors and creditors. By having a clear criterion, businesses can structure their affairs with some understanding of where insolvency proceedings are likely to be </w:t>
      </w:r>
      <w:proofErr w:type="gramStart"/>
      <w:r w:rsidR="00D02670" w:rsidRPr="00D02670">
        <w:rPr>
          <w:rFonts w:ascii="Avenir Next" w:hAnsi="Avenir Next" w:cs="Arial"/>
          <w:color w:val="7B7B7B" w:themeColor="accent3" w:themeShade="BF"/>
          <w:sz w:val="22"/>
          <w:szCs w:val="22"/>
        </w:rPr>
        <w:t>opened</w:t>
      </w:r>
      <w:r>
        <w:rPr>
          <w:rFonts w:ascii="Avenir Next" w:hAnsi="Avenir Next" w:cs="Arial"/>
          <w:color w:val="7B7B7B" w:themeColor="accent3" w:themeShade="BF"/>
          <w:sz w:val="22"/>
          <w:szCs w:val="22"/>
        </w:rPr>
        <w:t>;</w:t>
      </w:r>
      <w:proofErr w:type="gramEnd"/>
    </w:p>
    <w:p w14:paraId="26F6A11E" w14:textId="77777777" w:rsidR="00D02670" w:rsidRPr="00D02670" w:rsidRDefault="00D02670" w:rsidP="00D02670">
      <w:pPr>
        <w:jc w:val="both"/>
        <w:rPr>
          <w:rFonts w:ascii="Avenir Next" w:hAnsi="Avenir Next" w:cs="Arial"/>
          <w:color w:val="7B7B7B" w:themeColor="accent3" w:themeShade="BF"/>
          <w:sz w:val="22"/>
          <w:szCs w:val="22"/>
        </w:rPr>
      </w:pPr>
    </w:p>
    <w:p w14:paraId="5E8FB751" w14:textId="06A44A5D" w:rsidR="00D02670" w:rsidRPr="00D02670" w:rsidRDefault="0050717C" w:rsidP="00D0267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2- </w:t>
      </w:r>
      <w:r w:rsidR="00D02670" w:rsidRPr="00D02670">
        <w:rPr>
          <w:rFonts w:ascii="Avenir Next" w:hAnsi="Avenir Next" w:cs="Arial"/>
          <w:color w:val="7B7B7B" w:themeColor="accent3" w:themeShade="BF"/>
          <w:sz w:val="22"/>
          <w:szCs w:val="22"/>
        </w:rPr>
        <w:t xml:space="preserve">Protection of Local Creditors: the concept of COMI allows for the opening of secondary proceedings in the Member State where the debtor has an establishment. This protects local creditors by ensuring that they have access to a forum that is familiar to them and governed by local laws to which they are accustomed. </w:t>
      </w:r>
    </w:p>
    <w:p w14:paraId="4A7879D7" w14:textId="77777777" w:rsidR="00D02670" w:rsidRPr="00D02670" w:rsidRDefault="00D02670" w:rsidP="00D02670">
      <w:pPr>
        <w:jc w:val="both"/>
        <w:rPr>
          <w:rFonts w:ascii="Avenir Next" w:hAnsi="Avenir Next" w:cs="Arial"/>
          <w:color w:val="7B7B7B" w:themeColor="accent3" w:themeShade="BF"/>
          <w:sz w:val="22"/>
          <w:szCs w:val="22"/>
        </w:rPr>
      </w:pPr>
    </w:p>
    <w:p w14:paraId="0AE6F7AA" w14:textId="77777777" w:rsidR="00D02670" w:rsidRPr="00D02670" w:rsidRDefault="00D02670" w:rsidP="00D02670">
      <w:pPr>
        <w:jc w:val="both"/>
        <w:rPr>
          <w:rFonts w:ascii="Avenir Next" w:hAnsi="Avenir Next" w:cs="Arial"/>
          <w:color w:val="7B7B7B" w:themeColor="accent3" w:themeShade="BF"/>
          <w:sz w:val="22"/>
          <w:szCs w:val="22"/>
        </w:rPr>
      </w:pPr>
      <w:r w:rsidRPr="00D02670">
        <w:rPr>
          <w:rFonts w:ascii="Avenir Next" w:hAnsi="Avenir Next" w:cs="Arial"/>
          <w:color w:val="7B7B7B" w:themeColor="accent3" w:themeShade="BF"/>
          <w:sz w:val="22"/>
          <w:szCs w:val="22"/>
        </w:rPr>
        <w:t>Shortcomings:</w:t>
      </w:r>
    </w:p>
    <w:p w14:paraId="7DCB492F" w14:textId="170F02A0" w:rsidR="00D02670" w:rsidRPr="00D02670" w:rsidRDefault="0050717C" w:rsidP="00D0267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1- </w:t>
      </w:r>
      <w:r w:rsidR="00D02670" w:rsidRPr="00D02670">
        <w:rPr>
          <w:rFonts w:ascii="Avenir Next" w:hAnsi="Avenir Next" w:cs="Arial"/>
          <w:color w:val="7B7B7B" w:themeColor="accent3" w:themeShade="BF"/>
          <w:sz w:val="22"/>
          <w:szCs w:val="22"/>
        </w:rPr>
        <w:t>Vagueness</w:t>
      </w:r>
      <w:r>
        <w:rPr>
          <w:rFonts w:ascii="Avenir Next" w:hAnsi="Avenir Next" w:cs="Arial"/>
          <w:color w:val="7B7B7B" w:themeColor="accent3" w:themeShade="BF"/>
          <w:sz w:val="22"/>
          <w:szCs w:val="22"/>
        </w:rPr>
        <w:t>/u</w:t>
      </w:r>
      <w:r w:rsidR="00D02670" w:rsidRPr="00D02670">
        <w:rPr>
          <w:rFonts w:ascii="Avenir Next" w:hAnsi="Avenir Next" w:cs="Arial"/>
          <w:color w:val="7B7B7B" w:themeColor="accent3" w:themeShade="BF"/>
          <w:sz w:val="22"/>
          <w:szCs w:val="22"/>
        </w:rPr>
        <w:t xml:space="preserve">ncertainty: </w:t>
      </w:r>
      <w:r>
        <w:rPr>
          <w:rFonts w:ascii="Avenir Next" w:hAnsi="Avenir Next" w:cs="Arial"/>
          <w:color w:val="7B7B7B" w:themeColor="accent3" w:themeShade="BF"/>
          <w:sz w:val="22"/>
          <w:szCs w:val="22"/>
        </w:rPr>
        <w:t>the</w:t>
      </w:r>
      <w:r w:rsidR="00D02670" w:rsidRPr="00D02670">
        <w:rPr>
          <w:rFonts w:ascii="Avenir Next" w:hAnsi="Avenir Next" w:cs="Arial"/>
          <w:color w:val="7B7B7B" w:themeColor="accent3" w:themeShade="BF"/>
          <w:sz w:val="22"/>
          <w:szCs w:val="22"/>
        </w:rPr>
        <w:t xml:space="preserve"> COMI concept has been criticized for its lack of a precise legal definition, which can lead to unpredictability and litigation over its determination. This vagueness can lead to forum shopping as companies may try to move their COMI to more favorable </w:t>
      </w:r>
      <w:proofErr w:type="gramStart"/>
      <w:r w:rsidR="00D02670" w:rsidRPr="00D02670">
        <w:rPr>
          <w:rFonts w:ascii="Avenir Next" w:hAnsi="Avenir Next" w:cs="Arial"/>
          <w:color w:val="7B7B7B" w:themeColor="accent3" w:themeShade="BF"/>
          <w:sz w:val="22"/>
          <w:szCs w:val="22"/>
        </w:rPr>
        <w:t>jurisdictions</w:t>
      </w:r>
      <w:r>
        <w:rPr>
          <w:rFonts w:ascii="Avenir Next" w:hAnsi="Avenir Next" w:cs="Arial"/>
          <w:color w:val="7B7B7B" w:themeColor="accent3" w:themeShade="BF"/>
          <w:sz w:val="22"/>
          <w:szCs w:val="22"/>
        </w:rPr>
        <w:t>;</w:t>
      </w:r>
      <w:proofErr w:type="gramEnd"/>
    </w:p>
    <w:p w14:paraId="7AC384F6" w14:textId="77777777" w:rsidR="00D02670" w:rsidRPr="00D02670" w:rsidRDefault="00D02670" w:rsidP="00D02670">
      <w:pPr>
        <w:jc w:val="both"/>
        <w:rPr>
          <w:rFonts w:ascii="Avenir Next" w:hAnsi="Avenir Next" w:cs="Arial"/>
          <w:color w:val="7B7B7B" w:themeColor="accent3" w:themeShade="BF"/>
          <w:sz w:val="22"/>
          <w:szCs w:val="22"/>
        </w:rPr>
      </w:pPr>
    </w:p>
    <w:p w14:paraId="4662A9D9" w14:textId="6A1FCA7D" w:rsidR="000A3278" w:rsidRDefault="0050717C" w:rsidP="00D0267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2-</w:t>
      </w:r>
      <w:r w:rsidR="00D02670" w:rsidRPr="00D02670">
        <w:rPr>
          <w:rFonts w:ascii="Avenir Next" w:hAnsi="Avenir Next" w:cs="Arial"/>
          <w:color w:val="7B7B7B" w:themeColor="accent3" w:themeShade="BF"/>
          <w:sz w:val="22"/>
          <w:szCs w:val="22"/>
        </w:rPr>
        <w:t>Complexity in Multinational Enterprises: In the case of complex multinational enterprises with operations spread across various jurisdictions, determining the COMI can be particularly challenging. The decentralized structure of such businesses does not lend itself well to the COMI concept.</w:t>
      </w:r>
      <w:r w:rsidR="000A3278">
        <w:rPr>
          <w:rFonts w:ascii="Avenir Next" w:hAnsi="Avenir Next" w:cs="Arial"/>
          <w:color w:val="7B7B7B" w:themeColor="accent3" w:themeShade="BF"/>
          <w:sz w:val="22"/>
          <w:szCs w:val="22"/>
        </w:rPr>
        <w:t>]</w:t>
      </w:r>
    </w:p>
    <w:p w14:paraId="27C1045F" w14:textId="32D1694F" w:rsidR="008D6048" w:rsidRPr="000A373F" w:rsidRDefault="008D6048" w:rsidP="002A37BB">
      <w:pPr>
        <w:jc w:val="both"/>
        <w:rPr>
          <w:rFonts w:ascii="Avenir Next" w:hAnsi="Avenir Next" w:cs="Arial"/>
          <w:color w:val="808080" w:themeColor="background1" w:themeShade="80"/>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5532518D" w14:textId="77777777" w:rsidR="00D02670" w:rsidRPr="00D02670" w:rsidRDefault="000A3278" w:rsidP="00D02670">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D02670" w:rsidRPr="00D02670">
        <w:rPr>
          <w:rFonts w:ascii="Avenir Next" w:hAnsi="Avenir Next" w:cs="Arial"/>
          <w:color w:val="7B7B7B" w:themeColor="accent3" w:themeShade="BF"/>
          <w:sz w:val="22"/>
          <w:szCs w:val="22"/>
        </w:rPr>
        <w:t>The European Insolvency Regulation (EIR) and the Directive on Preventive Restructuring Frameworks, adopted in 2019, have different objectives and scopes that address various aspects of insolvency within the EU:</w:t>
      </w:r>
    </w:p>
    <w:p w14:paraId="066F60CC" w14:textId="77777777" w:rsidR="00D02670" w:rsidRPr="00D02670" w:rsidRDefault="00D02670" w:rsidP="00D02670">
      <w:pPr>
        <w:jc w:val="both"/>
        <w:rPr>
          <w:rFonts w:ascii="Avenir Next" w:hAnsi="Avenir Next" w:cs="Arial"/>
          <w:color w:val="7B7B7B" w:themeColor="accent3" w:themeShade="BF"/>
          <w:sz w:val="22"/>
          <w:szCs w:val="22"/>
        </w:rPr>
      </w:pPr>
    </w:p>
    <w:p w14:paraId="79E12C07" w14:textId="17D91804" w:rsidR="00D02670" w:rsidRPr="00D02670" w:rsidRDefault="002B10B6" w:rsidP="002B10B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1- </w:t>
      </w:r>
      <w:r w:rsidR="00D02670" w:rsidRPr="00D02670">
        <w:rPr>
          <w:rFonts w:ascii="Avenir Next" w:hAnsi="Avenir Next" w:cs="Arial"/>
          <w:color w:val="7B7B7B" w:themeColor="accent3" w:themeShade="BF"/>
          <w:sz w:val="22"/>
          <w:szCs w:val="22"/>
        </w:rPr>
        <w:t>Objective and Scope:</w:t>
      </w:r>
    </w:p>
    <w:p w14:paraId="4E62F20B" w14:textId="77777777" w:rsidR="00D02670" w:rsidRPr="00D02670" w:rsidRDefault="00D02670" w:rsidP="00D02670">
      <w:pPr>
        <w:jc w:val="both"/>
        <w:rPr>
          <w:rFonts w:ascii="Avenir Next" w:hAnsi="Avenir Next" w:cs="Arial"/>
          <w:color w:val="7B7B7B" w:themeColor="accent3" w:themeShade="BF"/>
          <w:sz w:val="22"/>
          <w:szCs w:val="22"/>
        </w:rPr>
      </w:pPr>
    </w:p>
    <w:p w14:paraId="44EC603F" w14:textId="77777777" w:rsidR="00D02670" w:rsidRPr="00D02670" w:rsidRDefault="00D02670" w:rsidP="00D02670">
      <w:pPr>
        <w:numPr>
          <w:ilvl w:val="0"/>
          <w:numId w:val="36"/>
        </w:numPr>
        <w:jc w:val="both"/>
        <w:rPr>
          <w:rFonts w:ascii="Avenir Next" w:hAnsi="Avenir Next" w:cs="Arial"/>
          <w:color w:val="7B7B7B" w:themeColor="accent3" w:themeShade="BF"/>
          <w:sz w:val="22"/>
          <w:szCs w:val="22"/>
        </w:rPr>
      </w:pPr>
      <w:r w:rsidRPr="00D02670">
        <w:rPr>
          <w:rFonts w:ascii="Avenir Next" w:hAnsi="Avenir Next" w:cs="Arial"/>
          <w:color w:val="7B7B7B" w:themeColor="accent3" w:themeShade="BF"/>
          <w:sz w:val="22"/>
          <w:szCs w:val="22"/>
        </w:rPr>
        <w:t>Regulation: The EIR is focused on procedural harmonization, specifically the recognition of insolvency proceedings and decisions across Member States. It sets out rules on jurisdiction, recognition, and enforcement of insolvency proceedings but does not harmonize the substantive insolvency laws of the Member States.</w:t>
      </w:r>
    </w:p>
    <w:p w14:paraId="3B3518F8" w14:textId="77777777" w:rsidR="00D02670" w:rsidRPr="00D02670" w:rsidRDefault="00D02670" w:rsidP="00D02670">
      <w:pPr>
        <w:numPr>
          <w:ilvl w:val="0"/>
          <w:numId w:val="36"/>
        </w:numPr>
        <w:jc w:val="both"/>
        <w:rPr>
          <w:rFonts w:ascii="Avenir Next" w:hAnsi="Avenir Next" w:cs="Arial"/>
          <w:color w:val="7B7B7B" w:themeColor="accent3" w:themeShade="BF"/>
          <w:sz w:val="22"/>
          <w:szCs w:val="22"/>
        </w:rPr>
      </w:pPr>
      <w:r w:rsidRPr="00D02670">
        <w:rPr>
          <w:rFonts w:ascii="Avenir Next" w:hAnsi="Avenir Next" w:cs="Arial"/>
          <w:color w:val="7B7B7B" w:themeColor="accent3" w:themeShade="BF"/>
          <w:sz w:val="22"/>
          <w:szCs w:val="22"/>
        </w:rPr>
        <w:t>Directive: The Directive on Preventive Restructuring Frameworks aims to harmonize certain aspects of substantive insolvency law across the EU, particularly regarding preventive restructuring, to enable debtors in financial difficulty to restructure early to prevent insolvency and ensure the viability of the business. It also introduces rules on discharge periods and a framework for restructuring plans.</w:t>
      </w:r>
    </w:p>
    <w:p w14:paraId="7F0BB1E4" w14:textId="77777777" w:rsidR="00D02670" w:rsidRPr="00D02670" w:rsidRDefault="00D02670" w:rsidP="00D02670">
      <w:pPr>
        <w:jc w:val="both"/>
        <w:rPr>
          <w:rFonts w:ascii="Avenir Next" w:hAnsi="Avenir Next" w:cs="Arial"/>
          <w:color w:val="7B7B7B" w:themeColor="accent3" w:themeShade="BF"/>
          <w:sz w:val="22"/>
          <w:szCs w:val="22"/>
        </w:rPr>
      </w:pPr>
    </w:p>
    <w:p w14:paraId="7EB462D2" w14:textId="0F3010EA" w:rsidR="00D02670" w:rsidRPr="00D02670" w:rsidRDefault="002B10B6" w:rsidP="002B10B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2- </w:t>
      </w:r>
      <w:r w:rsidR="00D02670" w:rsidRPr="00D02670">
        <w:rPr>
          <w:rFonts w:ascii="Avenir Next" w:hAnsi="Avenir Next" w:cs="Arial"/>
          <w:color w:val="7B7B7B" w:themeColor="accent3" w:themeShade="BF"/>
          <w:sz w:val="22"/>
          <w:szCs w:val="22"/>
        </w:rPr>
        <w:t>Binding Nature and Implementation:</w:t>
      </w:r>
    </w:p>
    <w:p w14:paraId="6940212D" w14:textId="77777777" w:rsidR="00D02670" w:rsidRPr="00D02670" w:rsidRDefault="00D02670" w:rsidP="00D02670">
      <w:pPr>
        <w:jc w:val="both"/>
        <w:rPr>
          <w:rFonts w:ascii="Avenir Next" w:hAnsi="Avenir Next" w:cs="Arial"/>
          <w:color w:val="7B7B7B" w:themeColor="accent3" w:themeShade="BF"/>
          <w:sz w:val="22"/>
          <w:szCs w:val="22"/>
        </w:rPr>
      </w:pPr>
    </w:p>
    <w:p w14:paraId="5C45A42C" w14:textId="77777777" w:rsidR="00D02670" w:rsidRPr="00D02670" w:rsidRDefault="00D02670" w:rsidP="00D02670">
      <w:pPr>
        <w:numPr>
          <w:ilvl w:val="0"/>
          <w:numId w:val="36"/>
        </w:numPr>
        <w:jc w:val="both"/>
        <w:rPr>
          <w:rFonts w:ascii="Avenir Next" w:hAnsi="Avenir Next" w:cs="Arial"/>
          <w:color w:val="7B7B7B" w:themeColor="accent3" w:themeShade="BF"/>
          <w:sz w:val="22"/>
          <w:szCs w:val="22"/>
        </w:rPr>
      </w:pPr>
      <w:r w:rsidRPr="00D02670">
        <w:rPr>
          <w:rFonts w:ascii="Avenir Next" w:hAnsi="Avenir Next" w:cs="Arial"/>
          <w:color w:val="7B7B7B" w:themeColor="accent3" w:themeShade="BF"/>
          <w:sz w:val="22"/>
          <w:szCs w:val="22"/>
        </w:rPr>
        <w:lastRenderedPageBreak/>
        <w:t>Regulation: The EIR, as a regulation, is directly applicable and binding across all Member States without the need for national implementation. It has direct effect from the date it becomes applicable.</w:t>
      </w:r>
    </w:p>
    <w:p w14:paraId="76B80A3E" w14:textId="77777777" w:rsidR="00D02670" w:rsidRPr="00D02670" w:rsidRDefault="00D02670" w:rsidP="00D02670">
      <w:pPr>
        <w:numPr>
          <w:ilvl w:val="0"/>
          <w:numId w:val="36"/>
        </w:numPr>
        <w:jc w:val="both"/>
        <w:rPr>
          <w:rFonts w:ascii="Avenir Next" w:hAnsi="Avenir Next" w:cs="Arial"/>
          <w:color w:val="7B7B7B" w:themeColor="accent3" w:themeShade="BF"/>
          <w:sz w:val="22"/>
          <w:szCs w:val="22"/>
        </w:rPr>
      </w:pPr>
      <w:r w:rsidRPr="00D02670">
        <w:rPr>
          <w:rFonts w:ascii="Avenir Next" w:hAnsi="Avenir Next" w:cs="Arial"/>
          <w:color w:val="7B7B7B" w:themeColor="accent3" w:themeShade="BF"/>
          <w:sz w:val="22"/>
          <w:szCs w:val="22"/>
        </w:rPr>
        <w:t>Directive: The Directive, on the other hand, is binding as to the result to be achieved but leaves national authorities the choice of form and methods. Member States have a duty to transpose the Directive into national law within a certain deadline, adapting their domestic legal frameworks to meet the objectives set out in the Directive.</w:t>
      </w:r>
    </w:p>
    <w:p w14:paraId="0D6DD9B3" w14:textId="77777777" w:rsidR="00D02670" w:rsidRPr="00D02670" w:rsidRDefault="00D02670" w:rsidP="00D02670">
      <w:pPr>
        <w:jc w:val="both"/>
        <w:rPr>
          <w:rFonts w:ascii="Avenir Next" w:hAnsi="Avenir Next" w:cs="Arial"/>
          <w:color w:val="7B7B7B" w:themeColor="accent3" w:themeShade="BF"/>
          <w:sz w:val="22"/>
          <w:szCs w:val="22"/>
        </w:rPr>
      </w:pPr>
    </w:p>
    <w:p w14:paraId="3B7672B9" w14:textId="25D1230C" w:rsidR="000A3278" w:rsidRDefault="00D02670" w:rsidP="000A3278">
      <w:pPr>
        <w:jc w:val="both"/>
        <w:rPr>
          <w:rFonts w:ascii="Avenir Next" w:hAnsi="Avenir Next" w:cs="Arial"/>
          <w:color w:val="7B7B7B" w:themeColor="accent3" w:themeShade="BF"/>
          <w:sz w:val="22"/>
          <w:szCs w:val="22"/>
        </w:rPr>
      </w:pPr>
      <w:r w:rsidRPr="00D02670">
        <w:rPr>
          <w:rFonts w:ascii="Avenir Next" w:hAnsi="Avenir Next" w:cs="Arial"/>
          <w:color w:val="7B7B7B" w:themeColor="accent3" w:themeShade="BF"/>
          <w:sz w:val="22"/>
          <w:szCs w:val="22"/>
        </w:rPr>
        <w:t>While the EIR provides the procedural framework for cross-border insolvency within the EU, the Directive seeks to standardize substantive preventive restructuring measures to reduce the likelihood of insolvency and promote the rescue of economically viable businesses. Together, they represent a comprehensive approach to addressing insolvency issues within the EU's internal market.</w:t>
      </w:r>
      <w:r w:rsidR="000A3278">
        <w:rPr>
          <w:rFonts w:ascii="Avenir Next" w:hAnsi="Avenir Next" w:cs="Arial"/>
          <w:color w:val="7B7B7B" w:themeColor="accent3" w:themeShade="BF"/>
          <w:sz w:val="22"/>
          <w:szCs w:val="22"/>
        </w:rPr>
        <w:t>]</w:t>
      </w: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46D8DE6C" w14:textId="433FA308" w:rsidR="007E54BD" w:rsidRPr="007E54BD" w:rsidRDefault="000A3278" w:rsidP="007E54B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lastRenderedPageBreak/>
        <w:t>[</w:t>
      </w:r>
      <w:r w:rsidR="007E54BD" w:rsidRPr="007E54BD">
        <w:rPr>
          <w:rFonts w:ascii="Avenir Next" w:hAnsi="Avenir Next" w:cs="Arial"/>
          <w:color w:val="7B7B7B" w:themeColor="accent3" w:themeShade="BF"/>
          <w:sz w:val="22"/>
          <w:szCs w:val="22"/>
        </w:rPr>
        <w:t xml:space="preserve">The European Insolvency Regulation (EIR) 2000 applies to collective insolvency proceedings involving the partial or total disposal of a debtor and the appointment of a liquidator and is applicable to cases where the </w:t>
      </w:r>
      <w:r w:rsidR="00D75B37">
        <w:rPr>
          <w:rFonts w:ascii="Avenir Next" w:hAnsi="Avenir Next" w:cs="Arial"/>
          <w:color w:val="7B7B7B" w:themeColor="accent3" w:themeShade="BF"/>
          <w:sz w:val="22"/>
          <w:szCs w:val="22"/>
        </w:rPr>
        <w:t xml:space="preserve">COMI </w:t>
      </w:r>
      <w:r w:rsidR="007E54BD" w:rsidRPr="007E54BD">
        <w:rPr>
          <w:rFonts w:ascii="Avenir Next" w:hAnsi="Avenir Next" w:cs="Arial"/>
          <w:color w:val="7B7B7B" w:themeColor="accent3" w:themeShade="BF"/>
          <w:sz w:val="22"/>
          <w:szCs w:val="22"/>
        </w:rPr>
        <w:t>is within a Member State of the European Union.</w:t>
      </w:r>
    </w:p>
    <w:p w14:paraId="14997113" w14:textId="77777777" w:rsidR="00B40BB9" w:rsidRDefault="007E54BD" w:rsidP="007E54BD">
      <w:pPr>
        <w:jc w:val="both"/>
        <w:rPr>
          <w:rFonts w:ascii="Avenir Next" w:hAnsi="Avenir Next" w:cs="Arial"/>
          <w:color w:val="7B7B7B" w:themeColor="accent3" w:themeShade="BF"/>
          <w:sz w:val="22"/>
          <w:szCs w:val="22"/>
        </w:rPr>
      </w:pPr>
      <w:r w:rsidRPr="007E54BD">
        <w:rPr>
          <w:rFonts w:ascii="Avenir Next" w:hAnsi="Avenir Next" w:cs="Arial"/>
          <w:color w:val="7B7B7B" w:themeColor="accent3" w:themeShade="BF"/>
          <w:sz w:val="22"/>
          <w:szCs w:val="22"/>
        </w:rPr>
        <w:t xml:space="preserve">In determining whether the EIR 2000 would apply to </w:t>
      </w:r>
      <w:proofErr w:type="spellStart"/>
      <w:r w:rsidRPr="007E54BD">
        <w:rPr>
          <w:rFonts w:ascii="Avenir Next" w:hAnsi="Avenir Next" w:cs="Arial"/>
          <w:color w:val="7B7B7B" w:themeColor="accent3" w:themeShade="BF"/>
          <w:sz w:val="22"/>
          <w:szCs w:val="22"/>
        </w:rPr>
        <w:t>Dinosaurus</w:t>
      </w:r>
      <w:proofErr w:type="spellEnd"/>
      <w:r w:rsidRPr="007E54BD">
        <w:rPr>
          <w:rFonts w:ascii="Avenir Next" w:hAnsi="Avenir Next" w:cs="Arial"/>
          <w:color w:val="7B7B7B" w:themeColor="accent3" w:themeShade="BF"/>
          <w:sz w:val="22"/>
          <w:szCs w:val="22"/>
        </w:rPr>
        <w:t xml:space="preserve"> SARL, the key factor is the location of the company's COMI. </w:t>
      </w:r>
    </w:p>
    <w:p w14:paraId="0655630A" w14:textId="77777777" w:rsidR="00B40BB9" w:rsidRDefault="00B40BB9" w:rsidP="007E54BD">
      <w:pPr>
        <w:jc w:val="both"/>
        <w:rPr>
          <w:rFonts w:ascii="Avenir Next" w:hAnsi="Avenir Next" w:cs="Arial"/>
          <w:color w:val="7B7B7B" w:themeColor="accent3" w:themeShade="BF"/>
          <w:sz w:val="22"/>
          <w:szCs w:val="22"/>
        </w:rPr>
      </w:pPr>
    </w:p>
    <w:p w14:paraId="2132882E" w14:textId="71DCDE3D" w:rsidR="007E54BD" w:rsidRPr="007E54BD" w:rsidRDefault="00B40BB9" w:rsidP="007E54B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w:t>
      </w:r>
      <w:r w:rsidR="007E54BD" w:rsidRPr="007E54BD">
        <w:rPr>
          <w:rFonts w:ascii="Avenir Next" w:hAnsi="Avenir Next" w:cs="Arial"/>
          <w:color w:val="7B7B7B" w:themeColor="accent3" w:themeShade="BF"/>
          <w:sz w:val="22"/>
          <w:szCs w:val="22"/>
        </w:rPr>
        <w:t xml:space="preserve"> scenario provided</w:t>
      </w:r>
      <w:r>
        <w:rPr>
          <w:rFonts w:ascii="Avenir Next" w:hAnsi="Avenir Next" w:cs="Arial"/>
          <w:color w:val="7B7B7B" w:themeColor="accent3" w:themeShade="BF"/>
          <w:sz w:val="22"/>
          <w:szCs w:val="22"/>
        </w:rPr>
        <w:t xml:space="preserve"> indicates</w:t>
      </w:r>
      <w:r w:rsidR="007E54BD" w:rsidRPr="007E54BD">
        <w:rPr>
          <w:rFonts w:ascii="Avenir Next" w:hAnsi="Avenir Next" w:cs="Arial"/>
          <w:color w:val="7B7B7B" w:themeColor="accent3" w:themeShade="BF"/>
          <w:sz w:val="22"/>
          <w:szCs w:val="22"/>
        </w:rPr>
        <w:t>:</w:t>
      </w:r>
    </w:p>
    <w:p w14:paraId="2A9F1EC2" w14:textId="77777777" w:rsidR="007E54BD" w:rsidRPr="007E54BD" w:rsidRDefault="007E54BD" w:rsidP="007E54BD">
      <w:pPr>
        <w:jc w:val="both"/>
        <w:rPr>
          <w:rFonts w:ascii="Avenir Next" w:hAnsi="Avenir Next" w:cs="Arial"/>
          <w:color w:val="7B7B7B" w:themeColor="accent3" w:themeShade="BF"/>
          <w:sz w:val="22"/>
          <w:szCs w:val="22"/>
        </w:rPr>
      </w:pPr>
    </w:p>
    <w:p w14:paraId="356BCE58" w14:textId="4AD436A3" w:rsidR="007E54BD" w:rsidRPr="007E54BD" w:rsidRDefault="00D75B37" w:rsidP="007E54B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r w:rsidR="007E54BD" w:rsidRPr="007E54BD">
        <w:rPr>
          <w:rFonts w:ascii="Avenir Next" w:hAnsi="Avenir Next" w:cs="Arial"/>
          <w:color w:val="7B7B7B" w:themeColor="accent3" w:themeShade="BF"/>
          <w:sz w:val="22"/>
          <w:szCs w:val="22"/>
        </w:rPr>
        <w:t xml:space="preserve">Incorporation and </w:t>
      </w:r>
      <w:r>
        <w:rPr>
          <w:rFonts w:ascii="Avenir Next" w:hAnsi="Avenir Next" w:cs="Arial"/>
          <w:color w:val="7B7B7B" w:themeColor="accent3" w:themeShade="BF"/>
          <w:sz w:val="22"/>
          <w:szCs w:val="22"/>
        </w:rPr>
        <w:t>m</w:t>
      </w:r>
      <w:r w:rsidR="007E54BD" w:rsidRPr="007E54BD">
        <w:rPr>
          <w:rFonts w:ascii="Avenir Next" w:hAnsi="Avenir Next" w:cs="Arial"/>
          <w:color w:val="7B7B7B" w:themeColor="accent3" w:themeShade="BF"/>
          <w:sz w:val="22"/>
          <w:szCs w:val="22"/>
        </w:rPr>
        <w:t xml:space="preserve">ain </w:t>
      </w:r>
      <w:r>
        <w:rPr>
          <w:rFonts w:ascii="Avenir Next" w:hAnsi="Avenir Next" w:cs="Arial"/>
          <w:color w:val="7B7B7B" w:themeColor="accent3" w:themeShade="BF"/>
          <w:sz w:val="22"/>
          <w:szCs w:val="22"/>
        </w:rPr>
        <w:t>o</w:t>
      </w:r>
      <w:r w:rsidR="007E54BD" w:rsidRPr="007E54BD">
        <w:rPr>
          <w:rFonts w:ascii="Avenir Next" w:hAnsi="Avenir Next" w:cs="Arial"/>
          <w:color w:val="7B7B7B" w:themeColor="accent3" w:themeShade="BF"/>
          <w:sz w:val="22"/>
          <w:szCs w:val="22"/>
        </w:rPr>
        <w:t xml:space="preserve">perations in France: </w:t>
      </w:r>
      <w:r>
        <w:rPr>
          <w:rFonts w:ascii="Avenir Next" w:hAnsi="Avenir Next" w:cs="Arial"/>
          <w:color w:val="7B7B7B" w:themeColor="accent3" w:themeShade="BF"/>
          <w:sz w:val="22"/>
          <w:szCs w:val="22"/>
        </w:rPr>
        <w:t>t</w:t>
      </w:r>
      <w:r w:rsidR="007E54BD" w:rsidRPr="007E54BD">
        <w:rPr>
          <w:rFonts w:ascii="Avenir Next" w:hAnsi="Avenir Next" w:cs="Arial"/>
          <w:color w:val="7B7B7B" w:themeColor="accent3" w:themeShade="BF"/>
          <w:sz w:val="22"/>
          <w:szCs w:val="22"/>
        </w:rPr>
        <w:t>he company is incorporated in France, has its first store and the majority of its operations in France, including 80% of its employees</w:t>
      </w:r>
      <w:r>
        <w:rPr>
          <w:rFonts w:ascii="Avenir Next" w:hAnsi="Avenir Next" w:cs="Arial"/>
          <w:color w:val="7B7B7B" w:themeColor="accent3" w:themeShade="BF"/>
          <w:sz w:val="22"/>
          <w:szCs w:val="22"/>
        </w:rPr>
        <w:t xml:space="preserve">, which </w:t>
      </w:r>
      <w:r w:rsidR="007E54BD" w:rsidRPr="007E54BD">
        <w:rPr>
          <w:rFonts w:ascii="Avenir Next" w:hAnsi="Avenir Next" w:cs="Arial"/>
          <w:color w:val="7B7B7B" w:themeColor="accent3" w:themeShade="BF"/>
          <w:sz w:val="22"/>
          <w:szCs w:val="22"/>
        </w:rPr>
        <w:t xml:space="preserve">strongly indicates that the COMI is in </w:t>
      </w:r>
      <w:proofErr w:type="gramStart"/>
      <w:r w:rsidR="007E54BD" w:rsidRPr="007E54BD">
        <w:rPr>
          <w:rFonts w:ascii="Avenir Next" w:hAnsi="Avenir Next" w:cs="Arial"/>
          <w:color w:val="7B7B7B" w:themeColor="accent3" w:themeShade="BF"/>
          <w:sz w:val="22"/>
          <w:szCs w:val="22"/>
        </w:rPr>
        <w:t>France</w:t>
      </w:r>
      <w:r>
        <w:rPr>
          <w:rFonts w:ascii="Avenir Next" w:hAnsi="Avenir Next" w:cs="Arial"/>
          <w:color w:val="7B7B7B" w:themeColor="accent3" w:themeShade="BF"/>
          <w:sz w:val="22"/>
          <w:szCs w:val="22"/>
        </w:rPr>
        <w:t>;</w:t>
      </w:r>
      <w:proofErr w:type="gramEnd"/>
    </w:p>
    <w:p w14:paraId="03D7E5F5" w14:textId="2C387420" w:rsidR="007E54BD" w:rsidRPr="007E54BD" w:rsidRDefault="00D75B37" w:rsidP="007E54B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r w:rsidR="007E54BD" w:rsidRPr="007E54BD">
        <w:rPr>
          <w:rFonts w:ascii="Avenir Next" w:hAnsi="Avenir Next" w:cs="Arial"/>
          <w:color w:val="7B7B7B" w:themeColor="accent3" w:themeShade="BF"/>
          <w:sz w:val="22"/>
          <w:szCs w:val="22"/>
        </w:rPr>
        <w:t xml:space="preserve">Presence in </w:t>
      </w:r>
      <w:r>
        <w:rPr>
          <w:rFonts w:ascii="Avenir Next" w:hAnsi="Avenir Next" w:cs="Arial"/>
          <w:color w:val="7B7B7B" w:themeColor="accent3" w:themeShade="BF"/>
          <w:sz w:val="22"/>
          <w:szCs w:val="22"/>
        </w:rPr>
        <w:t>o</w:t>
      </w:r>
      <w:r w:rsidR="007E54BD" w:rsidRPr="007E54BD">
        <w:rPr>
          <w:rFonts w:ascii="Avenir Next" w:hAnsi="Avenir Next" w:cs="Arial"/>
          <w:color w:val="7B7B7B" w:themeColor="accent3" w:themeShade="BF"/>
          <w:sz w:val="22"/>
          <w:szCs w:val="22"/>
        </w:rPr>
        <w:t xml:space="preserve">ther </w:t>
      </w:r>
      <w:r>
        <w:rPr>
          <w:rFonts w:ascii="Avenir Next" w:hAnsi="Avenir Next" w:cs="Arial"/>
          <w:color w:val="7B7B7B" w:themeColor="accent3" w:themeShade="BF"/>
          <w:sz w:val="22"/>
          <w:szCs w:val="22"/>
        </w:rPr>
        <w:t>m</w:t>
      </w:r>
      <w:r w:rsidR="007E54BD" w:rsidRPr="007E54BD">
        <w:rPr>
          <w:rFonts w:ascii="Avenir Next" w:hAnsi="Avenir Next" w:cs="Arial"/>
          <w:color w:val="7B7B7B" w:themeColor="accent3" w:themeShade="BF"/>
          <w:sz w:val="22"/>
          <w:szCs w:val="22"/>
        </w:rPr>
        <w:t xml:space="preserve">ember </w:t>
      </w:r>
      <w:r>
        <w:rPr>
          <w:rFonts w:ascii="Avenir Next" w:hAnsi="Avenir Next" w:cs="Arial"/>
          <w:color w:val="7B7B7B" w:themeColor="accent3" w:themeShade="BF"/>
          <w:sz w:val="22"/>
          <w:szCs w:val="22"/>
        </w:rPr>
        <w:t>s</w:t>
      </w:r>
      <w:r w:rsidR="007E54BD" w:rsidRPr="007E54BD">
        <w:rPr>
          <w:rFonts w:ascii="Avenir Next" w:hAnsi="Avenir Next" w:cs="Arial"/>
          <w:color w:val="7B7B7B" w:themeColor="accent3" w:themeShade="BF"/>
          <w:sz w:val="22"/>
          <w:szCs w:val="22"/>
        </w:rPr>
        <w:t xml:space="preserve">tates: </w:t>
      </w:r>
      <w:r>
        <w:rPr>
          <w:rFonts w:ascii="Avenir Next" w:hAnsi="Avenir Next" w:cs="Arial"/>
          <w:color w:val="7B7B7B" w:themeColor="accent3" w:themeShade="BF"/>
          <w:sz w:val="22"/>
          <w:szCs w:val="22"/>
        </w:rPr>
        <w:t>d</w:t>
      </w:r>
      <w:r w:rsidR="007E54BD" w:rsidRPr="007E54BD">
        <w:rPr>
          <w:rFonts w:ascii="Avenir Next" w:hAnsi="Avenir Next" w:cs="Arial"/>
          <w:color w:val="7B7B7B" w:themeColor="accent3" w:themeShade="BF"/>
          <w:sz w:val="22"/>
          <w:szCs w:val="22"/>
        </w:rPr>
        <w:t xml:space="preserve">espite the presence of an office and stores in Ireland and a warehouse in Spain, these do not necessarily shift the COMI away from France unless they are the center of the company's main activities, which </w:t>
      </w:r>
      <w:r w:rsidR="00B40BB9">
        <w:rPr>
          <w:rFonts w:ascii="Avenir Next" w:hAnsi="Avenir Next" w:cs="Arial"/>
          <w:color w:val="7B7B7B" w:themeColor="accent3" w:themeShade="BF"/>
          <w:sz w:val="22"/>
          <w:szCs w:val="22"/>
        </w:rPr>
        <w:t>we cannot assume to be the case</w:t>
      </w:r>
      <w:proofErr w:type="gramStart"/>
      <w:r w:rsidR="00B40BB9">
        <w:rPr>
          <w:rFonts w:ascii="Avenir Next" w:hAnsi="Avenir Next" w:cs="Arial"/>
          <w:color w:val="7B7B7B" w:themeColor="accent3" w:themeShade="BF"/>
          <w:sz w:val="22"/>
          <w:szCs w:val="22"/>
        </w:rPr>
        <w:t>);</w:t>
      </w:r>
      <w:proofErr w:type="gramEnd"/>
    </w:p>
    <w:p w14:paraId="0C9D8F45" w14:textId="7018A3D3" w:rsidR="007E54BD" w:rsidRPr="007E54BD" w:rsidRDefault="00D75B37" w:rsidP="007E54B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r w:rsidR="007E54BD" w:rsidRPr="007E54BD">
        <w:rPr>
          <w:rFonts w:ascii="Avenir Next" w:hAnsi="Avenir Next" w:cs="Arial"/>
          <w:color w:val="7B7B7B" w:themeColor="accent3" w:themeShade="BF"/>
          <w:sz w:val="22"/>
          <w:szCs w:val="22"/>
        </w:rPr>
        <w:t xml:space="preserve">Economic </w:t>
      </w:r>
      <w:r>
        <w:rPr>
          <w:rFonts w:ascii="Avenir Next" w:hAnsi="Avenir Next" w:cs="Arial"/>
          <w:color w:val="7B7B7B" w:themeColor="accent3" w:themeShade="BF"/>
          <w:sz w:val="22"/>
          <w:szCs w:val="22"/>
        </w:rPr>
        <w:t>a</w:t>
      </w:r>
      <w:r w:rsidR="007E54BD" w:rsidRPr="007E54BD">
        <w:rPr>
          <w:rFonts w:ascii="Avenir Next" w:hAnsi="Avenir Next" w:cs="Arial"/>
          <w:color w:val="7B7B7B" w:themeColor="accent3" w:themeShade="BF"/>
          <w:sz w:val="22"/>
          <w:szCs w:val="22"/>
        </w:rPr>
        <w:t xml:space="preserve">ctivities and </w:t>
      </w:r>
      <w:r>
        <w:rPr>
          <w:rFonts w:ascii="Avenir Next" w:hAnsi="Avenir Next" w:cs="Arial"/>
          <w:color w:val="7B7B7B" w:themeColor="accent3" w:themeShade="BF"/>
          <w:sz w:val="22"/>
          <w:szCs w:val="22"/>
        </w:rPr>
        <w:t>c</w:t>
      </w:r>
      <w:r w:rsidR="007E54BD" w:rsidRPr="007E54BD">
        <w:rPr>
          <w:rFonts w:ascii="Avenir Next" w:hAnsi="Avenir Next" w:cs="Arial"/>
          <w:color w:val="7B7B7B" w:themeColor="accent3" w:themeShade="BF"/>
          <w:sz w:val="22"/>
          <w:szCs w:val="22"/>
        </w:rPr>
        <w:t xml:space="preserve">ustomers: </w:t>
      </w:r>
      <w:r>
        <w:rPr>
          <w:rFonts w:ascii="Avenir Next" w:hAnsi="Avenir Next" w:cs="Arial"/>
          <w:color w:val="7B7B7B" w:themeColor="accent3" w:themeShade="BF"/>
          <w:sz w:val="22"/>
          <w:szCs w:val="22"/>
        </w:rPr>
        <w:t>m</w:t>
      </w:r>
      <w:r w:rsidR="007E54BD" w:rsidRPr="007E54BD">
        <w:rPr>
          <w:rFonts w:ascii="Avenir Next" w:hAnsi="Avenir Next" w:cs="Arial"/>
          <w:color w:val="7B7B7B" w:themeColor="accent3" w:themeShade="BF"/>
          <w:sz w:val="22"/>
          <w:szCs w:val="22"/>
        </w:rPr>
        <w:t xml:space="preserve">ost customers are in France, and there is significant economic activity there, supporting </w:t>
      </w:r>
      <w:r w:rsidR="00B40BB9">
        <w:rPr>
          <w:rFonts w:ascii="Avenir Next" w:hAnsi="Avenir Next" w:cs="Arial"/>
          <w:color w:val="7B7B7B" w:themeColor="accent3" w:themeShade="BF"/>
          <w:sz w:val="22"/>
          <w:szCs w:val="22"/>
        </w:rPr>
        <w:t xml:space="preserve">once again </w:t>
      </w:r>
      <w:r w:rsidR="007E54BD" w:rsidRPr="007E54BD">
        <w:rPr>
          <w:rFonts w:ascii="Avenir Next" w:hAnsi="Avenir Next" w:cs="Arial"/>
          <w:color w:val="7B7B7B" w:themeColor="accent3" w:themeShade="BF"/>
          <w:sz w:val="22"/>
          <w:szCs w:val="22"/>
        </w:rPr>
        <w:t xml:space="preserve">the COMI being in </w:t>
      </w:r>
      <w:proofErr w:type="gramStart"/>
      <w:r w:rsidR="007E54BD" w:rsidRPr="007E54BD">
        <w:rPr>
          <w:rFonts w:ascii="Avenir Next" w:hAnsi="Avenir Next" w:cs="Arial"/>
          <w:color w:val="7B7B7B" w:themeColor="accent3" w:themeShade="BF"/>
          <w:sz w:val="22"/>
          <w:szCs w:val="22"/>
        </w:rPr>
        <w:t>France</w:t>
      </w:r>
      <w:r>
        <w:rPr>
          <w:rFonts w:ascii="Avenir Next" w:hAnsi="Avenir Next" w:cs="Arial"/>
          <w:color w:val="7B7B7B" w:themeColor="accent3" w:themeShade="BF"/>
          <w:sz w:val="22"/>
          <w:szCs w:val="22"/>
        </w:rPr>
        <w:t>;</w:t>
      </w:r>
      <w:proofErr w:type="gramEnd"/>
    </w:p>
    <w:p w14:paraId="138E0470" w14:textId="467E6B5C" w:rsidR="007E54BD" w:rsidRPr="007E54BD" w:rsidRDefault="00D75B37" w:rsidP="007E54B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r w:rsidR="007E54BD" w:rsidRPr="007E54BD">
        <w:rPr>
          <w:rFonts w:ascii="Avenir Next" w:hAnsi="Avenir Next" w:cs="Arial"/>
          <w:color w:val="7B7B7B" w:themeColor="accent3" w:themeShade="BF"/>
          <w:sz w:val="22"/>
          <w:szCs w:val="22"/>
        </w:rPr>
        <w:t xml:space="preserve">Online </w:t>
      </w:r>
      <w:r>
        <w:rPr>
          <w:rFonts w:ascii="Avenir Next" w:hAnsi="Avenir Next" w:cs="Arial"/>
          <w:color w:val="7B7B7B" w:themeColor="accent3" w:themeShade="BF"/>
          <w:sz w:val="22"/>
          <w:szCs w:val="22"/>
        </w:rPr>
        <w:t>p</w:t>
      </w:r>
      <w:r w:rsidR="007E54BD" w:rsidRPr="007E54BD">
        <w:rPr>
          <w:rFonts w:ascii="Avenir Next" w:hAnsi="Avenir Next" w:cs="Arial"/>
          <w:color w:val="7B7B7B" w:themeColor="accent3" w:themeShade="BF"/>
          <w:sz w:val="22"/>
          <w:szCs w:val="22"/>
        </w:rPr>
        <w:t xml:space="preserve">urchases from the UK: </w:t>
      </w:r>
      <w:r>
        <w:rPr>
          <w:rFonts w:ascii="Avenir Next" w:hAnsi="Avenir Next" w:cs="Arial"/>
          <w:color w:val="7B7B7B" w:themeColor="accent3" w:themeShade="BF"/>
          <w:sz w:val="22"/>
          <w:szCs w:val="22"/>
        </w:rPr>
        <w:t>t</w:t>
      </w:r>
      <w:r w:rsidR="007E54BD" w:rsidRPr="007E54BD">
        <w:rPr>
          <w:rFonts w:ascii="Avenir Next" w:hAnsi="Avenir Next" w:cs="Arial"/>
          <w:color w:val="7B7B7B" w:themeColor="accent3" w:themeShade="BF"/>
          <w:sz w:val="22"/>
          <w:szCs w:val="22"/>
        </w:rPr>
        <w:t xml:space="preserve">he location of customers </w:t>
      </w:r>
      <w:r w:rsidR="00B40BB9">
        <w:rPr>
          <w:rFonts w:ascii="Avenir Next" w:hAnsi="Avenir Next" w:cs="Arial"/>
          <w:color w:val="7B7B7B" w:themeColor="accent3" w:themeShade="BF"/>
          <w:sz w:val="22"/>
          <w:szCs w:val="22"/>
        </w:rPr>
        <w:t xml:space="preserve">doing </w:t>
      </w:r>
      <w:r w:rsidR="007E54BD" w:rsidRPr="007E54BD">
        <w:rPr>
          <w:rFonts w:ascii="Avenir Next" w:hAnsi="Avenir Next" w:cs="Arial"/>
          <w:color w:val="7B7B7B" w:themeColor="accent3" w:themeShade="BF"/>
          <w:sz w:val="22"/>
          <w:szCs w:val="22"/>
        </w:rPr>
        <w:t xml:space="preserve">online purchases does not necessarily affect the determination of </w:t>
      </w:r>
      <w:proofErr w:type="gramStart"/>
      <w:r w:rsidR="007E54BD" w:rsidRPr="007E54BD">
        <w:rPr>
          <w:rFonts w:ascii="Avenir Next" w:hAnsi="Avenir Next" w:cs="Arial"/>
          <w:color w:val="7B7B7B" w:themeColor="accent3" w:themeShade="BF"/>
          <w:sz w:val="22"/>
          <w:szCs w:val="22"/>
        </w:rPr>
        <w:t>COMI</w:t>
      </w:r>
      <w:r>
        <w:rPr>
          <w:rFonts w:ascii="Avenir Next" w:hAnsi="Avenir Next" w:cs="Arial"/>
          <w:color w:val="7B7B7B" w:themeColor="accent3" w:themeShade="BF"/>
          <w:sz w:val="22"/>
          <w:szCs w:val="22"/>
        </w:rPr>
        <w:t>;</w:t>
      </w:r>
      <w:proofErr w:type="gramEnd"/>
    </w:p>
    <w:p w14:paraId="4A4D0345" w14:textId="2B927A32" w:rsidR="007E54BD" w:rsidRDefault="00D75B37" w:rsidP="007E54B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r w:rsidR="007E54BD" w:rsidRPr="007E54BD">
        <w:rPr>
          <w:rFonts w:ascii="Avenir Next" w:hAnsi="Avenir Next" w:cs="Arial"/>
          <w:color w:val="7B7B7B" w:themeColor="accent3" w:themeShade="BF"/>
          <w:sz w:val="22"/>
          <w:szCs w:val="22"/>
        </w:rPr>
        <w:t xml:space="preserve">Loan </w:t>
      </w:r>
      <w:r>
        <w:rPr>
          <w:rFonts w:ascii="Avenir Next" w:hAnsi="Avenir Next" w:cs="Arial"/>
          <w:color w:val="7B7B7B" w:themeColor="accent3" w:themeShade="BF"/>
          <w:sz w:val="22"/>
          <w:szCs w:val="22"/>
        </w:rPr>
        <w:t>a</w:t>
      </w:r>
      <w:r w:rsidR="007E54BD" w:rsidRPr="007E54BD">
        <w:rPr>
          <w:rFonts w:ascii="Avenir Next" w:hAnsi="Avenir Next" w:cs="Arial"/>
          <w:color w:val="7B7B7B" w:themeColor="accent3" w:themeShade="BF"/>
          <w:sz w:val="22"/>
          <w:szCs w:val="22"/>
        </w:rPr>
        <w:t xml:space="preserve">greement with Spanish Bank: </w:t>
      </w:r>
      <w:r>
        <w:rPr>
          <w:rFonts w:ascii="Avenir Next" w:hAnsi="Avenir Next" w:cs="Arial"/>
          <w:color w:val="7B7B7B" w:themeColor="accent3" w:themeShade="BF"/>
          <w:sz w:val="22"/>
          <w:szCs w:val="22"/>
        </w:rPr>
        <w:t>e</w:t>
      </w:r>
      <w:r w:rsidR="007E54BD" w:rsidRPr="007E54BD">
        <w:rPr>
          <w:rFonts w:ascii="Avenir Next" w:hAnsi="Avenir Next" w:cs="Arial"/>
          <w:color w:val="7B7B7B" w:themeColor="accent3" w:themeShade="BF"/>
          <w:sz w:val="22"/>
          <w:szCs w:val="22"/>
        </w:rPr>
        <w:t xml:space="preserve">ntering into a loan agreement with a Spanish bank and the negotiations with suppliers in Spain do not constitute a shift in COMI, especially </w:t>
      </w:r>
      <w:r w:rsidR="00B40BB9">
        <w:rPr>
          <w:rFonts w:ascii="Avenir Next" w:hAnsi="Avenir Next" w:cs="Arial"/>
          <w:color w:val="7B7B7B" w:themeColor="accent3" w:themeShade="BF"/>
          <w:sz w:val="22"/>
          <w:szCs w:val="22"/>
        </w:rPr>
        <w:t>if</w:t>
      </w:r>
      <w:r w:rsidR="007E54BD" w:rsidRPr="007E54BD">
        <w:rPr>
          <w:rFonts w:ascii="Avenir Next" w:hAnsi="Avenir Next" w:cs="Arial"/>
          <w:color w:val="7B7B7B" w:themeColor="accent3" w:themeShade="BF"/>
          <w:sz w:val="22"/>
          <w:szCs w:val="22"/>
        </w:rPr>
        <w:t xml:space="preserve"> the memoranda of understanding </w:t>
      </w:r>
      <w:r w:rsidR="00B40BB9">
        <w:rPr>
          <w:rFonts w:ascii="Avenir Next" w:hAnsi="Avenir Next" w:cs="Arial"/>
          <w:color w:val="7B7B7B" w:themeColor="accent3" w:themeShade="BF"/>
          <w:sz w:val="22"/>
          <w:szCs w:val="22"/>
        </w:rPr>
        <w:t>are</w:t>
      </w:r>
      <w:r w:rsidR="007E54BD" w:rsidRPr="007E54BD">
        <w:rPr>
          <w:rFonts w:ascii="Avenir Next" w:hAnsi="Avenir Next" w:cs="Arial"/>
          <w:color w:val="7B7B7B" w:themeColor="accent3" w:themeShade="BF"/>
          <w:sz w:val="22"/>
          <w:szCs w:val="22"/>
        </w:rPr>
        <w:t xml:space="preserve"> non-binding</w:t>
      </w:r>
      <w:r w:rsidR="00B40BB9">
        <w:rPr>
          <w:rFonts w:ascii="Avenir Next" w:hAnsi="Avenir Next" w:cs="Arial"/>
          <w:color w:val="7B7B7B" w:themeColor="accent3" w:themeShade="BF"/>
          <w:sz w:val="22"/>
          <w:szCs w:val="22"/>
        </w:rPr>
        <w:t xml:space="preserve"> type.</w:t>
      </w:r>
    </w:p>
    <w:p w14:paraId="533660D5" w14:textId="77777777" w:rsidR="00B40BB9" w:rsidRPr="007E54BD" w:rsidRDefault="00B40BB9" w:rsidP="007E54BD">
      <w:pPr>
        <w:jc w:val="both"/>
        <w:rPr>
          <w:rFonts w:ascii="Avenir Next" w:hAnsi="Avenir Next" w:cs="Arial"/>
          <w:color w:val="7B7B7B" w:themeColor="accent3" w:themeShade="BF"/>
          <w:sz w:val="22"/>
          <w:szCs w:val="22"/>
        </w:rPr>
      </w:pPr>
    </w:p>
    <w:p w14:paraId="07834BF5" w14:textId="4017AC00" w:rsidR="007E54BD" w:rsidRPr="007E54BD" w:rsidRDefault="007E54BD" w:rsidP="007E54BD">
      <w:pPr>
        <w:jc w:val="both"/>
        <w:rPr>
          <w:rFonts w:ascii="Avenir Next" w:hAnsi="Avenir Next" w:cs="Arial"/>
          <w:color w:val="7B7B7B" w:themeColor="accent3" w:themeShade="BF"/>
          <w:sz w:val="22"/>
          <w:szCs w:val="22"/>
        </w:rPr>
      </w:pPr>
      <w:r w:rsidRPr="007E54BD">
        <w:rPr>
          <w:rFonts w:ascii="Avenir Next" w:hAnsi="Avenir Next" w:cs="Arial"/>
          <w:color w:val="7B7B7B" w:themeColor="accent3" w:themeShade="BF"/>
          <w:sz w:val="22"/>
          <w:szCs w:val="22"/>
        </w:rPr>
        <w:t xml:space="preserve">Given this information, the COMI </w:t>
      </w:r>
      <w:r w:rsidR="00B40BB9" w:rsidRPr="007E54BD">
        <w:rPr>
          <w:rFonts w:ascii="Avenir Next" w:hAnsi="Avenir Next" w:cs="Arial"/>
          <w:color w:val="7B7B7B" w:themeColor="accent3" w:themeShade="BF"/>
          <w:sz w:val="22"/>
          <w:szCs w:val="22"/>
        </w:rPr>
        <w:t>is in</w:t>
      </w:r>
      <w:r w:rsidRPr="007E54BD">
        <w:rPr>
          <w:rFonts w:ascii="Avenir Next" w:hAnsi="Avenir Next" w:cs="Arial"/>
          <w:color w:val="7B7B7B" w:themeColor="accent3" w:themeShade="BF"/>
          <w:sz w:val="22"/>
          <w:szCs w:val="22"/>
        </w:rPr>
        <w:t xml:space="preserve"> France, </w:t>
      </w:r>
      <w:r w:rsidR="00D75B37">
        <w:rPr>
          <w:rFonts w:ascii="Avenir Next" w:hAnsi="Avenir Next" w:cs="Arial"/>
          <w:color w:val="7B7B7B" w:themeColor="accent3" w:themeShade="BF"/>
          <w:sz w:val="22"/>
          <w:szCs w:val="22"/>
        </w:rPr>
        <w:t>so the</w:t>
      </w:r>
      <w:r w:rsidRPr="007E54BD">
        <w:rPr>
          <w:rFonts w:ascii="Avenir Next" w:hAnsi="Avenir Next" w:cs="Arial"/>
          <w:color w:val="7B7B7B" w:themeColor="accent3" w:themeShade="BF"/>
          <w:sz w:val="22"/>
          <w:szCs w:val="22"/>
        </w:rPr>
        <w:t xml:space="preserve"> EIR 2000 would apply to the opening of safeguard proceedings by </w:t>
      </w:r>
      <w:proofErr w:type="spellStart"/>
      <w:r w:rsidRPr="007E54BD">
        <w:rPr>
          <w:rFonts w:ascii="Avenir Next" w:hAnsi="Avenir Next" w:cs="Arial"/>
          <w:color w:val="7B7B7B" w:themeColor="accent3" w:themeShade="BF"/>
          <w:sz w:val="22"/>
          <w:szCs w:val="22"/>
        </w:rPr>
        <w:t>Dinosaurus</w:t>
      </w:r>
      <w:proofErr w:type="spellEnd"/>
      <w:r w:rsidRPr="007E54BD">
        <w:rPr>
          <w:rFonts w:ascii="Avenir Next" w:hAnsi="Avenir Next" w:cs="Arial"/>
          <w:color w:val="7B7B7B" w:themeColor="accent3" w:themeShade="BF"/>
          <w:sz w:val="22"/>
          <w:szCs w:val="22"/>
        </w:rPr>
        <w:t xml:space="preserve"> SARL in France. The Commercial Court in Le Mans</w:t>
      </w:r>
      <w:r w:rsidR="00D75B37">
        <w:rPr>
          <w:rFonts w:ascii="Avenir Next" w:hAnsi="Avenir Next" w:cs="Arial"/>
          <w:color w:val="7B7B7B" w:themeColor="accent3" w:themeShade="BF"/>
          <w:sz w:val="22"/>
          <w:szCs w:val="22"/>
        </w:rPr>
        <w:t xml:space="preserve"> has</w:t>
      </w:r>
      <w:r w:rsidRPr="007E54BD">
        <w:rPr>
          <w:rFonts w:ascii="Avenir Next" w:hAnsi="Avenir Next" w:cs="Arial"/>
          <w:color w:val="7B7B7B" w:themeColor="accent3" w:themeShade="BF"/>
          <w:sz w:val="22"/>
          <w:szCs w:val="22"/>
        </w:rPr>
        <w:t xml:space="preserve"> jurisdiction </w:t>
      </w:r>
      <w:r w:rsidR="00B40BB9" w:rsidRPr="007E54BD">
        <w:rPr>
          <w:rFonts w:ascii="Avenir Next" w:hAnsi="Avenir Next" w:cs="Arial"/>
          <w:color w:val="7B7B7B" w:themeColor="accent3" w:themeShade="BF"/>
          <w:sz w:val="22"/>
          <w:szCs w:val="22"/>
        </w:rPr>
        <w:t>since</w:t>
      </w:r>
      <w:r w:rsidRPr="007E54BD">
        <w:rPr>
          <w:rFonts w:ascii="Avenir Next" w:hAnsi="Avenir Next" w:cs="Arial"/>
          <w:color w:val="7B7B7B" w:themeColor="accent3" w:themeShade="BF"/>
          <w:sz w:val="22"/>
          <w:szCs w:val="22"/>
        </w:rPr>
        <w:t xml:space="preserve"> the company's main activities and central administration are situated in France.</w:t>
      </w:r>
    </w:p>
    <w:p w14:paraId="530599F8" w14:textId="77777777" w:rsidR="007E54BD" w:rsidRPr="007E54BD" w:rsidRDefault="007E54BD" w:rsidP="007E54BD">
      <w:pPr>
        <w:jc w:val="both"/>
        <w:rPr>
          <w:rFonts w:ascii="Avenir Next" w:hAnsi="Avenir Next" w:cs="Arial"/>
          <w:color w:val="7B7B7B" w:themeColor="accent3" w:themeShade="BF"/>
          <w:sz w:val="22"/>
          <w:szCs w:val="22"/>
        </w:rPr>
      </w:pPr>
    </w:p>
    <w:p w14:paraId="18F0A021" w14:textId="78A18734" w:rsidR="007E54BD" w:rsidRPr="007E54BD" w:rsidRDefault="00D75B37" w:rsidP="007E54BD">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Researching I could find </w:t>
      </w:r>
      <w:r w:rsidR="007E54BD" w:rsidRPr="007E54BD">
        <w:rPr>
          <w:rFonts w:ascii="Avenir Next" w:hAnsi="Avenir Next" w:cs="Arial"/>
          <w:color w:val="7B7B7B" w:themeColor="accent3" w:themeShade="BF"/>
          <w:sz w:val="22"/>
          <w:szCs w:val="22"/>
        </w:rPr>
        <w:t xml:space="preserve">CJEU jurisprudence </w:t>
      </w:r>
      <w:r>
        <w:rPr>
          <w:rFonts w:ascii="Avenir Next" w:hAnsi="Avenir Next" w:cs="Arial"/>
          <w:color w:val="7B7B7B" w:themeColor="accent3" w:themeShade="BF"/>
          <w:sz w:val="22"/>
          <w:szCs w:val="22"/>
        </w:rPr>
        <w:t xml:space="preserve">that </w:t>
      </w:r>
      <w:r w:rsidR="007E54BD" w:rsidRPr="007E54BD">
        <w:rPr>
          <w:rFonts w:ascii="Avenir Next" w:hAnsi="Avenir Next" w:cs="Arial"/>
          <w:color w:val="7B7B7B" w:themeColor="accent3" w:themeShade="BF"/>
          <w:sz w:val="22"/>
          <w:szCs w:val="22"/>
        </w:rPr>
        <w:t xml:space="preserve">would likely </w:t>
      </w:r>
      <w:r w:rsidR="00B40BB9">
        <w:rPr>
          <w:rFonts w:ascii="Avenir Next" w:hAnsi="Avenir Next" w:cs="Arial"/>
          <w:color w:val="7B7B7B" w:themeColor="accent3" w:themeShade="BF"/>
          <w:sz w:val="22"/>
          <w:szCs w:val="22"/>
        </w:rPr>
        <w:t>apply</w:t>
      </w:r>
      <w:r w:rsidR="007E54BD" w:rsidRPr="007E54BD">
        <w:rPr>
          <w:rFonts w:ascii="Avenir Next" w:hAnsi="Avenir Next" w:cs="Arial"/>
          <w:color w:val="7B7B7B" w:themeColor="accent3" w:themeShade="BF"/>
          <w:sz w:val="22"/>
          <w:szCs w:val="22"/>
        </w:rPr>
        <w:t xml:space="preserve"> such as:</w:t>
      </w:r>
    </w:p>
    <w:p w14:paraId="623BCE14" w14:textId="77777777" w:rsidR="007E54BD" w:rsidRPr="007E54BD" w:rsidRDefault="007E54BD" w:rsidP="007E54BD">
      <w:pPr>
        <w:jc w:val="both"/>
        <w:rPr>
          <w:rFonts w:ascii="Avenir Next" w:hAnsi="Avenir Next" w:cs="Arial"/>
          <w:color w:val="7B7B7B" w:themeColor="accent3" w:themeShade="BF"/>
          <w:sz w:val="22"/>
          <w:szCs w:val="22"/>
        </w:rPr>
      </w:pPr>
    </w:p>
    <w:p w14:paraId="2B5DC908" w14:textId="57321008" w:rsidR="007E54BD" w:rsidRPr="007E54BD" w:rsidRDefault="007E54BD" w:rsidP="007E54BD">
      <w:pPr>
        <w:jc w:val="both"/>
        <w:rPr>
          <w:rFonts w:ascii="Avenir Next" w:hAnsi="Avenir Next" w:cs="Arial"/>
          <w:color w:val="7B7B7B" w:themeColor="accent3" w:themeShade="BF"/>
          <w:sz w:val="22"/>
          <w:szCs w:val="22"/>
        </w:rPr>
      </w:pPr>
      <w:proofErr w:type="spellStart"/>
      <w:r w:rsidRPr="007E54BD">
        <w:rPr>
          <w:rFonts w:ascii="Avenir Next" w:hAnsi="Avenir Next" w:cs="Arial"/>
          <w:color w:val="7B7B7B" w:themeColor="accent3" w:themeShade="BF"/>
          <w:sz w:val="22"/>
          <w:szCs w:val="22"/>
        </w:rPr>
        <w:t>Eurofood</w:t>
      </w:r>
      <w:proofErr w:type="spellEnd"/>
      <w:r w:rsidRPr="007E54BD">
        <w:rPr>
          <w:rFonts w:ascii="Avenir Next" w:hAnsi="Avenir Next" w:cs="Arial"/>
          <w:color w:val="7B7B7B" w:themeColor="accent3" w:themeShade="BF"/>
          <w:sz w:val="22"/>
          <w:szCs w:val="22"/>
        </w:rPr>
        <w:t xml:space="preserve"> IFSC Ltd (C-341/04)</w:t>
      </w:r>
      <w:r w:rsidR="00534840">
        <w:rPr>
          <w:rStyle w:val="Refdenotaderodap"/>
          <w:rFonts w:ascii="Avenir Next" w:hAnsi="Avenir Next" w:cs="Arial"/>
          <w:color w:val="7B7B7B" w:themeColor="accent3" w:themeShade="BF"/>
          <w:sz w:val="22"/>
          <w:szCs w:val="22"/>
        </w:rPr>
        <w:footnoteReference w:id="2"/>
      </w:r>
      <w:r w:rsidRPr="007E54BD">
        <w:rPr>
          <w:rFonts w:ascii="Avenir Next" w:hAnsi="Avenir Next" w:cs="Arial"/>
          <w:color w:val="7B7B7B" w:themeColor="accent3" w:themeShade="BF"/>
          <w:sz w:val="22"/>
          <w:szCs w:val="22"/>
        </w:rPr>
        <w:t xml:space="preserve">, which clarified that the presumption of the registered office being the COMI can be </w:t>
      </w:r>
      <w:r w:rsidR="00D75B37">
        <w:rPr>
          <w:rFonts w:ascii="Avenir Next" w:hAnsi="Avenir Next" w:cs="Arial"/>
          <w:color w:val="7B7B7B" w:themeColor="accent3" w:themeShade="BF"/>
          <w:sz w:val="22"/>
          <w:szCs w:val="22"/>
        </w:rPr>
        <w:t>refuted</w:t>
      </w:r>
      <w:r w:rsidRPr="007E54BD">
        <w:rPr>
          <w:rFonts w:ascii="Avenir Next" w:hAnsi="Avenir Next" w:cs="Arial"/>
          <w:color w:val="7B7B7B" w:themeColor="accent3" w:themeShade="BF"/>
          <w:sz w:val="22"/>
          <w:szCs w:val="22"/>
        </w:rPr>
        <w:t xml:space="preserve"> if it is proven that the actual center of the company's operations is </w:t>
      </w:r>
      <w:proofErr w:type="gramStart"/>
      <w:r w:rsidRPr="007E54BD">
        <w:rPr>
          <w:rFonts w:ascii="Avenir Next" w:hAnsi="Avenir Next" w:cs="Arial"/>
          <w:color w:val="7B7B7B" w:themeColor="accent3" w:themeShade="BF"/>
          <w:sz w:val="22"/>
          <w:szCs w:val="22"/>
        </w:rPr>
        <w:t>elsewhere</w:t>
      </w:r>
      <w:r w:rsidR="00D75B37">
        <w:rPr>
          <w:rFonts w:ascii="Avenir Next" w:hAnsi="Avenir Next" w:cs="Arial"/>
          <w:color w:val="7B7B7B" w:themeColor="accent3" w:themeShade="BF"/>
          <w:sz w:val="22"/>
          <w:szCs w:val="22"/>
        </w:rPr>
        <w:t>;</w:t>
      </w:r>
      <w:proofErr w:type="gramEnd"/>
    </w:p>
    <w:p w14:paraId="0BA586BF" w14:textId="31C9AD24" w:rsidR="000A3278" w:rsidRDefault="007E54BD" w:rsidP="007E54BD">
      <w:pPr>
        <w:jc w:val="both"/>
        <w:rPr>
          <w:rFonts w:ascii="Avenir Next" w:hAnsi="Avenir Next" w:cs="Arial"/>
          <w:color w:val="7B7B7B" w:themeColor="accent3" w:themeShade="BF"/>
          <w:sz w:val="22"/>
          <w:szCs w:val="22"/>
        </w:rPr>
      </w:pPr>
      <w:proofErr w:type="spellStart"/>
      <w:r w:rsidRPr="007E54BD">
        <w:rPr>
          <w:rFonts w:ascii="Avenir Next" w:hAnsi="Avenir Next" w:cs="Arial"/>
          <w:color w:val="7B7B7B" w:themeColor="accent3" w:themeShade="BF"/>
          <w:sz w:val="22"/>
          <w:szCs w:val="22"/>
        </w:rPr>
        <w:t>Interedil</w:t>
      </w:r>
      <w:proofErr w:type="spellEnd"/>
      <w:r w:rsidRPr="007E54BD">
        <w:rPr>
          <w:rFonts w:ascii="Avenir Next" w:hAnsi="Avenir Next" w:cs="Arial"/>
          <w:color w:val="7B7B7B" w:themeColor="accent3" w:themeShade="BF"/>
          <w:sz w:val="22"/>
          <w:szCs w:val="22"/>
        </w:rPr>
        <w:t xml:space="preserve"> </w:t>
      </w:r>
      <w:proofErr w:type="spellStart"/>
      <w:r w:rsidRPr="007E54BD">
        <w:rPr>
          <w:rFonts w:ascii="Avenir Next" w:hAnsi="Avenir Next" w:cs="Arial"/>
          <w:color w:val="7B7B7B" w:themeColor="accent3" w:themeShade="BF"/>
          <w:sz w:val="22"/>
          <w:szCs w:val="22"/>
        </w:rPr>
        <w:t>Srl</w:t>
      </w:r>
      <w:proofErr w:type="spellEnd"/>
      <w:r w:rsidRPr="007E54BD">
        <w:rPr>
          <w:rFonts w:ascii="Avenir Next" w:hAnsi="Avenir Next" w:cs="Arial"/>
          <w:color w:val="7B7B7B" w:themeColor="accent3" w:themeShade="BF"/>
          <w:sz w:val="22"/>
          <w:szCs w:val="22"/>
        </w:rPr>
        <w:t xml:space="preserve"> (C-396/09)</w:t>
      </w:r>
      <w:r w:rsidR="00534840">
        <w:rPr>
          <w:rStyle w:val="Refdenotaderodap"/>
          <w:rFonts w:ascii="Avenir Next" w:hAnsi="Avenir Next" w:cs="Arial"/>
          <w:color w:val="7B7B7B" w:themeColor="accent3" w:themeShade="BF"/>
          <w:sz w:val="22"/>
          <w:szCs w:val="22"/>
        </w:rPr>
        <w:footnoteReference w:id="3"/>
      </w:r>
      <w:r w:rsidRPr="007E54BD">
        <w:rPr>
          <w:rFonts w:ascii="Avenir Next" w:hAnsi="Avenir Next" w:cs="Arial"/>
          <w:color w:val="7B7B7B" w:themeColor="accent3" w:themeShade="BF"/>
          <w:sz w:val="22"/>
          <w:szCs w:val="22"/>
        </w:rPr>
        <w:t>, which confirmed that the COMI should be identified by actions observable by third parties and emphasized the importance of the location where the debtor conducts its regular business.</w:t>
      </w:r>
      <w:r w:rsidR="000A3278">
        <w:rPr>
          <w:rFonts w:ascii="Avenir Next" w:hAnsi="Avenir Next" w:cs="Arial"/>
          <w:color w:val="7B7B7B" w:themeColor="accent3" w:themeShade="BF"/>
          <w:sz w:val="22"/>
          <w:szCs w:val="22"/>
        </w:rPr>
        <w:t>]</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lastRenderedPageBreak/>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584FEC11" w14:textId="77777777" w:rsidR="00D75B37" w:rsidRDefault="000A3278"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D75B37">
        <w:rPr>
          <w:rFonts w:ascii="Avenir Next" w:hAnsi="Avenir Next" w:cs="Arial"/>
          <w:color w:val="7B7B7B" w:themeColor="accent3" w:themeShade="BF"/>
          <w:sz w:val="22"/>
          <w:szCs w:val="22"/>
        </w:rPr>
        <w:t>To verify if EIR Recast is applicable to the safeguard proceedings, these steps should be followed:</w:t>
      </w:r>
    </w:p>
    <w:p w14:paraId="0F75DE68" w14:textId="77777777" w:rsidR="0036076B" w:rsidRDefault="00D75B37"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1- Identifying the type of proceedings</w:t>
      </w:r>
      <w:r w:rsidR="0036076B">
        <w:rPr>
          <w:rFonts w:ascii="Avenir Next" w:hAnsi="Avenir Next" w:cs="Arial"/>
          <w:color w:val="7B7B7B" w:themeColor="accent3" w:themeShade="BF"/>
          <w:sz w:val="22"/>
          <w:szCs w:val="22"/>
        </w:rPr>
        <w:t xml:space="preserve"> (the EIR Recast applies to collective insolvency proceedings that involve de partial or total sale of a debtor and the appointment of a liquidator, so it must firstly b established whether the safeguard proceedings are a type of insolvency proceeding covered by the EIR </w:t>
      </w:r>
      <w:proofErr w:type="gramStart"/>
      <w:r w:rsidR="0036076B">
        <w:rPr>
          <w:rFonts w:ascii="Avenir Next" w:hAnsi="Avenir Next" w:cs="Arial"/>
          <w:color w:val="7B7B7B" w:themeColor="accent3" w:themeShade="BF"/>
          <w:sz w:val="22"/>
          <w:szCs w:val="22"/>
        </w:rPr>
        <w:t>Recast;</w:t>
      </w:r>
      <w:proofErr w:type="gramEnd"/>
    </w:p>
    <w:p w14:paraId="716B0B3B" w14:textId="77777777" w:rsidR="0036076B" w:rsidRDefault="0036076B" w:rsidP="000A3278">
      <w:pPr>
        <w:jc w:val="both"/>
        <w:rPr>
          <w:rFonts w:ascii="Avenir Next" w:hAnsi="Avenir Next" w:cs="Arial"/>
          <w:color w:val="7B7B7B" w:themeColor="accent3" w:themeShade="BF"/>
          <w:sz w:val="22"/>
          <w:szCs w:val="22"/>
        </w:rPr>
      </w:pPr>
    </w:p>
    <w:p w14:paraId="2042AE54" w14:textId="77777777" w:rsidR="0036076B" w:rsidRDefault="0036076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2- Check the location of the COMI, since the EIR Recast applies when the debtor’s COMI is within an EU Member </w:t>
      </w:r>
      <w:proofErr w:type="gramStart"/>
      <w:r>
        <w:rPr>
          <w:rFonts w:ascii="Avenir Next" w:hAnsi="Avenir Next" w:cs="Arial"/>
          <w:color w:val="7B7B7B" w:themeColor="accent3" w:themeShade="BF"/>
          <w:sz w:val="22"/>
          <w:szCs w:val="22"/>
        </w:rPr>
        <w:t>State;</w:t>
      </w:r>
      <w:proofErr w:type="gramEnd"/>
    </w:p>
    <w:p w14:paraId="16B8318D" w14:textId="77777777" w:rsidR="0036076B" w:rsidRDefault="0036076B" w:rsidP="000A3278">
      <w:pPr>
        <w:jc w:val="both"/>
        <w:rPr>
          <w:rFonts w:ascii="Avenir Next" w:hAnsi="Avenir Next" w:cs="Arial"/>
          <w:color w:val="7B7B7B" w:themeColor="accent3" w:themeShade="BF"/>
          <w:sz w:val="22"/>
          <w:szCs w:val="22"/>
        </w:rPr>
      </w:pPr>
    </w:p>
    <w:p w14:paraId="60E3C334" w14:textId="3AC578A8" w:rsidR="0036076B" w:rsidRDefault="0036076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3- Examine the annexes of the EIR Recast as they list the types of proceedings in each member state that fall under the </w:t>
      </w:r>
      <w:proofErr w:type="gramStart"/>
      <w:r w:rsidR="00B40BB9">
        <w:rPr>
          <w:rFonts w:ascii="Avenir Next" w:hAnsi="Avenir Next" w:cs="Arial"/>
          <w:color w:val="7B7B7B" w:themeColor="accent3" w:themeShade="BF"/>
          <w:sz w:val="22"/>
          <w:szCs w:val="22"/>
        </w:rPr>
        <w:t>Regulation;</w:t>
      </w:r>
      <w:proofErr w:type="gramEnd"/>
    </w:p>
    <w:p w14:paraId="38AEC7E6" w14:textId="77777777" w:rsidR="0036076B" w:rsidRDefault="0036076B" w:rsidP="000A3278">
      <w:pPr>
        <w:jc w:val="both"/>
        <w:rPr>
          <w:rFonts w:ascii="Avenir Next" w:hAnsi="Avenir Next" w:cs="Arial"/>
          <w:color w:val="7B7B7B" w:themeColor="accent3" w:themeShade="BF"/>
          <w:sz w:val="22"/>
          <w:szCs w:val="22"/>
        </w:rPr>
      </w:pPr>
    </w:p>
    <w:p w14:paraId="6042EEC4" w14:textId="77777777" w:rsidR="0036076B" w:rsidRDefault="0036076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4- Verify exclusions.</w:t>
      </w:r>
    </w:p>
    <w:p w14:paraId="4FAAB8D2" w14:textId="77777777" w:rsidR="0036076B" w:rsidRDefault="0036076B" w:rsidP="000A3278">
      <w:pPr>
        <w:jc w:val="both"/>
        <w:rPr>
          <w:rFonts w:ascii="Avenir Next" w:hAnsi="Avenir Next" w:cs="Arial"/>
          <w:color w:val="7B7B7B" w:themeColor="accent3" w:themeShade="BF"/>
          <w:sz w:val="22"/>
          <w:szCs w:val="22"/>
        </w:rPr>
      </w:pPr>
    </w:p>
    <w:p w14:paraId="4176E5D2" w14:textId="6D63C7A9" w:rsidR="000A3278" w:rsidRDefault="0036076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Analyzing this </w:t>
      </w:r>
      <w:r w:rsidR="00B40BB9">
        <w:rPr>
          <w:rFonts w:ascii="Avenir Next" w:hAnsi="Avenir Next" w:cs="Arial"/>
          <w:color w:val="7B7B7B" w:themeColor="accent3" w:themeShade="BF"/>
          <w:sz w:val="22"/>
          <w:szCs w:val="22"/>
        </w:rPr>
        <w:t>scenario,</w:t>
      </w:r>
      <w:r>
        <w:rPr>
          <w:rFonts w:ascii="Avenir Next" w:hAnsi="Avenir Next" w:cs="Arial"/>
          <w:color w:val="7B7B7B" w:themeColor="accent3" w:themeShade="BF"/>
          <w:sz w:val="22"/>
          <w:szCs w:val="22"/>
        </w:rPr>
        <w:t xml:space="preserve"> we can say EIR Recast would be applicable to the proceedings, since </w:t>
      </w:r>
      <w:proofErr w:type="spellStart"/>
      <w:r>
        <w:rPr>
          <w:rFonts w:ascii="Avenir Next" w:hAnsi="Avenir Next" w:cs="Arial"/>
          <w:color w:val="7B7B7B" w:themeColor="accent3" w:themeShade="BF"/>
          <w:sz w:val="22"/>
          <w:szCs w:val="22"/>
        </w:rPr>
        <w:t>i</w:t>
      </w:r>
      <w:proofErr w:type="spellEnd"/>
      <w:r>
        <w:rPr>
          <w:rFonts w:ascii="Avenir Next" w:hAnsi="Avenir Next" w:cs="Arial"/>
          <w:color w:val="7B7B7B" w:themeColor="accent3" w:themeShade="BF"/>
          <w:sz w:val="22"/>
          <w:szCs w:val="22"/>
        </w:rPr>
        <w:t>. the company has its COMI in France, as explained above, ii. the safeguard proceedings have been filed in France and iii. the French High Court has opened the safeguard proceedings, they ought to be recognized under French law (and, therefore, should be included in the EIR Recast scope as in its annexes)</w:t>
      </w:r>
      <w:r w:rsidR="001E3B0C">
        <w:rPr>
          <w:rFonts w:ascii="Avenir Next" w:hAnsi="Avenir Next" w:cs="Arial"/>
          <w:color w:val="7B7B7B" w:themeColor="accent3" w:themeShade="BF"/>
          <w:sz w:val="22"/>
          <w:szCs w:val="22"/>
        </w:rPr>
        <w:t xml:space="preserve"> and iv. there seem to have no exclusions applicable</w:t>
      </w:r>
      <w:r>
        <w:rPr>
          <w:rFonts w:ascii="Avenir Next" w:hAnsi="Avenir Next" w:cs="Arial"/>
          <w:color w:val="7B7B7B" w:themeColor="accent3" w:themeShade="BF"/>
          <w:sz w:val="22"/>
          <w:szCs w:val="22"/>
        </w:rPr>
        <w:t>.</w:t>
      </w:r>
      <w:r w:rsidR="000A3278">
        <w:rPr>
          <w:rFonts w:ascii="Avenir Next" w:hAnsi="Avenir Next" w:cs="Arial"/>
          <w:color w:val="7B7B7B" w:themeColor="accent3" w:themeShade="BF"/>
          <w:sz w:val="22"/>
          <w:szCs w:val="22"/>
        </w:rPr>
        <w:t>]</w:t>
      </w:r>
    </w:p>
    <w:p w14:paraId="388F5071" w14:textId="77777777" w:rsidR="00EA14EE" w:rsidRPr="001E3B0C" w:rsidRDefault="00EA14EE" w:rsidP="002A37BB">
      <w:pPr>
        <w:autoSpaceDE w:val="0"/>
        <w:autoSpaceDN w:val="0"/>
        <w:adjustRightInd w:val="0"/>
        <w:jc w:val="both"/>
        <w:rPr>
          <w:rFonts w:ascii="Avenir Next" w:hAnsi="Avenir Next" w:cs="Arial"/>
          <w:color w:val="808080" w:themeColor="background1" w:themeShade="80"/>
          <w:sz w:val="22"/>
          <w:szCs w:val="22"/>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48EC89D4" w14:textId="3115D0DE" w:rsidR="001E3B0C" w:rsidRPr="001E3B0C" w:rsidRDefault="000A3278" w:rsidP="001E3B0C">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w:t>
      </w:r>
      <w:r w:rsidR="001E3B0C" w:rsidRPr="001E3B0C">
        <w:rPr>
          <w:rFonts w:ascii="Avenir Next" w:hAnsi="Avenir Next" w:cs="Arial"/>
          <w:color w:val="7B7B7B" w:themeColor="accent3" w:themeShade="BF"/>
          <w:sz w:val="22"/>
          <w:szCs w:val="22"/>
        </w:rPr>
        <w:t xml:space="preserve">To determine if secondary insolvency proceedings can be opened under the European Insolvency Regulation (EIR) Recast, given the case of </w:t>
      </w:r>
      <w:proofErr w:type="spellStart"/>
      <w:r w:rsidR="001E3B0C" w:rsidRPr="001E3B0C">
        <w:rPr>
          <w:rFonts w:ascii="Avenir Next" w:hAnsi="Avenir Next" w:cs="Arial"/>
          <w:color w:val="7B7B7B" w:themeColor="accent3" w:themeShade="BF"/>
          <w:sz w:val="22"/>
          <w:szCs w:val="22"/>
        </w:rPr>
        <w:t>Dinosaurus</w:t>
      </w:r>
      <w:proofErr w:type="spellEnd"/>
      <w:r w:rsidR="001E3B0C" w:rsidRPr="001E3B0C">
        <w:rPr>
          <w:rFonts w:ascii="Avenir Next" w:hAnsi="Avenir Next" w:cs="Arial"/>
          <w:color w:val="7B7B7B" w:themeColor="accent3" w:themeShade="BF"/>
          <w:sz w:val="22"/>
          <w:szCs w:val="22"/>
        </w:rPr>
        <w:t xml:space="preserve"> SARL, we must consider several legal aspects as outlined in the EIR Recast and relevant CJEU jurisprudence:</w:t>
      </w:r>
    </w:p>
    <w:p w14:paraId="3570588B" w14:textId="77777777" w:rsidR="001E3B0C" w:rsidRPr="001E3B0C" w:rsidRDefault="001E3B0C" w:rsidP="001E3B0C">
      <w:pPr>
        <w:jc w:val="both"/>
        <w:rPr>
          <w:rFonts w:ascii="Avenir Next" w:hAnsi="Avenir Next" w:cs="Arial"/>
          <w:color w:val="7B7B7B" w:themeColor="accent3" w:themeShade="BF"/>
          <w:sz w:val="22"/>
          <w:szCs w:val="22"/>
        </w:rPr>
      </w:pPr>
    </w:p>
    <w:p w14:paraId="32018DC3" w14:textId="1001EB2A" w:rsidR="001E3B0C" w:rsidRPr="001E3B0C" w:rsidRDefault="001E3B0C" w:rsidP="001E3B0C">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r w:rsidRPr="001E3B0C">
        <w:rPr>
          <w:rFonts w:ascii="Avenir Next" w:hAnsi="Avenir Next" w:cs="Arial"/>
          <w:color w:val="7B7B7B" w:themeColor="accent3" w:themeShade="BF"/>
          <w:sz w:val="22"/>
          <w:szCs w:val="22"/>
        </w:rPr>
        <w:t xml:space="preserve">Location of </w:t>
      </w:r>
      <w:r w:rsidR="00B40BB9">
        <w:rPr>
          <w:rFonts w:ascii="Avenir Next" w:hAnsi="Avenir Next" w:cs="Arial"/>
          <w:color w:val="7B7B7B" w:themeColor="accent3" w:themeShade="BF"/>
          <w:sz w:val="22"/>
          <w:szCs w:val="22"/>
        </w:rPr>
        <w:t>a</w:t>
      </w:r>
      <w:r w:rsidRPr="001E3B0C">
        <w:rPr>
          <w:rFonts w:ascii="Avenir Next" w:hAnsi="Avenir Next" w:cs="Arial"/>
          <w:color w:val="7B7B7B" w:themeColor="accent3" w:themeShade="BF"/>
          <w:sz w:val="22"/>
          <w:szCs w:val="22"/>
        </w:rPr>
        <w:t xml:space="preserve">ssets (Article 3(2) of EIR Recast): </w:t>
      </w:r>
      <w:r>
        <w:rPr>
          <w:rFonts w:ascii="Avenir Next" w:hAnsi="Avenir Next" w:cs="Arial"/>
          <w:color w:val="7B7B7B" w:themeColor="accent3" w:themeShade="BF"/>
          <w:sz w:val="22"/>
          <w:szCs w:val="22"/>
        </w:rPr>
        <w:t>s</w:t>
      </w:r>
      <w:r w:rsidRPr="001E3B0C">
        <w:rPr>
          <w:rFonts w:ascii="Avenir Next" w:hAnsi="Avenir Next" w:cs="Arial"/>
          <w:color w:val="7B7B7B" w:themeColor="accent3" w:themeShade="BF"/>
          <w:sz w:val="22"/>
          <w:szCs w:val="22"/>
        </w:rPr>
        <w:t xml:space="preserve">econdary proceedings can be opened in the Member State where the debtor has an establishment. The term "establishment" implies the presence of a place of operations where the debtor carries out a non-transitory economic activity with human means and goods. </w:t>
      </w:r>
      <w:proofErr w:type="spellStart"/>
      <w:r w:rsidRPr="001E3B0C">
        <w:rPr>
          <w:rFonts w:ascii="Avenir Next" w:hAnsi="Avenir Next" w:cs="Arial"/>
          <w:color w:val="7B7B7B" w:themeColor="accent3" w:themeShade="BF"/>
          <w:sz w:val="22"/>
          <w:szCs w:val="22"/>
        </w:rPr>
        <w:t>Dinosaurus</w:t>
      </w:r>
      <w:proofErr w:type="spellEnd"/>
      <w:r w:rsidRPr="001E3B0C">
        <w:rPr>
          <w:rFonts w:ascii="Avenir Next" w:hAnsi="Avenir Next" w:cs="Arial"/>
          <w:color w:val="7B7B7B" w:themeColor="accent3" w:themeShade="BF"/>
          <w:sz w:val="22"/>
          <w:szCs w:val="22"/>
        </w:rPr>
        <w:t xml:space="preserve"> SARL's main warehouse is in Spain, which may qualify as an </w:t>
      </w:r>
      <w:proofErr w:type="gramStart"/>
      <w:r w:rsidRPr="001E3B0C">
        <w:rPr>
          <w:rFonts w:ascii="Avenir Next" w:hAnsi="Avenir Next" w:cs="Arial"/>
          <w:color w:val="7B7B7B" w:themeColor="accent3" w:themeShade="BF"/>
          <w:sz w:val="22"/>
          <w:szCs w:val="22"/>
        </w:rPr>
        <w:t>establishment</w:t>
      </w:r>
      <w:r>
        <w:rPr>
          <w:rFonts w:ascii="Avenir Next" w:hAnsi="Avenir Next" w:cs="Arial"/>
          <w:color w:val="7B7B7B" w:themeColor="accent3" w:themeShade="BF"/>
          <w:sz w:val="22"/>
          <w:szCs w:val="22"/>
        </w:rPr>
        <w:t>;</w:t>
      </w:r>
      <w:proofErr w:type="gramEnd"/>
    </w:p>
    <w:p w14:paraId="00A82D56" w14:textId="77777777" w:rsidR="001E3B0C" w:rsidRPr="001E3B0C" w:rsidRDefault="001E3B0C" w:rsidP="001E3B0C">
      <w:pPr>
        <w:jc w:val="both"/>
        <w:rPr>
          <w:rFonts w:ascii="Avenir Next" w:hAnsi="Avenir Next" w:cs="Arial"/>
          <w:color w:val="7B7B7B" w:themeColor="accent3" w:themeShade="BF"/>
          <w:sz w:val="22"/>
          <w:szCs w:val="22"/>
        </w:rPr>
      </w:pPr>
    </w:p>
    <w:p w14:paraId="4EDFF842" w14:textId="7BF399C4" w:rsidR="001E3B0C" w:rsidRPr="001E3B0C" w:rsidRDefault="001E3B0C" w:rsidP="001E3B0C">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r w:rsidRPr="001E3B0C">
        <w:rPr>
          <w:rFonts w:ascii="Avenir Next" w:hAnsi="Avenir Next" w:cs="Arial"/>
          <w:color w:val="7B7B7B" w:themeColor="accent3" w:themeShade="BF"/>
          <w:sz w:val="22"/>
          <w:szCs w:val="22"/>
        </w:rPr>
        <w:t xml:space="preserve">Jurisdiction for </w:t>
      </w:r>
      <w:r w:rsidR="00B40BB9">
        <w:rPr>
          <w:rFonts w:ascii="Avenir Next" w:hAnsi="Avenir Next" w:cs="Arial"/>
          <w:color w:val="7B7B7B" w:themeColor="accent3" w:themeShade="BF"/>
          <w:sz w:val="22"/>
          <w:szCs w:val="22"/>
        </w:rPr>
        <w:t>o</w:t>
      </w:r>
      <w:r w:rsidRPr="001E3B0C">
        <w:rPr>
          <w:rFonts w:ascii="Avenir Next" w:hAnsi="Avenir Next" w:cs="Arial"/>
          <w:color w:val="7B7B7B" w:themeColor="accent3" w:themeShade="BF"/>
          <w:sz w:val="22"/>
          <w:szCs w:val="22"/>
        </w:rPr>
        <w:t xml:space="preserve">pening </w:t>
      </w:r>
      <w:r w:rsidR="00B40BB9">
        <w:rPr>
          <w:rFonts w:ascii="Avenir Next" w:hAnsi="Avenir Next" w:cs="Arial"/>
          <w:color w:val="7B7B7B" w:themeColor="accent3" w:themeShade="BF"/>
          <w:sz w:val="22"/>
          <w:szCs w:val="22"/>
        </w:rPr>
        <w:t>s</w:t>
      </w:r>
      <w:r w:rsidRPr="001E3B0C">
        <w:rPr>
          <w:rFonts w:ascii="Avenir Next" w:hAnsi="Avenir Next" w:cs="Arial"/>
          <w:color w:val="7B7B7B" w:themeColor="accent3" w:themeShade="BF"/>
          <w:sz w:val="22"/>
          <w:szCs w:val="22"/>
        </w:rPr>
        <w:t xml:space="preserve">econdary </w:t>
      </w:r>
      <w:r w:rsidR="00B40BB9">
        <w:rPr>
          <w:rFonts w:ascii="Avenir Next" w:hAnsi="Avenir Next" w:cs="Arial"/>
          <w:color w:val="7B7B7B" w:themeColor="accent3" w:themeShade="BF"/>
          <w:sz w:val="22"/>
          <w:szCs w:val="22"/>
        </w:rPr>
        <w:t>p</w:t>
      </w:r>
      <w:r w:rsidRPr="001E3B0C">
        <w:rPr>
          <w:rFonts w:ascii="Avenir Next" w:hAnsi="Avenir Next" w:cs="Arial"/>
          <w:color w:val="7B7B7B" w:themeColor="accent3" w:themeShade="BF"/>
          <w:sz w:val="22"/>
          <w:szCs w:val="22"/>
        </w:rPr>
        <w:t xml:space="preserve">roceedings: </w:t>
      </w:r>
      <w:r>
        <w:rPr>
          <w:rFonts w:ascii="Avenir Next" w:hAnsi="Avenir Next" w:cs="Arial"/>
          <w:color w:val="7B7B7B" w:themeColor="accent3" w:themeShade="BF"/>
          <w:sz w:val="22"/>
          <w:szCs w:val="22"/>
        </w:rPr>
        <w:t>a</w:t>
      </w:r>
      <w:r w:rsidRPr="001E3B0C">
        <w:rPr>
          <w:rFonts w:ascii="Avenir Next" w:hAnsi="Avenir Next" w:cs="Arial"/>
          <w:color w:val="7B7B7B" w:themeColor="accent3" w:themeShade="BF"/>
          <w:sz w:val="22"/>
          <w:szCs w:val="22"/>
        </w:rPr>
        <w:t>ccording to the EIR Recast, secondary insolvency proceedings can only be opened in a Member State where the debtor has an establishment. The Spanish bank's petition in Spain would likely be admissible if the main warehouse constitutes an establishment according to the Regulation's definition</w:t>
      </w:r>
      <w:r>
        <w:rPr>
          <w:rFonts w:ascii="Avenir Next" w:hAnsi="Avenir Next" w:cs="Arial"/>
          <w:color w:val="7B7B7B" w:themeColor="accent3" w:themeShade="BF"/>
          <w:sz w:val="22"/>
          <w:szCs w:val="22"/>
        </w:rPr>
        <w:t xml:space="preserve">, but not in Italy, which has nothing to do with the given </w:t>
      </w:r>
      <w:proofErr w:type="gramStart"/>
      <w:r>
        <w:rPr>
          <w:rFonts w:ascii="Avenir Next" w:hAnsi="Avenir Next" w:cs="Arial"/>
          <w:color w:val="7B7B7B" w:themeColor="accent3" w:themeShade="BF"/>
          <w:sz w:val="22"/>
          <w:szCs w:val="22"/>
        </w:rPr>
        <w:t>scenario;</w:t>
      </w:r>
      <w:proofErr w:type="gramEnd"/>
    </w:p>
    <w:p w14:paraId="0143E8C7" w14:textId="77777777" w:rsidR="001E3B0C" w:rsidRPr="001E3B0C" w:rsidRDefault="001E3B0C" w:rsidP="001E3B0C">
      <w:pPr>
        <w:jc w:val="both"/>
        <w:rPr>
          <w:rFonts w:ascii="Avenir Next" w:hAnsi="Avenir Next" w:cs="Arial"/>
          <w:color w:val="7B7B7B" w:themeColor="accent3" w:themeShade="BF"/>
          <w:sz w:val="22"/>
          <w:szCs w:val="22"/>
        </w:rPr>
      </w:pPr>
    </w:p>
    <w:p w14:paraId="2545CF58" w14:textId="4B4FBA47" w:rsidR="001E3B0C" w:rsidRPr="001E3B0C" w:rsidRDefault="001E3B0C" w:rsidP="001E3B0C">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r w:rsidRPr="001E3B0C">
        <w:rPr>
          <w:rFonts w:ascii="Avenir Next" w:hAnsi="Avenir Next" w:cs="Arial"/>
          <w:color w:val="7B7B7B" w:themeColor="accent3" w:themeShade="BF"/>
          <w:sz w:val="22"/>
          <w:szCs w:val="22"/>
        </w:rPr>
        <w:t xml:space="preserve">Purpose of </w:t>
      </w:r>
      <w:r w:rsidR="00B40BB9">
        <w:rPr>
          <w:rFonts w:ascii="Avenir Next" w:hAnsi="Avenir Next" w:cs="Arial"/>
          <w:color w:val="7B7B7B" w:themeColor="accent3" w:themeShade="BF"/>
          <w:sz w:val="22"/>
          <w:szCs w:val="22"/>
        </w:rPr>
        <w:t>s</w:t>
      </w:r>
      <w:r w:rsidRPr="001E3B0C">
        <w:rPr>
          <w:rFonts w:ascii="Avenir Next" w:hAnsi="Avenir Next" w:cs="Arial"/>
          <w:color w:val="7B7B7B" w:themeColor="accent3" w:themeShade="BF"/>
          <w:sz w:val="22"/>
          <w:szCs w:val="22"/>
        </w:rPr>
        <w:t xml:space="preserve">econdary </w:t>
      </w:r>
      <w:r w:rsidR="00B40BB9">
        <w:rPr>
          <w:rFonts w:ascii="Avenir Next" w:hAnsi="Avenir Next" w:cs="Arial"/>
          <w:color w:val="7B7B7B" w:themeColor="accent3" w:themeShade="BF"/>
          <w:sz w:val="22"/>
          <w:szCs w:val="22"/>
        </w:rPr>
        <w:t>p</w:t>
      </w:r>
      <w:r w:rsidRPr="001E3B0C">
        <w:rPr>
          <w:rFonts w:ascii="Avenir Next" w:hAnsi="Avenir Next" w:cs="Arial"/>
          <w:color w:val="7B7B7B" w:themeColor="accent3" w:themeShade="BF"/>
          <w:sz w:val="22"/>
          <w:szCs w:val="22"/>
        </w:rPr>
        <w:t xml:space="preserve">roceedings (Article 34 of EIR Recast): </w:t>
      </w:r>
      <w:r>
        <w:rPr>
          <w:rFonts w:ascii="Avenir Next" w:hAnsi="Avenir Next" w:cs="Arial"/>
          <w:color w:val="7B7B7B" w:themeColor="accent3" w:themeShade="BF"/>
          <w:sz w:val="22"/>
          <w:szCs w:val="22"/>
        </w:rPr>
        <w:t>t</w:t>
      </w:r>
      <w:r w:rsidRPr="001E3B0C">
        <w:rPr>
          <w:rFonts w:ascii="Avenir Next" w:hAnsi="Avenir Next" w:cs="Arial"/>
          <w:color w:val="7B7B7B" w:themeColor="accent3" w:themeShade="BF"/>
          <w:sz w:val="22"/>
          <w:szCs w:val="22"/>
        </w:rPr>
        <w:t>he purpose of the secondary proceedings is to protect the interests of local creditors. If the Spanish bank aims to secure a Spanish insolvency distribution ranking, this falls within the intent of the EIR Recast.</w:t>
      </w:r>
    </w:p>
    <w:p w14:paraId="02302D87" w14:textId="77777777" w:rsidR="001E3B0C" w:rsidRPr="001E3B0C" w:rsidRDefault="001E3B0C" w:rsidP="001E3B0C">
      <w:pPr>
        <w:jc w:val="both"/>
        <w:rPr>
          <w:rFonts w:ascii="Avenir Next" w:hAnsi="Avenir Next" w:cs="Arial"/>
          <w:color w:val="7B7B7B" w:themeColor="accent3" w:themeShade="BF"/>
          <w:sz w:val="22"/>
          <w:szCs w:val="22"/>
        </w:rPr>
      </w:pPr>
    </w:p>
    <w:p w14:paraId="0D4F48C2" w14:textId="4785499C" w:rsidR="001E3B0C" w:rsidRPr="001E3B0C" w:rsidRDefault="001E3B0C" w:rsidP="001E3B0C">
      <w:pPr>
        <w:jc w:val="both"/>
        <w:rPr>
          <w:rFonts w:ascii="Avenir Next" w:hAnsi="Avenir Next" w:cs="Arial"/>
          <w:color w:val="7B7B7B" w:themeColor="accent3" w:themeShade="BF"/>
          <w:sz w:val="22"/>
          <w:szCs w:val="22"/>
        </w:rPr>
      </w:pPr>
      <w:r w:rsidRPr="001E3B0C">
        <w:rPr>
          <w:rFonts w:ascii="Avenir Next" w:hAnsi="Avenir Next" w:cs="Arial"/>
          <w:color w:val="7B7B7B" w:themeColor="accent3" w:themeShade="BF"/>
          <w:sz w:val="22"/>
          <w:szCs w:val="22"/>
        </w:rPr>
        <w:t xml:space="preserve">The CJEU has provided guidance on the interpretation of the EIR, including the location of the COMI and the conditions under which secondary proceedings can be opened. Cases such as </w:t>
      </w:r>
      <w:proofErr w:type="spellStart"/>
      <w:r w:rsidRPr="001E3B0C">
        <w:rPr>
          <w:rFonts w:ascii="Avenir Next" w:hAnsi="Avenir Next" w:cs="Arial"/>
          <w:color w:val="7B7B7B" w:themeColor="accent3" w:themeShade="BF"/>
          <w:sz w:val="22"/>
          <w:szCs w:val="22"/>
        </w:rPr>
        <w:t>Interedil</w:t>
      </w:r>
      <w:proofErr w:type="spellEnd"/>
      <w:r w:rsidRPr="001E3B0C">
        <w:rPr>
          <w:rFonts w:ascii="Avenir Next" w:hAnsi="Avenir Next" w:cs="Arial"/>
          <w:color w:val="7B7B7B" w:themeColor="accent3" w:themeShade="BF"/>
          <w:sz w:val="22"/>
          <w:szCs w:val="22"/>
        </w:rPr>
        <w:t xml:space="preserve"> </w:t>
      </w:r>
      <w:proofErr w:type="spellStart"/>
      <w:r w:rsidRPr="001E3B0C">
        <w:rPr>
          <w:rFonts w:ascii="Avenir Next" w:hAnsi="Avenir Next" w:cs="Arial"/>
          <w:color w:val="7B7B7B" w:themeColor="accent3" w:themeShade="BF"/>
          <w:sz w:val="22"/>
          <w:szCs w:val="22"/>
        </w:rPr>
        <w:t>Srl</w:t>
      </w:r>
      <w:proofErr w:type="spellEnd"/>
      <w:r w:rsidRPr="001E3B0C">
        <w:rPr>
          <w:rFonts w:ascii="Avenir Next" w:hAnsi="Avenir Next" w:cs="Arial"/>
          <w:color w:val="7B7B7B" w:themeColor="accent3" w:themeShade="BF"/>
          <w:sz w:val="22"/>
          <w:szCs w:val="22"/>
        </w:rPr>
        <w:t xml:space="preserve"> (C-396/09)</w:t>
      </w:r>
      <w:r w:rsidR="00F84F29">
        <w:rPr>
          <w:rStyle w:val="Refdenotaderodap"/>
          <w:rFonts w:ascii="Avenir Next" w:hAnsi="Avenir Next" w:cs="Arial"/>
          <w:color w:val="7B7B7B" w:themeColor="accent3" w:themeShade="BF"/>
          <w:sz w:val="22"/>
          <w:szCs w:val="22"/>
        </w:rPr>
        <w:footnoteReference w:id="4"/>
      </w:r>
      <w:r w:rsidRPr="001E3B0C">
        <w:rPr>
          <w:rFonts w:ascii="Avenir Next" w:hAnsi="Avenir Next" w:cs="Arial"/>
          <w:color w:val="7B7B7B" w:themeColor="accent3" w:themeShade="BF"/>
          <w:sz w:val="22"/>
          <w:szCs w:val="22"/>
        </w:rPr>
        <w:t xml:space="preserve"> and Bank </w:t>
      </w:r>
      <w:proofErr w:type="spellStart"/>
      <w:r w:rsidRPr="001E3B0C">
        <w:rPr>
          <w:rFonts w:ascii="Avenir Next" w:hAnsi="Avenir Next" w:cs="Arial"/>
          <w:color w:val="7B7B7B" w:themeColor="accent3" w:themeShade="BF"/>
          <w:sz w:val="22"/>
          <w:szCs w:val="22"/>
        </w:rPr>
        <w:t>Handlowy</w:t>
      </w:r>
      <w:proofErr w:type="spellEnd"/>
      <w:r w:rsidRPr="001E3B0C">
        <w:rPr>
          <w:rFonts w:ascii="Avenir Next" w:hAnsi="Avenir Next" w:cs="Arial"/>
          <w:color w:val="7B7B7B" w:themeColor="accent3" w:themeShade="BF"/>
          <w:sz w:val="22"/>
          <w:szCs w:val="22"/>
        </w:rPr>
        <w:t xml:space="preserve"> w </w:t>
      </w:r>
      <w:proofErr w:type="spellStart"/>
      <w:r w:rsidRPr="001E3B0C">
        <w:rPr>
          <w:rFonts w:ascii="Avenir Next" w:hAnsi="Avenir Next" w:cs="Arial"/>
          <w:color w:val="7B7B7B" w:themeColor="accent3" w:themeShade="BF"/>
          <w:sz w:val="22"/>
          <w:szCs w:val="22"/>
        </w:rPr>
        <w:t>Warszawie</w:t>
      </w:r>
      <w:proofErr w:type="spellEnd"/>
      <w:r w:rsidRPr="001E3B0C">
        <w:rPr>
          <w:rFonts w:ascii="Avenir Next" w:hAnsi="Avenir Next" w:cs="Arial"/>
          <w:color w:val="7B7B7B" w:themeColor="accent3" w:themeShade="BF"/>
          <w:sz w:val="22"/>
          <w:szCs w:val="22"/>
        </w:rPr>
        <w:t xml:space="preserve"> SA and </w:t>
      </w:r>
      <w:proofErr w:type="spellStart"/>
      <w:r w:rsidRPr="001E3B0C">
        <w:rPr>
          <w:rFonts w:ascii="Avenir Next" w:hAnsi="Avenir Next" w:cs="Arial"/>
          <w:color w:val="7B7B7B" w:themeColor="accent3" w:themeShade="BF"/>
          <w:sz w:val="22"/>
          <w:szCs w:val="22"/>
        </w:rPr>
        <w:t>Adamiak</w:t>
      </w:r>
      <w:proofErr w:type="spellEnd"/>
      <w:r w:rsidRPr="001E3B0C">
        <w:rPr>
          <w:rFonts w:ascii="Avenir Next" w:hAnsi="Avenir Next" w:cs="Arial"/>
          <w:color w:val="7B7B7B" w:themeColor="accent3" w:themeShade="BF"/>
          <w:sz w:val="22"/>
          <w:szCs w:val="22"/>
        </w:rPr>
        <w:t xml:space="preserve"> (C-116/11)</w:t>
      </w:r>
      <w:r w:rsidR="00F84F29">
        <w:rPr>
          <w:rStyle w:val="Refdenotaderodap"/>
          <w:rFonts w:ascii="Avenir Next" w:hAnsi="Avenir Next" w:cs="Arial"/>
          <w:color w:val="7B7B7B" w:themeColor="accent3" w:themeShade="BF"/>
          <w:sz w:val="22"/>
          <w:szCs w:val="22"/>
        </w:rPr>
        <w:footnoteReference w:id="5"/>
      </w:r>
      <w:r w:rsidRPr="001E3B0C">
        <w:rPr>
          <w:rFonts w:ascii="Avenir Next" w:hAnsi="Avenir Next" w:cs="Arial"/>
          <w:color w:val="7B7B7B" w:themeColor="accent3" w:themeShade="BF"/>
          <w:sz w:val="22"/>
          <w:szCs w:val="22"/>
        </w:rPr>
        <w:t xml:space="preserve"> may </w:t>
      </w:r>
      <w:r>
        <w:rPr>
          <w:rFonts w:ascii="Avenir Next" w:hAnsi="Avenir Next" w:cs="Arial"/>
          <w:color w:val="7B7B7B" w:themeColor="accent3" w:themeShade="BF"/>
          <w:sz w:val="22"/>
          <w:szCs w:val="22"/>
        </w:rPr>
        <w:t>be applicable.</w:t>
      </w:r>
    </w:p>
    <w:p w14:paraId="35A6F8DC" w14:textId="77777777" w:rsidR="001E3B0C" w:rsidRPr="001E3B0C" w:rsidRDefault="001E3B0C" w:rsidP="001E3B0C">
      <w:pPr>
        <w:jc w:val="both"/>
        <w:rPr>
          <w:rFonts w:ascii="Avenir Next" w:hAnsi="Avenir Next" w:cs="Arial"/>
          <w:color w:val="7B7B7B" w:themeColor="accent3" w:themeShade="BF"/>
          <w:sz w:val="22"/>
          <w:szCs w:val="22"/>
        </w:rPr>
      </w:pPr>
    </w:p>
    <w:p w14:paraId="6C706484" w14:textId="4F085839" w:rsidR="000A3278" w:rsidRDefault="001E3B0C" w:rsidP="001E3B0C">
      <w:pPr>
        <w:jc w:val="both"/>
        <w:rPr>
          <w:rFonts w:ascii="Avenir Next" w:hAnsi="Avenir Next" w:cs="Arial"/>
          <w:color w:val="7B7B7B" w:themeColor="accent3" w:themeShade="BF"/>
          <w:sz w:val="22"/>
          <w:szCs w:val="22"/>
        </w:rPr>
      </w:pPr>
      <w:r w:rsidRPr="001E3B0C">
        <w:rPr>
          <w:rFonts w:ascii="Avenir Next" w:hAnsi="Avenir Next" w:cs="Arial"/>
          <w:color w:val="7B7B7B" w:themeColor="accent3" w:themeShade="BF"/>
          <w:sz w:val="22"/>
          <w:szCs w:val="22"/>
        </w:rPr>
        <w:t xml:space="preserve">Given the case facts, secondary proceedings can be opened in Spain if the conditions mentioned above are met. However, the question </w:t>
      </w:r>
      <w:r>
        <w:rPr>
          <w:rFonts w:ascii="Avenir Next" w:hAnsi="Avenir Next" w:cs="Arial"/>
          <w:color w:val="7B7B7B" w:themeColor="accent3" w:themeShade="BF"/>
          <w:sz w:val="22"/>
          <w:szCs w:val="22"/>
        </w:rPr>
        <w:t>apparently</w:t>
      </w:r>
      <w:r w:rsidRPr="001E3B0C">
        <w:rPr>
          <w:rFonts w:ascii="Avenir Next" w:hAnsi="Avenir Next" w:cs="Arial"/>
          <w:color w:val="7B7B7B" w:themeColor="accent3" w:themeShade="BF"/>
          <w:sz w:val="22"/>
          <w:szCs w:val="22"/>
        </w:rPr>
        <w:t xml:space="preserve"> refers to Italy</w:t>
      </w:r>
      <w:r>
        <w:rPr>
          <w:rFonts w:ascii="Avenir Next" w:hAnsi="Avenir Next" w:cs="Arial"/>
          <w:color w:val="7B7B7B" w:themeColor="accent3" w:themeShade="BF"/>
          <w:sz w:val="22"/>
          <w:szCs w:val="22"/>
        </w:rPr>
        <w:t xml:space="preserve"> by </w:t>
      </w:r>
      <w:proofErr w:type="gramStart"/>
      <w:r>
        <w:rPr>
          <w:rFonts w:ascii="Avenir Next" w:hAnsi="Avenir Next" w:cs="Arial"/>
          <w:color w:val="7B7B7B" w:themeColor="accent3" w:themeShade="BF"/>
          <w:sz w:val="22"/>
          <w:szCs w:val="22"/>
        </w:rPr>
        <w:t>mistake,</w:t>
      </w:r>
      <w:r w:rsidRPr="001E3B0C">
        <w:rPr>
          <w:rFonts w:ascii="Avenir Next" w:hAnsi="Avenir Next" w:cs="Arial"/>
          <w:color w:val="7B7B7B" w:themeColor="accent3" w:themeShade="BF"/>
          <w:sz w:val="22"/>
          <w:szCs w:val="22"/>
        </w:rPr>
        <w:t xml:space="preserve"> since</w:t>
      </w:r>
      <w:proofErr w:type="gramEnd"/>
      <w:r w:rsidRPr="001E3B0C">
        <w:rPr>
          <w:rFonts w:ascii="Avenir Next" w:hAnsi="Avenir Next" w:cs="Arial"/>
          <w:color w:val="7B7B7B" w:themeColor="accent3" w:themeShade="BF"/>
          <w:sz w:val="22"/>
          <w:szCs w:val="22"/>
        </w:rPr>
        <w:t xml:space="preserve"> no connection to Italy is mentioned in the provided scenario. If the question indeed intended to ask about Spain, and the company has an establishment there, then under the EIR Recast, it would be possible for the Spanish bank to file for secondary insolvency proceedings in Spain</w:t>
      </w:r>
      <w:r>
        <w:rPr>
          <w:rFonts w:ascii="Avenir Next" w:hAnsi="Avenir Next" w:cs="Arial"/>
          <w:color w:val="7B7B7B" w:themeColor="accent3" w:themeShade="BF"/>
          <w:sz w:val="22"/>
          <w:szCs w:val="22"/>
        </w:rPr>
        <w:t xml:space="preserve">, but </w:t>
      </w:r>
      <w:r w:rsidRPr="001E3B0C">
        <w:rPr>
          <w:rFonts w:ascii="Avenir Next" w:hAnsi="Avenir Next" w:cs="Arial"/>
          <w:color w:val="7B7B7B" w:themeColor="accent3" w:themeShade="BF"/>
          <w:sz w:val="22"/>
          <w:szCs w:val="22"/>
        </w:rPr>
        <w:t>not</w:t>
      </w:r>
      <w:r>
        <w:rPr>
          <w:rFonts w:ascii="Avenir Next" w:hAnsi="Avenir Next" w:cs="Arial"/>
          <w:color w:val="7B7B7B" w:themeColor="accent3" w:themeShade="BF"/>
          <w:sz w:val="22"/>
          <w:szCs w:val="22"/>
        </w:rPr>
        <w:t xml:space="preserve"> in</w:t>
      </w:r>
      <w:r w:rsidRPr="001E3B0C">
        <w:rPr>
          <w:rFonts w:ascii="Avenir Next" w:hAnsi="Avenir Next" w:cs="Arial"/>
          <w:color w:val="7B7B7B" w:themeColor="accent3" w:themeShade="BF"/>
          <w:sz w:val="22"/>
          <w:szCs w:val="22"/>
        </w:rPr>
        <w:t xml:space="preserve"> Italy.</w:t>
      </w:r>
      <w:r w:rsidR="000A3278">
        <w:rPr>
          <w:rFonts w:ascii="Avenir Next" w:hAnsi="Avenir Next" w:cs="Arial"/>
          <w:color w:val="7B7B7B" w:themeColor="accent3" w:themeShade="BF"/>
          <w:sz w:val="22"/>
          <w:szCs w:val="22"/>
        </w:rPr>
        <w:t>]</w:t>
      </w:r>
    </w:p>
    <w:p w14:paraId="2943D6F8" w14:textId="77777777" w:rsidR="00EA14EE" w:rsidRPr="00EA14EE" w:rsidRDefault="00EA14EE" w:rsidP="00EA14EE">
      <w:pPr>
        <w:pStyle w:val="PargrafodaLista"/>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446D7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64AD" w14:textId="77777777" w:rsidR="00446D7A" w:rsidRDefault="00446D7A" w:rsidP="00241B44">
      <w:r>
        <w:separator/>
      </w:r>
    </w:p>
  </w:endnote>
  <w:endnote w:type="continuationSeparator" w:id="0">
    <w:p w14:paraId="612ED16E" w14:textId="77777777" w:rsidR="00446D7A" w:rsidRDefault="00446D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D509A5" w:rsidRPr="00FC7B47" w:rsidRDefault="00D509A5"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D509A5" w:rsidRPr="00FC7B47" w:rsidRDefault="00D509A5" w:rsidP="00FC7B47">
    <w:pPr>
      <w:pStyle w:val="Rodap"/>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rFonts w:ascii="Arial" w:hAnsi="Arial"/>
        <w:sz w:val="18"/>
        <w:szCs w:val="18"/>
      </w:rPr>
    </w:sdtEndPr>
    <w:sdtContent>
      <w:p w14:paraId="0A05F8FD" w14:textId="25250B7C" w:rsidR="00D509A5" w:rsidRPr="009B4976" w:rsidRDefault="00D509A5" w:rsidP="00D509A5">
        <w:pPr>
          <w:pStyle w:val="Rodap"/>
          <w:framePr w:wrap="none" w:vAnchor="text" w:hAnchor="margin" w:xAlign="right" w:y="1"/>
          <w:rPr>
            <w:rStyle w:val="Nmerodepgina"/>
            <w:rFonts w:ascii="Arial" w:hAnsi="Arial" w:cs="Arial"/>
            <w:sz w:val="18"/>
            <w:szCs w:val="18"/>
          </w:rPr>
        </w:pPr>
        <w:r w:rsidRPr="001B6DDC">
          <w:rPr>
            <w:rStyle w:val="Nmerodepgina"/>
            <w:rFonts w:ascii="Avenir Next" w:hAnsi="Avenir Next" w:cs="Arial"/>
            <w:sz w:val="22"/>
            <w:szCs w:val="22"/>
          </w:rPr>
          <w:t xml:space="preserve">Page </w:t>
        </w:r>
        <w:r w:rsidRPr="001B6DDC">
          <w:rPr>
            <w:rStyle w:val="Nmerodepgina"/>
            <w:rFonts w:ascii="Avenir Next" w:hAnsi="Avenir Next" w:cs="Arial"/>
            <w:sz w:val="22"/>
            <w:szCs w:val="22"/>
          </w:rPr>
          <w:fldChar w:fldCharType="begin"/>
        </w:r>
        <w:r w:rsidRPr="001B6DDC">
          <w:rPr>
            <w:rStyle w:val="Nmerodepgina"/>
            <w:rFonts w:ascii="Avenir Next" w:hAnsi="Avenir Next" w:cs="Arial"/>
            <w:sz w:val="22"/>
            <w:szCs w:val="22"/>
          </w:rPr>
          <w:instrText xml:space="preserve"> PAGE </w:instrText>
        </w:r>
        <w:r w:rsidRPr="001B6DDC">
          <w:rPr>
            <w:rStyle w:val="Nmerodepgina"/>
            <w:rFonts w:ascii="Avenir Next" w:hAnsi="Avenir Next" w:cs="Arial"/>
            <w:sz w:val="22"/>
            <w:szCs w:val="22"/>
          </w:rPr>
          <w:fldChar w:fldCharType="separate"/>
        </w:r>
        <w:r w:rsidR="00BA543A" w:rsidRPr="001B6DDC">
          <w:rPr>
            <w:rStyle w:val="Nmerodepgina"/>
            <w:rFonts w:ascii="Avenir Next" w:hAnsi="Avenir Next" w:cs="Arial"/>
            <w:noProof/>
            <w:sz w:val="22"/>
            <w:szCs w:val="22"/>
          </w:rPr>
          <w:t>9</w:t>
        </w:r>
        <w:r w:rsidRPr="001B6DDC">
          <w:rPr>
            <w:rStyle w:val="Nmerodepgina"/>
            <w:rFonts w:ascii="Avenir Next" w:hAnsi="Avenir Next" w:cs="Arial"/>
            <w:sz w:val="22"/>
            <w:szCs w:val="22"/>
          </w:rPr>
          <w:fldChar w:fldCharType="end"/>
        </w:r>
      </w:p>
    </w:sdtContent>
  </w:sdt>
  <w:p w14:paraId="30F05E79" w14:textId="17962E26" w:rsidR="00D509A5" w:rsidRPr="005418A0" w:rsidRDefault="00337C9D" w:rsidP="009B4976">
    <w:pPr>
      <w:pStyle w:val="Rodap"/>
      <w:ind w:right="360"/>
      <w:rPr>
        <w:rFonts w:ascii="Avenir Next" w:hAnsi="Avenir Next" w:cs="Arial"/>
        <w:sz w:val="22"/>
        <w:szCs w:val="22"/>
        <w:lang w:val="en-GB"/>
      </w:rPr>
    </w:pPr>
    <w:r w:rsidRPr="00337C9D">
      <w:rPr>
        <w:rFonts w:ascii="Avenir Next" w:hAnsi="Avenir Next" w:cs="Arial"/>
        <w:sz w:val="22"/>
        <w:szCs w:val="22"/>
        <w:lang w:val="en-GB"/>
      </w:rPr>
      <w:t>FC202324-1453</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208B" w14:textId="77777777" w:rsidR="00446D7A" w:rsidRDefault="00446D7A" w:rsidP="00241B44">
      <w:r>
        <w:separator/>
      </w:r>
    </w:p>
  </w:footnote>
  <w:footnote w:type="continuationSeparator" w:id="0">
    <w:p w14:paraId="19AD143A" w14:textId="77777777" w:rsidR="00446D7A" w:rsidRDefault="00446D7A" w:rsidP="00241B44">
      <w:r>
        <w:continuationSeparator/>
      </w:r>
    </w:p>
  </w:footnote>
  <w:footnote w:id="1">
    <w:p w14:paraId="1679E6E5" w14:textId="5B0E5F26" w:rsidR="0050717C" w:rsidRPr="0050717C" w:rsidRDefault="0050717C" w:rsidP="0050717C">
      <w:pPr>
        <w:pStyle w:val="Textodenotaderodap"/>
      </w:pPr>
      <w:r>
        <w:rPr>
          <w:rStyle w:val="Refdenotaderodap"/>
        </w:rPr>
        <w:footnoteRef/>
      </w:r>
      <w:r>
        <w:t xml:space="preserve">  Revision of the European Insolvency Regulation - INSOL Europe - </w:t>
      </w:r>
      <w:hyperlink r:id="rId1" w:anchor=":~:text=Revision%20of%20the%20European,europe.org%20%E2%80%BA%20documents" w:history="1">
        <w:r w:rsidRPr="0050717C">
          <w:rPr>
            <w:rStyle w:val="Hyperlink"/>
          </w:rPr>
          <w:t>https://www.insol-europe.org</w:t>
        </w:r>
      </w:hyperlink>
      <w:r>
        <w:t xml:space="preserve"> › documents</w:t>
      </w:r>
    </w:p>
  </w:footnote>
  <w:footnote w:id="2">
    <w:p w14:paraId="369DF9E5" w14:textId="5871CEFE" w:rsidR="00534840" w:rsidRPr="00534840" w:rsidRDefault="00534840">
      <w:pPr>
        <w:pStyle w:val="Textodenotaderodap"/>
      </w:pPr>
      <w:r>
        <w:rPr>
          <w:rStyle w:val="Refdenotaderodap"/>
        </w:rPr>
        <w:footnoteRef/>
      </w:r>
      <w:r w:rsidRPr="00534840">
        <w:t xml:space="preserve"> </w:t>
      </w:r>
      <w:hyperlink r:id="rId2" w:history="1">
        <w:r w:rsidRPr="00534840">
          <w:rPr>
            <w:rStyle w:val="Hyperlink"/>
          </w:rPr>
          <w:t>https://eur-lex.europa.eu/legal-content/EN/TXT/?uri=CELEX%3A62004CJ0341</w:t>
        </w:r>
      </w:hyperlink>
      <w:r w:rsidRPr="00534840">
        <w:t xml:space="preserve">, date </w:t>
      </w:r>
      <w:r>
        <w:t>of access 29.02.24</w:t>
      </w:r>
    </w:p>
  </w:footnote>
  <w:footnote w:id="3">
    <w:p w14:paraId="210419B8" w14:textId="23DFD8C3" w:rsidR="00534840" w:rsidRPr="00534840" w:rsidRDefault="00534840">
      <w:pPr>
        <w:pStyle w:val="Textodenotaderodap"/>
      </w:pPr>
      <w:r>
        <w:rPr>
          <w:rStyle w:val="Refdenotaderodap"/>
        </w:rPr>
        <w:footnoteRef/>
      </w:r>
      <w:r>
        <w:t xml:space="preserve"> </w:t>
      </w:r>
      <w:hyperlink r:id="rId3" w:history="1">
        <w:r w:rsidRPr="000F59E7">
          <w:rPr>
            <w:rStyle w:val="Hyperlink"/>
          </w:rPr>
          <w:t>https://eur-lex.europa.eu/legal-content/EN/TXT/PDF/?uri=CELEX:62009CJ0396_SUM&amp;from=FR</w:t>
        </w:r>
      </w:hyperlink>
      <w:r>
        <w:t>, date of access 29.02.24.</w:t>
      </w:r>
    </w:p>
  </w:footnote>
  <w:footnote w:id="4">
    <w:p w14:paraId="618D6C1A" w14:textId="0FABB43E" w:rsidR="00F84F29" w:rsidRPr="00F84F29" w:rsidRDefault="00F84F29">
      <w:pPr>
        <w:pStyle w:val="Textodenotaderodap"/>
      </w:pPr>
      <w:r>
        <w:rPr>
          <w:rStyle w:val="Refdenotaderodap"/>
        </w:rPr>
        <w:footnoteRef/>
      </w:r>
      <w:r>
        <w:t xml:space="preserve"> </w:t>
      </w:r>
      <w:hyperlink r:id="rId4" w:history="1">
        <w:r w:rsidRPr="000F59E7">
          <w:rPr>
            <w:rStyle w:val="Hyperlink"/>
          </w:rPr>
          <w:t>https://eur-lex.europa.eu/legal-content/EN/TXT/PDF/?uri=CELEX:62009CJ0396_SUM&amp;from=FR</w:t>
        </w:r>
      </w:hyperlink>
      <w:r>
        <w:t>, last access 29.02.24</w:t>
      </w:r>
    </w:p>
  </w:footnote>
  <w:footnote w:id="5">
    <w:p w14:paraId="5F65D324" w14:textId="46681CC0" w:rsidR="00F84F29" w:rsidRPr="00F84F29" w:rsidRDefault="00F84F29">
      <w:pPr>
        <w:pStyle w:val="Textodenotaderodap"/>
      </w:pPr>
      <w:r>
        <w:rPr>
          <w:rStyle w:val="Refdenotaderodap"/>
        </w:rPr>
        <w:footnoteRef/>
      </w:r>
      <w:r>
        <w:t xml:space="preserve"> </w:t>
      </w:r>
      <w:hyperlink r:id="rId5" w:history="1">
        <w:r w:rsidRPr="000F59E7">
          <w:rPr>
            <w:rStyle w:val="Hyperlink"/>
          </w:rPr>
          <w:t>https://eur-lex.europa.eu/legal-content/EN/TXT/?</w:t>
        </w:r>
        <w:r w:rsidRPr="000F59E7">
          <w:rPr>
            <w:rStyle w:val="Hyperlink"/>
          </w:rPr>
          <w:t>uri=CELEX%3A62011CJ0116</w:t>
        </w:r>
      </w:hyperlink>
      <w:r>
        <w:t xml:space="preserve">, last access </w:t>
      </w:r>
      <w:r>
        <w:t>29.02.24.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D21D62"/>
    <w:multiLevelType w:val="hybridMultilevel"/>
    <w:tmpl w:val="30848830"/>
    <w:lvl w:ilvl="0" w:tplc="8D9ABF9A">
      <w:start w:val="1"/>
      <w:numFmt w:val="bullet"/>
      <w:lvlText w:val="-"/>
      <w:lvlJc w:val="left"/>
      <w:pPr>
        <w:ind w:left="720" w:hanging="360"/>
      </w:pPr>
      <w:rPr>
        <w:rFonts w:ascii="Aptos" w:eastAsiaTheme="minorHAnsi" w:hAnsi="Apto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B085C64"/>
    <w:multiLevelType w:val="hybridMultilevel"/>
    <w:tmpl w:val="924ACB82"/>
    <w:lvl w:ilvl="0" w:tplc="C03E8D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3"/>
  </w:num>
  <w:num w:numId="2" w16cid:durableId="2002611782">
    <w:abstractNumId w:val="23"/>
  </w:num>
  <w:num w:numId="3" w16cid:durableId="1046681177">
    <w:abstractNumId w:val="16"/>
  </w:num>
  <w:num w:numId="4" w16cid:durableId="1250502507">
    <w:abstractNumId w:val="30"/>
  </w:num>
  <w:num w:numId="5" w16cid:durableId="262424646">
    <w:abstractNumId w:val="22"/>
  </w:num>
  <w:num w:numId="6" w16cid:durableId="2052070068">
    <w:abstractNumId w:val="25"/>
  </w:num>
  <w:num w:numId="7" w16cid:durableId="1461680123">
    <w:abstractNumId w:val="6"/>
  </w:num>
  <w:num w:numId="8" w16cid:durableId="892274553">
    <w:abstractNumId w:val="20"/>
  </w:num>
  <w:num w:numId="9" w16cid:durableId="626088575">
    <w:abstractNumId w:val="19"/>
  </w:num>
  <w:num w:numId="10" w16cid:durableId="1127773174">
    <w:abstractNumId w:val="14"/>
  </w:num>
  <w:num w:numId="11" w16cid:durableId="1017780422">
    <w:abstractNumId w:val="21"/>
  </w:num>
  <w:num w:numId="12" w16cid:durableId="1731923168">
    <w:abstractNumId w:val="2"/>
  </w:num>
  <w:num w:numId="13" w16cid:durableId="325937709">
    <w:abstractNumId w:val="11"/>
  </w:num>
  <w:num w:numId="14" w16cid:durableId="87119507">
    <w:abstractNumId w:val="18"/>
  </w:num>
  <w:num w:numId="15" w16cid:durableId="537401627">
    <w:abstractNumId w:val="15"/>
  </w:num>
  <w:num w:numId="16" w16cid:durableId="225994540">
    <w:abstractNumId w:val="10"/>
  </w:num>
  <w:num w:numId="17" w16cid:durableId="1550260514">
    <w:abstractNumId w:val="13"/>
  </w:num>
  <w:num w:numId="18" w16cid:durableId="641735283">
    <w:abstractNumId w:val="3"/>
  </w:num>
  <w:num w:numId="19" w16cid:durableId="792407038">
    <w:abstractNumId w:val="0"/>
  </w:num>
  <w:num w:numId="20" w16cid:durableId="1217475378">
    <w:abstractNumId w:val="5"/>
  </w:num>
  <w:num w:numId="21" w16cid:durableId="1798719523">
    <w:abstractNumId w:val="0"/>
  </w:num>
  <w:num w:numId="22" w16cid:durableId="120156217">
    <w:abstractNumId w:val="8"/>
  </w:num>
  <w:num w:numId="23" w16cid:durableId="1566800475">
    <w:abstractNumId w:val="24"/>
  </w:num>
  <w:num w:numId="24" w16cid:durableId="1845364164">
    <w:abstractNumId w:val="26"/>
  </w:num>
  <w:num w:numId="25" w16cid:durableId="1565870678">
    <w:abstractNumId w:val="4"/>
  </w:num>
  <w:num w:numId="26" w16cid:durableId="974988881">
    <w:abstractNumId w:val="31"/>
  </w:num>
  <w:num w:numId="27" w16cid:durableId="1096101251">
    <w:abstractNumId w:val="9"/>
  </w:num>
  <w:num w:numId="28" w16cid:durableId="1807311193">
    <w:abstractNumId w:val="1"/>
  </w:num>
  <w:num w:numId="29" w16cid:durableId="614291072">
    <w:abstractNumId w:val="12"/>
  </w:num>
  <w:num w:numId="30" w16cid:durableId="1134907189">
    <w:abstractNumId w:val="28"/>
  </w:num>
  <w:num w:numId="31" w16cid:durableId="92938254">
    <w:abstractNumId w:val="27"/>
  </w:num>
  <w:num w:numId="32" w16cid:durableId="1838615408">
    <w:abstractNumId w:val="7"/>
  </w:num>
  <w:num w:numId="33" w16cid:durableId="2087847088">
    <w:abstractNumId w:val="33"/>
  </w:num>
  <w:num w:numId="34" w16cid:durableId="1031685811">
    <w:abstractNumId w:val="32"/>
  </w:num>
  <w:num w:numId="35" w16cid:durableId="261183349">
    <w:abstractNumId w:val="29"/>
  </w:num>
  <w:num w:numId="36" w16cid:durableId="72209757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365D"/>
    <w:rsid w:val="000250C7"/>
    <w:rsid w:val="00026F16"/>
    <w:rsid w:val="00037621"/>
    <w:rsid w:val="00041B32"/>
    <w:rsid w:val="00044D46"/>
    <w:rsid w:val="00045088"/>
    <w:rsid w:val="00045904"/>
    <w:rsid w:val="00054E15"/>
    <w:rsid w:val="00065166"/>
    <w:rsid w:val="000756D2"/>
    <w:rsid w:val="00082609"/>
    <w:rsid w:val="000851CC"/>
    <w:rsid w:val="00086936"/>
    <w:rsid w:val="00087CD6"/>
    <w:rsid w:val="00093BE8"/>
    <w:rsid w:val="000A3278"/>
    <w:rsid w:val="000A373F"/>
    <w:rsid w:val="000A68ED"/>
    <w:rsid w:val="000A7BF9"/>
    <w:rsid w:val="000B5FF1"/>
    <w:rsid w:val="000B609F"/>
    <w:rsid w:val="000C6BB5"/>
    <w:rsid w:val="000D55A8"/>
    <w:rsid w:val="000E4841"/>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4331"/>
    <w:rsid w:val="0018519F"/>
    <w:rsid w:val="00187A34"/>
    <w:rsid w:val="001966D9"/>
    <w:rsid w:val="001A68CC"/>
    <w:rsid w:val="001A7E9A"/>
    <w:rsid w:val="001B0F70"/>
    <w:rsid w:val="001B5016"/>
    <w:rsid w:val="001B6DDC"/>
    <w:rsid w:val="001C45FC"/>
    <w:rsid w:val="001D0469"/>
    <w:rsid w:val="001D4862"/>
    <w:rsid w:val="001D6E1C"/>
    <w:rsid w:val="001D7B75"/>
    <w:rsid w:val="001E25B9"/>
    <w:rsid w:val="001E3B0C"/>
    <w:rsid w:val="001E49E0"/>
    <w:rsid w:val="001E5F8A"/>
    <w:rsid w:val="001E7B5A"/>
    <w:rsid w:val="001F7412"/>
    <w:rsid w:val="00202DFE"/>
    <w:rsid w:val="00203720"/>
    <w:rsid w:val="00205AAD"/>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4EBE"/>
    <w:rsid w:val="0029433F"/>
    <w:rsid w:val="00294829"/>
    <w:rsid w:val="0029690F"/>
    <w:rsid w:val="00297C8A"/>
    <w:rsid w:val="002A2A60"/>
    <w:rsid w:val="002A37BB"/>
    <w:rsid w:val="002A4F5C"/>
    <w:rsid w:val="002B10B6"/>
    <w:rsid w:val="002B1C45"/>
    <w:rsid w:val="002C13C8"/>
    <w:rsid w:val="002C3547"/>
    <w:rsid w:val="002D0021"/>
    <w:rsid w:val="002D3473"/>
    <w:rsid w:val="002E4CF1"/>
    <w:rsid w:val="002F1956"/>
    <w:rsid w:val="002F3440"/>
    <w:rsid w:val="002F55D2"/>
    <w:rsid w:val="002F70C6"/>
    <w:rsid w:val="002F75A3"/>
    <w:rsid w:val="00302D76"/>
    <w:rsid w:val="00303C2F"/>
    <w:rsid w:val="003144EF"/>
    <w:rsid w:val="0032234E"/>
    <w:rsid w:val="003252C2"/>
    <w:rsid w:val="00326292"/>
    <w:rsid w:val="00326415"/>
    <w:rsid w:val="00330937"/>
    <w:rsid w:val="00330F31"/>
    <w:rsid w:val="00331480"/>
    <w:rsid w:val="00334648"/>
    <w:rsid w:val="0033768C"/>
    <w:rsid w:val="00337938"/>
    <w:rsid w:val="00337C9D"/>
    <w:rsid w:val="00340769"/>
    <w:rsid w:val="00341AA6"/>
    <w:rsid w:val="0034705B"/>
    <w:rsid w:val="003525B6"/>
    <w:rsid w:val="0036076B"/>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A5DF3"/>
    <w:rsid w:val="003B0A27"/>
    <w:rsid w:val="003B170F"/>
    <w:rsid w:val="003B3C5F"/>
    <w:rsid w:val="003C4342"/>
    <w:rsid w:val="003C4471"/>
    <w:rsid w:val="003C4BCB"/>
    <w:rsid w:val="003D0A6D"/>
    <w:rsid w:val="003D17A2"/>
    <w:rsid w:val="003D1974"/>
    <w:rsid w:val="003D4A79"/>
    <w:rsid w:val="003E0B16"/>
    <w:rsid w:val="003E1D56"/>
    <w:rsid w:val="003E2475"/>
    <w:rsid w:val="003E4DB0"/>
    <w:rsid w:val="003E67D1"/>
    <w:rsid w:val="00404329"/>
    <w:rsid w:val="00405DC1"/>
    <w:rsid w:val="00415F1F"/>
    <w:rsid w:val="004202D2"/>
    <w:rsid w:val="0042108F"/>
    <w:rsid w:val="00425094"/>
    <w:rsid w:val="00430FED"/>
    <w:rsid w:val="00434072"/>
    <w:rsid w:val="00434A8C"/>
    <w:rsid w:val="00437297"/>
    <w:rsid w:val="00444284"/>
    <w:rsid w:val="0044574C"/>
    <w:rsid w:val="00445CE6"/>
    <w:rsid w:val="00446D7A"/>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0717C"/>
    <w:rsid w:val="005177FE"/>
    <w:rsid w:val="0052263B"/>
    <w:rsid w:val="00524728"/>
    <w:rsid w:val="005331CA"/>
    <w:rsid w:val="00534840"/>
    <w:rsid w:val="00537970"/>
    <w:rsid w:val="00540E3A"/>
    <w:rsid w:val="005418A0"/>
    <w:rsid w:val="00544127"/>
    <w:rsid w:val="00544F6E"/>
    <w:rsid w:val="005463A9"/>
    <w:rsid w:val="00553EB2"/>
    <w:rsid w:val="00560534"/>
    <w:rsid w:val="0056391B"/>
    <w:rsid w:val="005650E2"/>
    <w:rsid w:val="00565902"/>
    <w:rsid w:val="00567AD7"/>
    <w:rsid w:val="0057161E"/>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502"/>
    <w:rsid w:val="005E1B79"/>
    <w:rsid w:val="005E42DB"/>
    <w:rsid w:val="005E7008"/>
    <w:rsid w:val="005E784A"/>
    <w:rsid w:val="005F026D"/>
    <w:rsid w:val="005F2AEA"/>
    <w:rsid w:val="005F2D0B"/>
    <w:rsid w:val="005F4B31"/>
    <w:rsid w:val="006048C0"/>
    <w:rsid w:val="00605782"/>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4A67"/>
    <w:rsid w:val="006661EF"/>
    <w:rsid w:val="006723E9"/>
    <w:rsid w:val="00677AEB"/>
    <w:rsid w:val="00680EF2"/>
    <w:rsid w:val="00687A1D"/>
    <w:rsid w:val="00691524"/>
    <w:rsid w:val="00696ED8"/>
    <w:rsid w:val="00697EA1"/>
    <w:rsid w:val="006A2646"/>
    <w:rsid w:val="006A6530"/>
    <w:rsid w:val="006B435A"/>
    <w:rsid w:val="006B4C64"/>
    <w:rsid w:val="006C3FB7"/>
    <w:rsid w:val="006C4FAA"/>
    <w:rsid w:val="006D217A"/>
    <w:rsid w:val="006D6BD5"/>
    <w:rsid w:val="006E07D8"/>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1788"/>
    <w:rsid w:val="007603F5"/>
    <w:rsid w:val="00764DB0"/>
    <w:rsid w:val="0076764D"/>
    <w:rsid w:val="0077498C"/>
    <w:rsid w:val="007772BD"/>
    <w:rsid w:val="007809BC"/>
    <w:rsid w:val="00782DF0"/>
    <w:rsid w:val="00782EE1"/>
    <w:rsid w:val="00784128"/>
    <w:rsid w:val="0078463C"/>
    <w:rsid w:val="00793173"/>
    <w:rsid w:val="007A107A"/>
    <w:rsid w:val="007A2A33"/>
    <w:rsid w:val="007A6B8D"/>
    <w:rsid w:val="007A7B20"/>
    <w:rsid w:val="007C1FCC"/>
    <w:rsid w:val="007C50AA"/>
    <w:rsid w:val="007C6201"/>
    <w:rsid w:val="007D7C92"/>
    <w:rsid w:val="007E1154"/>
    <w:rsid w:val="007E39B3"/>
    <w:rsid w:val="007E3AA9"/>
    <w:rsid w:val="007E44C4"/>
    <w:rsid w:val="007E54BD"/>
    <w:rsid w:val="007E6BA4"/>
    <w:rsid w:val="007F41F8"/>
    <w:rsid w:val="007F6A57"/>
    <w:rsid w:val="00800B1B"/>
    <w:rsid w:val="00800B76"/>
    <w:rsid w:val="008017F0"/>
    <w:rsid w:val="0080454E"/>
    <w:rsid w:val="00804C32"/>
    <w:rsid w:val="00804DA6"/>
    <w:rsid w:val="00806302"/>
    <w:rsid w:val="00807119"/>
    <w:rsid w:val="00810499"/>
    <w:rsid w:val="008115C6"/>
    <w:rsid w:val="0082424D"/>
    <w:rsid w:val="0082483F"/>
    <w:rsid w:val="008279C0"/>
    <w:rsid w:val="008300EE"/>
    <w:rsid w:val="0083306B"/>
    <w:rsid w:val="00841051"/>
    <w:rsid w:val="008500BD"/>
    <w:rsid w:val="00860723"/>
    <w:rsid w:val="00864593"/>
    <w:rsid w:val="0086548F"/>
    <w:rsid w:val="00871BD0"/>
    <w:rsid w:val="008723F3"/>
    <w:rsid w:val="00874240"/>
    <w:rsid w:val="00881DE6"/>
    <w:rsid w:val="008837A6"/>
    <w:rsid w:val="0089145D"/>
    <w:rsid w:val="0089362E"/>
    <w:rsid w:val="00894C1D"/>
    <w:rsid w:val="00897A78"/>
    <w:rsid w:val="008A4DF2"/>
    <w:rsid w:val="008A6CFE"/>
    <w:rsid w:val="008A7391"/>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56E63"/>
    <w:rsid w:val="00962045"/>
    <w:rsid w:val="009651D2"/>
    <w:rsid w:val="00967219"/>
    <w:rsid w:val="00971896"/>
    <w:rsid w:val="00980E61"/>
    <w:rsid w:val="00986FCB"/>
    <w:rsid w:val="00991428"/>
    <w:rsid w:val="00992676"/>
    <w:rsid w:val="009954B2"/>
    <w:rsid w:val="00996691"/>
    <w:rsid w:val="009B0723"/>
    <w:rsid w:val="009B07AD"/>
    <w:rsid w:val="009B0883"/>
    <w:rsid w:val="009B15E2"/>
    <w:rsid w:val="009B2C5B"/>
    <w:rsid w:val="009B4976"/>
    <w:rsid w:val="009C0B8E"/>
    <w:rsid w:val="009C1BC8"/>
    <w:rsid w:val="009C2442"/>
    <w:rsid w:val="009C5E52"/>
    <w:rsid w:val="009D0811"/>
    <w:rsid w:val="009D0EE1"/>
    <w:rsid w:val="009D693A"/>
    <w:rsid w:val="009E2AEB"/>
    <w:rsid w:val="009E2E27"/>
    <w:rsid w:val="009E39B2"/>
    <w:rsid w:val="009E4DE3"/>
    <w:rsid w:val="009F275E"/>
    <w:rsid w:val="00A02A4A"/>
    <w:rsid w:val="00A047EE"/>
    <w:rsid w:val="00A07E6F"/>
    <w:rsid w:val="00A11E80"/>
    <w:rsid w:val="00A17858"/>
    <w:rsid w:val="00A2274A"/>
    <w:rsid w:val="00A235B7"/>
    <w:rsid w:val="00A27A7A"/>
    <w:rsid w:val="00A33FA6"/>
    <w:rsid w:val="00A407EF"/>
    <w:rsid w:val="00A46B4C"/>
    <w:rsid w:val="00A50055"/>
    <w:rsid w:val="00A5117B"/>
    <w:rsid w:val="00A54CB5"/>
    <w:rsid w:val="00A60074"/>
    <w:rsid w:val="00A620A6"/>
    <w:rsid w:val="00A62FDA"/>
    <w:rsid w:val="00A6627C"/>
    <w:rsid w:val="00A71019"/>
    <w:rsid w:val="00A81029"/>
    <w:rsid w:val="00A83E9F"/>
    <w:rsid w:val="00A96489"/>
    <w:rsid w:val="00AA55B5"/>
    <w:rsid w:val="00AB685C"/>
    <w:rsid w:val="00AB6C2D"/>
    <w:rsid w:val="00AC08F7"/>
    <w:rsid w:val="00AC3839"/>
    <w:rsid w:val="00AC4C4F"/>
    <w:rsid w:val="00AC7082"/>
    <w:rsid w:val="00AD2931"/>
    <w:rsid w:val="00AD35E0"/>
    <w:rsid w:val="00AD513F"/>
    <w:rsid w:val="00AD5924"/>
    <w:rsid w:val="00AD6870"/>
    <w:rsid w:val="00AE2316"/>
    <w:rsid w:val="00AE477C"/>
    <w:rsid w:val="00AE74BA"/>
    <w:rsid w:val="00AF228E"/>
    <w:rsid w:val="00AF39A8"/>
    <w:rsid w:val="00B016A8"/>
    <w:rsid w:val="00B070D2"/>
    <w:rsid w:val="00B12499"/>
    <w:rsid w:val="00B12EF7"/>
    <w:rsid w:val="00B137B0"/>
    <w:rsid w:val="00B14819"/>
    <w:rsid w:val="00B15E2F"/>
    <w:rsid w:val="00B17AA9"/>
    <w:rsid w:val="00B201BC"/>
    <w:rsid w:val="00B30D9A"/>
    <w:rsid w:val="00B32588"/>
    <w:rsid w:val="00B40BB9"/>
    <w:rsid w:val="00B437B1"/>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BFD"/>
    <w:rsid w:val="00BE4FF3"/>
    <w:rsid w:val="00BF50F7"/>
    <w:rsid w:val="00C00B20"/>
    <w:rsid w:val="00C00E77"/>
    <w:rsid w:val="00C02F29"/>
    <w:rsid w:val="00C1359C"/>
    <w:rsid w:val="00C15FA2"/>
    <w:rsid w:val="00C20AFE"/>
    <w:rsid w:val="00C22A25"/>
    <w:rsid w:val="00C302EB"/>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E50"/>
    <w:rsid w:val="00CF0F57"/>
    <w:rsid w:val="00CF1AF7"/>
    <w:rsid w:val="00CF2819"/>
    <w:rsid w:val="00CF4F9D"/>
    <w:rsid w:val="00CF70DC"/>
    <w:rsid w:val="00D02670"/>
    <w:rsid w:val="00D148DC"/>
    <w:rsid w:val="00D17FDC"/>
    <w:rsid w:val="00D21F62"/>
    <w:rsid w:val="00D24871"/>
    <w:rsid w:val="00D26E26"/>
    <w:rsid w:val="00D3628C"/>
    <w:rsid w:val="00D509A5"/>
    <w:rsid w:val="00D566DB"/>
    <w:rsid w:val="00D56B4E"/>
    <w:rsid w:val="00D608A4"/>
    <w:rsid w:val="00D60E46"/>
    <w:rsid w:val="00D63EFD"/>
    <w:rsid w:val="00D651FD"/>
    <w:rsid w:val="00D66F96"/>
    <w:rsid w:val="00D72770"/>
    <w:rsid w:val="00D75351"/>
    <w:rsid w:val="00D75B37"/>
    <w:rsid w:val="00D84752"/>
    <w:rsid w:val="00D86B3B"/>
    <w:rsid w:val="00D8748A"/>
    <w:rsid w:val="00D9187D"/>
    <w:rsid w:val="00D93196"/>
    <w:rsid w:val="00D95496"/>
    <w:rsid w:val="00DA0DC0"/>
    <w:rsid w:val="00DB05FF"/>
    <w:rsid w:val="00DB1D76"/>
    <w:rsid w:val="00DB243C"/>
    <w:rsid w:val="00DB482A"/>
    <w:rsid w:val="00DB56F2"/>
    <w:rsid w:val="00DB6EF5"/>
    <w:rsid w:val="00DC3089"/>
    <w:rsid w:val="00DC4420"/>
    <w:rsid w:val="00DD0802"/>
    <w:rsid w:val="00DD1686"/>
    <w:rsid w:val="00DD2E11"/>
    <w:rsid w:val="00DD47EF"/>
    <w:rsid w:val="00DE03AF"/>
    <w:rsid w:val="00DE0754"/>
    <w:rsid w:val="00DE121C"/>
    <w:rsid w:val="00DE6633"/>
    <w:rsid w:val="00DF0864"/>
    <w:rsid w:val="00DF75F8"/>
    <w:rsid w:val="00DF7A3A"/>
    <w:rsid w:val="00E00C00"/>
    <w:rsid w:val="00E03AF0"/>
    <w:rsid w:val="00E0676E"/>
    <w:rsid w:val="00E07C5A"/>
    <w:rsid w:val="00E15BA9"/>
    <w:rsid w:val="00E26E19"/>
    <w:rsid w:val="00E30C8A"/>
    <w:rsid w:val="00E31DF3"/>
    <w:rsid w:val="00E450A4"/>
    <w:rsid w:val="00E506BE"/>
    <w:rsid w:val="00E55547"/>
    <w:rsid w:val="00E604A1"/>
    <w:rsid w:val="00E6302B"/>
    <w:rsid w:val="00E6452F"/>
    <w:rsid w:val="00E64F45"/>
    <w:rsid w:val="00E6742D"/>
    <w:rsid w:val="00E70FA4"/>
    <w:rsid w:val="00E71CB0"/>
    <w:rsid w:val="00E77C3D"/>
    <w:rsid w:val="00E81160"/>
    <w:rsid w:val="00E83CE8"/>
    <w:rsid w:val="00E90991"/>
    <w:rsid w:val="00E909F0"/>
    <w:rsid w:val="00E90D47"/>
    <w:rsid w:val="00E93993"/>
    <w:rsid w:val="00E9597C"/>
    <w:rsid w:val="00EA0913"/>
    <w:rsid w:val="00EA14EE"/>
    <w:rsid w:val="00EA5B00"/>
    <w:rsid w:val="00EB146B"/>
    <w:rsid w:val="00EB45AC"/>
    <w:rsid w:val="00EB5CA4"/>
    <w:rsid w:val="00EC00F9"/>
    <w:rsid w:val="00EC0181"/>
    <w:rsid w:val="00EC242E"/>
    <w:rsid w:val="00ED0BC4"/>
    <w:rsid w:val="00ED20E8"/>
    <w:rsid w:val="00ED472A"/>
    <w:rsid w:val="00ED54B6"/>
    <w:rsid w:val="00ED5F37"/>
    <w:rsid w:val="00EE4971"/>
    <w:rsid w:val="00EF090E"/>
    <w:rsid w:val="00F033DA"/>
    <w:rsid w:val="00F13FB1"/>
    <w:rsid w:val="00F27CD8"/>
    <w:rsid w:val="00F30351"/>
    <w:rsid w:val="00F3323E"/>
    <w:rsid w:val="00F341F4"/>
    <w:rsid w:val="00F34F9D"/>
    <w:rsid w:val="00F3562C"/>
    <w:rsid w:val="00F35CCE"/>
    <w:rsid w:val="00F51441"/>
    <w:rsid w:val="00F5524B"/>
    <w:rsid w:val="00F57C8E"/>
    <w:rsid w:val="00F60538"/>
    <w:rsid w:val="00F60B34"/>
    <w:rsid w:val="00F61DD2"/>
    <w:rsid w:val="00F66AFF"/>
    <w:rsid w:val="00F71433"/>
    <w:rsid w:val="00F746D8"/>
    <w:rsid w:val="00F76CD4"/>
    <w:rsid w:val="00F814B4"/>
    <w:rsid w:val="00F83464"/>
    <w:rsid w:val="00F84F29"/>
    <w:rsid w:val="00F93BE7"/>
    <w:rsid w:val="00F97C5B"/>
    <w:rsid w:val="00FA3D50"/>
    <w:rsid w:val="00FB50CD"/>
    <w:rsid w:val="00FB6122"/>
    <w:rsid w:val="00FB7FBD"/>
    <w:rsid w:val="00FC235E"/>
    <w:rsid w:val="00FC36AD"/>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MenoPendente">
    <w:name w:val="Unresolved Mention"/>
    <w:basedOn w:val="Fontepargpadro"/>
    <w:uiPriority w:val="99"/>
    <w:semiHidden/>
    <w:unhideWhenUsed/>
    <w:rsid w:val="00507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62009CJ0396_SUM&amp;from=FR" TargetMode="External"/><Relationship Id="rId2" Type="http://schemas.openxmlformats.org/officeDocument/2006/relationships/hyperlink" Target="https://eur-lex.europa.eu/legal-content/EN/TXT/?uri=CELEX%3A62004CJ0341" TargetMode="External"/><Relationship Id="rId1" Type="http://schemas.openxmlformats.org/officeDocument/2006/relationships/hyperlink" Target="https://www.google.com/search?q=main+elements+identified+during+the+reform+process+of+the+eir+2000+by+the+european+commission+as+needing+revision+within+the+framework+of+the+regulation&amp;rlz=1C5CHFA_enIT1020IT1020&amp;oq=&amp;gs_lcrp=EgZjaHJvbWUqCQgBECMYJxjqAjIJCAAQIxgnGOoCMgkIARAjGCcY6gIyCQgCECMYJxjqAjIJCAMQIxgnGOoCMgkIBBAjGCcY6gIyCQgFECMYJxjqAjIJCAYQIxgnGOoCMgkIBxAjGCcY6gLSAQo2MjU1MzBqMGo3qAIIsAIB&amp;sourceid=chrome&amp;ie=UTF-8" TargetMode="External"/><Relationship Id="rId5" Type="http://schemas.openxmlformats.org/officeDocument/2006/relationships/hyperlink" Target="https://eur-lex.europa.eu/legal-content/EN/TXT/?uri=CELEX%3A62011CJ0116" TargetMode="External"/><Relationship Id="rId4" Type="http://schemas.openxmlformats.org/officeDocument/2006/relationships/hyperlink" Target="https://eur-lex.europa.eu/legal-content/EN/TXT/PDF/?uri=CELEX:62009CJ0396_SUM&amp;fr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15</Pages>
  <Words>5192</Words>
  <Characters>28042</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Carolina Silveira Beraldo</cp:lastModifiedBy>
  <cp:revision>8</cp:revision>
  <cp:lastPrinted>2019-08-27T05:42:00Z</cp:lastPrinted>
  <dcterms:created xsi:type="dcterms:W3CDTF">2024-02-10T20:35:00Z</dcterms:created>
  <dcterms:modified xsi:type="dcterms:W3CDTF">2024-02-29T12:32:00Z</dcterms:modified>
</cp:coreProperties>
</file>