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bookmarkStart w:id="0" w:name="_GoBack"/>
      <w:bookmarkEnd w:id="0"/>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A77E49">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A77E49">
      <w:pPr>
        <w:pStyle w:val="ListParagraph"/>
        <w:numPr>
          <w:ilvl w:val="0"/>
          <w:numId w:val="1"/>
        </w:numPr>
        <w:ind w:left="426" w:hanging="426"/>
        <w:jc w:val="both"/>
        <w:rPr>
          <w:rFonts w:ascii="Avenir Next" w:hAnsi="Avenir Next" w:cs="Arial"/>
          <w:sz w:val="22"/>
          <w:szCs w:val="22"/>
          <w:lang w:val="en-GB"/>
        </w:rPr>
      </w:pPr>
      <w:r w:rsidRPr="003867B3">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A77E49">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3867B3" w:rsidRDefault="00AD0E59" w:rsidP="00A77E49">
      <w:pPr>
        <w:pStyle w:val="ListParagraph"/>
        <w:numPr>
          <w:ilvl w:val="0"/>
          <w:numId w:val="11"/>
        </w:numPr>
        <w:ind w:left="426" w:hanging="426"/>
        <w:rPr>
          <w:rFonts w:ascii="Avenir Next" w:hAnsi="Avenir Next"/>
          <w:sz w:val="22"/>
          <w:szCs w:val="28"/>
        </w:rPr>
      </w:pPr>
      <w:r w:rsidRPr="003867B3">
        <w:rPr>
          <w:rFonts w:ascii="Avenir Next" w:hAnsi="Avenir Next"/>
          <w:sz w:val="22"/>
          <w:szCs w:val="28"/>
        </w:rPr>
        <w:t>Rise of corporations.</w:t>
      </w:r>
    </w:p>
    <w:p w14:paraId="3E790C4C" w14:textId="77777777" w:rsidR="00AD0E59" w:rsidRPr="003867B3" w:rsidRDefault="00AD0E59" w:rsidP="00AD0E59">
      <w:pPr>
        <w:pStyle w:val="ListParagraph"/>
        <w:ind w:left="426" w:hanging="426"/>
        <w:rPr>
          <w:rFonts w:ascii="Avenir Next" w:hAnsi="Avenir Next"/>
          <w:sz w:val="22"/>
          <w:szCs w:val="28"/>
        </w:rPr>
      </w:pPr>
    </w:p>
    <w:p w14:paraId="44D98AEA" w14:textId="77777777" w:rsidR="00AD0E59" w:rsidRPr="003867B3" w:rsidRDefault="00AD0E59" w:rsidP="00A77E49">
      <w:pPr>
        <w:pStyle w:val="ListParagraph"/>
        <w:numPr>
          <w:ilvl w:val="0"/>
          <w:numId w:val="11"/>
        </w:numPr>
        <w:ind w:left="426" w:hanging="426"/>
        <w:rPr>
          <w:rFonts w:ascii="Avenir Next" w:hAnsi="Avenir Next"/>
          <w:sz w:val="22"/>
          <w:szCs w:val="28"/>
        </w:rPr>
      </w:pPr>
      <w:r w:rsidRPr="003867B3">
        <w:rPr>
          <w:rFonts w:ascii="Avenir Next" w:hAnsi="Avenir Next"/>
          <w:sz w:val="22"/>
          <w:szCs w:val="28"/>
        </w:rPr>
        <w:t>Internationalisation.</w:t>
      </w:r>
    </w:p>
    <w:p w14:paraId="68B2FB89" w14:textId="77777777" w:rsidR="00AD0E59" w:rsidRPr="003867B3" w:rsidRDefault="00AD0E59" w:rsidP="00AD0E59">
      <w:pPr>
        <w:ind w:left="426" w:hanging="426"/>
        <w:rPr>
          <w:rFonts w:ascii="Avenir Next" w:hAnsi="Avenir Next"/>
          <w:sz w:val="22"/>
          <w:szCs w:val="28"/>
        </w:rPr>
      </w:pPr>
    </w:p>
    <w:p w14:paraId="3568B061" w14:textId="0AA438B4" w:rsidR="00AD0E59" w:rsidRPr="003867B3" w:rsidRDefault="00AD0E59" w:rsidP="00A77E49">
      <w:pPr>
        <w:pStyle w:val="ListParagraph"/>
        <w:numPr>
          <w:ilvl w:val="0"/>
          <w:numId w:val="11"/>
        </w:numPr>
        <w:ind w:left="426" w:hanging="426"/>
        <w:rPr>
          <w:rFonts w:ascii="Avenir Next" w:hAnsi="Avenir Next"/>
          <w:sz w:val="22"/>
          <w:szCs w:val="28"/>
        </w:rPr>
      </w:pPr>
      <w:r w:rsidRPr="003867B3">
        <w:rPr>
          <w:rFonts w:ascii="Avenir Next" w:hAnsi="Avenir Next"/>
          <w:sz w:val="22"/>
          <w:szCs w:val="28"/>
        </w:rPr>
        <w:t>Globali</w:t>
      </w:r>
      <w:r w:rsidR="00B66441" w:rsidRPr="003867B3">
        <w:rPr>
          <w:rFonts w:ascii="Avenir Next" w:hAnsi="Avenir Next"/>
          <w:sz w:val="22"/>
          <w:szCs w:val="28"/>
        </w:rPr>
        <w:t>z</w:t>
      </w:r>
      <w:r w:rsidRPr="003867B3">
        <w:rPr>
          <w:rFonts w:ascii="Avenir Next" w:hAnsi="Avenir Next"/>
          <w:sz w:val="22"/>
          <w:szCs w:val="28"/>
        </w:rPr>
        <w:t>ation.</w:t>
      </w:r>
    </w:p>
    <w:p w14:paraId="0C434B83" w14:textId="77777777" w:rsidR="00AD0E59" w:rsidRPr="003867B3" w:rsidRDefault="00AD0E59" w:rsidP="00AD0E59">
      <w:pPr>
        <w:ind w:left="426" w:hanging="426"/>
        <w:rPr>
          <w:rFonts w:ascii="Avenir Next" w:hAnsi="Avenir Next"/>
          <w:sz w:val="22"/>
          <w:szCs w:val="28"/>
        </w:rPr>
      </w:pPr>
    </w:p>
    <w:p w14:paraId="0CB4A501" w14:textId="77777777" w:rsidR="00AD0E59" w:rsidRPr="003867B3" w:rsidRDefault="00AD0E59" w:rsidP="00A77E49">
      <w:pPr>
        <w:pStyle w:val="ListParagraph"/>
        <w:numPr>
          <w:ilvl w:val="0"/>
          <w:numId w:val="11"/>
        </w:numPr>
        <w:ind w:left="426" w:hanging="426"/>
        <w:rPr>
          <w:rFonts w:ascii="Avenir Next" w:hAnsi="Avenir Next"/>
          <w:sz w:val="22"/>
          <w:szCs w:val="28"/>
        </w:rPr>
      </w:pPr>
      <w:r w:rsidRPr="003867B3">
        <w:rPr>
          <w:rFonts w:ascii="Avenir Next" w:hAnsi="Avenir Next"/>
          <w:sz w:val="22"/>
          <w:szCs w:val="28"/>
        </w:rPr>
        <w:t>Universalism.</w:t>
      </w:r>
    </w:p>
    <w:p w14:paraId="092AC4A0" w14:textId="77777777" w:rsidR="00AD0E59" w:rsidRPr="003867B3" w:rsidRDefault="00AD0E59" w:rsidP="00AD0E59">
      <w:pPr>
        <w:ind w:left="426" w:hanging="426"/>
        <w:rPr>
          <w:rFonts w:ascii="Avenir Next" w:hAnsi="Avenir Next"/>
          <w:sz w:val="22"/>
          <w:szCs w:val="28"/>
        </w:rPr>
      </w:pPr>
    </w:p>
    <w:p w14:paraId="48C5D683" w14:textId="77777777" w:rsidR="00AD0E59" w:rsidRPr="003867B3" w:rsidRDefault="00AD0E59" w:rsidP="00A77E49">
      <w:pPr>
        <w:pStyle w:val="ListParagraph"/>
        <w:numPr>
          <w:ilvl w:val="0"/>
          <w:numId w:val="11"/>
        </w:numPr>
        <w:ind w:left="426" w:hanging="426"/>
        <w:rPr>
          <w:rFonts w:ascii="Avenir Next" w:hAnsi="Avenir Next"/>
          <w:sz w:val="22"/>
          <w:szCs w:val="28"/>
        </w:rPr>
      </w:pPr>
      <w:r w:rsidRPr="003867B3">
        <w:rPr>
          <w:rFonts w:ascii="Avenir Next" w:hAnsi="Avenir Next"/>
          <w:sz w:val="22"/>
          <w:szCs w:val="28"/>
        </w:rPr>
        <w:t>Territorialism.</w:t>
      </w:r>
    </w:p>
    <w:p w14:paraId="68C335C1" w14:textId="77777777" w:rsidR="00AD0E59" w:rsidRPr="003867B3" w:rsidRDefault="00AD0E59" w:rsidP="00AD0E59">
      <w:pPr>
        <w:ind w:left="426" w:hanging="426"/>
        <w:rPr>
          <w:rFonts w:ascii="Avenir Next" w:hAnsi="Avenir Next"/>
          <w:sz w:val="22"/>
          <w:szCs w:val="28"/>
        </w:rPr>
      </w:pPr>
    </w:p>
    <w:p w14:paraId="23F228F9" w14:textId="77777777" w:rsidR="00AD0E59" w:rsidRPr="003867B3" w:rsidRDefault="00AD0E59" w:rsidP="00A77E49">
      <w:pPr>
        <w:pStyle w:val="ListParagraph"/>
        <w:numPr>
          <w:ilvl w:val="0"/>
          <w:numId w:val="11"/>
        </w:numPr>
        <w:ind w:left="426" w:hanging="426"/>
        <w:rPr>
          <w:rFonts w:ascii="Avenir Next" w:hAnsi="Avenir Next"/>
          <w:sz w:val="22"/>
          <w:szCs w:val="28"/>
        </w:rPr>
      </w:pPr>
      <w:r w:rsidRPr="003867B3">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77E49">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77E49">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3867B3" w:rsidRDefault="00AD0E59" w:rsidP="00A77E49">
      <w:pPr>
        <w:pStyle w:val="ListParagraph"/>
        <w:numPr>
          <w:ilvl w:val="0"/>
          <w:numId w:val="10"/>
        </w:numPr>
        <w:ind w:left="426" w:hanging="426"/>
        <w:jc w:val="both"/>
        <w:rPr>
          <w:rFonts w:ascii="Avenir Next" w:hAnsi="Avenir Next" w:cs="Arial"/>
          <w:sz w:val="22"/>
          <w:szCs w:val="22"/>
          <w:lang w:val="en-GB"/>
        </w:rPr>
      </w:pPr>
      <w:r w:rsidRPr="003867B3">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3867B3" w:rsidRDefault="00AD0E59" w:rsidP="00A77E49">
      <w:pPr>
        <w:pStyle w:val="ListParagraph"/>
        <w:numPr>
          <w:ilvl w:val="0"/>
          <w:numId w:val="10"/>
        </w:numPr>
        <w:ind w:left="426" w:hanging="426"/>
        <w:jc w:val="both"/>
        <w:rPr>
          <w:rFonts w:ascii="Avenir Next" w:hAnsi="Avenir Next" w:cs="Arial"/>
          <w:sz w:val="22"/>
          <w:szCs w:val="22"/>
          <w:highlight w:val="yellow"/>
          <w:lang w:val="en-GB"/>
        </w:rPr>
      </w:pPr>
      <w:r w:rsidRPr="003867B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3867B3" w:rsidRDefault="00893A03" w:rsidP="00A77E49">
      <w:pPr>
        <w:pStyle w:val="ListParagraph"/>
        <w:numPr>
          <w:ilvl w:val="0"/>
          <w:numId w:val="12"/>
        </w:numPr>
        <w:ind w:left="426" w:hanging="426"/>
        <w:jc w:val="both"/>
        <w:rPr>
          <w:rFonts w:ascii="Avenir Next" w:hAnsi="Avenir Next"/>
          <w:sz w:val="22"/>
          <w:szCs w:val="28"/>
        </w:rPr>
      </w:pPr>
      <w:r w:rsidRPr="003867B3">
        <w:rPr>
          <w:rFonts w:ascii="Avenir Next" w:hAnsi="Avenir Next"/>
          <w:sz w:val="22"/>
          <w:szCs w:val="28"/>
        </w:rPr>
        <w:t>It is legislation that imposes a mandatory reciprocity on the participating members.</w:t>
      </w:r>
    </w:p>
    <w:p w14:paraId="0FE2C4BF" w14:textId="77777777" w:rsidR="00893A03" w:rsidRPr="003867B3" w:rsidRDefault="00893A03" w:rsidP="00893A03">
      <w:pPr>
        <w:pStyle w:val="ListParagraph"/>
        <w:ind w:left="426" w:hanging="426"/>
        <w:jc w:val="both"/>
        <w:rPr>
          <w:rFonts w:ascii="Avenir Next" w:hAnsi="Avenir Next"/>
          <w:sz w:val="22"/>
          <w:szCs w:val="28"/>
        </w:rPr>
      </w:pPr>
    </w:p>
    <w:p w14:paraId="09A2897D" w14:textId="77777777" w:rsidR="00893A03" w:rsidRPr="003867B3" w:rsidRDefault="00893A03" w:rsidP="00A77E49">
      <w:pPr>
        <w:pStyle w:val="ListParagraph"/>
        <w:numPr>
          <w:ilvl w:val="0"/>
          <w:numId w:val="12"/>
        </w:numPr>
        <w:ind w:left="426" w:hanging="426"/>
        <w:jc w:val="both"/>
        <w:rPr>
          <w:rFonts w:ascii="Avenir Next" w:hAnsi="Avenir Next"/>
          <w:sz w:val="22"/>
          <w:szCs w:val="28"/>
        </w:rPr>
      </w:pPr>
      <w:r w:rsidRPr="003867B3">
        <w:rPr>
          <w:rFonts w:ascii="Avenir Next" w:hAnsi="Avenir Next"/>
          <w:sz w:val="22"/>
          <w:szCs w:val="28"/>
        </w:rPr>
        <w:t>It is a legislative text that serves as a recommendation for incorporation in national laws.</w:t>
      </w:r>
    </w:p>
    <w:p w14:paraId="3B81396E" w14:textId="77777777" w:rsidR="00893A03" w:rsidRPr="003867B3" w:rsidRDefault="00893A03" w:rsidP="00893A03">
      <w:pPr>
        <w:ind w:left="426" w:hanging="426"/>
        <w:jc w:val="both"/>
        <w:rPr>
          <w:rFonts w:ascii="Avenir Next" w:hAnsi="Avenir Next"/>
          <w:sz w:val="22"/>
          <w:szCs w:val="28"/>
        </w:rPr>
      </w:pPr>
    </w:p>
    <w:p w14:paraId="67851391" w14:textId="77777777" w:rsidR="00893A03" w:rsidRPr="003867B3" w:rsidRDefault="00893A03" w:rsidP="00A77E49">
      <w:pPr>
        <w:pStyle w:val="ListParagraph"/>
        <w:numPr>
          <w:ilvl w:val="0"/>
          <w:numId w:val="12"/>
        </w:numPr>
        <w:ind w:left="426" w:hanging="426"/>
        <w:jc w:val="both"/>
        <w:rPr>
          <w:rFonts w:ascii="Avenir Next" w:hAnsi="Avenir Next"/>
          <w:sz w:val="22"/>
          <w:szCs w:val="28"/>
        </w:rPr>
      </w:pPr>
      <w:r w:rsidRPr="003867B3">
        <w:rPr>
          <w:rFonts w:ascii="Avenir Next" w:hAnsi="Avenir Next"/>
          <w:sz w:val="22"/>
          <w:szCs w:val="28"/>
        </w:rPr>
        <w:t>It is intended to substantively unify the insolvency laws of the foreign nations.</w:t>
      </w:r>
    </w:p>
    <w:p w14:paraId="774C7D03" w14:textId="77777777" w:rsidR="00893A03" w:rsidRPr="003867B3" w:rsidRDefault="00893A03" w:rsidP="00893A03">
      <w:pPr>
        <w:ind w:left="426" w:hanging="426"/>
        <w:jc w:val="both"/>
        <w:rPr>
          <w:rFonts w:ascii="Avenir Next" w:hAnsi="Avenir Next"/>
          <w:sz w:val="22"/>
          <w:szCs w:val="28"/>
        </w:rPr>
      </w:pPr>
    </w:p>
    <w:p w14:paraId="4C64C60A" w14:textId="77777777" w:rsidR="00893A03" w:rsidRPr="003867B3" w:rsidRDefault="00893A03" w:rsidP="00A77E49">
      <w:pPr>
        <w:pStyle w:val="ListParagraph"/>
        <w:numPr>
          <w:ilvl w:val="0"/>
          <w:numId w:val="12"/>
        </w:numPr>
        <w:ind w:left="426" w:hanging="426"/>
        <w:jc w:val="both"/>
        <w:rPr>
          <w:rFonts w:ascii="Avenir Next" w:hAnsi="Avenir Next"/>
          <w:sz w:val="22"/>
          <w:szCs w:val="28"/>
        </w:rPr>
      </w:pPr>
      <w:r w:rsidRPr="003867B3">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A77E4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A77E4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3867B3" w:rsidRDefault="00893A03" w:rsidP="00A77E49">
      <w:pPr>
        <w:pStyle w:val="ListParagraph"/>
        <w:numPr>
          <w:ilvl w:val="0"/>
          <w:numId w:val="2"/>
        </w:numPr>
        <w:ind w:left="426" w:hanging="426"/>
        <w:jc w:val="both"/>
        <w:rPr>
          <w:rFonts w:ascii="Avenir Next" w:hAnsi="Avenir Next" w:cs="Arial"/>
          <w:sz w:val="22"/>
          <w:szCs w:val="22"/>
          <w:highlight w:val="yellow"/>
          <w:lang w:val="en-GB"/>
        </w:rPr>
      </w:pPr>
      <w:r w:rsidRPr="003867B3">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A77E49">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3867B3" w:rsidRDefault="00812AFE" w:rsidP="00A77E49">
      <w:pPr>
        <w:pStyle w:val="ListParagraph"/>
        <w:numPr>
          <w:ilvl w:val="0"/>
          <w:numId w:val="13"/>
        </w:numPr>
        <w:ind w:left="426" w:hanging="426"/>
        <w:jc w:val="both"/>
        <w:rPr>
          <w:rFonts w:ascii="Avenir Next" w:hAnsi="Avenir Next"/>
          <w:sz w:val="22"/>
          <w:szCs w:val="32"/>
        </w:rPr>
      </w:pPr>
      <w:r w:rsidRPr="003867B3">
        <w:rPr>
          <w:rFonts w:ascii="Avenir Next" w:hAnsi="Avenir Next"/>
          <w:sz w:val="22"/>
          <w:szCs w:val="32"/>
        </w:rPr>
        <w:t>To provide greater legal certainty for trade and investment.</w:t>
      </w:r>
    </w:p>
    <w:p w14:paraId="6108D362" w14:textId="77777777" w:rsidR="00812AFE" w:rsidRPr="003867B3" w:rsidRDefault="00812AFE" w:rsidP="00C00111">
      <w:pPr>
        <w:pStyle w:val="ListParagraph"/>
        <w:ind w:left="426" w:hanging="426"/>
        <w:jc w:val="both"/>
        <w:rPr>
          <w:rFonts w:ascii="Avenir Next" w:hAnsi="Avenir Next"/>
          <w:sz w:val="22"/>
          <w:szCs w:val="32"/>
        </w:rPr>
      </w:pPr>
    </w:p>
    <w:p w14:paraId="2AA2541C" w14:textId="3C7E8949" w:rsidR="00812AFE" w:rsidRPr="003867B3" w:rsidRDefault="00812AFE" w:rsidP="00A77E49">
      <w:pPr>
        <w:pStyle w:val="ListParagraph"/>
        <w:numPr>
          <w:ilvl w:val="0"/>
          <w:numId w:val="13"/>
        </w:numPr>
        <w:ind w:left="426" w:hanging="426"/>
        <w:jc w:val="both"/>
        <w:rPr>
          <w:rFonts w:ascii="Avenir Next" w:hAnsi="Avenir Next"/>
          <w:sz w:val="22"/>
          <w:szCs w:val="32"/>
        </w:rPr>
      </w:pPr>
      <w:r w:rsidRPr="003867B3">
        <w:rPr>
          <w:rFonts w:ascii="Avenir Next" w:hAnsi="Avenir Next"/>
          <w:sz w:val="22"/>
          <w:szCs w:val="32"/>
        </w:rPr>
        <w:t>To provide protection and maximi</w:t>
      </w:r>
      <w:r w:rsidR="00B66441" w:rsidRPr="003867B3">
        <w:rPr>
          <w:rFonts w:ascii="Avenir Next" w:hAnsi="Avenir Next"/>
          <w:sz w:val="22"/>
          <w:szCs w:val="32"/>
        </w:rPr>
        <w:t>z</w:t>
      </w:r>
      <w:r w:rsidRPr="003867B3">
        <w:rPr>
          <w:rFonts w:ascii="Avenir Next" w:hAnsi="Avenir Next"/>
          <w:sz w:val="22"/>
          <w:szCs w:val="32"/>
        </w:rPr>
        <w:t>ation of value of the debtor’s assets.</w:t>
      </w:r>
    </w:p>
    <w:p w14:paraId="3081732A" w14:textId="77777777" w:rsidR="00812AFE" w:rsidRPr="003867B3" w:rsidRDefault="00812AFE" w:rsidP="00C00111">
      <w:pPr>
        <w:ind w:left="426" w:hanging="426"/>
        <w:jc w:val="both"/>
        <w:rPr>
          <w:rFonts w:ascii="Avenir Next" w:hAnsi="Avenir Next"/>
          <w:sz w:val="22"/>
          <w:szCs w:val="32"/>
        </w:rPr>
      </w:pPr>
    </w:p>
    <w:p w14:paraId="712BE68D" w14:textId="77777777" w:rsidR="00812AFE" w:rsidRPr="003867B3" w:rsidRDefault="00812AFE" w:rsidP="00A77E49">
      <w:pPr>
        <w:pStyle w:val="ListParagraph"/>
        <w:numPr>
          <w:ilvl w:val="0"/>
          <w:numId w:val="13"/>
        </w:numPr>
        <w:ind w:left="426" w:hanging="426"/>
        <w:jc w:val="both"/>
        <w:rPr>
          <w:rFonts w:ascii="Avenir Next" w:hAnsi="Avenir Next"/>
          <w:sz w:val="22"/>
          <w:szCs w:val="32"/>
        </w:rPr>
      </w:pPr>
      <w:r w:rsidRPr="003867B3">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3867B3" w:rsidRDefault="00812AFE" w:rsidP="00C00111">
      <w:pPr>
        <w:ind w:left="426" w:hanging="426"/>
        <w:jc w:val="both"/>
        <w:rPr>
          <w:rFonts w:ascii="Avenir Next" w:hAnsi="Avenir Next"/>
          <w:sz w:val="22"/>
          <w:szCs w:val="32"/>
        </w:rPr>
      </w:pPr>
    </w:p>
    <w:p w14:paraId="61EBC598" w14:textId="77777777" w:rsidR="00812AFE" w:rsidRPr="003867B3" w:rsidRDefault="00812AFE" w:rsidP="00A77E49">
      <w:pPr>
        <w:pStyle w:val="ListParagraph"/>
        <w:numPr>
          <w:ilvl w:val="0"/>
          <w:numId w:val="13"/>
        </w:numPr>
        <w:ind w:left="426" w:hanging="426"/>
        <w:jc w:val="both"/>
        <w:rPr>
          <w:rFonts w:ascii="Avenir Next" w:hAnsi="Avenir Next"/>
          <w:sz w:val="22"/>
          <w:szCs w:val="32"/>
        </w:rPr>
      </w:pPr>
      <w:r w:rsidRPr="003867B3">
        <w:rPr>
          <w:rFonts w:ascii="Avenir Next" w:hAnsi="Avenir Next"/>
          <w:sz w:val="22"/>
          <w:szCs w:val="32"/>
        </w:rPr>
        <w:t>To facilitate the rescue of financial troubled businesses.</w:t>
      </w:r>
    </w:p>
    <w:p w14:paraId="2D083116" w14:textId="77777777" w:rsidR="00812AFE" w:rsidRPr="003867B3" w:rsidRDefault="00812AFE" w:rsidP="00C00111">
      <w:pPr>
        <w:ind w:left="426" w:hanging="426"/>
        <w:jc w:val="both"/>
        <w:rPr>
          <w:rFonts w:ascii="Avenir Next" w:hAnsi="Avenir Next"/>
          <w:sz w:val="22"/>
          <w:szCs w:val="32"/>
        </w:rPr>
      </w:pPr>
    </w:p>
    <w:p w14:paraId="2E4FDCCE" w14:textId="77777777" w:rsidR="00812AFE" w:rsidRPr="003867B3" w:rsidRDefault="00812AFE" w:rsidP="00A77E49">
      <w:pPr>
        <w:pStyle w:val="ListParagraph"/>
        <w:numPr>
          <w:ilvl w:val="0"/>
          <w:numId w:val="13"/>
        </w:numPr>
        <w:ind w:left="426" w:hanging="426"/>
        <w:jc w:val="both"/>
        <w:rPr>
          <w:rFonts w:ascii="Avenir Next" w:hAnsi="Avenir Next"/>
          <w:sz w:val="22"/>
          <w:szCs w:val="32"/>
        </w:rPr>
      </w:pPr>
      <w:r w:rsidRPr="003867B3">
        <w:rPr>
          <w:rFonts w:ascii="Avenir Next" w:hAnsi="Avenir Next"/>
          <w:sz w:val="22"/>
          <w:szCs w:val="32"/>
        </w:rPr>
        <w:t>To ensure substantive unification of insolvency laws of member-states.</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3867B3" w:rsidRDefault="00812AFE" w:rsidP="00A77E49">
      <w:pPr>
        <w:pStyle w:val="ListParagraph"/>
        <w:numPr>
          <w:ilvl w:val="0"/>
          <w:numId w:val="3"/>
        </w:numPr>
        <w:ind w:left="426" w:hanging="426"/>
        <w:jc w:val="both"/>
        <w:rPr>
          <w:rFonts w:ascii="Avenir Next" w:hAnsi="Avenir Next" w:cs="Arial"/>
          <w:sz w:val="22"/>
          <w:szCs w:val="22"/>
          <w:highlight w:val="yellow"/>
          <w:lang w:val="en-GB"/>
        </w:rPr>
      </w:pPr>
      <w:r w:rsidRPr="003867B3">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A77E4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A77E4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A77E49">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7795">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912C1B" w:rsidRDefault="003220BA" w:rsidP="00A77E49">
      <w:pPr>
        <w:pStyle w:val="ListParagraph"/>
        <w:numPr>
          <w:ilvl w:val="0"/>
          <w:numId w:val="14"/>
        </w:numPr>
        <w:ind w:left="426" w:hanging="426"/>
        <w:jc w:val="both"/>
        <w:rPr>
          <w:rFonts w:ascii="Avenir Next" w:hAnsi="Avenir Next"/>
          <w:sz w:val="22"/>
          <w:szCs w:val="28"/>
        </w:rPr>
      </w:pPr>
      <w:r w:rsidRPr="00912C1B">
        <w:rPr>
          <w:rFonts w:ascii="Avenir Next" w:hAnsi="Avenir Next"/>
          <w:sz w:val="22"/>
          <w:szCs w:val="28"/>
        </w:rPr>
        <w:lastRenderedPageBreak/>
        <w:t xml:space="preserve">An insolvency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A77E4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A77E4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A77E4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A77E49">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912C1B" w:rsidRDefault="003220BA" w:rsidP="00A77E49">
      <w:pPr>
        <w:pStyle w:val="ListParagraph"/>
        <w:numPr>
          <w:ilvl w:val="0"/>
          <w:numId w:val="4"/>
        </w:numPr>
        <w:ind w:left="426" w:hanging="426"/>
        <w:jc w:val="both"/>
        <w:rPr>
          <w:rFonts w:ascii="Avenir Next" w:hAnsi="Avenir Next" w:cs="Arial"/>
          <w:sz w:val="22"/>
          <w:szCs w:val="22"/>
          <w:highlight w:val="yellow"/>
          <w:lang w:val="en-GB"/>
        </w:rPr>
      </w:pPr>
      <w:r w:rsidRPr="00912C1B">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A77E49">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A77E49">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A77E49">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CE613D">
        <w:rPr>
          <w:rFonts w:ascii="Avenir Next Demi Bold" w:hAnsi="Avenir Next Demi Bold" w:cs="Arial"/>
          <w:b/>
          <w:bCs/>
          <w:sz w:val="22"/>
          <w:szCs w:val="22"/>
          <w:lang w:val="en-GB"/>
        </w:rPr>
        <w:t>Question 1.6</w:t>
      </w:r>
      <w:r w:rsidRPr="000D32A9">
        <w:rPr>
          <w:rFonts w:ascii="Avenir Next Demi Bold" w:hAnsi="Avenir Next Demi Bold" w:cs="Arial"/>
          <w:b/>
          <w:bCs/>
          <w:sz w:val="22"/>
          <w:szCs w:val="22"/>
          <w:lang w:val="en-GB"/>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A77E4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A77E49">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12C1B" w:rsidRDefault="009344C1" w:rsidP="00A77E49">
      <w:pPr>
        <w:pStyle w:val="ListParagraph"/>
        <w:numPr>
          <w:ilvl w:val="0"/>
          <w:numId w:val="5"/>
        </w:numPr>
        <w:ind w:left="426" w:hanging="426"/>
        <w:jc w:val="both"/>
        <w:rPr>
          <w:rFonts w:ascii="Avenir Next" w:hAnsi="Avenir Next" w:cs="Arial"/>
          <w:sz w:val="22"/>
          <w:szCs w:val="22"/>
          <w:highlight w:val="yellow"/>
          <w:lang w:val="en-GB"/>
        </w:rPr>
      </w:pPr>
      <w:r w:rsidRPr="00912C1B">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912C1B" w:rsidRDefault="009344C1" w:rsidP="00A77E49">
      <w:pPr>
        <w:pStyle w:val="ListParagraph"/>
        <w:numPr>
          <w:ilvl w:val="0"/>
          <w:numId w:val="5"/>
        </w:numPr>
        <w:ind w:left="426" w:hanging="426"/>
        <w:jc w:val="both"/>
        <w:rPr>
          <w:rFonts w:ascii="Avenir Next" w:hAnsi="Avenir Next" w:cs="Arial"/>
          <w:sz w:val="22"/>
          <w:szCs w:val="22"/>
          <w:lang w:val="en-GB"/>
        </w:rPr>
      </w:pPr>
      <w:r w:rsidRPr="00912C1B">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912C1B" w:rsidRDefault="009344C1" w:rsidP="00A77E49">
      <w:pPr>
        <w:pStyle w:val="ListParagraph"/>
        <w:numPr>
          <w:ilvl w:val="0"/>
          <w:numId w:val="5"/>
        </w:numPr>
        <w:ind w:left="426" w:hanging="426"/>
        <w:jc w:val="both"/>
        <w:rPr>
          <w:rFonts w:ascii="Avenir Next" w:hAnsi="Avenir Next" w:cs="Arial"/>
          <w:sz w:val="22"/>
          <w:szCs w:val="22"/>
          <w:lang w:val="en-GB"/>
        </w:rPr>
      </w:pPr>
      <w:r w:rsidRPr="00912C1B">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912C1B" w:rsidRDefault="00F51EE5" w:rsidP="00A77E49">
      <w:pPr>
        <w:pStyle w:val="ListParagraph"/>
        <w:numPr>
          <w:ilvl w:val="0"/>
          <w:numId w:val="15"/>
        </w:numPr>
        <w:ind w:left="426" w:hanging="426"/>
        <w:jc w:val="both"/>
        <w:rPr>
          <w:rFonts w:ascii="Avenir Next" w:hAnsi="Avenir Next"/>
          <w:sz w:val="22"/>
          <w:szCs w:val="28"/>
        </w:rPr>
      </w:pPr>
      <w:r w:rsidRPr="00912C1B">
        <w:rPr>
          <w:rFonts w:ascii="Avenir Next" w:hAnsi="Avenir Next"/>
          <w:sz w:val="22"/>
          <w:szCs w:val="28"/>
          <w:lang w:val="en-GB"/>
        </w:rPr>
        <w:t>The increased risk of fraud by concealing assets in foreign jurisdictions.</w:t>
      </w:r>
    </w:p>
    <w:p w14:paraId="5A4AD7B6" w14:textId="77777777" w:rsidR="00F51EE5" w:rsidRPr="00912C1B" w:rsidRDefault="00F51EE5" w:rsidP="00F51EE5">
      <w:pPr>
        <w:pStyle w:val="ListParagraph"/>
        <w:ind w:left="426"/>
        <w:jc w:val="both"/>
        <w:rPr>
          <w:rFonts w:ascii="Avenir Next" w:hAnsi="Avenir Next"/>
          <w:sz w:val="22"/>
          <w:szCs w:val="28"/>
        </w:rPr>
      </w:pPr>
    </w:p>
    <w:p w14:paraId="044236C4" w14:textId="77777777" w:rsidR="00F51EE5" w:rsidRPr="00912C1B" w:rsidRDefault="00F51EE5" w:rsidP="00A77E49">
      <w:pPr>
        <w:pStyle w:val="ListParagraph"/>
        <w:numPr>
          <w:ilvl w:val="0"/>
          <w:numId w:val="15"/>
        </w:numPr>
        <w:ind w:left="426" w:hanging="426"/>
        <w:jc w:val="both"/>
        <w:rPr>
          <w:rFonts w:ascii="Avenir Next" w:hAnsi="Avenir Next"/>
          <w:sz w:val="22"/>
          <w:szCs w:val="28"/>
        </w:rPr>
      </w:pPr>
      <w:r w:rsidRPr="00912C1B">
        <w:rPr>
          <w:rFonts w:ascii="Avenir Next" w:hAnsi="Avenir Next"/>
          <w:sz w:val="22"/>
          <w:szCs w:val="28"/>
          <w:lang w:val="en-GB"/>
        </w:rPr>
        <w:t>The difficulty of agreeing multilateral treaties dealing with insolvency law.</w:t>
      </w:r>
    </w:p>
    <w:p w14:paraId="7B3BA1EA" w14:textId="77777777" w:rsidR="00F51EE5" w:rsidRPr="00912C1B" w:rsidRDefault="00F51EE5" w:rsidP="00F51EE5">
      <w:pPr>
        <w:jc w:val="both"/>
        <w:rPr>
          <w:rFonts w:ascii="Avenir Next" w:hAnsi="Avenir Next"/>
          <w:sz w:val="22"/>
          <w:szCs w:val="28"/>
        </w:rPr>
      </w:pPr>
    </w:p>
    <w:p w14:paraId="39BF8E5C" w14:textId="77777777" w:rsidR="00F51EE5" w:rsidRPr="00912C1B" w:rsidRDefault="00F51EE5" w:rsidP="00A77E49">
      <w:pPr>
        <w:pStyle w:val="ListParagraph"/>
        <w:numPr>
          <w:ilvl w:val="0"/>
          <w:numId w:val="15"/>
        </w:numPr>
        <w:ind w:left="426" w:hanging="426"/>
        <w:jc w:val="both"/>
        <w:rPr>
          <w:rFonts w:ascii="Avenir Next" w:hAnsi="Avenir Next"/>
          <w:sz w:val="22"/>
          <w:szCs w:val="28"/>
        </w:rPr>
      </w:pPr>
      <w:r w:rsidRPr="00912C1B">
        <w:rPr>
          <w:rFonts w:ascii="Avenir Next" w:hAnsi="Avenir Next"/>
          <w:sz w:val="22"/>
          <w:szCs w:val="28"/>
          <w:lang w:val="en-GB"/>
        </w:rPr>
        <w:lastRenderedPageBreak/>
        <w:t>To eradicate the use of comity.</w:t>
      </w:r>
    </w:p>
    <w:p w14:paraId="04C53F1C" w14:textId="77777777" w:rsidR="00F51EE5" w:rsidRPr="00912C1B" w:rsidRDefault="00F51EE5" w:rsidP="00F51EE5">
      <w:pPr>
        <w:jc w:val="both"/>
        <w:rPr>
          <w:rFonts w:ascii="Avenir Next" w:hAnsi="Avenir Next"/>
          <w:sz w:val="22"/>
          <w:szCs w:val="28"/>
        </w:rPr>
      </w:pPr>
    </w:p>
    <w:p w14:paraId="1E12C6ED" w14:textId="77777777" w:rsidR="00F51EE5" w:rsidRPr="00912C1B" w:rsidRDefault="00F51EE5" w:rsidP="00A77E49">
      <w:pPr>
        <w:pStyle w:val="ListParagraph"/>
        <w:numPr>
          <w:ilvl w:val="0"/>
          <w:numId w:val="15"/>
        </w:numPr>
        <w:ind w:left="426" w:hanging="426"/>
        <w:jc w:val="both"/>
        <w:rPr>
          <w:rFonts w:ascii="Avenir Next" w:hAnsi="Avenir Next"/>
          <w:sz w:val="22"/>
          <w:szCs w:val="28"/>
        </w:rPr>
      </w:pPr>
      <w:r w:rsidRPr="00912C1B">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A77E49">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912C1B" w:rsidRDefault="00F51EE5" w:rsidP="00A77E49">
      <w:pPr>
        <w:pStyle w:val="ListParagraph"/>
        <w:numPr>
          <w:ilvl w:val="0"/>
          <w:numId w:val="6"/>
        </w:numPr>
        <w:ind w:left="426" w:hanging="426"/>
        <w:jc w:val="both"/>
        <w:rPr>
          <w:rFonts w:ascii="Avenir Next" w:hAnsi="Avenir Next" w:cs="Arial"/>
          <w:sz w:val="22"/>
          <w:szCs w:val="22"/>
          <w:highlight w:val="yellow"/>
          <w:lang w:val="en-GB"/>
        </w:rPr>
      </w:pPr>
      <w:r w:rsidRPr="00912C1B">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A77E49">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A77E49">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2C4C53" w:rsidRDefault="0097337E" w:rsidP="00A77E49">
      <w:pPr>
        <w:pStyle w:val="ListParagraph"/>
        <w:numPr>
          <w:ilvl w:val="0"/>
          <w:numId w:val="16"/>
        </w:numPr>
        <w:ind w:left="426" w:hanging="426"/>
        <w:rPr>
          <w:rFonts w:ascii="Avenir Next" w:hAnsi="Avenir Next"/>
          <w:sz w:val="22"/>
          <w:szCs w:val="28"/>
        </w:rPr>
      </w:pPr>
      <w:r w:rsidRPr="002C4C53">
        <w:rPr>
          <w:rFonts w:ascii="Avenir Next" w:hAnsi="Avenir Next"/>
          <w:sz w:val="22"/>
          <w:szCs w:val="28"/>
        </w:rPr>
        <w:t>COMI is a well-defined term in the MLCBI.</w:t>
      </w:r>
    </w:p>
    <w:p w14:paraId="6B23A10A" w14:textId="77777777" w:rsidR="0097337E" w:rsidRPr="002C4C53" w:rsidRDefault="0097337E" w:rsidP="0097337E">
      <w:pPr>
        <w:ind w:left="426" w:hanging="426"/>
        <w:rPr>
          <w:rFonts w:ascii="Avenir Next" w:hAnsi="Avenir Next"/>
          <w:sz w:val="22"/>
          <w:szCs w:val="28"/>
        </w:rPr>
      </w:pPr>
    </w:p>
    <w:p w14:paraId="50E5E1C9" w14:textId="77777777" w:rsidR="0097337E" w:rsidRPr="002C4C53" w:rsidRDefault="0097337E" w:rsidP="00A77E49">
      <w:pPr>
        <w:pStyle w:val="ListParagraph"/>
        <w:numPr>
          <w:ilvl w:val="0"/>
          <w:numId w:val="16"/>
        </w:numPr>
        <w:ind w:left="426" w:hanging="426"/>
        <w:rPr>
          <w:rFonts w:ascii="Avenir Next" w:hAnsi="Avenir Next"/>
          <w:sz w:val="22"/>
          <w:szCs w:val="28"/>
        </w:rPr>
      </w:pPr>
      <w:r w:rsidRPr="002C4C53">
        <w:rPr>
          <w:rFonts w:ascii="Avenir Next" w:hAnsi="Avenir Next"/>
          <w:sz w:val="22"/>
          <w:szCs w:val="28"/>
        </w:rPr>
        <w:t>COMI stands for comity.</w:t>
      </w:r>
    </w:p>
    <w:p w14:paraId="1E13BE41" w14:textId="77777777" w:rsidR="0097337E" w:rsidRPr="002C4C53" w:rsidRDefault="0097337E" w:rsidP="0097337E">
      <w:pPr>
        <w:ind w:left="426" w:hanging="426"/>
        <w:rPr>
          <w:rFonts w:ascii="Avenir Next" w:hAnsi="Avenir Next"/>
          <w:sz w:val="22"/>
          <w:szCs w:val="28"/>
        </w:rPr>
      </w:pPr>
    </w:p>
    <w:p w14:paraId="76767C1B" w14:textId="77777777" w:rsidR="0097337E" w:rsidRPr="002C4C53" w:rsidRDefault="0097337E" w:rsidP="00A77E49">
      <w:pPr>
        <w:pStyle w:val="ListParagraph"/>
        <w:numPr>
          <w:ilvl w:val="0"/>
          <w:numId w:val="16"/>
        </w:numPr>
        <w:ind w:left="426" w:hanging="426"/>
        <w:rPr>
          <w:rFonts w:ascii="Avenir Next" w:hAnsi="Avenir Next"/>
          <w:sz w:val="22"/>
          <w:szCs w:val="28"/>
        </w:rPr>
      </w:pPr>
      <w:r w:rsidRPr="002C4C53">
        <w:rPr>
          <w:rFonts w:ascii="Avenir Next" w:hAnsi="Avenir Next"/>
          <w:sz w:val="22"/>
          <w:szCs w:val="28"/>
        </w:rPr>
        <w:t>The debtor’s registered office is irrelevant for purposes of determining COMI.</w:t>
      </w:r>
    </w:p>
    <w:p w14:paraId="3A84165D" w14:textId="77777777" w:rsidR="0097337E" w:rsidRPr="002C4C53" w:rsidRDefault="0097337E" w:rsidP="0097337E">
      <w:pPr>
        <w:pStyle w:val="ListParagraph"/>
        <w:rPr>
          <w:rFonts w:ascii="Avenir Next" w:hAnsi="Avenir Next"/>
          <w:sz w:val="22"/>
          <w:szCs w:val="28"/>
        </w:rPr>
      </w:pPr>
    </w:p>
    <w:p w14:paraId="785ABFAE" w14:textId="77777777" w:rsidR="0097337E" w:rsidRPr="002C4C53" w:rsidRDefault="0097337E" w:rsidP="00A77E49">
      <w:pPr>
        <w:pStyle w:val="ListParagraph"/>
        <w:numPr>
          <w:ilvl w:val="0"/>
          <w:numId w:val="16"/>
        </w:numPr>
        <w:ind w:left="426" w:hanging="426"/>
        <w:rPr>
          <w:rFonts w:ascii="Avenir Next" w:hAnsi="Avenir Next"/>
          <w:sz w:val="22"/>
          <w:szCs w:val="28"/>
        </w:rPr>
      </w:pPr>
      <w:r w:rsidRPr="002C4C53">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CE613D" w:rsidRDefault="0097337E" w:rsidP="00A77E49">
      <w:pPr>
        <w:pStyle w:val="ListParagraph"/>
        <w:numPr>
          <w:ilvl w:val="0"/>
          <w:numId w:val="7"/>
        </w:numPr>
        <w:ind w:left="426" w:hanging="426"/>
        <w:jc w:val="both"/>
        <w:rPr>
          <w:rFonts w:ascii="Avenir Next" w:hAnsi="Avenir Next" w:cs="Arial"/>
          <w:sz w:val="22"/>
          <w:szCs w:val="22"/>
          <w:lang w:val="en-GB"/>
        </w:rPr>
      </w:pPr>
      <w:r w:rsidRPr="00CE613D">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A77E49">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CE613D" w:rsidRDefault="0097337E" w:rsidP="00A77E49">
      <w:pPr>
        <w:pStyle w:val="ListParagraph"/>
        <w:numPr>
          <w:ilvl w:val="0"/>
          <w:numId w:val="7"/>
        </w:numPr>
        <w:ind w:left="426" w:hanging="426"/>
        <w:jc w:val="both"/>
        <w:rPr>
          <w:rFonts w:ascii="Avenir Next" w:hAnsi="Avenir Next" w:cs="Arial"/>
          <w:sz w:val="22"/>
          <w:szCs w:val="22"/>
          <w:highlight w:val="yellow"/>
          <w:lang w:val="en-GB"/>
        </w:rPr>
      </w:pPr>
      <w:r w:rsidRPr="00CE613D">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A77E49">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A77E4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A77E4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A77E49">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A77E4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A77E4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42023" w:rsidRDefault="009A58D1" w:rsidP="00A77E49">
      <w:pPr>
        <w:pStyle w:val="ListParagraph"/>
        <w:numPr>
          <w:ilvl w:val="0"/>
          <w:numId w:val="8"/>
        </w:numPr>
        <w:ind w:left="426" w:hanging="426"/>
        <w:jc w:val="both"/>
        <w:rPr>
          <w:rFonts w:ascii="Avenir Next" w:hAnsi="Avenir Next" w:cs="Arial"/>
          <w:sz w:val="22"/>
          <w:szCs w:val="22"/>
          <w:highlight w:val="yellow"/>
          <w:lang w:val="en-GB"/>
        </w:rPr>
      </w:pPr>
      <w:r w:rsidRPr="00242023">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A77E49">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CE613D">
        <w:rPr>
          <w:rFonts w:ascii="Avenir Next Demi Bold" w:hAnsi="Avenir Next Demi Bold" w:cs="Arial"/>
          <w:b/>
          <w:bCs/>
          <w:sz w:val="22"/>
          <w:szCs w:val="22"/>
          <w:lang w:val="en-GB"/>
        </w:rPr>
        <w:t>Question 1.10</w:t>
      </w:r>
      <w:r w:rsidRPr="000D32A9">
        <w:rPr>
          <w:rFonts w:ascii="Avenir Next Demi Bold" w:hAnsi="Avenir Next Demi Bold" w:cs="Arial"/>
          <w:b/>
          <w:bCs/>
          <w:sz w:val="22"/>
          <w:szCs w:val="22"/>
          <w:lang w:val="en-GB"/>
        </w:rPr>
        <w:t xml:space="preserve">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A77E49">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E62FC4" w:rsidRDefault="00C4510C" w:rsidP="00A77E49">
      <w:pPr>
        <w:pStyle w:val="ListParagraph"/>
        <w:numPr>
          <w:ilvl w:val="0"/>
          <w:numId w:val="9"/>
        </w:numPr>
        <w:ind w:left="426" w:hanging="426"/>
        <w:jc w:val="both"/>
        <w:rPr>
          <w:rFonts w:ascii="Avenir Next" w:hAnsi="Avenir Next" w:cs="Arial"/>
          <w:sz w:val="22"/>
          <w:szCs w:val="22"/>
          <w:lang w:val="en-GB"/>
        </w:rPr>
      </w:pPr>
      <w:r w:rsidRPr="00E62FC4">
        <w:rPr>
          <w:rFonts w:ascii="Avenir Next" w:hAnsi="Avenir Next" w:cs="Arial"/>
          <w:sz w:val="22"/>
          <w:szCs w:val="22"/>
          <w:lang w:val="en-GB"/>
        </w:rPr>
        <w:t>The hotchpot rule prioritises local creditors.</w:t>
      </w:r>
    </w:p>
    <w:p w14:paraId="21C42F72" w14:textId="77777777" w:rsidR="00C4510C" w:rsidRPr="00E62FC4" w:rsidRDefault="00C4510C" w:rsidP="00C00111">
      <w:pPr>
        <w:ind w:hanging="426"/>
        <w:jc w:val="both"/>
        <w:rPr>
          <w:rFonts w:ascii="Avenir Next" w:hAnsi="Avenir Next" w:cs="Arial"/>
          <w:sz w:val="22"/>
          <w:szCs w:val="22"/>
          <w:lang w:val="en-GB"/>
        </w:rPr>
      </w:pPr>
    </w:p>
    <w:p w14:paraId="7E5CFD61" w14:textId="77777777" w:rsidR="00C4510C" w:rsidRPr="00E62FC4" w:rsidRDefault="00C4510C" w:rsidP="00A77E49">
      <w:pPr>
        <w:pStyle w:val="ListParagraph"/>
        <w:numPr>
          <w:ilvl w:val="0"/>
          <w:numId w:val="9"/>
        </w:numPr>
        <w:ind w:left="426" w:hanging="426"/>
        <w:jc w:val="both"/>
        <w:rPr>
          <w:rFonts w:ascii="Avenir Next" w:hAnsi="Avenir Next" w:cs="Arial"/>
          <w:sz w:val="22"/>
          <w:szCs w:val="22"/>
          <w:lang w:val="en-GB"/>
        </w:rPr>
      </w:pPr>
      <w:r w:rsidRPr="00E62FC4">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62FC4" w:rsidRDefault="00C4510C" w:rsidP="00A77E49">
      <w:pPr>
        <w:pStyle w:val="ListParagraph"/>
        <w:numPr>
          <w:ilvl w:val="0"/>
          <w:numId w:val="9"/>
        </w:numPr>
        <w:ind w:left="426" w:hanging="426"/>
        <w:jc w:val="both"/>
        <w:rPr>
          <w:rFonts w:ascii="Avenir Next" w:hAnsi="Avenir Next" w:cs="Arial"/>
          <w:sz w:val="22"/>
          <w:szCs w:val="22"/>
          <w:highlight w:val="yellow"/>
          <w:lang w:val="en-GB"/>
        </w:rPr>
      </w:pPr>
      <w:r w:rsidRPr="00E62FC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0A7B7604" w:rsidR="00CB56CE" w:rsidRDefault="00C21624" w:rsidP="00A6720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Union Regulation on insolvency proceedings </w:t>
      </w:r>
      <w:r w:rsidR="00A67208">
        <w:rPr>
          <w:rFonts w:ascii="Avenir Next" w:hAnsi="Avenir Next" w:cs="Arial"/>
          <w:color w:val="808080" w:themeColor="background1" w:themeShade="80"/>
          <w:sz w:val="22"/>
          <w:szCs w:val="22"/>
          <w:lang w:val="en-GB"/>
        </w:rPr>
        <w:t>directly became a part of the domestic law of each European Union state once it was adopted. The MLCBI instead does not amend domestic law as it is only a recommendation which could be adopted by each signatory.</w:t>
      </w:r>
    </w:p>
    <w:p w14:paraId="001DFCEF" w14:textId="03BD74EE" w:rsidR="00A67208" w:rsidRDefault="00A67208" w:rsidP="00A67208">
      <w:pPr>
        <w:ind w:left="720"/>
        <w:jc w:val="both"/>
        <w:rPr>
          <w:rFonts w:ascii="Avenir Next" w:hAnsi="Avenir Next" w:cs="Arial"/>
          <w:color w:val="808080" w:themeColor="background1" w:themeShade="80"/>
          <w:sz w:val="22"/>
          <w:szCs w:val="22"/>
          <w:lang w:val="en-GB"/>
        </w:rPr>
      </w:pPr>
    </w:p>
    <w:p w14:paraId="163B85D6" w14:textId="5C82E37A" w:rsidR="00A67208" w:rsidRDefault="00A67208" w:rsidP="00A6720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benefit to the regulation approach is that once agreed it became a part of the domestic legislation of each state in the same form –</w:t>
      </w:r>
      <w:r w:rsidR="0000152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this </w:t>
      </w:r>
      <w:r w:rsidR="0000152F">
        <w:rPr>
          <w:rFonts w:ascii="Avenir Next" w:hAnsi="Avenir Next" w:cs="Arial"/>
          <w:color w:val="808080" w:themeColor="background1" w:themeShade="80"/>
          <w:sz w:val="22"/>
          <w:szCs w:val="22"/>
          <w:lang w:val="en-GB"/>
        </w:rPr>
        <w:t>would allow the greatest</w:t>
      </w:r>
      <w:r w:rsidR="0061619C">
        <w:rPr>
          <w:rFonts w:ascii="Avenir Next" w:hAnsi="Avenir Next" w:cs="Arial"/>
          <w:color w:val="808080" w:themeColor="background1" w:themeShade="80"/>
          <w:sz w:val="22"/>
          <w:szCs w:val="22"/>
          <w:lang w:val="en-GB"/>
        </w:rPr>
        <w:t xml:space="preserve"> level of harmonisation amongst states. On the other hand, given that it would need to be agreed by all states prior to its inclusion in </w:t>
      </w:r>
      <w:r w:rsidR="00E55C92">
        <w:rPr>
          <w:rFonts w:ascii="Avenir Next" w:hAnsi="Avenir Next" w:cs="Arial"/>
          <w:color w:val="808080" w:themeColor="background1" w:themeShade="80"/>
          <w:sz w:val="22"/>
          <w:szCs w:val="22"/>
          <w:lang w:val="en-GB"/>
        </w:rPr>
        <w:t xml:space="preserve">domestic law, getting regulation agreed </w:t>
      </w:r>
      <w:r w:rsidR="0023144A">
        <w:rPr>
          <w:rFonts w:ascii="Avenir Next" w:hAnsi="Avenir Next" w:cs="Arial"/>
          <w:color w:val="808080" w:themeColor="background1" w:themeShade="80"/>
          <w:sz w:val="22"/>
          <w:szCs w:val="22"/>
          <w:lang w:val="en-GB"/>
        </w:rPr>
        <w:t xml:space="preserve">via this method </w:t>
      </w:r>
      <w:r w:rsidR="00E55C92">
        <w:rPr>
          <w:rFonts w:ascii="Avenir Next" w:hAnsi="Avenir Next" w:cs="Arial"/>
          <w:color w:val="808080" w:themeColor="background1" w:themeShade="80"/>
          <w:sz w:val="22"/>
          <w:szCs w:val="22"/>
          <w:lang w:val="en-GB"/>
        </w:rPr>
        <w:t>will take a much longer time than a drafted recommendation (e.g. for the EU this took forty years).</w:t>
      </w:r>
    </w:p>
    <w:p w14:paraId="6B0731B4" w14:textId="4B6DC84C" w:rsidR="00E55C92" w:rsidRDefault="00E55C92" w:rsidP="00A67208">
      <w:pPr>
        <w:ind w:left="720"/>
        <w:jc w:val="both"/>
        <w:rPr>
          <w:rFonts w:ascii="Avenir Next" w:hAnsi="Avenir Next" w:cs="Arial"/>
          <w:color w:val="808080" w:themeColor="background1" w:themeShade="80"/>
          <w:sz w:val="22"/>
          <w:szCs w:val="22"/>
          <w:lang w:val="en-GB"/>
        </w:rPr>
      </w:pPr>
    </w:p>
    <w:p w14:paraId="4DA9DEB4" w14:textId="62EA197D" w:rsidR="00E55C92" w:rsidRPr="00B77352" w:rsidRDefault="00E55C92" w:rsidP="00A6720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 the approach taken with the MLCBI is that given that it is only a recommendation, it will make it easier to get to a point of agreement among states given that it is not binding. Given that the outcome of the approach is only soft-law this limits the potential that it may have for international insolvency as there is no reciprocity.</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7B909C6" w:rsidR="00867A8F" w:rsidRPr="00EA30D4" w:rsidRDefault="00753FC3" w:rsidP="00753FC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courts are considering their discretionary power under Article 21 of the MLCBI, they should consider article 22.1 of MLCBI which notes that the court must be satisfied that the interests of the creditors (and secured creditors / parties under hire-purchase agreements) and other interested persons such as the debtor are </w:t>
      </w:r>
      <w:r>
        <w:rPr>
          <w:rFonts w:ascii="Avenir Next" w:hAnsi="Avenir Next" w:cs="Arial"/>
          <w:color w:val="808080" w:themeColor="background1" w:themeShade="80"/>
          <w:sz w:val="22"/>
          <w:szCs w:val="22"/>
          <w:lang w:val="en-GB"/>
        </w:rPr>
        <w:lastRenderedPageBreak/>
        <w:t xml:space="preserve">adequately protected. In </w:t>
      </w:r>
      <w:r w:rsidRPr="00753FC3">
        <w:rPr>
          <w:rFonts w:ascii="Avenir Next" w:hAnsi="Avenir Next" w:cs="Arial"/>
          <w:i/>
          <w:color w:val="808080" w:themeColor="background1" w:themeShade="80"/>
          <w:sz w:val="22"/>
          <w:szCs w:val="22"/>
          <w:lang w:val="en-GB"/>
        </w:rPr>
        <w:t>Armada Shipping</w:t>
      </w:r>
      <w:r>
        <w:rPr>
          <w:rFonts w:ascii="Avenir Next" w:hAnsi="Avenir Next" w:cs="Arial"/>
          <w:color w:val="808080" w:themeColor="background1" w:themeShade="80"/>
          <w:sz w:val="22"/>
          <w:szCs w:val="22"/>
          <w:lang w:val="en-GB"/>
        </w:rPr>
        <w:t xml:space="preserve"> [2011] EWHC 216 (Ch), </w:t>
      </w:r>
      <w:r w:rsidR="00EA30D4">
        <w:rPr>
          <w:rFonts w:ascii="Avenir Next" w:hAnsi="Avenir Next" w:cs="Arial"/>
          <w:color w:val="808080" w:themeColor="background1" w:themeShade="80"/>
          <w:sz w:val="22"/>
          <w:szCs w:val="22"/>
          <w:lang w:val="en-GB"/>
        </w:rPr>
        <w:t>Justice Briggs concluded that the same test / principles are to be applied from the stay of a winding-up order under s.130(2) of the Insolvency Act 1986. Under English law, this would give the court “</w:t>
      </w:r>
      <w:r w:rsidR="00EA30D4" w:rsidRPr="00EA30D4">
        <w:rPr>
          <w:rFonts w:ascii="Avenir Next" w:hAnsi="Avenir Next" w:cs="Arial"/>
          <w:i/>
          <w:color w:val="808080" w:themeColor="background1" w:themeShade="80"/>
          <w:sz w:val="22"/>
          <w:szCs w:val="22"/>
          <w:lang w:val="en-GB"/>
        </w:rPr>
        <w:t>a free hand to do what is right a</w:t>
      </w:r>
      <w:r w:rsidR="008414E1">
        <w:rPr>
          <w:rFonts w:ascii="Avenir Next" w:hAnsi="Avenir Next" w:cs="Arial"/>
          <w:i/>
          <w:color w:val="808080" w:themeColor="background1" w:themeShade="80"/>
          <w:sz w:val="22"/>
          <w:szCs w:val="22"/>
          <w:lang w:val="en-GB"/>
        </w:rPr>
        <w:t>nd</w:t>
      </w:r>
      <w:r w:rsidR="00EA30D4" w:rsidRPr="00EA30D4">
        <w:rPr>
          <w:rFonts w:ascii="Avenir Next" w:hAnsi="Avenir Next" w:cs="Arial"/>
          <w:i/>
          <w:color w:val="808080" w:themeColor="background1" w:themeShade="80"/>
          <w:sz w:val="22"/>
          <w:szCs w:val="22"/>
          <w:lang w:val="en-GB"/>
        </w:rPr>
        <w:t xml:space="preserve"> fair according to the circumstance of each case</w:t>
      </w:r>
      <w:r w:rsidR="00EA30D4">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4195A0FC" w:rsidR="00867A8F" w:rsidRPr="00B77352" w:rsidRDefault="008414E1" w:rsidP="008414E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 expresses that foreign creditors</w:t>
      </w:r>
      <w:r w:rsidR="009D48FC">
        <w:rPr>
          <w:rFonts w:ascii="Avenir Next" w:hAnsi="Avenir Next" w:cs="Arial"/>
          <w:color w:val="808080" w:themeColor="background1" w:themeShade="80"/>
          <w:sz w:val="22"/>
          <w:szCs w:val="22"/>
          <w:lang w:val="en-GB"/>
        </w:rPr>
        <w:t xml:space="preserve"> have the same rights as creditors in the same state as the proceedings. While the order of priorities of payment are not amended by the access right, it cannot be the case that foreign creditors are given a lower priority claim than unsecured creditors in other jurisdictions just because they are a foreign creditor. Local creditors are also protected under this as any exclusion of foreign tax and social security claims are not affected by Article 13.</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A47DA57" w14:textId="77777777" w:rsidR="004A313E" w:rsidRDefault="000F4C0A" w:rsidP="000F4C0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foreign main proceedings, </w:t>
      </w:r>
      <w:r w:rsidR="000668AE">
        <w:rPr>
          <w:rFonts w:ascii="Avenir Next" w:hAnsi="Avenir Next" w:cs="Arial"/>
          <w:color w:val="808080" w:themeColor="background1" w:themeShade="80"/>
          <w:sz w:val="22"/>
          <w:szCs w:val="22"/>
          <w:lang w:val="en-GB"/>
        </w:rPr>
        <w:t xml:space="preserve">unlike non-main proceedings when it is recognised there is an automatic stay on the commencement of individual actions / proceedings concerning the debtor, an automatic stay of execution against the debtor’s assets and a suspension of rights to transfer or dispose of debtor assets under Article 20. </w:t>
      </w:r>
    </w:p>
    <w:p w14:paraId="164052FE" w14:textId="77777777" w:rsidR="004A313E" w:rsidRDefault="004A313E" w:rsidP="000F4C0A">
      <w:pPr>
        <w:ind w:left="720"/>
        <w:jc w:val="both"/>
        <w:rPr>
          <w:rFonts w:ascii="Avenir Next" w:hAnsi="Avenir Next" w:cs="Arial"/>
          <w:color w:val="808080" w:themeColor="background1" w:themeShade="80"/>
          <w:sz w:val="22"/>
          <w:szCs w:val="22"/>
          <w:lang w:val="en-GB"/>
        </w:rPr>
      </w:pPr>
    </w:p>
    <w:p w14:paraId="18F91E21" w14:textId="322A27A9" w:rsidR="00867A8F" w:rsidRDefault="000668AE" w:rsidP="000F4C0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 the granting of the same relief in respect of foreign non-main proceedings is </w:t>
      </w:r>
      <w:r w:rsidR="004A313E">
        <w:rPr>
          <w:rFonts w:ascii="Avenir Next" w:hAnsi="Avenir Next" w:cs="Arial"/>
          <w:color w:val="808080" w:themeColor="background1" w:themeShade="80"/>
          <w:sz w:val="22"/>
          <w:szCs w:val="22"/>
          <w:lang w:val="en-GB"/>
        </w:rPr>
        <w:t>up to the discretion of the court. For foreign non-main proceedings, the court must be satisfied that under the domestic law, that the assets should be administered in the foreign non-main proceeding.</w:t>
      </w:r>
    </w:p>
    <w:p w14:paraId="065396F4" w14:textId="36C8911C" w:rsidR="000668AE" w:rsidRDefault="000668AE" w:rsidP="000F4C0A">
      <w:pPr>
        <w:ind w:left="720"/>
        <w:jc w:val="both"/>
        <w:rPr>
          <w:rFonts w:ascii="Avenir Next" w:hAnsi="Avenir Next" w:cs="Arial"/>
          <w:color w:val="808080" w:themeColor="background1" w:themeShade="80"/>
          <w:sz w:val="22"/>
          <w:szCs w:val="22"/>
          <w:lang w:val="en-GB"/>
        </w:rPr>
      </w:pPr>
    </w:p>
    <w:p w14:paraId="4773A8AD" w14:textId="31FDDF21" w:rsidR="000668AE" w:rsidRDefault="000668AE" w:rsidP="000F4C0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19, if interim relief being granted would disrupt a foreign main proceeding, a court may deny the interim relief.</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587A0953" w:rsidR="00C550C8" w:rsidRDefault="00C550C8" w:rsidP="00707FC8">
      <w:pPr>
        <w:jc w:val="both"/>
        <w:rPr>
          <w:rFonts w:ascii="Avenir Next" w:hAnsi="Avenir Next" w:cs="Arial"/>
          <w:sz w:val="22"/>
          <w:szCs w:val="22"/>
          <w:lang w:val="en-GB"/>
        </w:rPr>
      </w:pPr>
    </w:p>
    <w:p w14:paraId="35E48EC1" w14:textId="5CAA5625" w:rsidR="008B6EE0" w:rsidRPr="00E2622D" w:rsidRDefault="008B6EE0" w:rsidP="00707FC8">
      <w:pPr>
        <w:jc w:val="both"/>
        <w:rPr>
          <w:rFonts w:ascii="Avenir Next" w:hAnsi="Avenir Next" w:cs="Arial"/>
          <w:sz w:val="22"/>
          <w:szCs w:val="22"/>
          <w:lang w:val="en-GB"/>
        </w:rPr>
      </w:pPr>
      <w:r>
        <w:rPr>
          <w:rFonts w:ascii="Avenir Next" w:hAnsi="Avenir Next" w:cs="Arial"/>
          <w:sz w:val="22"/>
          <w:szCs w:val="22"/>
          <w:lang w:val="en-GB"/>
        </w:rPr>
        <w:tab/>
      </w:r>
    </w:p>
    <w:tbl>
      <w:tblPr>
        <w:tblStyle w:val="TableGrid"/>
        <w:tblW w:w="0" w:type="auto"/>
        <w:tblInd w:w="720" w:type="dxa"/>
        <w:tblLook w:val="04A0" w:firstRow="1" w:lastRow="0" w:firstColumn="1" w:lastColumn="0" w:noHBand="0" w:noVBand="1"/>
      </w:tblPr>
      <w:tblGrid>
        <w:gridCol w:w="4333"/>
        <w:gridCol w:w="3963"/>
      </w:tblGrid>
      <w:tr w:rsidR="0099259A" w:rsidRPr="0099259A" w14:paraId="4C4B6C73" w14:textId="056868B8" w:rsidTr="0099259A">
        <w:tc>
          <w:tcPr>
            <w:tcW w:w="4333" w:type="dxa"/>
          </w:tcPr>
          <w:p w14:paraId="521D6228" w14:textId="257AEA75" w:rsidR="0099259A" w:rsidRPr="008B6EE0" w:rsidRDefault="0099259A" w:rsidP="00E8299B">
            <w:pPr>
              <w:jc w:val="both"/>
              <w:rPr>
                <w:rFonts w:ascii="Avenir Next" w:hAnsi="Avenir Next" w:cs="Arial"/>
                <w:b/>
                <w:color w:val="808080" w:themeColor="background1" w:themeShade="80"/>
                <w:sz w:val="22"/>
                <w:szCs w:val="22"/>
                <w:lang w:val="en-GB"/>
              </w:rPr>
            </w:pPr>
            <w:r w:rsidRPr="008B6EE0">
              <w:rPr>
                <w:rFonts w:ascii="Avenir Next" w:hAnsi="Avenir Next" w:cs="Arial"/>
                <w:b/>
                <w:color w:val="808080" w:themeColor="background1" w:themeShade="80"/>
                <w:sz w:val="22"/>
                <w:szCs w:val="22"/>
                <w:lang w:val="en-GB"/>
              </w:rPr>
              <w:t>Country</w:t>
            </w:r>
          </w:p>
        </w:tc>
        <w:tc>
          <w:tcPr>
            <w:tcW w:w="3963" w:type="dxa"/>
          </w:tcPr>
          <w:p w14:paraId="11861059" w14:textId="052CF5D8" w:rsidR="0099259A" w:rsidRPr="008B6EE0" w:rsidRDefault="0099259A" w:rsidP="00E8299B">
            <w:pPr>
              <w:jc w:val="both"/>
              <w:rPr>
                <w:rFonts w:ascii="Avenir Next" w:hAnsi="Avenir Next" w:cs="Arial"/>
                <w:b/>
                <w:color w:val="808080" w:themeColor="background1" w:themeShade="80"/>
                <w:sz w:val="22"/>
                <w:szCs w:val="22"/>
                <w:lang w:val="en-GB"/>
              </w:rPr>
            </w:pPr>
            <w:r w:rsidRPr="008B6EE0">
              <w:rPr>
                <w:rFonts w:ascii="Avenir Next" w:hAnsi="Avenir Next" w:cs="Arial"/>
                <w:b/>
                <w:color w:val="808080" w:themeColor="background1" w:themeShade="80"/>
                <w:sz w:val="22"/>
                <w:szCs w:val="22"/>
                <w:lang w:val="en-GB"/>
              </w:rPr>
              <w:t>Proceedings</w:t>
            </w:r>
          </w:p>
        </w:tc>
      </w:tr>
      <w:tr w:rsidR="0099259A" w:rsidRPr="0099259A" w14:paraId="45BC014D" w14:textId="77777777" w:rsidTr="0099259A">
        <w:tc>
          <w:tcPr>
            <w:tcW w:w="4333" w:type="dxa"/>
          </w:tcPr>
          <w:p w14:paraId="5904FB1A" w14:textId="4E65660F" w:rsidR="0099259A" w:rsidRPr="0099259A" w:rsidRDefault="0099259A" w:rsidP="00E82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Germany – COMI</w:t>
            </w:r>
          </w:p>
        </w:tc>
        <w:tc>
          <w:tcPr>
            <w:tcW w:w="3963" w:type="dxa"/>
          </w:tcPr>
          <w:p w14:paraId="2F21FB8C" w14:textId="6484CA90" w:rsidR="0099259A" w:rsidRPr="0099259A" w:rsidRDefault="008B6EE0" w:rsidP="00E82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main proceeding</w:t>
            </w:r>
          </w:p>
        </w:tc>
      </w:tr>
      <w:tr w:rsidR="0099259A" w:rsidRPr="0099259A" w14:paraId="3697873D" w14:textId="77777777" w:rsidTr="0099259A">
        <w:tc>
          <w:tcPr>
            <w:tcW w:w="4333" w:type="dxa"/>
          </w:tcPr>
          <w:p w14:paraId="21929149" w14:textId="14DF2F1D" w:rsidR="0099259A" w:rsidRPr="0099259A" w:rsidRDefault="0099259A" w:rsidP="009925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Bermuda – Establishment</w:t>
            </w:r>
          </w:p>
        </w:tc>
        <w:tc>
          <w:tcPr>
            <w:tcW w:w="3963" w:type="dxa"/>
          </w:tcPr>
          <w:p w14:paraId="0EDC5AE4" w14:textId="5640FFB0" w:rsidR="0099259A" w:rsidRPr="0099259A" w:rsidRDefault="008B6EE0" w:rsidP="00E82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non-main proceeding</w:t>
            </w:r>
          </w:p>
        </w:tc>
      </w:tr>
      <w:tr w:rsidR="0099259A" w:rsidRPr="0099259A" w14:paraId="532D344D" w14:textId="77777777" w:rsidTr="0099259A">
        <w:tc>
          <w:tcPr>
            <w:tcW w:w="4333" w:type="dxa"/>
          </w:tcPr>
          <w:p w14:paraId="6742F455" w14:textId="349D30A3" w:rsidR="0099259A" w:rsidRPr="0099259A" w:rsidRDefault="0099259A" w:rsidP="00E82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w:t>
            </w:r>
          </w:p>
        </w:tc>
        <w:tc>
          <w:tcPr>
            <w:tcW w:w="3963" w:type="dxa"/>
          </w:tcPr>
          <w:p w14:paraId="0EA46116" w14:textId="6BA7D44E" w:rsidR="0099259A" w:rsidRPr="0099259A" w:rsidRDefault="008B6EE0" w:rsidP="00E8299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proceedings</w:t>
            </w:r>
          </w:p>
        </w:tc>
      </w:tr>
    </w:tbl>
    <w:p w14:paraId="5CD83E20" w14:textId="0198AAF5" w:rsidR="00EA6D31" w:rsidRPr="008B6EE0" w:rsidRDefault="00EA6D31" w:rsidP="008B6EE0">
      <w:pPr>
        <w:jc w:val="both"/>
        <w:rPr>
          <w:rFonts w:ascii="Avenir Next" w:hAnsi="Avenir Next" w:cs="Arial"/>
          <w:color w:val="808080" w:themeColor="background1" w:themeShade="80"/>
          <w:sz w:val="22"/>
          <w:szCs w:val="22"/>
          <w:lang w:val="en-GB"/>
        </w:rPr>
      </w:pPr>
    </w:p>
    <w:p w14:paraId="3DCDAEA3" w14:textId="77777777" w:rsidR="008B6EE0" w:rsidRPr="00E2622D" w:rsidRDefault="008B6EE0" w:rsidP="00707FC8">
      <w:pPr>
        <w:ind w:left="720" w:hanging="720"/>
        <w:jc w:val="both"/>
        <w:rPr>
          <w:rFonts w:ascii="Avenir Next" w:hAnsi="Avenir Next" w:cs="Arial"/>
          <w:sz w:val="22"/>
          <w:szCs w:val="22"/>
          <w:lang w:val="en-GB"/>
        </w:rPr>
      </w:pPr>
    </w:p>
    <w:p w14:paraId="12668675" w14:textId="29C435EC" w:rsidR="008B6EE0" w:rsidRDefault="008B6EE0" w:rsidP="008B6EE0">
      <w:pPr>
        <w:ind w:left="720"/>
        <w:jc w:val="both"/>
        <w:rPr>
          <w:rFonts w:ascii="Avenir Next" w:hAnsi="Avenir Next" w:cs="Arial"/>
          <w:color w:val="808080" w:themeColor="background1" w:themeShade="80"/>
          <w:sz w:val="22"/>
          <w:szCs w:val="22"/>
          <w:lang w:val="en-GB"/>
        </w:rPr>
      </w:pPr>
      <w:r w:rsidRPr="008B6EE0">
        <w:rPr>
          <w:rFonts w:ascii="Avenir Next" w:hAnsi="Avenir Next" w:cs="Arial"/>
          <w:color w:val="808080" w:themeColor="background1" w:themeShade="80"/>
          <w:sz w:val="22"/>
          <w:szCs w:val="22"/>
          <w:lang w:val="en-GB"/>
        </w:rPr>
        <w:lastRenderedPageBreak/>
        <w:t>Under</w:t>
      </w:r>
      <w:r>
        <w:rPr>
          <w:rFonts w:ascii="Avenir Next" w:hAnsi="Avenir Next" w:cs="Arial"/>
          <w:color w:val="808080" w:themeColor="background1" w:themeShade="80"/>
          <w:sz w:val="22"/>
          <w:szCs w:val="22"/>
          <w:lang w:val="en-GB"/>
        </w:rPr>
        <w:t xml:space="preserve"> the Model Law, it defines foreign main proceedings as taking place in the State where the debtor has the centre of its main interests (COMI). Therefore, Germany would be the location of the foreign main proceedings.</w:t>
      </w:r>
    </w:p>
    <w:p w14:paraId="67556E02" w14:textId="19CC7310" w:rsidR="008B6EE0" w:rsidRDefault="008B6EE0" w:rsidP="008B6EE0">
      <w:pPr>
        <w:ind w:left="720"/>
        <w:jc w:val="both"/>
        <w:rPr>
          <w:rFonts w:ascii="Avenir Next" w:hAnsi="Avenir Next" w:cs="Arial"/>
          <w:color w:val="808080" w:themeColor="background1" w:themeShade="80"/>
          <w:sz w:val="22"/>
          <w:szCs w:val="22"/>
          <w:lang w:val="en-GB"/>
        </w:rPr>
      </w:pPr>
    </w:p>
    <w:p w14:paraId="5366DC3E" w14:textId="6F95E5C6" w:rsidR="008B6EE0" w:rsidRDefault="008B6EE0" w:rsidP="008B6EE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definition of foreign non-main proceedings means a foreign proceeding (other than the foreign main proceeding where the debtor has an establishment. Given there is an establishment in Bermuda (and not the COMI), the foreign non-main proceedings would have been opened in Bermuda.</w:t>
      </w:r>
    </w:p>
    <w:p w14:paraId="649CDBA2" w14:textId="7D4B4F41" w:rsidR="008B6EE0" w:rsidRDefault="008B6EE0" w:rsidP="008B6EE0">
      <w:pPr>
        <w:ind w:left="720"/>
        <w:jc w:val="both"/>
        <w:rPr>
          <w:rFonts w:ascii="Avenir Next" w:hAnsi="Avenir Next" w:cs="Arial"/>
          <w:color w:val="808080" w:themeColor="background1" w:themeShade="80"/>
          <w:sz w:val="22"/>
          <w:szCs w:val="22"/>
          <w:lang w:val="en-GB"/>
        </w:rPr>
      </w:pPr>
    </w:p>
    <w:p w14:paraId="65847A41" w14:textId="7B9E87CF" w:rsidR="008B6EE0" w:rsidRPr="00930FF3" w:rsidRDefault="0045470A" w:rsidP="00930FF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United States has adopted the Model Law, </w:t>
      </w:r>
      <w:r w:rsidR="008B6EE0">
        <w:rPr>
          <w:rFonts w:ascii="Avenir Next" w:hAnsi="Avenir Next" w:cs="Arial"/>
          <w:color w:val="808080" w:themeColor="background1" w:themeShade="80"/>
          <w:sz w:val="22"/>
          <w:szCs w:val="22"/>
          <w:lang w:val="en-GB"/>
        </w:rPr>
        <w:t>Germany and Bermuda have</w:t>
      </w:r>
      <w:r>
        <w:rPr>
          <w:rFonts w:ascii="Avenir Next" w:hAnsi="Avenir Next" w:cs="Arial"/>
          <w:color w:val="808080" w:themeColor="background1" w:themeShade="80"/>
          <w:sz w:val="22"/>
          <w:szCs w:val="22"/>
          <w:lang w:val="en-GB"/>
        </w:rPr>
        <w:t xml:space="preserve"> not adopted the Model Law so the likelihood of co-operation under the Model Law is unlikely in respect of the foreign proceedings. Despite this, recognition of the proceedings in the US may be </w:t>
      </w:r>
      <w:r w:rsidR="00930FF3">
        <w:rPr>
          <w:rFonts w:ascii="Avenir Next" w:hAnsi="Avenir Next" w:cs="Arial"/>
          <w:color w:val="808080" w:themeColor="background1" w:themeShade="80"/>
          <w:sz w:val="22"/>
          <w:szCs w:val="22"/>
          <w:lang w:val="en-GB"/>
        </w:rPr>
        <w:t>possible under Chapter 15.</w:t>
      </w:r>
    </w:p>
    <w:p w14:paraId="5DDB6C72" w14:textId="77777777" w:rsidR="008B6EE0" w:rsidRDefault="008B6EE0" w:rsidP="0067785F">
      <w:pPr>
        <w:ind w:left="720" w:hanging="720"/>
        <w:jc w:val="both"/>
        <w:rPr>
          <w:rFonts w:ascii="Avenir Next Demi Bold" w:hAnsi="Avenir Next Demi Bold" w:cs="Arial"/>
          <w:b/>
          <w:bCs/>
          <w:sz w:val="22"/>
          <w:szCs w:val="22"/>
          <w:lang w:val="en-GB"/>
        </w:rPr>
      </w:pPr>
    </w:p>
    <w:p w14:paraId="29CD91CE" w14:textId="77777777" w:rsidR="008B6EE0" w:rsidRDefault="008B6EE0" w:rsidP="0067785F">
      <w:pPr>
        <w:ind w:left="720" w:hanging="720"/>
        <w:jc w:val="both"/>
        <w:rPr>
          <w:rFonts w:ascii="Avenir Next Demi Bold" w:hAnsi="Avenir Next Demi Bold" w:cs="Arial"/>
          <w:b/>
          <w:bCs/>
          <w:sz w:val="22"/>
          <w:szCs w:val="22"/>
          <w:lang w:val="en-GB"/>
        </w:rPr>
      </w:pPr>
    </w:p>
    <w:p w14:paraId="14594D73" w14:textId="7668B3FB"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3145D551" w:rsidR="00867A8F" w:rsidRDefault="00930FF3" w:rsidP="00930FF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 of the Model Law outlines that it does not limit the power of a court to provide additional assistance to foreign representatives.</w:t>
      </w:r>
    </w:p>
    <w:p w14:paraId="5F1542CD" w14:textId="7FB46B95" w:rsidR="00930FF3" w:rsidRDefault="00930FF3" w:rsidP="00930FF3">
      <w:pPr>
        <w:ind w:left="720"/>
        <w:jc w:val="both"/>
        <w:rPr>
          <w:rFonts w:ascii="Avenir Next" w:hAnsi="Avenir Next" w:cs="Arial"/>
          <w:color w:val="808080" w:themeColor="background1" w:themeShade="80"/>
          <w:sz w:val="22"/>
          <w:szCs w:val="22"/>
          <w:lang w:val="en-GB"/>
        </w:rPr>
      </w:pPr>
    </w:p>
    <w:p w14:paraId="4790326F" w14:textId="3D4868EA" w:rsidR="00930FF3" w:rsidRDefault="00930FF3" w:rsidP="00930FF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 15 of the US Bankruptcy Code provides that when considering when to give additional assistance they will assure that (in-line with comity):</w:t>
      </w:r>
    </w:p>
    <w:p w14:paraId="1DED9B3F" w14:textId="6FE2134A" w:rsidR="00930FF3" w:rsidRDefault="00930FF3" w:rsidP="00930FF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will be just treatment of claims against the debtor;</w:t>
      </w:r>
    </w:p>
    <w:p w14:paraId="4F0AE535" w14:textId="5E8DFB01" w:rsidR="00930FF3" w:rsidRDefault="00BB1DC6" w:rsidP="00930FF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protection of US-based vendors against prejudice;</w:t>
      </w:r>
    </w:p>
    <w:p w14:paraId="07E335E0" w14:textId="3B3F93C7" w:rsidR="00BB1DC6" w:rsidRDefault="00BB1DC6" w:rsidP="00930FF3">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Prevention of misuse of debtor assets; and</w:t>
      </w:r>
    </w:p>
    <w:p w14:paraId="065482A0" w14:textId="00390B13" w:rsidR="00BB1DC6" w:rsidRDefault="00BB1DC6" w:rsidP="00BB1DC6">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assets will be distributed as required by law.</w:t>
      </w:r>
    </w:p>
    <w:p w14:paraId="276A7CD8" w14:textId="543E387A" w:rsidR="00BB1DC6" w:rsidRDefault="00BB1DC6" w:rsidP="00BB1DC6">
      <w:pPr>
        <w:jc w:val="both"/>
        <w:rPr>
          <w:rFonts w:ascii="Avenir Next" w:hAnsi="Avenir Next" w:cs="Arial"/>
          <w:color w:val="808080" w:themeColor="background1" w:themeShade="80"/>
          <w:sz w:val="22"/>
          <w:szCs w:val="22"/>
          <w:lang w:val="en-GB"/>
        </w:rPr>
      </w:pPr>
    </w:p>
    <w:p w14:paraId="72098253" w14:textId="578CB9CC" w:rsidR="00BB1DC6" w:rsidRDefault="00BB1DC6" w:rsidP="00BB1DC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protections given under Chapter 15, it is unlikely that a court would see this suit as necessary.</w:t>
      </w:r>
    </w:p>
    <w:p w14:paraId="4CC0A957" w14:textId="4F7040DD" w:rsidR="00BB1DC6" w:rsidRDefault="00BB1DC6" w:rsidP="00BB1DC6">
      <w:pPr>
        <w:ind w:left="720"/>
        <w:jc w:val="both"/>
        <w:rPr>
          <w:rFonts w:ascii="Avenir Next" w:hAnsi="Avenir Next" w:cs="Arial"/>
          <w:color w:val="808080" w:themeColor="background1" w:themeShade="80"/>
          <w:sz w:val="22"/>
          <w:szCs w:val="22"/>
          <w:lang w:val="en-GB"/>
        </w:rPr>
      </w:pPr>
    </w:p>
    <w:p w14:paraId="2075355B" w14:textId="73AEAF58" w:rsidR="00BB1DC6" w:rsidRDefault="00BB1DC6" w:rsidP="00BB1DC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Model Law is silent on abuse of process, if a foreign representative breached their obligation to give full disclosure in the US (i.e. in this case, maliciously intended to interfere with their contract rights), then this would impact their recognition application.</w:t>
      </w:r>
    </w:p>
    <w:p w14:paraId="0F89B084" w14:textId="39487EB5" w:rsidR="00BB1DC6" w:rsidRDefault="00BB1DC6" w:rsidP="00BB1DC6">
      <w:pPr>
        <w:ind w:left="720"/>
        <w:jc w:val="both"/>
        <w:rPr>
          <w:rFonts w:ascii="Avenir Next" w:hAnsi="Avenir Next" w:cs="Arial"/>
          <w:color w:val="808080" w:themeColor="background1" w:themeShade="80"/>
          <w:sz w:val="22"/>
          <w:szCs w:val="22"/>
          <w:lang w:val="en-GB"/>
        </w:rPr>
      </w:pPr>
    </w:p>
    <w:p w14:paraId="2D31A91E" w14:textId="6CE44781" w:rsidR="00BB1DC6" w:rsidRPr="00BB1DC6" w:rsidRDefault="00BB1DC6" w:rsidP="00BB1DC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US saw this as a possible public policy concern, Article 6 of the Model Law does provide for sovereignty of that State to be upheld. However, this is only to be referred to in exceptional circumstances so it is unlikely that this would be relevant.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260B3332" w14:textId="77777777" w:rsidR="00AD5F11" w:rsidRDefault="00AD5F11" w:rsidP="00AD5F1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demonstrated in the </w:t>
      </w:r>
      <w:r w:rsidRPr="00AD5F11">
        <w:rPr>
          <w:rFonts w:ascii="Avenir Next" w:hAnsi="Avenir Next" w:cs="Arial"/>
          <w:i/>
          <w:color w:val="808080" w:themeColor="background1" w:themeShade="80"/>
          <w:sz w:val="22"/>
          <w:szCs w:val="22"/>
          <w:lang w:val="en-GB"/>
        </w:rPr>
        <w:t>Pan Ocean</w:t>
      </w:r>
      <w:r>
        <w:rPr>
          <w:rFonts w:ascii="Avenir Next" w:hAnsi="Avenir Next" w:cs="Arial"/>
          <w:color w:val="808080" w:themeColor="background1" w:themeShade="80"/>
          <w:sz w:val="22"/>
          <w:szCs w:val="22"/>
          <w:lang w:val="en-GB"/>
        </w:rPr>
        <w:t xml:space="preserve"> case, the foreign representative should (as they have done) file for recognition of the UK proceedings as foreign main proceedings and request that the US court grant relief. The relief should try and prevent potential litigants in the US, such as the counterparties to the leases and IP licences, from relying on the </w:t>
      </w:r>
      <w:r w:rsidRPr="00AD5F11">
        <w:rPr>
          <w:rFonts w:ascii="Avenir Next" w:hAnsi="Avenir Next" w:cs="Arial"/>
          <w:i/>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They could seek to rely on Article 21(1)(a) and 21(1)(g) of the Model Law if they took the same approach in </w:t>
      </w:r>
      <w:r>
        <w:rPr>
          <w:rFonts w:ascii="Avenir Next" w:hAnsi="Avenir Next" w:cs="Arial"/>
          <w:i/>
          <w:color w:val="808080" w:themeColor="background1" w:themeShade="80"/>
          <w:sz w:val="22"/>
          <w:szCs w:val="22"/>
          <w:lang w:val="en-GB"/>
        </w:rPr>
        <w:t>Pan Ocean</w:t>
      </w:r>
      <w:r>
        <w:rPr>
          <w:rFonts w:ascii="Avenir Next" w:hAnsi="Avenir Next" w:cs="Arial"/>
          <w:color w:val="808080" w:themeColor="background1" w:themeShade="80"/>
          <w:sz w:val="22"/>
          <w:szCs w:val="22"/>
          <w:lang w:val="en-GB"/>
        </w:rPr>
        <w:t xml:space="preserve">. </w:t>
      </w:r>
    </w:p>
    <w:p w14:paraId="79F427E0" w14:textId="77777777" w:rsidR="00AD5F11" w:rsidRDefault="00AD5F11" w:rsidP="00AD5F11">
      <w:pPr>
        <w:ind w:left="720"/>
        <w:jc w:val="both"/>
        <w:rPr>
          <w:rFonts w:ascii="Avenir Next" w:hAnsi="Avenir Next" w:cs="Arial"/>
          <w:color w:val="808080" w:themeColor="background1" w:themeShade="80"/>
          <w:sz w:val="22"/>
          <w:szCs w:val="22"/>
          <w:lang w:val="en-GB"/>
        </w:rPr>
      </w:pPr>
    </w:p>
    <w:p w14:paraId="4A0E319B" w14:textId="516999ED" w:rsidR="00867A8F" w:rsidRDefault="00AD5F11" w:rsidP="00AD5F1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21(1)(a), if the US court took the same view as the </w:t>
      </w:r>
      <w:r w:rsidR="00994686">
        <w:rPr>
          <w:rFonts w:ascii="Avenir Next" w:hAnsi="Avenir Next" w:cs="Arial"/>
          <w:color w:val="808080" w:themeColor="background1" w:themeShade="80"/>
          <w:sz w:val="22"/>
          <w:szCs w:val="22"/>
          <w:lang w:val="en-GB"/>
        </w:rPr>
        <w:t xml:space="preserve">judgement in the </w:t>
      </w:r>
      <w:r w:rsidR="00994686">
        <w:rPr>
          <w:rFonts w:ascii="Avenir Next" w:hAnsi="Avenir Next" w:cs="Arial"/>
          <w:i/>
          <w:color w:val="808080" w:themeColor="background1" w:themeShade="80"/>
          <w:sz w:val="22"/>
          <w:szCs w:val="22"/>
          <w:lang w:val="en-GB"/>
        </w:rPr>
        <w:t xml:space="preserve">Pan </w:t>
      </w:r>
      <w:r w:rsidR="006D138F">
        <w:rPr>
          <w:rFonts w:ascii="Avenir Next" w:hAnsi="Avenir Next" w:cs="Arial"/>
          <w:i/>
          <w:color w:val="808080" w:themeColor="background1" w:themeShade="80"/>
          <w:sz w:val="22"/>
          <w:szCs w:val="22"/>
          <w:lang w:val="en-GB"/>
        </w:rPr>
        <w:t>Ocean</w:t>
      </w:r>
      <w:r w:rsidR="00994686">
        <w:rPr>
          <w:rFonts w:ascii="Avenir Next" w:hAnsi="Avenir Next" w:cs="Arial"/>
          <w:color w:val="808080" w:themeColor="background1" w:themeShade="80"/>
          <w:sz w:val="22"/>
          <w:szCs w:val="22"/>
          <w:lang w:val="en-GB"/>
        </w:rPr>
        <w:t>, would not apply as they would not see Article 21(1)(a) as giving the court power to prevent a counterparty from serving a termination notice.</w:t>
      </w:r>
      <w:r>
        <w:rPr>
          <w:rFonts w:ascii="Avenir Next" w:hAnsi="Avenir Next" w:cs="Arial"/>
          <w:color w:val="808080" w:themeColor="background1" w:themeShade="80"/>
          <w:sz w:val="22"/>
          <w:szCs w:val="22"/>
          <w:lang w:val="en-GB"/>
        </w:rPr>
        <w:t xml:space="preserve"> </w:t>
      </w:r>
      <w:r w:rsidR="00994686">
        <w:rPr>
          <w:rFonts w:ascii="Avenir Next" w:hAnsi="Avenir Next" w:cs="Arial"/>
          <w:color w:val="808080" w:themeColor="background1" w:themeShade="80"/>
          <w:sz w:val="22"/>
          <w:szCs w:val="22"/>
          <w:lang w:val="en-GB"/>
        </w:rPr>
        <w:t xml:space="preserve">While </w:t>
      </w:r>
      <w:r w:rsidR="006D138F">
        <w:rPr>
          <w:rFonts w:ascii="Avenir Next" w:hAnsi="Avenir Next" w:cs="Arial"/>
          <w:color w:val="808080" w:themeColor="background1" w:themeShade="80"/>
          <w:sz w:val="22"/>
          <w:szCs w:val="22"/>
          <w:lang w:val="en-GB"/>
        </w:rPr>
        <w:t xml:space="preserve">in </w:t>
      </w:r>
      <w:r w:rsidR="006D138F">
        <w:rPr>
          <w:rFonts w:ascii="Avenir Next" w:hAnsi="Avenir Next" w:cs="Arial"/>
          <w:i/>
          <w:color w:val="808080" w:themeColor="background1" w:themeShade="80"/>
          <w:sz w:val="22"/>
          <w:szCs w:val="22"/>
          <w:lang w:val="en-GB"/>
        </w:rPr>
        <w:t xml:space="preserve">Pan Ocean, </w:t>
      </w:r>
      <w:r w:rsidR="006D138F">
        <w:rPr>
          <w:rFonts w:ascii="Avenir Next" w:hAnsi="Avenir Next" w:cs="Arial"/>
          <w:color w:val="808080" w:themeColor="background1" w:themeShade="80"/>
          <w:sz w:val="22"/>
          <w:szCs w:val="22"/>
          <w:lang w:val="en-GB"/>
        </w:rPr>
        <w:t>the court viewed Article 21(1)(g)</w:t>
      </w:r>
      <w:r w:rsidR="00994686">
        <w:rPr>
          <w:rFonts w:ascii="Avenir Next" w:hAnsi="Avenir Next" w:cs="Arial"/>
          <w:color w:val="808080" w:themeColor="background1" w:themeShade="80"/>
          <w:sz w:val="22"/>
          <w:szCs w:val="22"/>
          <w:lang w:val="en-GB"/>
        </w:rPr>
        <w:t xml:space="preserve"> </w:t>
      </w:r>
      <w:r w:rsidR="006D138F">
        <w:rPr>
          <w:rFonts w:ascii="Avenir Next" w:hAnsi="Avenir Next" w:cs="Arial"/>
          <w:color w:val="808080" w:themeColor="background1" w:themeShade="80"/>
          <w:sz w:val="22"/>
          <w:szCs w:val="22"/>
          <w:lang w:val="en-GB"/>
        </w:rPr>
        <w:t xml:space="preserve">as not appropriate given </w:t>
      </w:r>
      <w:r w:rsidR="006D138F">
        <w:rPr>
          <w:rFonts w:ascii="Avenir Next" w:hAnsi="Avenir Next" w:cs="Arial"/>
          <w:i/>
          <w:color w:val="808080" w:themeColor="background1" w:themeShade="80"/>
          <w:sz w:val="22"/>
          <w:szCs w:val="22"/>
          <w:lang w:val="en-GB"/>
        </w:rPr>
        <w:t>ipso facto</w:t>
      </w:r>
      <w:r w:rsidR="006D138F">
        <w:rPr>
          <w:rFonts w:ascii="Avenir Next" w:hAnsi="Avenir Next" w:cs="Arial"/>
          <w:color w:val="808080" w:themeColor="background1" w:themeShade="80"/>
          <w:sz w:val="22"/>
          <w:szCs w:val="22"/>
          <w:lang w:val="en-GB"/>
        </w:rPr>
        <w:t xml:space="preserve"> clauses were valid and enforceable in England and Wales. In this case, given that </w:t>
      </w:r>
      <w:r w:rsidR="006D138F">
        <w:rPr>
          <w:rFonts w:ascii="Avenir Next" w:hAnsi="Avenir Next" w:cs="Arial"/>
          <w:i/>
          <w:color w:val="808080" w:themeColor="background1" w:themeShade="80"/>
          <w:sz w:val="22"/>
          <w:szCs w:val="22"/>
          <w:lang w:val="en-GB"/>
        </w:rPr>
        <w:t>ipso facto</w:t>
      </w:r>
      <w:r w:rsidR="006D138F">
        <w:rPr>
          <w:rFonts w:ascii="Avenir Next" w:hAnsi="Avenir Next" w:cs="Arial"/>
          <w:color w:val="808080" w:themeColor="background1" w:themeShade="80"/>
          <w:sz w:val="22"/>
          <w:szCs w:val="22"/>
          <w:lang w:val="en-GB"/>
        </w:rPr>
        <w:t xml:space="preserve"> clauses are not enforceable in the US Bankruptcy Code, the court may decide to grant relief as:</w:t>
      </w:r>
    </w:p>
    <w:p w14:paraId="5B42ED9E" w14:textId="05A60D18" w:rsidR="006D138F" w:rsidRDefault="006D138F" w:rsidP="00AD5F11">
      <w:pPr>
        <w:ind w:left="720"/>
        <w:jc w:val="both"/>
        <w:rPr>
          <w:rFonts w:ascii="Avenir Next" w:hAnsi="Avenir Next" w:cs="Arial"/>
          <w:color w:val="808080" w:themeColor="background1" w:themeShade="80"/>
          <w:sz w:val="22"/>
          <w:szCs w:val="22"/>
          <w:lang w:val="en-GB"/>
        </w:rPr>
      </w:pPr>
    </w:p>
    <w:p w14:paraId="4E510F02" w14:textId="44D78A4A" w:rsidR="006D138F" w:rsidRDefault="006D138F" w:rsidP="00AD5F1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it would be appropriate to provide relief it could grant in a domestic insolvency;</w:t>
      </w:r>
    </w:p>
    <w:p w14:paraId="1BE10550" w14:textId="5D8BF9A0" w:rsidR="006D138F" w:rsidRDefault="006D138F" w:rsidP="00AD5F11">
      <w:pPr>
        <w:ind w:left="720"/>
        <w:jc w:val="both"/>
        <w:rPr>
          <w:rFonts w:ascii="Avenir Next" w:hAnsi="Avenir Next" w:cs="Arial"/>
          <w:color w:val="808080" w:themeColor="background1" w:themeShade="80"/>
          <w:sz w:val="22"/>
          <w:szCs w:val="22"/>
          <w:lang w:val="en-GB"/>
        </w:rPr>
      </w:pPr>
    </w:p>
    <w:p w14:paraId="5DF44B36" w14:textId="798FE326" w:rsidR="006D138F" w:rsidRDefault="006D138F" w:rsidP="00AD5F1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 unlike </w:t>
      </w:r>
      <w:r>
        <w:rPr>
          <w:rFonts w:ascii="Avenir Next" w:hAnsi="Avenir Next" w:cs="Arial"/>
          <w:i/>
          <w:color w:val="808080" w:themeColor="background1" w:themeShade="80"/>
          <w:sz w:val="22"/>
          <w:szCs w:val="22"/>
          <w:lang w:val="en-GB"/>
        </w:rPr>
        <w:t>Pan Ocean</w:t>
      </w:r>
      <w:r>
        <w:rPr>
          <w:rFonts w:ascii="Avenir Next" w:hAnsi="Avenir Next" w:cs="Arial"/>
          <w:color w:val="808080" w:themeColor="background1" w:themeShade="80"/>
          <w:sz w:val="22"/>
          <w:szCs w:val="22"/>
          <w:lang w:val="en-GB"/>
        </w:rPr>
        <w:t>, the request is only f</w:t>
      </w:r>
      <w:r w:rsidR="00FD6A79">
        <w:rPr>
          <w:rFonts w:ascii="Avenir Next" w:hAnsi="Avenir Next" w:cs="Arial"/>
          <w:color w:val="808080" w:themeColor="background1" w:themeShade="80"/>
          <w:sz w:val="22"/>
          <w:szCs w:val="22"/>
          <w:lang w:val="en-GB"/>
        </w:rPr>
        <w:t>or the US Court to apply US law to US contracts.</w:t>
      </w:r>
    </w:p>
    <w:p w14:paraId="6351CAA8" w14:textId="1C746ECF" w:rsidR="006D138F" w:rsidRDefault="006D138F" w:rsidP="00AD5F11">
      <w:pPr>
        <w:ind w:left="720"/>
        <w:jc w:val="both"/>
        <w:rPr>
          <w:rFonts w:ascii="Avenir Next" w:hAnsi="Avenir Next" w:cs="Arial"/>
          <w:color w:val="808080" w:themeColor="background1" w:themeShade="80"/>
          <w:sz w:val="22"/>
          <w:szCs w:val="22"/>
          <w:lang w:val="en-GB"/>
        </w:rPr>
      </w:pPr>
    </w:p>
    <w:p w14:paraId="39CBB0D9" w14:textId="762ADB8C" w:rsidR="006D138F" w:rsidRPr="006D138F" w:rsidRDefault="006D138F" w:rsidP="00AD5F1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Given the above, and because there is a current delay to the recognition hearing in the US, the representative should consider is there is a way to expedite the hearing to request the relief prior to any termination notices are served.</w:t>
      </w:r>
      <w:r w:rsidR="00AB536F">
        <w:rPr>
          <w:rFonts w:ascii="Avenir Next" w:hAnsi="Avenir Next" w:cs="Arial"/>
          <w:color w:val="808080" w:themeColor="background1" w:themeShade="80"/>
          <w:sz w:val="22"/>
          <w:szCs w:val="22"/>
          <w:lang w:val="en-GB"/>
        </w:rPr>
        <w:t xml:space="preserve"> The court should be able to grant the relief / recognition at an earlier date provided that interested parties such as the counterparties to the leases and the IP licences are protected.</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770484FB" w:rsidR="00867A8F" w:rsidRDefault="009D0FD4"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for recognition to be provided under the Model Law, the foreign representative should have referred to Article 15 which sets out the requirements.</w:t>
      </w:r>
    </w:p>
    <w:p w14:paraId="036E90CA" w14:textId="46A8A1D9" w:rsidR="009D0FD4" w:rsidRDefault="009D0FD4" w:rsidP="009D0FD4">
      <w:pPr>
        <w:ind w:left="720"/>
        <w:jc w:val="both"/>
        <w:rPr>
          <w:rFonts w:ascii="Avenir Next" w:hAnsi="Avenir Next" w:cs="Arial"/>
          <w:color w:val="808080" w:themeColor="background1" w:themeShade="80"/>
          <w:sz w:val="22"/>
          <w:szCs w:val="22"/>
          <w:lang w:val="en-GB"/>
        </w:rPr>
      </w:pPr>
    </w:p>
    <w:p w14:paraId="4E55DBAC" w14:textId="2A37F0AC" w:rsidR="009D0FD4" w:rsidRDefault="009D0FD4"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15 sets out that an application must include:</w:t>
      </w:r>
    </w:p>
    <w:p w14:paraId="572E6FF8" w14:textId="7BE1EB81" w:rsidR="009D0FD4" w:rsidRDefault="009D0FD4"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a copy of the decision commencing the foreign proceeding and appointing the foreign representative; or</w:t>
      </w:r>
    </w:p>
    <w:p w14:paraId="6C3C8749" w14:textId="6F426D49" w:rsidR="009D0FD4" w:rsidRDefault="009D0FD4"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 a certificate which affirms the foreign proceedings and the appointment of the representative; or</w:t>
      </w:r>
    </w:p>
    <w:p w14:paraId="62676CDF" w14:textId="0B9991FA" w:rsidR="009D0FD4" w:rsidRDefault="009D0FD4"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 if the above cannot be satisfied, then any other evidence acceptable to the court of the existence of the proceedings and the appointment.</w:t>
      </w:r>
    </w:p>
    <w:p w14:paraId="1D81E17D" w14:textId="3E892FE0" w:rsidR="008534A6" w:rsidRDefault="008534A6" w:rsidP="009D0FD4">
      <w:pPr>
        <w:ind w:left="720"/>
        <w:jc w:val="both"/>
        <w:rPr>
          <w:rFonts w:ascii="Avenir Next" w:hAnsi="Avenir Next" w:cs="Arial"/>
          <w:color w:val="808080" w:themeColor="background1" w:themeShade="80"/>
          <w:sz w:val="22"/>
          <w:szCs w:val="22"/>
          <w:lang w:val="en-GB"/>
        </w:rPr>
      </w:pPr>
    </w:p>
    <w:p w14:paraId="2FFE8AF4" w14:textId="7A9DC890" w:rsidR="008534A6" w:rsidRDefault="008534A6"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 insolvency proceeding is only pending, the foreign representative should wait until the proceeding has commenced / they have been appointed by the court before commencing in the first place before re-submitting a recognition application.</w:t>
      </w:r>
    </w:p>
    <w:p w14:paraId="0CB5A9D7" w14:textId="17533D07" w:rsidR="009D0FD4" w:rsidRDefault="009D0FD4" w:rsidP="009D0FD4">
      <w:pPr>
        <w:ind w:left="720"/>
        <w:jc w:val="both"/>
        <w:rPr>
          <w:rFonts w:ascii="Avenir Next" w:hAnsi="Avenir Next" w:cs="Arial"/>
          <w:color w:val="808080" w:themeColor="background1" w:themeShade="80"/>
          <w:sz w:val="22"/>
          <w:szCs w:val="22"/>
          <w:lang w:val="en-GB"/>
        </w:rPr>
      </w:pPr>
    </w:p>
    <w:p w14:paraId="6F58E2DF" w14:textId="64E7030C" w:rsidR="009D0FD4" w:rsidRDefault="009D0FD4" w:rsidP="009D0F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In order to recognise the proceedings as foreign main proceedings in Country B, courts will look to where the centre of main interests are which are predominantly determined by the location where the administration of the debtor takes place which can be determined by the creditors.</w:t>
      </w:r>
      <w:r w:rsidR="00AE08BC">
        <w:rPr>
          <w:rFonts w:ascii="Avenir Next" w:hAnsi="Avenir Next" w:cs="Arial"/>
          <w:color w:val="808080" w:themeColor="background1" w:themeShade="80"/>
          <w:sz w:val="22"/>
          <w:szCs w:val="22"/>
          <w:lang w:val="en-GB"/>
        </w:rPr>
        <w:t xml:space="preserve"> As mentioned, the debtor only has its registered office in Country A, therefore, court in Country B may have looked to other additional factors to determine where the COMI of the debtor is. The foreign representative should look at other factors to which courts may use to determine its COM</w:t>
      </w:r>
      <w:r w:rsidR="008534A6">
        <w:rPr>
          <w:rFonts w:ascii="Avenir Next" w:hAnsi="Avenir Next" w:cs="Arial"/>
          <w:color w:val="808080" w:themeColor="background1" w:themeShade="80"/>
          <w:sz w:val="22"/>
          <w:szCs w:val="22"/>
          <w:lang w:val="en-GB"/>
        </w:rPr>
        <w:t>I to determine if Country A should actually be the place of foreign main proceedings.</w:t>
      </w:r>
    </w:p>
    <w:p w14:paraId="5DE18E31" w14:textId="67DAAD22" w:rsidR="009D0FD4" w:rsidRDefault="009D0FD4" w:rsidP="009D0FD4">
      <w:pPr>
        <w:ind w:left="720"/>
        <w:jc w:val="both"/>
        <w:rPr>
          <w:rFonts w:ascii="Avenir Next" w:hAnsi="Avenir Next" w:cs="Arial"/>
          <w:color w:val="808080" w:themeColor="background1" w:themeShade="80"/>
          <w:sz w:val="22"/>
          <w:szCs w:val="22"/>
          <w:lang w:val="en-GB"/>
        </w:rPr>
      </w:pPr>
    </w:p>
    <w:p w14:paraId="4B30DCF3" w14:textId="77777777" w:rsidR="009D0FD4" w:rsidRPr="00B77352" w:rsidRDefault="009D0FD4" w:rsidP="009D0FD4">
      <w:pPr>
        <w:ind w:left="720"/>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w:t>
      </w:r>
      <w:r w:rsidRPr="00B84117">
        <w:rPr>
          <w:rFonts w:ascii="Avenir Next" w:hAnsi="Avenir Next"/>
          <w:sz w:val="22"/>
          <w:szCs w:val="28"/>
        </w:rPr>
        <w:t xml:space="preserve">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3" w:name="_Hlk97111003"/>
      <w:r w:rsidRPr="00B84117">
        <w:rPr>
          <w:rFonts w:ascii="Avenir Next" w:hAnsi="Avenir Next"/>
          <w:sz w:val="22"/>
          <w:szCs w:val="28"/>
        </w:rPr>
        <w:t>Globe Holdings</w:t>
      </w:r>
      <w:bookmarkEnd w:id="3"/>
      <w:r w:rsidRPr="00B84117">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B84117">
        <w:rPr>
          <w:rFonts w:ascii="Avenir Next" w:hAnsi="Avenir Next"/>
          <w:sz w:val="22"/>
          <w:szCs w:val="28"/>
        </w:rPr>
        <w:t xml:space="preserve"> Globe Holdings has a bank account (opened just a few days ago) in the Cayman Islands from which it pays certain of its operating expenses.</w:t>
      </w:r>
      <w:r w:rsidRPr="00E61F6E">
        <w:rPr>
          <w:rFonts w:ascii="Avenir Next" w:hAnsi="Avenir Next"/>
          <w:sz w:val="22"/>
          <w:szCs w:val="28"/>
        </w:rPr>
        <w:t xml:space="preserve">  </w:t>
      </w:r>
      <w:r w:rsidRPr="00B84117">
        <w:rPr>
          <w:rFonts w:ascii="Avenir Next" w:hAnsi="Avenir Next"/>
          <w:sz w:val="22"/>
          <w:szCs w:val="28"/>
        </w:rPr>
        <w:t>Globe Holdings often holds its board meetings virtually, and not physically in the Cayman Islands, and, having obtained support for a bond restructuring, all its regular and special board meetings have been organi</w:t>
      </w:r>
      <w:r w:rsidR="00B66441" w:rsidRPr="00B84117">
        <w:rPr>
          <w:rFonts w:ascii="Avenir Next" w:hAnsi="Avenir Next"/>
          <w:sz w:val="22"/>
          <w:szCs w:val="28"/>
        </w:rPr>
        <w:t>z</w:t>
      </w:r>
      <w:r w:rsidRPr="00B84117">
        <w:rPr>
          <w:rFonts w:ascii="Avenir Next" w:hAnsi="Avenir Next"/>
          <w:sz w:val="22"/>
          <w:szCs w:val="28"/>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Pr="00B84117" w:rsidRDefault="009E3CA7" w:rsidP="009E3CA7">
      <w:pPr>
        <w:jc w:val="both"/>
        <w:rPr>
          <w:rFonts w:ascii="Avenir Next" w:hAnsi="Avenir Next"/>
          <w:sz w:val="22"/>
          <w:szCs w:val="28"/>
        </w:rPr>
      </w:pPr>
      <w:r w:rsidRPr="00B84117">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B84117"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B84117">
        <w:rPr>
          <w:rFonts w:ascii="Avenir Next" w:hAnsi="Avenir Next"/>
          <w:sz w:val="22"/>
          <w:szCs w:val="28"/>
        </w:rPr>
        <w:t>In April 2017, Globe Holdings offered and issued USD 25,000,000 in aggregate nominal principal amount of 6.625% senior unsecured notes due in 2023 (referenced above as the Notes)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In 2019, Globe Holdings recorded on its consolidated balance sheet a significant increase in </w:t>
      </w:r>
      <w:r w:rsidRPr="00A7521A">
        <w:rPr>
          <w:rFonts w:ascii="Avenir Next" w:hAnsi="Avenir Next"/>
          <w:sz w:val="22"/>
          <w:szCs w:val="28"/>
          <w:lang w:val="en-GB"/>
        </w:rPr>
        <w:t>liabilities.</w:t>
      </w:r>
      <w:r w:rsidRPr="00A7521A">
        <w:rPr>
          <w:rFonts w:ascii="Avenir Next" w:hAnsi="Avenir Next"/>
          <w:sz w:val="22"/>
          <w:szCs w:val="28"/>
        </w:rPr>
        <w:t xml:space="preserve"> </w:t>
      </w:r>
      <w:r w:rsidRPr="00A7521A">
        <w:rPr>
          <w:rFonts w:ascii="Avenir Next" w:hAnsi="Avenir Next"/>
          <w:sz w:val="22"/>
          <w:szCs w:val="28"/>
          <w:lang w:val="en-GB"/>
        </w:rPr>
        <w:t xml:space="preserve">As a result, Globe Holdings worked with external professional advisors to undertake a formal strategic evaluation of its subsidiaries’ businesses.  </w:t>
      </w:r>
      <w:r w:rsidRPr="00A7521A">
        <w:rPr>
          <w:rFonts w:ascii="Avenir Next" w:hAnsi="Avenir Next"/>
          <w:sz w:val="22"/>
          <w:szCs w:val="28"/>
        </w:rPr>
        <w:t xml:space="preserve">In September 2020, </w:t>
      </w:r>
      <w:r w:rsidRPr="00A7521A">
        <w:rPr>
          <w:rFonts w:ascii="Avenir Next" w:hAnsi="Avenir Next"/>
          <w:sz w:val="22"/>
          <w:szCs w:val="28"/>
          <w:lang w:val="en-GB"/>
        </w:rPr>
        <w:t xml:space="preserve">Globe Holdings </w:t>
      </w:r>
      <w:r w:rsidRPr="00A7521A">
        <w:rPr>
          <w:rFonts w:ascii="Avenir Next" w:hAnsi="Avenir Next"/>
          <w:sz w:val="22"/>
          <w:szCs w:val="28"/>
        </w:rPr>
        <w:t xml:space="preserve">announced that it was informed its shares would be suspended from the </w:t>
      </w:r>
      <w:r w:rsidRPr="00A7521A">
        <w:rPr>
          <w:rFonts w:ascii="Avenir Next" w:hAnsi="Avenir Next"/>
          <w:sz w:val="22"/>
          <w:szCs w:val="28"/>
        </w:rPr>
        <w:lastRenderedPageBreak/>
        <w:t>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A7521A">
        <w:rPr>
          <w:rFonts w:ascii="Avenir Next" w:hAnsi="Avenir Next"/>
          <w:sz w:val="22"/>
          <w:szCs w:val="28"/>
        </w:rPr>
        <w:t>An independent third party is actively marketing the sale of the corporate headquarters located in New York including the land, building, building improvements and contents including furniture and fixtures.</w:t>
      </w:r>
      <w:r w:rsidRPr="00E61F6E">
        <w:rPr>
          <w:rFonts w:ascii="Avenir Next" w:hAnsi="Avenir Next"/>
          <w:sz w:val="22"/>
          <w:szCs w:val="28"/>
        </w:rPr>
        <w:t xml:space="preserve">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w:t>
      </w:r>
      <w:r w:rsidRPr="00A7521A">
        <w:rPr>
          <w:rFonts w:ascii="Avenir Next" w:hAnsi="Avenir Next"/>
          <w:sz w:val="22"/>
          <w:szCs w:val="28"/>
        </w:rPr>
        <w:t xml:space="preserve">in </w:t>
      </w:r>
      <w:r w:rsidRPr="00A7521A">
        <w:rPr>
          <w:rFonts w:ascii="Avenir Next" w:hAnsi="Avenir Next"/>
          <w:sz w:val="22"/>
          <w:szCs w:val="28"/>
          <w:lang w:val="en-GB"/>
        </w:rPr>
        <w:t xml:space="preserve">Globe Holdings </w:t>
      </w:r>
      <w:r w:rsidRPr="00A7521A">
        <w:rPr>
          <w:rFonts w:ascii="Avenir Next" w:hAnsi="Avenir Next"/>
          <w:sz w:val="22"/>
          <w:szCs w:val="28"/>
        </w:rPr>
        <w:t>being both cash flow and balance sheet insolvent</w:t>
      </w:r>
      <w:r w:rsidRPr="00E61F6E">
        <w:rPr>
          <w:rFonts w:ascii="Avenir Next" w:hAnsi="Avenir Next"/>
          <w:sz w:val="22"/>
          <w:szCs w:val="28"/>
        </w:rPr>
        <w:t xml:space="preserve">.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A7521A">
        <w:rPr>
          <w:rFonts w:ascii="Avenir Next" w:hAnsi="Avenir Next"/>
          <w:sz w:val="22"/>
          <w:szCs w:val="28"/>
          <w:lang w:val="en-GB"/>
        </w:rPr>
        <w:t xml:space="preserve">Globe Holdings </w:t>
      </w:r>
      <w:r w:rsidRPr="00A7521A">
        <w:rPr>
          <w:rFonts w:ascii="Avenir Next" w:hAnsi="Avenir Next"/>
          <w:sz w:val="22"/>
          <w:szCs w:val="28"/>
        </w:rPr>
        <w:t>retained Cedar and Woods, its long-standing Cayman Islands counsel, to advise on restructuring alternatives. Upon</w:t>
      </w:r>
      <w:r w:rsidRPr="00E61F6E">
        <w:rPr>
          <w:rFonts w:ascii="Avenir Next" w:hAnsi="Avenir Next"/>
          <w:sz w:val="22"/>
          <w:szCs w:val="28"/>
        </w:rPr>
        <w:t xml:space="preserve"> consultations with Cayman counsel and its other professionals, </w:t>
      </w:r>
      <w:r w:rsidRPr="00A7521A">
        <w:rPr>
          <w:rFonts w:ascii="Avenir Next" w:hAnsi="Avenir Next"/>
          <w:sz w:val="22"/>
          <w:szCs w:val="28"/>
          <w:lang w:val="en-GB"/>
        </w:rPr>
        <w:t xml:space="preserve">Globe Holdings </w:t>
      </w:r>
      <w:r w:rsidRPr="00A7521A">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w:t>
      </w:r>
      <w:r w:rsidRPr="00E61F6E">
        <w:rPr>
          <w:rFonts w:ascii="Avenir Next" w:hAnsi="Avenir Next"/>
          <w:sz w:val="22"/>
          <w:szCs w:val="28"/>
        </w:rPr>
        <w:t xml:space="preserve">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w:t>
      </w:r>
      <w:r w:rsidRPr="00A7521A">
        <w:rPr>
          <w:rFonts w:ascii="Avenir Next" w:hAnsi="Avenir Next"/>
          <w:sz w:val="22"/>
          <w:szCs w:val="28"/>
        </w:rPr>
        <w:t>delay interest payments and restructure the Notes through a formal proceeding. Thereafter, on August 31, 2021, about 57% of the Noteholders acceded to the Restructuring Support Agreement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ed the agreed-upon terms of the Note Restructuring</w:t>
      </w:r>
      <w:r w:rsidRPr="00A7521A">
        <w:rPr>
          <w:rFonts w:ascii="Avenir Next" w:hAnsi="Avenir Next"/>
          <w:sz w:val="22"/>
          <w:szCs w:val="28"/>
        </w:rPr>
        <w:t xml:space="preserve">. When </w:t>
      </w:r>
      <w:r w:rsidRPr="00A7521A">
        <w:rPr>
          <w:rFonts w:ascii="Avenir Next" w:hAnsi="Avenir Next"/>
          <w:sz w:val="22"/>
          <w:szCs w:val="28"/>
          <w:lang w:val="en-GB"/>
        </w:rPr>
        <w:t xml:space="preserve">Globe Holdings </w:t>
      </w:r>
      <w:r w:rsidRPr="00A7521A">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w:t>
      </w:r>
      <w:r w:rsidRPr="00A7521A">
        <w:rPr>
          <w:rFonts w:ascii="Avenir Next" w:hAnsi="Avenir Next"/>
          <w:sz w:val="22"/>
          <w:szCs w:val="28"/>
        </w:rPr>
        <w:t>the client, in accordance with the terms of the RSA, applied to the Cayman Court for permission to convene a single scheme meeting on the basis that the Noteholders, as the only Scheme Creditors, should</w:t>
      </w:r>
      <w:r w:rsidRPr="00E61F6E">
        <w:rPr>
          <w:rFonts w:ascii="Avenir Next" w:hAnsi="Avenir Next"/>
          <w:sz w:val="22"/>
          <w:szCs w:val="28"/>
        </w:rPr>
        <w:t xml:space="preserve">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Pr="00BB4CC7" w:rsidRDefault="009E3CA7" w:rsidP="009E3CA7">
      <w:pPr>
        <w:jc w:val="both"/>
        <w:rPr>
          <w:rFonts w:ascii="Avenir Next" w:hAnsi="Avenir Next"/>
          <w:sz w:val="22"/>
          <w:szCs w:val="28"/>
        </w:rPr>
      </w:pPr>
      <w:r w:rsidRPr="00E61F6E">
        <w:rPr>
          <w:rFonts w:ascii="Avenir Next" w:hAnsi="Avenir Next"/>
          <w:sz w:val="22"/>
          <w:szCs w:val="28"/>
        </w:rPr>
        <w:t xml:space="preserve">On July 26, 2023 the </w:t>
      </w:r>
      <w:r w:rsidRPr="00A7521A">
        <w:rPr>
          <w:rFonts w:ascii="Avenir Next" w:hAnsi="Avenir Next"/>
          <w:sz w:val="22"/>
          <w:szCs w:val="28"/>
        </w:rPr>
        <w:t>Cayman Court entered a convening order (the Convening Order) on the papers, among other things, authori</w:t>
      </w:r>
      <w:r w:rsidR="00B66441" w:rsidRPr="00A7521A">
        <w:rPr>
          <w:rFonts w:ascii="Avenir Next" w:hAnsi="Avenir Next"/>
          <w:sz w:val="22"/>
          <w:szCs w:val="28"/>
        </w:rPr>
        <w:t>z</w:t>
      </w:r>
      <w:r w:rsidRPr="00A7521A">
        <w:rPr>
          <w:rFonts w:ascii="Avenir Next" w:hAnsi="Avenir Next"/>
          <w:sz w:val="22"/>
          <w:szCs w:val="28"/>
        </w:rPr>
        <w:t>ing the client to convene a single Scheme Meeting for the purpose of considering and, through a majority vote, approving, with or without modification, the Scheme.  The Scheme Meeting was held in the Cayman Islands at the offices of Cedar and Woods.</w:t>
      </w:r>
      <w:r w:rsidRPr="00A7521A">
        <w:rPr>
          <w:rFonts w:ascii="Avenir Next" w:hAnsi="Avenir Next"/>
          <w:sz w:val="22"/>
          <w:szCs w:val="28"/>
          <w:vertAlign w:val="superscript"/>
        </w:rPr>
        <w:t xml:space="preserve"> </w:t>
      </w:r>
      <w:r w:rsidRPr="00A7521A">
        <w:rPr>
          <w:rFonts w:ascii="Avenir Next" w:hAnsi="Avenir Next"/>
          <w:sz w:val="22"/>
          <w:szCs w:val="28"/>
        </w:rPr>
        <w:t xml:space="preserve">Given the Covid-19 pandemic, Scheme Creditors were also afforded the convenience of observing the Scheme Meeting via Zoom and in person via a satellite </w:t>
      </w:r>
      <w:r w:rsidRPr="00BB4CC7">
        <w:rPr>
          <w:rFonts w:ascii="Avenir Next" w:hAnsi="Avenir Next"/>
          <w:sz w:val="22"/>
          <w:szCs w:val="28"/>
        </w:rPr>
        <w:t>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Pr="00BB4CC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sidRPr="00BB4CC7">
        <w:rPr>
          <w:rFonts w:ascii="Avenir Next" w:hAnsi="Avenir Next"/>
          <w:sz w:val="22"/>
          <w:szCs w:val="28"/>
        </w:rPr>
        <w:t>During all of this time, a class action litigation was in the US was brewing but has been filed yet.</w:t>
      </w:r>
      <w:r>
        <w:rPr>
          <w:rFonts w:ascii="Avenir Next" w:hAnsi="Avenir Next"/>
          <w:sz w:val="22"/>
          <w:szCs w:val="28"/>
        </w:rPr>
        <w:t xml:space="preserve"> </w:t>
      </w:r>
    </w:p>
    <w:p w14:paraId="36BAA1A4" w14:textId="77777777" w:rsidR="009E3CA7" w:rsidRDefault="009E3CA7" w:rsidP="009E3CA7">
      <w:pPr>
        <w:jc w:val="both"/>
        <w:rPr>
          <w:rFonts w:ascii="Avenir Next" w:hAnsi="Avenir Next"/>
          <w:sz w:val="22"/>
          <w:szCs w:val="28"/>
        </w:rPr>
      </w:pPr>
    </w:p>
    <w:p w14:paraId="4458C4F8" w14:textId="77777777" w:rsidR="00741DA7" w:rsidRPr="00741DA7" w:rsidRDefault="00741DA7" w:rsidP="00741DA7">
      <w:pPr>
        <w:ind w:left="720"/>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t>It will be important for the business that breathing space is given to the company so that it can complete the scheme in order to bring the company back to a solvent position / sell its assets in an ordinary manner without the spectre of the potential lawsuit.</w:t>
      </w:r>
    </w:p>
    <w:p w14:paraId="55490967" w14:textId="77777777" w:rsidR="00741DA7" w:rsidRDefault="00741DA7" w:rsidP="00B5109C">
      <w:pPr>
        <w:ind w:firstLine="720"/>
        <w:jc w:val="both"/>
        <w:rPr>
          <w:rFonts w:ascii="Avenir Next" w:hAnsi="Avenir Next"/>
          <w:color w:val="808080" w:themeColor="background1" w:themeShade="80"/>
          <w:sz w:val="22"/>
          <w:szCs w:val="28"/>
        </w:rPr>
      </w:pPr>
    </w:p>
    <w:p w14:paraId="66846E6E" w14:textId="77777777" w:rsidR="00741DA7" w:rsidRDefault="00741DA7" w:rsidP="00B5109C">
      <w:pPr>
        <w:ind w:firstLine="720"/>
        <w:jc w:val="both"/>
        <w:rPr>
          <w:rFonts w:ascii="Avenir Next" w:hAnsi="Avenir Next"/>
          <w:color w:val="808080" w:themeColor="background1" w:themeShade="80"/>
          <w:sz w:val="22"/>
          <w:szCs w:val="28"/>
        </w:rPr>
      </w:pPr>
    </w:p>
    <w:p w14:paraId="3B381349" w14:textId="4B325F72" w:rsidR="00B5109C" w:rsidRPr="00B84117" w:rsidRDefault="00B5109C" w:rsidP="00B5109C">
      <w:pPr>
        <w:ind w:firstLine="720"/>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Relevant jurisdictions in this example are the United States and Cayman.</w:t>
      </w:r>
    </w:p>
    <w:p w14:paraId="44417170" w14:textId="77777777" w:rsidR="00B5109C" w:rsidRPr="00B84117" w:rsidRDefault="00B5109C" w:rsidP="009E3CA7">
      <w:pPr>
        <w:jc w:val="both"/>
        <w:rPr>
          <w:rFonts w:ascii="Avenir Next" w:hAnsi="Avenir Next"/>
          <w:color w:val="808080" w:themeColor="background1" w:themeShade="80"/>
          <w:sz w:val="22"/>
          <w:szCs w:val="28"/>
        </w:rPr>
      </w:pPr>
    </w:p>
    <w:p w14:paraId="30D7E6F9" w14:textId="54F6934B" w:rsidR="009E3CA7" w:rsidRPr="00B84117" w:rsidRDefault="00B5109C" w:rsidP="00B5109C">
      <w:pPr>
        <w:ind w:left="720"/>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lastRenderedPageBreak/>
        <w:t>The COMI of the Group can be determined initially under the Model Law by determining where the administration of the debtor takes place which is ascertainable by the creditors of the debtor. In this case, factors which would favour Cayman as the COMI would be:</w:t>
      </w:r>
    </w:p>
    <w:p w14:paraId="127D93D1" w14:textId="6006B5E9" w:rsidR="00B5109C" w:rsidRPr="00B84117" w:rsidRDefault="00B84117" w:rsidP="00B5109C">
      <w:pPr>
        <w:pStyle w:val="ListParagraph"/>
        <w:numPr>
          <w:ilvl w:val="0"/>
          <w:numId w:val="20"/>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Globe Holdings provided various notices of its re-incorporation, including in the public filings with the Securities and Exchange Commission (SEC) when it moved to Cayman.</w:t>
      </w:r>
    </w:p>
    <w:p w14:paraId="7C7D8F72" w14:textId="395D6689" w:rsidR="00B84117" w:rsidRPr="00B84117" w:rsidRDefault="00B84117" w:rsidP="00B5109C">
      <w:pPr>
        <w:pStyle w:val="ListParagraph"/>
        <w:numPr>
          <w:ilvl w:val="0"/>
          <w:numId w:val="20"/>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Globe Holdings has a bank account (opened just a few days ago) in the Cayman Islands from which it pays certain of its operating expenses although it does not help that it was only opened a few days ago.</w:t>
      </w:r>
    </w:p>
    <w:p w14:paraId="4F335B61" w14:textId="1E911F5B" w:rsidR="00B84117" w:rsidRPr="00B84117" w:rsidRDefault="00B84117" w:rsidP="00B5109C">
      <w:pPr>
        <w:pStyle w:val="ListParagraph"/>
        <w:numPr>
          <w:ilvl w:val="0"/>
          <w:numId w:val="20"/>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All its regular and special board meetings have been organized by its local Cayman counsel but this is not helped by the fact that all meetings take place virtually.</w:t>
      </w:r>
    </w:p>
    <w:p w14:paraId="406CAB25" w14:textId="63EF3406" w:rsidR="00B84117" w:rsidRPr="00B84117" w:rsidRDefault="00B84117" w:rsidP="00B5109C">
      <w:pPr>
        <w:pStyle w:val="ListParagraph"/>
        <w:numPr>
          <w:ilvl w:val="0"/>
          <w:numId w:val="20"/>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The client also maintains its books and records in the Cayman Islands.</w:t>
      </w:r>
    </w:p>
    <w:p w14:paraId="6AABAF7B" w14:textId="5642CBA3" w:rsidR="00B84117" w:rsidRDefault="00B84117" w:rsidP="00B5109C">
      <w:pPr>
        <w:pStyle w:val="ListParagraph"/>
        <w:numPr>
          <w:ilvl w:val="0"/>
          <w:numId w:val="20"/>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 which assists with the argument that creditors would be able to determine that the Group’s COMI was in Cayman.</w:t>
      </w:r>
    </w:p>
    <w:p w14:paraId="5B8B03F4" w14:textId="01CF1486" w:rsidR="00B84117" w:rsidRDefault="00B84117" w:rsidP="00B5109C">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lawyers of the business have been the same in the Cayman for a long period of time.</w:t>
      </w:r>
    </w:p>
    <w:p w14:paraId="0052F7C7" w14:textId="251E028A" w:rsidR="00617E6D" w:rsidRPr="00B84117" w:rsidRDefault="00617E6D" w:rsidP="00B5109C">
      <w:pPr>
        <w:pStyle w:val="ListParagraph"/>
        <w:numPr>
          <w:ilvl w:val="0"/>
          <w:numId w:val="2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expectation of the company’s largest shareholders was that the restructuring would take place in the Cayman Islands.</w:t>
      </w:r>
    </w:p>
    <w:p w14:paraId="19B4F329" w14:textId="60FE7032" w:rsidR="00B84117" w:rsidRPr="00B84117" w:rsidRDefault="00B84117" w:rsidP="00B84117">
      <w:pPr>
        <w:jc w:val="both"/>
        <w:rPr>
          <w:rFonts w:ascii="Avenir Next" w:hAnsi="Avenir Next"/>
          <w:color w:val="808080" w:themeColor="background1" w:themeShade="80"/>
          <w:sz w:val="22"/>
          <w:szCs w:val="28"/>
        </w:rPr>
      </w:pPr>
    </w:p>
    <w:p w14:paraId="1C230D8D" w14:textId="34C11FCA" w:rsidR="00B84117" w:rsidRPr="00B84117" w:rsidRDefault="00B84117" w:rsidP="00B84117">
      <w:pPr>
        <w:ind w:left="720"/>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Despite these factors, there are also reasons to believe that the COMI is actually in the United States:</w:t>
      </w:r>
    </w:p>
    <w:p w14:paraId="13A77983" w14:textId="52470211" w:rsidR="00B84117" w:rsidRPr="00B84117" w:rsidRDefault="00B84117" w:rsidP="00B84117">
      <w:pPr>
        <w:pStyle w:val="ListParagraph"/>
        <w:numPr>
          <w:ilvl w:val="0"/>
          <w:numId w:val="22"/>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Globe Holdings has no business operations of its own in the Cayman.</w:t>
      </w:r>
    </w:p>
    <w:p w14:paraId="109EA6A8" w14:textId="77777777" w:rsidR="00B84117" w:rsidRPr="00B84117" w:rsidRDefault="00B84117" w:rsidP="00B84117">
      <w:pPr>
        <w:pStyle w:val="ListParagraph"/>
        <w:numPr>
          <w:ilvl w:val="0"/>
          <w:numId w:val="22"/>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 xml:space="preserve">The business is carried out through entities that are all incorporated under the US laws and operating in the US. </w:t>
      </w:r>
    </w:p>
    <w:p w14:paraId="3ACB2122" w14:textId="77777777" w:rsidR="00B84117" w:rsidRPr="00B84117" w:rsidRDefault="00B84117" w:rsidP="00B84117">
      <w:pPr>
        <w:pStyle w:val="ListParagraph"/>
        <w:numPr>
          <w:ilvl w:val="0"/>
          <w:numId w:val="22"/>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 xml:space="preserve">All employees are in the US. </w:t>
      </w:r>
    </w:p>
    <w:p w14:paraId="183FF883" w14:textId="669F5F5D" w:rsidR="00B84117" w:rsidRPr="00B84117" w:rsidRDefault="00B84117" w:rsidP="00B84117">
      <w:pPr>
        <w:pStyle w:val="ListParagraph"/>
        <w:numPr>
          <w:ilvl w:val="0"/>
          <w:numId w:val="22"/>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The headquarters are also in the US (the place of where commercial policy was determined).</w:t>
      </w:r>
    </w:p>
    <w:p w14:paraId="5CA3B2B4" w14:textId="4EE344AC" w:rsidR="00B84117" w:rsidRPr="00741DA7" w:rsidRDefault="00B84117" w:rsidP="00B84117">
      <w:pPr>
        <w:pStyle w:val="ListParagraph"/>
        <w:numPr>
          <w:ilvl w:val="0"/>
          <w:numId w:val="22"/>
        </w:numPr>
        <w:jc w:val="both"/>
        <w:rPr>
          <w:rFonts w:ascii="Avenir Next" w:hAnsi="Avenir Next"/>
          <w:color w:val="808080" w:themeColor="background1" w:themeShade="80"/>
          <w:sz w:val="22"/>
          <w:szCs w:val="28"/>
        </w:rPr>
      </w:pPr>
      <w:r w:rsidRPr="00B84117">
        <w:rPr>
          <w:rFonts w:ascii="Avenir Next" w:hAnsi="Avenir Next"/>
          <w:color w:val="808080" w:themeColor="background1" w:themeShade="80"/>
          <w:sz w:val="22"/>
          <w:szCs w:val="28"/>
        </w:rPr>
        <w:t xml:space="preserve">Financing of the business took place in the US with the 6.625% senior </w:t>
      </w:r>
      <w:r w:rsidRPr="00741DA7">
        <w:rPr>
          <w:rFonts w:ascii="Avenir Next" w:hAnsi="Avenir Next"/>
          <w:color w:val="808080" w:themeColor="background1" w:themeShade="80"/>
          <w:sz w:val="22"/>
          <w:szCs w:val="28"/>
        </w:rPr>
        <w:t>unsecured notes due in 2023 under US law (which is where disputes would be heard) and the shares of the business are listed in the US.</w:t>
      </w:r>
    </w:p>
    <w:p w14:paraId="7FCE4A94" w14:textId="33A2A850" w:rsidR="00B84117" w:rsidRPr="00741DA7" w:rsidRDefault="00B84117" w:rsidP="00B84117">
      <w:pPr>
        <w:pStyle w:val="ListParagraph"/>
        <w:numPr>
          <w:ilvl w:val="0"/>
          <w:numId w:val="22"/>
        </w:numPr>
        <w:jc w:val="both"/>
        <w:rPr>
          <w:rFonts w:ascii="Avenir Next" w:hAnsi="Avenir Next"/>
          <w:color w:val="808080" w:themeColor="background1" w:themeShade="80"/>
          <w:sz w:val="22"/>
          <w:szCs w:val="28"/>
        </w:rPr>
      </w:pPr>
      <w:r w:rsidRPr="00741DA7">
        <w:rPr>
          <w:rFonts w:ascii="Avenir Next" w:hAnsi="Avenir Next"/>
          <w:color w:val="808080" w:themeColor="background1" w:themeShade="80"/>
          <w:sz w:val="22"/>
          <w:szCs w:val="28"/>
        </w:rPr>
        <w:t>Most regulation of the company would take place in the US.</w:t>
      </w:r>
    </w:p>
    <w:p w14:paraId="021FC44E" w14:textId="46B63F50" w:rsidR="00B84117" w:rsidRPr="00741DA7" w:rsidRDefault="00B84117" w:rsidP="00B84117">
      <w:pPr>
        <w:pStyle w:val="ListParagraph"/>
        <w:numPr>
          <w:ilvl w:val="0"/>
          <w:numId w:val="22"/>
        </w:numPr>
        <w:jc w:val="both"/>
        <w:rPr>
          <w:rFonts w:ascii="Avenir Next" w:hAnsi="Avenir Next"/>
          <w:color w:val="808080" w:themeColor="background1" w:themeShade="80"/>
          <w:sz w:val="22"/>
          <w:szCs w:val="28"/>
        </w:rPr>
      </w:pPr>
      <w:r w:rsidRPr="00741DA7">
        <w:rPr>
          <w:rFonts w:ascii="Avenir Next" w:hAnsi="Avenir Next"/>
          <w:color w:val="808080" w:themeColor="background1" w:themeShade="80"/>
          <w:sz w:val="22"/>
          <w:szCs w:val="28"/>
        </w:rPr>
        <w:t>It is likely that the law governing the preparation and audit of accounts of the main business entities would take place in the US.</w:t>
      </w:r>
    </w:p>
    <w:p w14:paraId="58A7C8BC" w14:textId="7DB604DC" w:rsidR="00617E6D" w:rsidRDefault="00617E6D" w:rsidP="00B84117">
      <w:pPr>
        <w:pStyle w:val="ListParagraph"/>
        <w:numPr>
          <w:ilvl w:val="0"/>
          <w:numId w:val="22"/>
        </w:numPr>
        <w:jc w:val="both"/>
        <w:rPr>
          <w:rFonts w:ascii="Avenir Next" w:hAnsi="Avenir Next"/>
          <w:color w:val="808080" w:themeColor="background1" w:themeShade="80"/>
          <w:sz w:val="22"/>
          <w:szCs w:val="28"/>
        </w:rPr>
      </w:pPr>
      <w:r w:rsidRPr="00741DA7">
        <w:rPr>
          <w:rFonts w:ascii="Avenir Next" w:hAnsi="Avenir Next"/>
          <w:color w:val="808080" w:themeColor="background1" w:themeShade="80"/>
          <w:sz w:val="22"/>
          <w:szCs w:val="28"/>
        </w:rPr>
        <w:t>Cayman is often referred to as a ‘letter-box jurisdiction’ because companies often lack substance.</w:t>
      </w:r>
    </w:p>
    <w:p w14:paraId="4AE56814" w14:textId="63D25E08" w:rsidR="00741DA7" w:rsidRPr="00741DA7" w:rsidRDefault="00741DA7" w:rsidP="00B84117">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RSA was governed by New York law.</w:t>
      </w:r>
    </w:p>
    <w:p w14:paraId="5070ED56" w14:textId="6285F062" w:rsidR="00A7521A" w:rsidRPr="00741DA7" w:rsidRDefault="00A7521A" w:rsidP="00A7521A">
      <w:pPr>
        <w:jc w:val="both"/>
        <w:rPr>
          <w:rFonts w:ascii="Avenir Next" w:hAnsi="Avenir Next"/>
          <w:color w:val="808080" w:themeColor="background1" w:themeShade="80"/>
          <w:sz w:val="22"/>
          <w:szCs w:val="28"/>
        </w:rPr>
      </w:pPr>
    </w:p>
    <w:p w14:paraId="4763B7F1" w14:textId="7D2CC7E3" w:rsidR="00A7521A" w:rsidRPr="00741DA7" w:rsidRDefault="00A7521A" w:rsidP="00A7521A">
      <w:pPr>
        <w:ind w:left="720"/>
        <w:jc w:val="both"/>
        <w:rPr>
          <w:rFonts w:ascii="Avenir Next" w:hAnsi="Avenir Next"/>
          <w:color w:val="808080" w:themeColor="background1" w:themeShade="80"/>
          <w:sz w:val="22"/>
          <w:szCs w:val="28"/>
        </w:rPr>
      </w:pPr>
      <w:r w:rsidRPr="00741DA7">
        <w:rPr>
          <w:rFonts w:ascii="Avenir Next" w:hAnsi="Avenir Next"/>
          <w:color w:val="808080" w:themeColor="background1" w:themeShade="80"/>
          <w:sz w:val="22"/>
          <w:szCs w:val="28"/>
        </w:rPr>
        <w:t>Based on the above, while there are factors which would suggest that the company’s COMI is in the US, given the disclosure to creditors of where the company was based in SEC / other public filings strongly suggests that the COMI of the business is in the Cayman Islands. However, it is important to consider the implications if the COMI was to be determined to be in the US but based on the above, it is likely the case that there is only an establishment in the US.</w:t>
      </w:r>
    </w:p>
    <w:p w14:paraId="43A441E9" w14:textId="235C4192" w:rsidR="00126E19" w:rsidRPr="00741DA7" w:rsidRDefault="00126E19" w:rsidP="00707FC8">
      <w:pPr>
        <w:jc w:val="both"/>
        <w:rPr>
          <w:rFonts w:ascii="Avenir Next" w:hAnsi="Avenir Next" w:cs="Arial"/>
          <w:color w:val="808080" w:themeColor="background1" w:themeShade="80"/>
          <w:sz w:val="22"/>
          <w:szCs w:val="22"/>
          <w:lang w:val="en-GB"/>
        </w:rPr>
      </w:pPr>
    </w:p>
    <w:p w14:paraId="4881273E" w14:textId="4C705644" w:rsidR="00A7521A" w:rsidRPr="00741DA7" w:rsidRDefault="00A7521A" w:rsidP="00A7521A">
      <w:pPr>
        <w:ind w:left="720"/>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t>Potential issues with the filing may include:</w:t>
      </w:r>
    </w:p>
    <w:p w14:paraId="0CAA45EC" w14:textId="5729D10B" w:rsidR="00A7521A" w:rsidRDefault="00A7521A" w:rsidP="00A7521A">
      <w:pPr>
        <w:pStyle w:val="ListParagraph"/>
        <w:numPr>
          <w:ilvl w:val="0"/>
          <w:numId w:val="23"/>
        </w:numPr>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lastRenderedPageBreak/>
        <w:t>Ensuring the assets (such as the headquarters) of the US are properly covered throughout the restructuring process given that the scheme is taking place in the Cayman Islands.</w:t>
      </w:r>
    </w:p>
    <w:p w14:paraId="7A456FD4" w14:textId="0199C356" w:rsidR="00DE58A6" w:rsidRPr="00741DA7" w:rsidRDefault="00DE58A6" w:rsidP="00A7521A">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Ensuring the assets which are planned to be sold can be sold.</w:t>
      </w:r>
    </w:p>
    <w:p w14:paraId="7D2EA8BE" w14:textId="7759C1EF" w:rsidR="00A7521A" w:rsidRPr="00741DA7" w:rsidRDefault="00A7521A" w:rsidP="00A7521A">
      <w:pPr>
        <w:pStyle w:val="ListParagraph"/>
        <w:numPr>
          <w:ilvl w:val="0"/>
          <w:numId w:val="23"/>
        </w:numPr>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t>There is a class action lawsuit in the US which has not yet been filed.</w:t>
      </w:r>
    </w:p>
    <w:p w14:paraId="400B6713" w14:textId="4EEFC166" w:rsidR="00A7521A" w:rsidRPr="00741DA7" w:rsidRDefault="00A7521A" w:rsidP="00A7521A">
      <w:pPr>
        <w:ind w:left="720"/>
        <w:jc w:val="both"/>
        <w:rPr>
          <w:rFonts w:ascii="Avenir Next" w:hAnsi="Avenir Next" w:cs="Arial"/>
          <w:color w:val="808080" w:themeColor="background1" w:themeShade="80"/>
          <w:sz w:val="22"/>
          <w:szCs w:val="22"/>
          <w:lang w:val="en-GB"/>
        </w:rPr>
      </w:pPr>
    </w:p>
    <w:p w14:paraId="5EDB3B2C" w14:textId="59F0309E" w:rsidR="00A7521A" w:rsidRPr="00741DA7" w:rsidRDefault="00A7521A" w:rsidP="00A7521A">
      <w:pPr>
        <w:ind w:left="720"/>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t xml:space="preserve">In order to ensure that the Cayman scheme is recognised in the US, </w:t>
      </w:r>
      <w:r w:rsidR="00617E6D" w:rsidRPr="00741DA7">
        <w:rPr>
          <w:rFonts w:ascii="Avenir Next" w:hAnsi="Avenir Next" w:cs="Arial"/>
          <w:color w:val="808080" w:themeColor="background1" w:themeShade="80"/>
          <w:sz w:val="22"/>
          <w:szCs w:val="22"/>
          <w:lang w:val="en-GB"/>
        </w:rPr>
        <w:t>recognition of the foreign main proceedings in the Cayman Islands should be applied for in the US. This is to ensure</w:t>
      </w:r>
      <w:r w:rsidRPr="00741DA7">
        <w:rPr>
          <w:rFonts w:ascii="Avenir Next" w:hAnsi="Avenir Next" w:cs="Arial"/>
          <w:color w:val="808080" w:themeColor="background1" w:themeShade="80"/>
          <w:sz w:val="22"/>
          <w:szCs w:val="22"/>
          <w:lang w:val="en-GB"/>
        </w:rPr>
        <w:t xml:space="preserve"> </w:t>
      </w:r>
      <w:r w:rsidR="00617E6D" w:rsidRPr="00741DA7">
        <w:rPr>
          <w:rFonts w:ascii="Avenir Next" w:hAnsi="Avenir Next" w:cs="Arial"/>
          <w:color w:val="808080" w:themeColor="background1" w:themeShade="80"/>
          <w:sz w:val="22"/>
          <w:szCs w:val="22"/>
          <w:lang w:val="en-GB"/>
        </w:rPr>
        <w:t>that the assets of the business (which are predominantly in the US) are protected from any class action lawsuit.</w:t>
      </w:r>
    </w:p>
    <w:p w14:paraId="6E860AF1" w14:textId="62D86D4E" w:rsidR="00546213" w:rsidRPr="00741DA7" w:rsidRDefault="00546213" w:rsidP="00A7521A">
      <w:pPr>
        <w:ind w:left="720"/>
        <w:jc w:val="both"/>
        <w:rPr>
          <w:rFonts w:ascii="Avenir Next" w:hAnsi="Avenir Next" w:cs="Arial"/>
          <w:color w:val="808080" w:themeColor="background1" w:themeShade="80"/>
          <w:sz w:val="22"/>
          <w:szCs w:val="22"/>
          <w:lang w:val="en-GB"/>
        </w:rPr>
      </w:pPr>
    </w:p>
    <w:p w14:paraId="23E64079" w14:textId="7C31A4F8" w:rsidR="00546213" w:rsidRDefault="00546213" w:rsidP="00A7521A">
      <w:pPr>
        <w:ind w:left="720"/>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t xml:space="preserve">As Article 20 of the Model Law provides for automatic relief where the foreign proceeding is determined to be a foreign main proceeding. This will grant a stay on the commencement of </w:t>
      </w:r>
      <w:r w:rsidR="00472E48" w:rsidRPr="00741DA7">
        <w:rPr>
          <w:rFonts w:ascii="Avenir Next" w:hAnsi="Avenir Next" w:cs="Arial"/>
          <w:color w:val="808080" w:themeColor="background1" w:themeShade="80"/>
          <w:sz w:val="22"/>
          <w:szCs w:val="22"/>
          <w:lang w:val="en-GB"/>
        </w:rPr>
        <w:t>individual actions or proceedings, a stay of execution against the debtor’s assets and a suspension of the right to dispose of any assets. Because of the planned proposal to dispose of certain assets of the business such as the headquarters, filings should be made to ensure that the property can be disposed of (if the exception of open-market financial transactions does not apply).</w:t>
      </w:r>
    </w:p>
    <w:p w14:paraId="1792ABCB" w14:textId="568A9D2E" w:rsidR="00741DA7" w:rsidRDefault="00741DA7" w:rsidP="00A7521A">
      <w:pPr>
        <w:ind w:left="720"/>
        <w:jc w:val="both"/>
        <w:rPr>
          <w:rFonts w:ascii="Avenir Next" w:hAnsi="Avenir Next" w:cs="Arial"/>
          <w:color w:val="808080" w:themeColor="background1" w:themeShade="80"/>
          <w:sz w:val="22"/>
          <w:szCs w:val="22"/>
          <w:lang w:val="en-GB"/>
        </w:rPr>
      </w:pPr>
    </w:p>
    <w:p w14:paraId="1EBCC8C0" w14:textId="061B2A61" w:rsidR="00741DA7" w:rsidRPr="00741DA7" w:rsidRDefault="00741DA7" w:rsidP="00A7521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 relief should be applied for in order to ensure that the Notes issued by the business which are subject to US </w:t>
      </w:r>
    </w:p>
    <w:p w14:paraId="0563EB30" w14:textId="761253AC" w:rsidR="00472E48" w:rsidRPr="00741DA7" w:rsidRDefault="00472E48" w:rsidP="00A7521A">
      <w:pPr>
        <w:ind w:left="720"/>
        <w:jc w:val="both"/>
        <w:rPr>
          <w:rFonts w:ascii="Avenir Next" w:hAnsi="Avenir Next" w:cs="Arial"/>
          <w:color w:val="808080" w:themeColor="background1" w:themeShade="80"/>
          <w:sz w:val="22"/>
          <w:szCs w:val="22"/>
          <w:lang w:val="en-GB"/>
        </w:rPr>
      </w:pPr>
    </w:p>
    <w:p w14:paraId="3820D6D6" w14:textId="7507C511" w:rsidR="00472E48" w:rsidRPr="00741DA7" w:rsidRDefault="00472E48" w:rsidP="00A7521A">
      <w:pPr>
        <w:ind w:left="720"/>
        <w:jc w:val="both"/>
        <w:rPr>
          <w:rFonts w:ascii="Avenir Next" w:hAnsi="Avenir Next" w:cs="Arial"/>
          <w:color w:val="808080" w:themeColor="background1" w:themeShade="80"/>
          <w:sz w:val="22"/>
          <w:szCs w:val="22"/>
          <w:lang w:val="en-GB"/>
        </w:rPr>
      </w:pPr>
      <w:r w:rsidRPr="00741DA7">
        <w:rPr>
          <w:rFonts w:ascii="Avenir Next" w:hAnsi="Avenir Next" w:cs="Arial"/>
          <w:color w:val="808080" w:themeColor="background1" w:themeShade="80"/>
          <w:sz w:val="22"/>
          <w:szCs w:val="22"/>
          <w:lang w:val="en-GB"/>
        </w:rPr>
        <w:t>It may be the case that the class action lawsuit may still be able to be brought in the US as the automatic stay does not affect the right to commence the proceeding so that the claim can be preserved but would ensure that the claim cannot be commenced</w:t>
      </w:r>
      <w:r w:rsidR="00741DA7" w:rsidRPr="00741DA7">
        <w:rPr>
          <w:rFonts w:ascii="Avenir Next" w:hAnsi="Avenir Next" w:cs="Arial"/>
          <w:color w:val="808080" w:themeColor="background1" w:themeShade="80"/>
          <w:sz w:val="22"/>
          <w:szCs w:val="22"/>
          <w:lang w:val="en-GB"/>
        </w:rPr>
        <w:t>. It may be possible that there is a limit to the relief applied for in the US (i.e. the automatic moratorium may not be indefinite).</w:t>
      </w:r>
    </w:p>
    <w:p w14:paraId="4620258C" w14:textId="32D025FB" w:rsidR="00741DA7" w:rsidRDefault="00741DA7" w:rsidP="00A7521A">
      <w:pPr>
        <w:ind w:left="720"/>
        <w:jc w:val="both"/>
        <w:rPr>
          <w:rFonts w:ascii="Avenir Next" w:hAnsi="Avenir Next" w:cs="Arial"/>
          <w:sz w:val="22"/>
          <w:szCs w:val="22"/>
          <w:lang w:val="en-GB"/>
        </w:rPr>
      </w:pPr>
    </w:p>
    <w:p w14:paraId="5EB38ADB" w14:textId="77777777" w:rsidR="00A7521A" w:rsidRPr="00A7521A" w:rsidRDefault="00A7521A" w:rsidP="00A7521A">
      <w:pPr>
        <w:ind w:left="720"/>
        <w:jc w:val="both"/>
        <w:rPr>
          <w:rFonts w:ascii="Avenir Next" w:hAnsi="Avenir Next" w:cs="Arial"/>
          <w:sz w:val="22"/>
          <w:szCs w:val="22"/>
          <w:lang w:val="en-GB"/>
        </w:rPr>
      </w:pPr>
    </w:p>
    <w:p w14:paraId="3AA1911B" w14:textId="16554F36" w:rsidR="00A7521A" w:rsidRDefault="00A7521A" w:rsidP="00A7521A">
      <w:pPr>
        <w:ind w:left="720"/>
        <w:jc w:val="both"/>
        <w:rPr>
          <w:rFonts w:ascii="Avenir Next" w:hAnsi="Avenir Next" w:cs="Arial"/>
          <w:sz w:val="22"/>
          <w:szCs w:val="22"/>
          <w:lang w:val="en-GB"/>
        </w:rPr>
      </w:pPr>
    </w:p>
    <w:p w14:paraId="61CC7A45" w14:textId="674277E0" w:rsidR="00A7521A" w:rsidRDefault="00A7521A" w:rsidP="00A7521A">
      <w:pPr>
        <w:ind w:left="720"/>
        <w:jc w:val="both"/>
        <w:rPr>
          <w:rFonts w:ascii="Avenir Next" w:hAnsi="Avenir Next" w:cs="Arial"/>
          <w:sz w:val="22"/>
          <w:szCs w:val="22"/>
          <w:lang w:val="en-GB"/>
        </w:rPr>
      </w:pPr>
    </w:p>
    <w:p w14:paraId="7BFDC036" w14:textId="77777777" w:rsidR="00A7521A" w:rsidRPr="00E2622D" w:rsidRDefault="00A7521A" w:rsidP="00A7521A">
      <w:pPr>
        <w:ind w:left="720"/>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D129" w14:textId="77777777" w:rsidR="0025531B" w:rsidRDefault="0025531B" w:rsidP="00241B44">
      <w:r>
        <w:separator/>
      </w:r>
    </w:p>
  </w:endnote>
  <w:endnote w:type="continuationSeparator" w:id="0">
    <w:p w14:paraId="42AB6428" w14:textId="77777777" w:rsidR="0025531B" w:rsidRDefault="0025531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1FF75257" w:rsidR="000300E0" w:rsidRPr="00B46CE2" w:rsidRDefault="0052720F" w:rsidP="000300E0">
    <w:pPr>
      <w:pStyle w:val="Footer"/>
      <w:ind w:right="360"/>
      <w:rPr>
        <w:rFonts w:ascii="Avenir Next" w:hAnsi="Avenir Next"/>
        <w:sz w:val="22"/>
        <w:szCs w:val="22"/>
      </w:rPr>
    </w:pPr>
    <w:r w:rsidRPr="0052720F">
      <w:rPr>
        <w:rFonts w:ascii="Avenir Next" w:hAnsi="Avenir Next"/>
        <w:sz w:val="22"/>
        <w:szCs w:val="22"/>
      </w:rPr>
      <w:t>FC202324-1451</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45C7467F"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3F6C14">
          <w:rPr>
            <w:rStyle w:val="PageNumber"/>
            <w:rFonts w:ascii="Avenir Next" w:hAnsi="Avenir Next"/>
            <w:noProof/>
            <w:sz w:val="22"/>
            <w:szCs w:val="22"/>
          </w:rPr>
          <w:t>3</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A901" w14:textId="77777777" w:rsidR="0025531B" w:rsidRDefault="0025531B" w:rsidP="00241B44">
      <w:r>
        <w:separator/>
      </w:r>
    </w:p>
  </w:footnote>
  <w:footnote w:type="continuationSeparator" w:id="0">
    <w:p w14:paraId="4BB9CA26" w14:textId="77777777" w:rsidR="0025531B" w:rsidRDefault="0025531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9937" w14:textId="77777777" w:rsidR="0052720F" w:rsidRDefault="0052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E1F3" w14:textId="77777777" w:rsidR="0052720F" w:rsidRDefault="00527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41DB" w14:textId="77777777" w:rsidR="0052720F" w:rsidRDefault="00527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266F10"/>
    <w:multiLevelType w:val="hybridMultilevel"/>
    <w:tmpl w:val="18CCC92E"/>
    <w:lvl w:ilvl="0" w:tplc="E51A98A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271CA3"/>
    <w:multiLevelType w:val="hybridMultilevel"/>
    <w:tmpl w:val="9D9AB432"/>
    <w:lvl w:ilvl="0" w:tplc="E51A98AA">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34B58B3"/>
    <w:multiLevelType w:val="hybridMultilevel"/>
    <w:tmpl w:val="0C429A3E"/>
    <w:lvl w:ilvl="0" w:tplc="E51A98AA">
      <w:start w:val="1"/>
      <w:numFmt w:val="bullet"/>
      <w:lvlRestart w:val="0"/>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1A1B4B"/>
    <w:multiLevelType w:val="hybridMultilevel"/>
    <w:tmpl w:val="8946B102"/>
    <w:lvl w:ilvl="0" w:tplc="E51A98AA">
      <w:start w:val="1"/>
      <w:numFmt w:val="bullet"/>
      <w:lvlRestart w:val="0"/>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8458CC"/>
    <w:multiLevelType w:val="hybridMultilevel"/>
    <w:tmpl w:val="AE441CAE"/>
    <w:lvl w:ilvl="0" w:tplc="24E8484C">
      <w:start w:val="1"/>
      <w:numFmt w:val="decimal"/>
      <w:lvlRestart w:val="0"/>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45E7AD7"/>
    <w:multiLevelType w:val="hybridMultilevel"/>
    <w:tmpl w:val="B71AEAF2"/>
    <w:lvl w:ilvl="0" w:tplc="E51A98AA">
      <w:start w:val="1"/>
      <w:numFmt w:val="bullet"/>
      <w:lvlRestart w:val="0"/>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8"/>
  </w:num>
  <w:num w:numId="3">
    <w:abstractNumId w:val="3"/>
  </w:num>
  <w:num w:numId="4">
    <w:abstractNumId w:val="22"/>
  </w:num>
  <w:num w:numId="5">
    <w:abstractNumId w:val="21"/>
  </w:num>
  <w:num w:numId="6">
    <w:abstractNumId w:val="18"/>
  </w:num>
  <w:num w:numId="7">
    <w:abstractNumId w:val="6"/>
  </w:num>
  <w:num w:numId="8">
    <w:abstractNumId w:val="7"/>
  </w:num>
  <w:num w:numId="9">
    <w:abstractNumId w:val="14"/>
  </w:num>
  <w:num w:numId="10">
    <w:abstractNumId w:val="12"/>
  </w:num>
  <w:num w:numId="11">
    <w:abstractNumId w:val="5"/>
  </w:num>
  <w:num w:numId="12">
    <w:abstractNumId w:val="10"/>
  </w:num>
  <w:num w:numId="13">
    <w:abstractNumId w:val="11"/>
  </w:num>
  <w:num w:numId="14">
    <w:abstractNumId w:val="1"/>
  </w:num>
  <w:num w:numId="15">
    <w:abstractNumId w:val="0"/>
  </w:num>
  <w:num w:numId="16">
    <w:abstractNumId w:val="9"/>
  </w:num>
  <w:num w:numId="17">
    <w:abstractNumId w:val="16"/>
  </w:num>
  <w:num w:numId="18">
    <w:abstractNumId w:val="19"/>
  </w:num>
  <w:num w:numId="19">
    <w:abstractNumId w:val="2"/>
  </w:num>
  <w:num w:numId="20">
    <w:abstractNumId w:val="4"/>
  </w:num>
  <w:num w:numId="21">
    <w:abstractNumId w:val="13"/>
  </w:num>
  <w:num w:numId="22">
    <w:abstractNumId w:val="1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52F"/>
    <w:rsid w:val="00001E0C"/>
    <w:rsid w:val="000077DD"/>
    <w:rsid w:val="00010BA0"/>
    <w:rsid w:val="00011778"/>
    <w:rsid w:val="0001365B"/>
    <w:rsid w:val="00014C2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68AE"/>
    <w:rsid w:val="00067A88"/>
    <w:rsid w:val="00070B92"/>
    <w:rsid w:val="00073474"/>
    <w:rsid w:val="00076BA8"/>
    <w:rsid w:val="00077D49"/>
    <w:rsid w:val="00082609"/>
    <w:rsid w:val="00083B38"/>
    <w:rsid w:val="000851CC"/>
    <w:rsid w:val="00093BE8"/>
    <w:rsid w:val="000A68ED"/>
    <w:rsid w:val="000B4FEB"/>
    <w:rsid w:val="000B5FF1"/>
    <w:rsid w:val="000B609F"/>
    <w:rsid w:val="000C147F"/>
    <w:rsid w:val="000C6BB9"/>
    <w:rsid w:val="000D32A9"/>
    <w:rsid w:val="000D55A8"/>
    <w:rsid w:val="000D7795"/>
    <w:rsid w:val="000E4841"/>
    <w:rsid w:val="000E6325"/>
    <w:rsid w:val="000F1677"/>
    <w:rsid w:val="000F3D6C"/>
    <w:rsid w:val="000F4C0A"/>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44A"/>
    <w:rsid w:val="0023198D"/>
    <w:rsid w:val="0023317E"/>
    <w:rsid w:val="00234F2C"/>
    <w:rsid w:val="00240B0E"/>
    <w:rsid w:val="0024116D"/>
    <w:rsid w:val="00241B44"/>
    <w:rsid w:val="00242023"/>
    <w:rsid w:val="00245EFB"/>
    <w:rsid w:val="00250E19"/>
    <w:rsid w:val="0025386E"/>
    <w:rsid w:val="002539D7"/>
    <w:rsid w:val="0025531B"/>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C4C53"/>
    <w:rsid w:val="002C5160"/>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67B3"/>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D5BA3"/>
    <w:rsid w:val="003E0B16"/>
    <w:rsid w:val="003E67D1"/>
    <w:rsid w:val="003F6C14"/>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470A"/>
    <w:rsid w:val="0045683E"/>
    <w:rsid w:val="0047025B"/>
    <w:rsid w:val="00472E48"/>
    <w:rsid w:val="00491675"/>
    <w:rsid w:val="00493855"/>
    <w:rsid w:val="0049508F"/>
    <w:rsid w:val="004A171E"/>
    <w:rsid w:val="004A313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2720F"/>
    <w:rsid w:val="00530003"/>
    <w:rsid w:val="00530E88"/>
    <w:rsid w:val="005331CA"/>
    <w:rsid w:val="0053353F"/>
    <w:rsid w:val="00533739"/>
    <w:rsid w:val="00537970"/>
    <w:rsid w:val="00540B44"/>
    <w:rsid w:val="00540E3A"/>
    <w:rsid w:val="00544127"/>
    <w:rsid w:val="00544273"/>
    <w:rsid w:val="0054621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1619C"/>
    <w:rsid w:val="00617E6D"/>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138F"/>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41DA7"/>
    <w:rsid w:val="00751F66"/>
    <w:rsid w:val="00753FC3"/>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14E1"/>
    <w:rsid w:val="0084683C"/>
    <w:rsid w:val="008512FA"/>
    <w:rsid w:val="008534A6"/>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B6EE0"/>
    <w:rsid w:val="008C66E0"/>
    <w:rsid w:val="008E2DFA"/>
    <w:rsid w:val="008E3339"/>
    <w:rsid w:val="008E549B"/>
    <w:rsid w:val="008F18EF"/>
    <w:rsid w:val="008F20FC"/>
    <w:rsid w:val="008F2B24"/>
    <w:rsid w:val="008F5FFE"/>
    <w:rsid w:val="0090421A"/>
    <w:rsid w:val="00905A43"/>
    <w:rsid w:val="00907DC2"/>
    <w:rsid w:val="00912C1B"/>
    <w:rsid w:val="00912C79"/>
    <w:rsid w:val="009260A2"/>
    <w:rsid w:val="00930FF3"/>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59A"/>
    <w:rsid w:val="00992676"/>
    <w:rsid w:val="0099468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4E76"/>
    <w:rsid w:val="009D0811"/>
    <w:rsid w:val="009D0EE1"/>
    <w:rsid w:val="009D0FD4"/>
    <w:rsid w:val="009D30BB"/>
    <w:rsid w:val="009D48FC"/>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046C"/>
    <w:rsid w:val="00A6627C"/>
    <w:rsid w:val="00A6649C"/>
    <w:rsid w:val="00A67208"/>
    <w:rsid w:val="00A70BBC"/>
    <w:rsid w:val="00A71019"/>
    <w:rsid w:val="00A7521A"/>
    <w:rsid w:val="00A77E49"/>
    <w:rsid w:val="00A81029"/>
    <w:rsid w:val="00A83CB5"/>
    <w:rsid w:val="00A865A7"/>
    <w:rsid w:val="00A96489"/>
    <w:rsid w:val="00AA3A42"/>
    <w:rsid w:val="00AA5311"/>
    <w:rsid w:val="00AA7BAA"/>
    <w:rsid w:val="00AB536F"/>
    <w:rsid w:val="00AB685C"/>
    <w:rsid w:val="00AB6C2D"/>
    <w:rsid w:val="00AC08F7"/>
    <w:rsid w:val="00AC3839"/>
    <w:rsid w:val="00AC7082"/>
    <w:rsid w:val="00AD0E59"/>
    <w:rsid w:val="00AD3FEA"/>
    <w:rsid w:val="00AD5F11"/>
    <w:rsid w:val="00AD7BBD"/>
    <w:rsid w:val="00AE08BC"/>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5109C"/>
    <w:rsid w:val="00B60190"/>
    <w:rsid w:val="00B61419"/>
    <w:rsid w:val="00B66441"/>
    <w:rsid w:val="00B72F5F"/>
    <w:rsid w:val="00B736DF"/>
    <w:rsid w:val="00B74FBD"/>
    <w:rsid w:val="00B77352"/>
    <w:rsid w:val="00B82586"/>
    <w:rsid w:val="00B829A3"/>
    <w:rsid w:val="00B84117"/>
    <w:rsid w:val="00B86DB1"/>
    <w:rsid w:val="00B87869"/>
    <w:rsid w:val="00B953BD"/>
    <w:rsid w:val="00BA0E44"/>
    <w:rsid w:val="00BA47C5"/>
    <w:rsid w:val="00BB0F2B"/>
    <w:rsid w:val="00BB1DC6"/>
    <w:rsid w:val="00BB4CC7"/>
    <w:rsid w:val="00BD0D57"/>
    <w:rsid w:val="00BE1A50"/>
    <w:rsid w:val="00BF50F7"/>
    <w:rsid w:val="00C00111"/>
    <w:rsid w:val="00C02F29"/>
    <w:rsid w:val="00C10C13"/>
    <w:rsid w:val="00C17111"/>
    <w:rsid w:val="00C20747"/>
    <w:rsid w:val="00C20AFE"/>
    <w:rsid w:val="00C21624"/>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E613D"/>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0119"/>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58A6"/>
    <w:rsid w:val="00DE6633"/>
    <w:rsid w:val="00DF75F8"/>
    <w:rsid w:val="00DF7A3A"/>
    <w:rsid w:val="00E00C00"/>
    <w:rsid w:val="00E04A7C"/>
    <w:rsid w:val="00E059FB"/>
    <w:rsid w:val="00E069C4"/>
    <w:rsid w:val="00E07275"/>
    <w:rsid w:val="00E07866"/>
    <w:rsid w:val="00E07C5A"/>
    <w:rsid w:val="00E15BA9"/>
    <w:rsid w:val="00E2313C"/>
    <w:rsid w:val="00E25B22"/>
    <w:rsid w:val="00E2622D"/>
    <w:rsid w:val="00E26E19"/>
    <w:rsid w:val="00E27E3C"/>
    <w:rsid w:val="00E31DF3"/>
    <w:rsid w:val="00E32814"/>
    <w:rsid w:val="00E33448"/>
    <w:rsid w:val="00E33486"/>
    <w:rsid w:val="00E34181"/>
    <w:rsid w:val="00E450A4"/>
    <w:rsid w:val="00E506BE"/>
    <w:rsid w:val="00E55547"/>
    <w:rsid w:val="00E55C92"/>
    <w:rsid w:val="00E57410"/>
    <w:rsid w:val="00E61C42"/>
    <w:rsid w:val="00E62FC4"/>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30D4"/>
    <w:rsid w:val="00EA6D31"/>
    <w:rsid w:val="00EB146B"/>
    <w:rsid w:val="00EB45AC"/>
    <w:rsid w:val="00EC2AEA"/>
    <w:rsid w:val="00EC7B11"/>
    <w:rsid w:val="00EC7F95"/>
    <w:rsid w:val="00ED0BC4"/>
    <w:rsid w:val="00ED3771"/>
    <w:rsid w:val="00ED4AB7"/>
    <w:rsid w:val="00ED6A32"/>
    <w:rsid w:val="00EE4971"/>
    <w:rsid w:val="00EF090E"/>
    <w:rsid w:val="00F033DA"/>
    <w:rsid w:val="00F10712"/>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6A79"/>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1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99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BE42-192F-40DA-8C37-E051E58B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Gillies, Euan</cp:lastModifiedBy>
  <cp:revision>61</cp:revision>
  <cp:lastPrinted>2019-08-27T05:42:00Z</cp:lastPrinted>
  <dcterms:created xsi:type="dcterms:W3CDTF">2023-01-19T09:32:00Z</dcterms:created>
  <dcterms:modified xsi:type="dcterms:W3CDTF">2024-02-28T21:00:00Z</dcterms:modified>
</cp:coreProperties>
</file>