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0084605F" w:rsidR="0011473D" w:rsidRPr="003A5DF3"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SUMMATIVE (FORMAL) </w:t>
      </w:r>
      <w:r w:rsidR="009D0811" w:rsidRPr="003A5DF3">
        <w:rPr>
          <w:rFonts w:ascii="Avenir Next Demi Bold" w:hAnsi="Avenir Next Demi Bold" w:cs="Arial"/>
          <w:b/>
          <w:bCs/>
          <w:color w:val="000000" w:themeColor="text1"/>
          <w:sz w:val="24"/>
          <w:lang w:val="en-GB"/>
        </w:rPr>
        <w:t xml:space="preserve">ASSESSMENT: MODULE </w:t>
      </w:r>
      <w:r w:rsidR="00996691" w:rsidRPr="003A5DF3">
        <w:rPr>
          <w:rFonts w:ascii="Avenir Next Demi Bold" w:hAnsi="Avenir Next Demi Bold" w:cs="Arial"/>
          <w:b/>
          <w:bCs/>
          <w:color w:val="000000" w:themeColor="text1"/>
          <w:sz w:val="24"/>
          <w:lang w:val="en-GB"/>
        </w:rPr>
        <w:t>2</w:t>
      </w:r>
      <w:r w:rsidR="00C52796" w:rsidRPr="003A5DF3">
        <w:rPr>
          <w:rFonts w:ascii="Avenir Next Demi Bold" w:hAnsi="Avenir Next Demi Bold" w:cs="Arial"/>
          <w:b/>
          <w:bCs/>
          <w:color w:val="000000" w:themeColor="text1"/>
          <w:sz w:val="24"/>
          <w:lang w:val="en-GB"/>
        </w:rPr>
        <w:t>B</w:t>
      </w:r>
    </w:p>
    <w:p w14:paraId="1DCE41A2" w14:textId="0CB8A9C3" w:rsidR="002638B0" w:rsidRPr="003A5DF3"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2EDFA64" w:rsidR="002638B0" w:rsidRPr="003A5DF3"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THE </w:t>
      </w:r>
      <w:r w:rsidR="00C52796" w:rsidRPr="003A5DF3">
        <w:rPr>
          <w:rFonts w:ascii="Avenir Next Demi Bold" w:hAnsi="Avenir Next Demi Bold" w:cs="Arial"/>
          <w:b/>
          <w:bCs/>
          <w:color w:val="000000" w:themeColor="text1"/>
          <w:sz w:val="24"/>
          <w:lang w:val="en-GB"/>
        </w:rPr>
        <w:t>EUROPEAN INSOLVENCY REGULATION</w:t>
      </w:r>
    </w:p>
    <w:p w14:paraId="5E119630"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1D3FC4D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17A6105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B437B1">
        <w:rPr>
          <w:rFonts w:ascii="Avenir Next" w:hAnsi="Avenir Next" w:cs="Arial"/>
          <w:bCs/>
          <w:sz w:val="22"/>
          <w:szCs w:val="22"/>
          <w:lang w:val="en-GB"/>
        </w:rPr>
        <w:t>4</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If you elect to submit by 1 March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 xml:space="preserve">in </w:t>
      </w:r>
      <w:r w:rsidR="0036565C" w:rsidRPr="006723E9">
        <w:rPr>
          <w:rFonts w:ascii="Avenir Next Demi Bold" w:hAnsi="Avenir Next Demi Bold" w:cs="Arial"/>
          <w:b/>
          <w:bCs/>
          <w:sz w:val="22"/>
          <w:szCs w:val="22"/>
          <w:highlight w:val="yellow"/>
          <w:lang w:val="en-GB"/>
        </w:rPr>
        <w:lastRenderedPageBreak/>
        <w:t>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8E3C96" w:rsidRDefault="00F746D8" w:rsidP="00F746D8">
      <w:pPr>
        <w:pStyle w:val="ListParagraph"/>
        <w:ind w:left="426"/>
        <w:jc w:val="both"/>
        <w:rPr>
          <w:rFonts w:ascii="Avenir Next" w:hAnsi="Avenir Next" w:cs="Arial"/>
          <w:sz w:val="22"/>
          <w:szCs w:val="22"/>
          <w:lang w:val="en-GB"/>
        </w:rPr>
      </w:pPr>
    </w:p>
    <w:p w14:paraId="05419608"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ListParagraph"/>
        <w:ind w:left="426"/>
        <w:jc w:val="both"/>
        <w:rPr>
          <w:rFonts w:ascii="Avenir Next" w:hAnsi="Avenir Next" w:cs="Arial"/>
          <w:sz w:val="22"/>
          <w:szCs w:val="22"/>
          <w:lang w:val="en-GB"/>
        </w:rPr>
      </w:pPr>
    </w:p>
    <w:p w14:paraId="780CB84D"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1B075F55" w14:textId="77777777" w:rsidR="00F746D8" w:rsidRPr="008E3C96" w:rsidRDefault="00F746D8" w:rsidP="00F746D8">
      <w:pPr>
        <w:pStyle w:val="ListParagraph"/>
        <w:ind w:left="426"/>
        <w:jc w:val="both"/>
        <w:rPr>
          <w:rFonts w:ascii="Avenir Next" w:hAnsi="Avenir Next" w:cs="Arial"/>
          <w:sz w:val="22"/>
          <w:szCs w:val="22"/>
          <w:lang w:val="en-GB"/>
        </w:rPr>
      </w:pPr>
    </w:p>
    <w:p w14:paraId="04E0EF03" w14:textId="77777777" w:rsidR="00F746D8" w:rsidRPr="00F25974" w:rsidRDefault="00F746D8" w:rsidP="00F746D8">
      <w:pPr>
        <w:pStyle w:val="ListParagraph"/>
        <w:numPr>
          <w:ilvl w:val="0"/>
          <w:numId w:val="26"/>
        </w:numPr>
        <w:ind w:left="426"/>
        <w:jc w:val="both"/>
        <w:rPr>
          <w:rFonts w:ascii="Avenir Next" w:hAnsi="Avenir Next" w:cs="Arial"/>
          <w:sz w:val="22"/>
          <w:szCs w:val="22"/>
          <w:highlight w:val="yellow"/>
          <w:lang w:val="en-GB"/>
        </w:rPr>
      </w:pPr>
      <w:r w:rsidRPr="00F25974">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43E033B" w14:textId="77777777" w:rsidR="00F746D8" w:rsidRPr="008E3C96" w:rsidRDefault="00F746D8" w:rsidP="00F746D8">
      <w:pPr>
        <w:jc w:val="both"/>
        <w:rPr>
          <w:rFonts w:ascii="Avenir Next" w:hAnsi="Avenir Next" w:cs="Arial"/>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18109FB7" w:rsidR="00F746D8" w:rsidRPr="0069381A" w:rsidRDefault="00F746D8" w:rsidP="00F746D8">
      <w:pPr>
        <w:jc w:val="both"/>
        <w:rPr>
          <w:rFonts w:ascii="Avenir Next" w:hAnsi="Avenir Next" w:cs="Arial"/>
          <w:color w:val="FF0000"/>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r w:rsidR="0069381A">
        <w:rPr>
          <w:rFonts w:ascii="Avenir Next" w:hAnsi="Avenir Next" w:cs="Arial"/>
          <w:sz w:val="22"/>
          <w:szCs w:val="22"/>
          <w:lang w:val="en-GB"/>
        </w:rPr>
        <w:t xml:space="preserve"> </w:t>
      </w:r>
      <w:r w:rsidR="0069381A" w:rsidRPr="00F04354">
        <w:rPr>
          <w:rFonts w:ascii="Avenir Next" w:hAnsi="Avenir Next" w:cs="Arial"/>
          <w:color w:val="FF0000"/>
          <w:sz w:val="22"/>
          <w:szCs w:val="22"/>
          <w:lang w:val="en-GB"/>
        </w:rPr>
        <w:t xml:space="preserve">(it </w:t>
      </w:r>
      <w:r w:rsidR="0069381A">
        <w:rPr>
          <w:rFonts w:ascii="Avenir Next" w:hAnsi="Avenir Next" w:cs="Arial"/>
          <w:color w:val="FF0000"/>
          <w:sz w:val="22"/>
          <w:szCs w:val="22"/>
          <w:lang w:val="en-GB"/>
        </w:rPr>
        <w:t xml:space="preserve">seems that this </w:t>
      </w:r>
      <w:r w:rsidR="00F04354">
        <w:rPr>
          <w:rFonts w:ascii="Avenir Next" w:hAnsi="Avenir Next" w:cs="Arial"/>
          <w:color w:val="FF0000"/>
          <w:sz w:val="22"/>
          <w:szCs w:val="22"/>
          <w:lang w:val="en-GB"/>
        </w:rPr>
        <w:t>is a mistake down under, all the options a-d are the same)</w:t>
      </w:r>
    </w:p>
    <w:p w14:paraId="3002EBAE" w14:textId="77777777" w:rsidR="00F746D8" w:rsidRPr="008E3C96" w:rsidRDefault="00F746D8" w:rsidP="00F746D8">
      <w:pPr>
        <w:jc w:val="both"/>
        <w:rPr>
          <w:rFonts w:ascii="Avenir Next" w:hAnsi="Avenir Next" w:cs="Arial"/>
          <w:sz w:val="22"/>
          <w:szCs w:val="22"/>
          <w:lang w:val="en-GB"/>
        </w:rPr>
      </w:pPr>
    </w:p>
    <w:p w14:paraId="7B18332C" w14:textId="77777777" w:rsidR="00F746D8" w:rsidRPr="0069381A" w:rsidRDefault="00F746D8" w:rsidP="00F746D8">
      <w:pPr>
        <w:pStyle w:val="ListParagraph"/>
        <w:numPr>
          <w:ilvl w:val="0"/>
          <w:numId w:val="3"/>
        </w:numPr>
        <w:ind w:left="426"/>
        <w:jc w:val="both"/>
        <w:rPr>
          <w:rFonts w:ascii="Avenir Next" w:hAnsi="Avenir Next" w:cs="Arial"/>
          <w:iCs/>
          <w:sz w:val="22"/>
          <w:szCs w:val="22"/>
          <w:highlight w:val="yellow"/>
          <w:lang w:val="en-GB"/>
        </w:rPr>
      </w:pPr>
      <w:r w:rsidRPr="0069381A">
        <w:rPr>
          <w:rFonts w:ascii="Avenir Next" w:hAnsi="Avenir Next" w:cs="Arial"/>
          <w:iCs/>
          <w:sz w:val="22"/>
          <w:szCs w:val="22"/>
          <w:highlight w:val="yellow"/>
          <w:lang w:val="en-GB"/>
        </w:rPr>
        <w:t>Proceedings will fall under the scope of the EIR 2015 if they are based on laws relating to insolvency for the purpose of rescue, adjustment of debt, reorganisation, or liquidation; are public; and are collective.</w:t>
      </w:r>
    </w:p>
    <w:p w14:paraId="6A700B54" w14:textId="77777777" w:rsidR="00F746D8" w:rsidRPr="008E3C96" w:rsidRDefault="00F746D8" w:rsidP="00F746D8">
      <w:pPr>
        <w:pStyle w:val="ListParagraph"/>
        <w:ind w:left="426"/>
        <w:jc w:val="both"/>
        <w:rPr>
          <w:rFonts w:ascii="Avenir Next" w:hAnsi="Avenir Next" w:cs="Arial"/>
          <w:iCs/>
          <w:sz w:val="22"/>
          <w:szCs w:val="22"/>
          <w:lang w:val="en-GB"/>
        </w:rPr>
      </w:pPr>
    </w:p>
    <w:p w14:paraId="676F8887"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w:t>
      </w:r>
      <w:r w:rsidRPr="00D7664B">
        <w:rPr>
          <w:rFonts w:ascii="Avenir Next" w:hAnsi="Avenir Next" w:cs="Arial"/>
          <w:iCs/>
          <w:sz w:val="22"/>
          <w:szCs w:val="22"/>
          <w:lang w:val="en-GB"/>
        </w:rPr>
        <w:t xml:space="preserve">rescue, adjustment of debt, reorganisation, or </w:t>
      </w:r>
      <w:r w:rsidRPr="00DE27FF">
        <w:rPr>
          <w:rFonts w:ascii="Avenir Next" w:hAnsi="Avenir Next" w:cs="Arial"/>
          <w:iCs/>
          <w:sz w:val="22"/>
          <w:szCs w:val="22"/>
          <w:lang w:val="en-GB"/>
        </w:rPr>
        <w:t xml:space="preserve">liquidation; are public; </w:t>
      </w:r>
      <w:r>
        <w:rPr>
          <w:rFonts w:ascii="Avenir Next" w:hAnsi="Avenir Next" w:cs="Arial"/>
          <w:iCs/>
          <w:sz w:val="22"/>
          <w:szCs w:val="22"/>
          <w:lang w:val="en-GB"/>
        </w:rPr>
        <w:t xml:space="preserve">and </w:t>
      </w:r>
      <w:r w:rsidRPr="00DE27FF">
        <w:rPr>
          <w:rFonts w:ascii="Avenir Next" w:hAnsi="Avenir Next" w:cs="Arial"/>
          <w:iCs/>
          <w:sz w:val="22"/>
          <w:szCs w:val="22"/>
          <w:lang w:val="en-GB"/>
        </w:rPr>
        <w:t xml:space="preserve">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w:t>
      </w:r>
      <w:r>
        <w:rPr>
          <w:rFonts w:ascii="Avenir Next" w:hAnsi="Avenir Next" w:cs="Arial"/>
          <w:iCs/>
          <w:sz w:val="22"/>
          <w:szCs w:val="22"/>
          <w:lang w:val="en-GB"/>
        </w:rPr>
        <w:t xml:space="preserve"> and</w:t>
      </w:r>
      <w:r w:rsidRPr="00DE27FF">
        <w:rPr>
          <w:rFonts w:ascii="Avenir Next" w:hAnsi="Avenir Next" w:cs="Arial"/>
          <w:iCs/>
          <w:sz w:val="22"/>
          <w:szCs w:val="22"/>
          <w:lang w:val="en-GB"/>
        </w:rPr>
        <w:t xml:space="preserve"> are public.</w:t>
      </w:r>
    </w:p>
    <w:p w14:paraId="4A83C482" w14:textId="77777777" w:rsidR="00F746D8" w:rsidRPr="00DE27FF" w:rsidRDefault="00F746D8" w:rsidP="00F746D8">
      <w:pPr>
        <w:pStyle w:val="ListParagraph"/>
        <w:ind w:left="426"/>
        <w:jc w:val="both"/>
        <w:rPr>
          <w:rFonts w:ascii="Avenir Next" w:hAnsi="Avenir Next" w:cs="Arial"/>
          <w:iCs/>
          <w:sz w:val="22"/>
          <w:szCs w:val="22"/>
          <w:lang w:val="en-GB"/>
        </w:rPr>
      </w:pPr>
    </w:p>
    <w:p w14:paraId="3C1680F9"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rescue, adjustment of debt, reorganisation, or liquidation; </w:t>
      </w:r>
      <w:r>
        <w:rPr>
          <w:rFonts w:ascii="Avenir Next" w:hAnsi="Avenir Next" w:cs="Arial"/>
          <w:iCs/>
          <w:sz w:val="22"/>
          <w:szCs w:val="22"/>
          <w:lang w:val="en-GB"/>
        </w:rPr>
        <w:t xml:space="preserve">and </w:t>
      </w:r>
      <w:r w:rsidRPr="00DE27FF">
        <w:rPr>
          <w:rFonts w:ascii="Avenir Next" w:hAnsi="Avenir Next" w:cs="Arial"/>
          <w:iCs/>
          <w:sz w:val="22"/>
          <w:szCs w:val="22"/>
          <w:lang w:val="en-GB"/>
        </w:rPr>
        <w:t>are collective.</w:t>
      </w:r>
    </w:p>
    <w:p w14:paraId="465EB0D1" w14:textId="77777777" w:rsidR="00F746D8" w:rsidRDefault="00F746D8" w:rsidP="00F746D8">
      <w:pPr>
        <w:pStyle w:val="ListParagraph"/>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was generally regarded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in the area of European insolvency law by the EU institutions, practitioners and academics. </w:t>
      </w:r>
    </w:p>
    <w:p w14:paraId="226FC1C9" w14:textId="77777777" w:rsidR="00F746D8" w:rsidRPr="00AF277F" w:rsidRDefault="00F746D8" w:rsidP="00F746D8">
      <w:pPr>
        <w:pStyle w:val="ListParagraph"/>
        <w:ind w:left="426"/>
        <w:jc w:val="both"/>
        <w:rPr>
          <w:rFonts w:ascii="Avenir Next" w:hAnsi="Avenir Next" w:cs="Arial"/>
          <w:iCs/>
          <w:sz w:val="22"/>
          <w:szCs w:val="22"/>
          <w:lang w:val="en-GB"/>
        </w:rPr>
      </w:pPr>
    </w:p>
    <w:p w14:paraId="3469FC7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The fundamental choices and underlying policies of the EIR 2000 lacked support from the major stakeholders (businesses, public authorities, insolvency practitioners, etc</w:t>
      </w:r>
      <w:r>
        <w:rPr>
          <w:rFonts w:ascii="Avenir Next" w:hAnsi="Avenir Next" w:cs="Arial"/>
          <w:iCs/>
          <w:sz w:val="22"/>
          <w:szCs w:val="22"/>
          <w:lang w:val="en-GB"/>
        </w:rPr>
        <w:t>etera</w:t>
      </w:r>
      <w:r w:rsidRPr="00AF277F">
        <w:rPr>
          <w:rFonts w:ascii="Avenir Next" w:hAnsi="Avenir Next" w:cs="Arial"/>
          <w:iCs/>
          <w:sz w:val="22"/>
          <w:szCs w:val="22"/>
          <w:lang w:val="en-GB"/>
        </w:rPr>
        <w:t>). A new Regulation was therefore needed to meet their expectations.</w:t>
      </w:r>
    </w:p>
    <w:p w14:paraId="6106F66F" w14:textId="77777777" w:rsidR="00F746D8" w:rsidRPr="008E3C96" w:rsidRDefault="00F746D8" w:rsidP="00F746D8">
      <w:pPr>
        <w:pStyle w:val="ListParagraph"/>
        <w:ind w:left="426"/>
        <w:jc w:val="both"/>
        <w:rPr>
          <w:rFonts w:ascii="Avenir Next" w:hAnsi="Avenir Next" w:cs="Arial"/>
          <w:iCs/>
          <w:sz w:val="22"/>
          <w:szCs w:val="22"/>
          <w:lang w:val="en-GB"/>
        </w:rPr>
      </w:pPr>
    </w:p>
    <w:p w14:paraId="6328E9AC" w14:textId="77777777" w:rsidR="00F746D8" w:rsidRPr="00100276" w:rsidRDefault="00F746D8" w:rsidP="00F746D8">
      <w:pPr>
        <w:pStyle w:val="ListParagraph"/>
        <w:numPr>
          <w:ilvl w:val="0"/>
          <w:numId w:val="27"/>
        </w:numPr>
        <w:ind w:left="426"/>
        <w:jc w:val="both"/>
        <w:rPr>
          <w:rFonts w:ascii="Avenir Next" w:hAnsi="Avenir Next"/>
          <w:sz w:val="22"/>
          <w:highlight w:val="yellow"/>
          <w:lang w:val="en-GB"/>
        </w:rPr>
      </w:pPr>
      <w:r w:rsidRPr="00100276">
        <w:rPr>
          <w:rFonts w:ascii="Avenir Next" w:hAnsi="Avenir Next"/>
          <w:sz w:val="22"/>
          <w:highlight w:val="yellow"/>
          <w:lang w:val="en-GB"/>
        </w:rPr>
        <w:t xml:space="preserve">The EIR 2000 </w:t>
      </w:r>
      <w:r w:rsidRPr="00100276">
        <w:rPr>
          <w:rFonts w:ascii="Avenir Next" w:hAnsi="Avenir Next" w:cs="Arial"/>
          <w:iCs/>
          <w:sz w:val="22"/>
          <w:szCs w:val="22"/>
          <w:highlight w:val="yellow"/>
          <w:lang w:val="en-GB"/>
        </w:rPr>
        <w:t xml:space="preserve">was generally considered a successful instrument, but areas of improvement had been identified over the years by practitioners and academics. </w:t>
      </w:r>
      <w:r w:rsidRPr="00100276">
        <w:rPr>
          <w:rFonts w:ascii="Avenir Next" w:hAnsi="Avenir Next"/>
          <w:sz w:val="22"/>
          <w:highlight w:val="yellow"/>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8905A5" w:rsidRDefault="00F746D8" w:rsidP="00F746D8">
      <w:pPr>
        <w:pStyle w:val="ListParagraph"/>
        <w:numPr>
          <w:ilvl w:val="0"/>
          <w:numId w:val="5"/>
        </w:numPr>
        <w:ind w:left="426"/>
        <w:jc w:val="both"/>
        <w:rPr>
          <w:rFonts w:ascii="Avenir Next" w:hAnsi="Avenir Next" w:cs="Arial"/>
          <w:sz w:val="22"/>
          <w:szCs w:val="22"/>
          <w:highlight w:val="yellow"/>
          <w:lang w:val="en-GB"/>
        </w:rPr>
      </w:pPr>
      <w:r w:rsidRPr="008905A5">
        <w:rPr>
          <w:rFonts w:ascii="Avenir Next" w:hAnsi="Avenir Next" w:cs="Arial"/>
          <w:sz w:val="22"/>
          <w:szCs w:val="22"/>
          <w:highlight w:val="yellow"/>
          <w:lang w:val="en-GB"/>
        </w:rPr>
        <w:t xml:space="preserve">Although the EIR Recast includes relevant and useful innovations, it has stuck with the framework of the EIR 2000 and mostly codified the jurisprudence of the CJEU.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75790874"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3F464A0B" w14:textId="77777777" w:rsidR="00F746D8" w:rsidRPr="008E3C96" w:rsidRDefault="00F746D8" w:rsidP="00F746D8">
      <w:pPr>
        <w:jc w:val="both"/>
        <w:rPr>
          <w:rFonts w:ascii="Avenir Next" w:hAnsi="Avenir Next" w:cs="Arial"/>
          <w:b/>
          <w:bCs/>
          <w:sz w:val="22"/>
          <w:szCs w:val="22"/>
        </w:rPr>
      </w:pPr>
    </w:p>
    <w:p w14:paraId="0693643D" w14:textId="77777777" w:rsidR="00F746D8" w:rsidRDefault="00F746D8" w:rsidP="00F746D8">
      <w:pPr>
        <w:jc w:val="both"/>
        <w:rPr>
          <w:rFonts w:ascii="Avenir Next" w:hAnsi="Avenir Next" w:cs="Arial"/>
          <w:sz w:val="22"/>
          <w:szCs w:val="22"/>
          <w:lang w:val="en-GB"/>
        </w:rPr>
      </w:pPr>
      <w:r>
        <w:rPr>
          <w:rFonts w:ascii="Avenir Next" w:hAnsi="Avenir Next" w:cs="Arial"/>
          <w:sz w:val="22"/>
          <w:szCs w:val="22"/>
          <w:lang w:val="en-GB"/>
        </w:rPr>
        <w:t xml:space="preserve">Article 3 of the EIR 2015 deals with jurisdictional matters. Which statement below is </w:t>
      </w:r>
      <w:r w:rsidRPr="00B3663D">
        <w:rPr>
          <w:rFonts w:ascii="Avenir Next Demi Bold" w:hAnsi="Avenir Next Demi Bold" w:cs="Arial"/>
          <w:sz w:val="22"/>
          <w:szCs w:val="22"/>
          <w:u w:val="single"/>
          <w:lang w:val="en-GB"/>
        </w:rPr>
        <w:t>accurate</w:t>
      </w:r>
      <w:r>
        <w:rPr>
          <w:rFonts w:ascii="Avenir Next" w:hAnsi="Avenir Next" w:cs="Arial"/>
          <w:sz w:val="22"/>
          <w:szCs w:val="22"/>
          <w:lang w:val="en-GB"/>
        </w:rPr>
        <w:t xml:space="preserve"> in relation to Article 3?</w:t>
      </w:r>
    </w:p>
    <w:p w14:paraId="5F791C46" w14:textId="77777777" w:rsidR="00F746D8" w:rsidRPr="008E3C96" w:rsidRDefault="00F746D8" w:rsidP="00F746D8">
      <w:pPr>
        <w:jc w:val="both"/>
        <w:rPr>
          <w:rFonts w:ascii="Avenir Next" w:hAnsi="Avenir Next" w:cs="Arial"/>
          <w:sz w:val="22"/>
          <w:szCs w:val="22"/>
          <w:lang w:val="en-GB"/>
        </w:rPr>
      </w:pPr>
    </w:p>
    <w:p w14:paraId="443E986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main insolvency proceedings. </w:t>
      </w:r>
    </w:p>
    <w:p w14:paraId="30695B45" w14:textId="77777777" w:rsidR="00F746D8" w:rsidRPr="008E3C96" w:rsidRDefault="00F746D8" w:rsidP="00F746D8">
      <w:pPr>
        <w:pStyle w:val="ListParagraph"/>
        <w:ind w:left="426"/>
        <w:jc w:val="both"/>
        <w:rPr>
          <w:rFonts w:ascii="Avenir Next" w:hAnsi="Avenir Next" w:cs="Arial"/>
          <w:sz w:val="22"/>
          <w:szCs w:val="22"/>
          <w:lang w:val="en-GB"/>
        </w:rPr>
      </w:pPr>
    </w:p>
    <w:p w14:paraId="54DF3437" w14:textId="20CAC8AA" w:rsidR="00F746D8" w:rsidRPr="00AD35E0" w:rsidRDefault="00F746D8" w:rsidP="00F746D8">
      <w:pPr>
        <w:pStyle w:val="ListParagraph"/>
        <w:numPr>
          <w:ilvl w:val="0"/>
          <w:numId w:val="28"/>
        </w:numPr>
        <w:ind w:left="426"/>
        <w:jc w:val="both"/>
        <w:rPr>
          <w:rFonts w:ascii="Avenir Next" w:hAnsi="Avenir Next" w:cs="Arial"/>
          <w:sz w:val="22"/>
          <w:szCs w:val="22"/>
          <w:lang w:val="en-GB"/>
        </w:rPr>
      </w:pPr>
      <w:r w:rsidRPr="002F7843">
        <w:rPr>
          <w:rFonts w:ascii="Avenir Next" w:hAnsi="Avenir Next" w:cs="Arial"/>
          <w:sz w:val="22"/>
          <w:szCs w:val="22"/>
          <w:highlight w:val="yellow"/>
          <w:lang w:val="en-GB"/>
        </w:rPr>
        <w:t>Article 3 states that the courts of the Member State within the territory of which the debtor has its centre of main</w:t>
      </w:r>
      <w:r w:rsidR="003E1D56" w:rsidRPr="002F7843">
        <w:rPr>
          <w:rFonts w:ascii="Avenir Next" w:hAnsi="Avenir Next" w:cs="Arial"/>
          <w:sz w:val="22"/>
          <w:szCs w:val="22"/>
          <w:highlight w:val="yellow"/>
          <w:lang w:val="en-GB"/>
        </w:rPr>
        <w:t xml:space="preserve"> interest</w:t>
      </w:r>
      <w:r w:rsidRPr="002F7843">
        <w:rPr>
          <w:rFonts w:ascii="Avenir Next" w:hAnsi="Avenir Next" w:cs="Arial"/>
          <w:sz w:val="22"/>
          <w:szCs w:val="22"/>
          <w:highlight w:val="yellow"/>
          <w:lang w:val="en-GB"/>
        </w:rPr>
        <w:t xml:space="preserve"> (COMI) shall have jurisdiction to open main insolvency proceedings</w:t>
      </w:r>
      <w:r w:rsidRPr="00AD35E0">
        <w:rPr>
          <w:rFonts w:ascii="Avenir Next" w:hAnsi="Avenir Next" w:cs="Arial"/>
          <w:sz w:val="22"/>
          <w:szCs w:val="22"/>
          <w:lang w:val="en-GB"/>
        </w:rPr>
        <w:t xml:space="preserve">. </w:t>
      </w:r>
    </w:p>
    <w:p w14:paraId="11E30D22" w14:textId="77777777" w:rsidR="00F746D8" w:rsidRPr="008E3C96" w:rsidRDefault="00F746D8" w:rsidP="00F746D8">
      <w:pPr>
        <w:pStyle w:val="ListParagraph"/>
        <w:ind w:left="426"/>
        <w:jc w:val="both"/>
        <w:rPr>
          <w:rFonts w:ascii="Avenir Next" w:hAnsi="Avenir Next" w:cs="Arial"/>
          <w:sz w:val="22"/>
          <w:szCs w:val="22"/>
          <w:lang w:val="en-GB"/>
        </w:rPr>
      </w:pPr>
    </w:p>
    <w:p w14:paraId="4E7B7B1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8E3C96" w:rsidRDefault="00F746D8" w:rsidP="00F746D8">
      <w:pPr>
        <w:pStyle w:val="ListParagraph"/>
        <w:ind w:left="426"/>
        <w:jc w:val="both"/>
        <w:rPr>
          <w:rFonts w:ascii="Avenir Next" w:hAnsi="Avenir Next" w:cs="Arial"/>
          <w:sz w:val="22"/>
          <w:szCs w:val="22"/>
          <w:lang w:val="en-GB"/>
        </w:rPr>
      </w:pPr>
    </w:p>
    <w:p w14:paraId="644A958A"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ECJ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recent case law. </w:t>
      </w:r>
    </w:p>
    <w:p w14:paraId="2B9DC30B" w14:textId="77777777" w:rsidR="00F746D8" w:rsidRPr="008E3C96" w:rsidRDefault="00F746D8" w:rsidP="00F746D8">
      <w:pPr>
        <w:pStyle w:val="ListParagraph"/>
        <w:ind w:left="426"/>
        <w:jc w:val="both"/>
        <w:rPr>
          <w:rFonts w:ascii="Avenir Next" w:hAnsi="Avenir Next" w:cs="Arial"/>
          <w:sz w:val="22"/>
          <w:szCs w:val="22"/>
          <w:lang w:val="en-GB"/>
        </w:rPr>
      </w:pPr>
    </w:p>
    <w:p w14:paraId="5E504FB7"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Pr>
          <w:rFonts w:ascii="Avenir Next" w:hAnsi="Avenir Next" w:cs="Arial"/>
          <w:sz w:val="22"/>
          <w:szCs w:val="22"/>
          <w:lang w:val="en-GB"/>
        </w:rPr>
        <w:t>“</w:t>
      </w:r>
      <w:r w:rsidRPr="008E3C96">
        <w:rPr>
          <w:rFonts w:ascii="Avenir Next" w:hAnsi="Avenir Next" w:cs="Arial"/>
          <w:sz w:val="22"/>
          <w:szCs w:val="22"/>
          <w:lang w:val="en-GB"/>
        </w:rPr>
        <w:t>New Approach to Business Failure</w:t>
      </w:r>
      <w:r>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AD35E0" w:rsidRDefault="00F746D8" w:rsidP="00F746D8">
      <w:pPr>
        <w:pStyle w:val="ListParagraph"/>
        <w:numPr>
          <w:ilvl w:val="0"/>
          <w:numId w:val="7"/>
        </w:numPr>
        <w:ind w:left="426"/>
        <w:jc w:val="both"/>
        <w:rPr>
          <w:rFonts w:ascii="Avenir Next" w:hAnsi="Avenir Next" w:cs="Arial"/>
          <w:sz w:val="22"/>
          <w:szCs w:val="22"/>
          <w:lang w:val="en-GB"/>
        </w:rPr>
      </w:pPr>
      <w:r w:rsidRPr="00CE2FD5">
        <w:rPr>
          <w:rFonts w:ascii="Avenir Next" w:hAnsi="Avenir Next" w:cs="Arial"/>
          <w:sz w:val="22"/>
          <w:szCs w:val="22"/>
          <w:highlight w:val="yellow"/>
          <w:lang w:val="en-GB"/>
        </w:rPr>
        <w:t>Each Member State will define “insolvency” in national legislation</w:t>
      </w:r>
      <w:r w:rsidRPr="00AD35E0">
        <w:rPr>
          <w:rFonts w:ascii="Avenir Next" w:hAnsi="Avenir Next" w:cs="Arial"/>
          <w:sz w:val="22"/>
          <w:szCs w:val="22"/>
          <w:lang w:val="en-GB"/>
        </w:rPr>
        <w:t>.</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Pr>
          <w:rFonts w:ascii="Avenir Next" w:hAnsi="Avenir Next" w:cs="Arial"/>
          <w:sz w:val="22"/>
          <w:szCs w:val="22"/>
          <w:lang w:val="en-GB"/>
        </w:rPr>
        <w:t>“</w:t>
      </w:r>
      <w:r w:rsidRPr="008E3C96">
        <w:rPr>
          <w:rFonts w:ascii="Avenir Next" w:hAnsi="Avenir Next" w:cs="Arial"/>
          <w:sz w:val="22"/>
          <w:szCs w:val="22"/>
          <w:lang w:val="en-GB"/>
        </w:rPr>
        <w:t>insolvent</w:t>
      </w:r>
      <w:r>
        <w:rPr>
          <w:rFonts w:ascii="Avenir Next" w:hAnsi="Avenir Next" w:cs="Arial"/>
          <w:sz w:val="22"/>
          <w:szCs w:val="22"/>
          <w:lang w:val="en-GB"/>
        </w:rPr>
        <w:t>”</w:t>
      </w:r>
      <w:r w:rsidRPr="008E3C96">
        <w:rPr>
          <w:rFonts w:ascii="Avenir Next" w:hAnsi="Avenir Next" w:cs="Arial"/>
          <w:sz w:val="22"/>
          <w:szCs w:val="22"/>
          <w:lang w:val="en-GB"/>
        </w:rPr>
        <w:t xml:space="preserve">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40AEF524" w14:textId="77777777" w:rsidR="00F746D8" w:rsidRPr="008E3C96" w:rsidRDefault="00F746D8" w:rsidP="00F746D8">
      <w:pPr>
        <w:pStyle w:val="ListParagraph"/>
        <w:ind w:left="426"/>
        <w:jc w:val="both"/>
        <w:rPr>
          <w:rFonts w:ascii="Avenir Next" w:hAnsi="Avenir Next" w:cs="Arial"/>
          <w:sz w:val="22"/>
          <w:szCs w:val="22"/>
          <w:lang w:val="en-GB"/>
        </w:rPr>
      </w:pPr>
    </w:p>
    <w:p w14:paraId="12FF3881"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ListParagraph"/>
        <w:ind w:left="426"/>
        <w:jc w:val="both"/>
        <w:rPr>
          <w:rFonts w:ascii="Avenir Next" w:hAnsi="Avenir Next" w:cs="Arial"/>
          <w:sz w:val="22"/>
          <w:szCs w:val="22"/>
          <w:lang w:val="en-GB"/>
        </w:rPr>
      </w:pPr>
    </w:p>
    <w:p w14:paraId="54884835" w14:textId="77777777" w:rsidR="00F746D8" w:rsidRPr="00E52662" w:rsidRDefault="00F746D8" w:rsidP="00F746D8">
      <w:pPr>
        <w:pStyle w:val="ListParagraph"/>
        <w:numPr>
          <w:ilvl w:val="0"/>
          <w:numId w:val="31"/>
        </w:numPr>
        <w:ind w:left="426"/>
        <w:jc w:val="both"/>
        <w:rPr>
          <w:rFonts w:ascii="Avenir Next" w:hAnsi="Avenir Next" w:cs="Arial"/>
          <w:sz w:val="22"/>
          <w:szCs w:val="22"/>
          <w:lang w:val="en-GB"/>
        </w:rPr>
      </w:pPr>
      <w:r w:rsidRPr="00E52662">
        <w:rPr>
          <w:rFonts w:ascii="Avenir Next" w:hAnsi="Avenir Next" w:cs="Arial"/>
          <w:sz w:val="22"/>
          <w:szCs w:val="22"/>
          <w:lang w:val="en-GB"/>
        </w:rPr>
        <w:t>Article 7 EIR Recast (entitled “Applicable law”).</w:t>
      </w:r>
    </w:p>
    <w:p w14:paraId="0B470F1F" w14:textId="77777777" w:rsidR="00F746D8" w:rsidRPr="008E3C96" w:rsidRDefault="00F746D8" w:rsidP="00F746D8">
      <w:pPr>
        <w:pStyle w:val="ListParagraph"/>
        <w:ind w:left="426"/>
        <w:jc w:val="both"/>
        <w:rPr>
          <w:rFonts w:ascii="Avenir Next" w:hAnsi="Avenir Next" w:cs="Arial"/>
          <w:sz w:val="22"/>
          <w:szCs w:val="22"/>
          <w:lang w:val="en-GB"/>
        </w:rPr>
      </w:pPr>
    </w:p>
    <w:p w14:paraId="401BC106" w14:textId="77777777" w:rsidR="00F746D8" w:rsidRPr="00E52662" w:rsidRDefault="00F746D8" w:rsidP="00F746D8">
      <w:pPr>
        <w:pStyle w:val="ListParagraph"/>
        <w:numPr>
          <w:ilvl w:val="0"/>
          <w:numId w:val="31"/>
        </w:numPr>
        <w:ind w:left="426"/>
        <w:jc w:val="both"/>
        <w:rPr>
          <w:rFonts w:ascii="Avenir Next" w:hAnsi="Avenir Next" w:cs="Arial"/>
          <w:sz w:val="22"/>
          <w:szCs w:val="22"/>
          <w:highlight w:val="yellow"/>
          <w:lang w:val="en-GB"/>
        </w:rPr>
      </w:pPr>
      <w:r w:rsidRPr="00E52662">
        <w:rPr>
          <w:rFonts w:ascii="Avenir Next" w:hAnsi="Avenir Next" w:cs="Arial"/>
          <w:sz w:val="22"/>
          <w:szCs w:val="22"/>
          <w:highlight w:val="yellow"/>
          <w:lang w:val="en-GB"/>
        </w:rPr>
        <w:t>Article 31 EIR Recast (entitled “</w:t>
      </w:r>
      <w:r w:rsidRPr="00E52662">
        <w:rPr>
          <w:rFonts w:ascii="Avenir Next" w:hAnsi="Avenir Next" w:cs="Arial"/>
          <w:bCs/>
          <w:sz w:val="22"/>
          <w:szCs w:val="22"/>
          <w:highlight w:val="yellow"/>
          <w:lang w:val="en-GB"/>
        </w:rPr>
        <w:t>Honouring of an obligation to a debtor”</w:t>
      </w:r>
      <w:r w:rsidRPr="00E52662">
        <w:rPr>
          <w:rFonts w:ascii="Avenir Next" w:hAnsi="Avenir Next" w:cs="Arial"/>
          <w:sz w:val="22"/>
          <w:szCs w:val="22"/>
          <w:highlight w:val="yellow"/>
          <w:lang w:val="en-GB"/>
        </w:rPr>
        <w:t>).</w:t>
      </w:r>
    </w:p>
    <w:p w14:paraId="03C8D5D4" w14:textId="77777777" w:rsidR="00F746D8" w:rsidRPr="008E3C96" w:rsidRDefault="00F746D8" w:rsidP="00F746D8">
      <w:pPr>
        <w:pStyle w:val="ListParagraph"/>
        <w:ind w:left="426"/>
        <w:jc w:val="both"/>
        <w:rPr>
          <w:rFonts w:ascii="Avenir Next" w:hAnsi="Avenir Next" w:cs="Arial"/>
          <w:sz w:val="22"/>
          <w:szCs w:val="22"/>
          <w:lang w:val="en-GB"/>
        </w:rPr>
      </w:pPr>
    </w:p>
    <w:p w14:paraId="4ABFE6E7"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3F0A114C" w14:textId="77777777" w:rsidR="00F746D8" w:rsidRPr="008E3C96" w:rsidRDefault="00F746D8" w:rsidP="00F746D8">
      <w:pPr>
        <w:jc w:val="both"/>
        <w:rPr>
          <w:rFonts w:ascii="Avenir Next" w:hAnsi="Avenir Next" w:cs="Arial"/>
          <w:sz w:val="22"/>
          <w:szCs w:val="22"/>
        </w:rPr>
      </w:pPr>
    </w:p>
    <w:p w14:paraId="0046613D" w14:textId="77777777" w:rsidR="00F746D8" w:rsidRDefault="00F746D8" w:rsidP="00F746D8">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are some of the </w:t>
      </w:r>
      <w:r w:rsidRPr="002F69AA">
        <w:rPr>
          <w:rFonts w:ascii="Avenir Next Demi Bold" w:hAnsi="Avenir Next Demi Bold" w:cs="Arial"/>
          <w:sz w:val="22"/>
          <w:szCs w:val="22"/>
          <w:u w:val="single"/>
          <w:lang w:val="en-GB"/>
        </w:rPr>
        <w:t>main criticisms</w:t>
      </w:r>
      <w:r>
        <w:rPr>
          <w:rFonts w:ascii="Avenir Next" w:hAnsi="Avenir Next" w:cs="Arial"/>
          <w:sz w:val="22"/>
          <w:szCs w:val="22"/>
          <w:lang w:val="en-GB"/>
        </w:rPr>
        <w:t xml:space="preserve"> which have been voiced against the concept of the “centre of main interest”? </w:t>
      </w:r>
    </w:p>
    <w:p w14:paraId="270CFF5C" w14:textId="77777777" w:rsidR="00F746D8"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D7664B" w:rsidRDefault="00F746D8" w:rsidP="00F746D8">
      <w:pPr>
        <w:pStyle w:val="ListParagraph"/>
        <w:numPr>
          <w:ilvl w:val="0"/>
          <w:numId w:val="8"/>
        </w:numPr>
        <w:ind w:left="426"/>
        <w:jc w:val="both"/>
        <w:rPr>
          <w:rFonts w:ascii="Avenir Next" w:hAnsi="Avenir Next" w:cs="Arial"/>
          <w:sz w:val="22"/>
          <w:szCs w:val="22"/>
          <w:lang w:val="en-GB"/>
        </w:rPr>
      </w:pPr>
      <w:r w:rsidRPr="00D7664B">
        <w:rPr>
          <w:rFonts w:ascii="Avenir Next" w:hAnsi="Avenir Next" w:cs="Arial"/>
          <w:sz w:val="22"/>
          <w:szCs w:val="22"/>
          <w:lang w:val="en-GB"/>
        </w:rPr>
        <w:t xml:space="preserve">The concept </w:t>
      </w:r>
      <w:r>
        <w:rPr>
          <w:rFonts w:ascii="Avenir Next" w:hAnsi="Avenir Next" w:cs="Arial"/>
          <w:sz w:val="22"/>
          <w:szCs w:val="22"/>
          <w:lang w:val="en-GB"/>
        </w:rPr>
        <w:t>makes it impossible for companies to move jurisdiction, which ultimately, may jeopardise their chances of rescue.</w:t>
      </w:r>
    </w:p>
    <w:p w14:paraId="65D5AD4A" w14:textId="77777777" w:rsidR="00F746D8" w:rsidRPr="008E3C96" w:rsidRDefault="00F746D8" w:rsidP="00F746D8">
      <w:pPr>
        <w:pStyle w:val="ListParagraph"/>
        <w:ind w:left="426"/>
        <w:jc w:val="both"/>
        <w:rPr>
          <w:rFonts w:ascii="Avenir Next" w:hAnsi="Avenir Next" w:cs="Arial"/>
          <w:sz w:val="22"/>
          <w:szCs w:val="22"/>
          <w:lang w:val="en-GB"/>
        </w:rPr>
      </w:pPr>
    </w:p>
    <w:p w14:paraId="5165E85E"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8E3C96" w:rsidRDefault="00F746D8" w:rsidP="00F746D8">
      <w:pPr>
        <w:jc w:val="both"/>
        <w:rPr>
          <w:rFonts w:ascii="Avenir Next" w:hAnsi="Avenir Next" w:cs="Arial"/>
          <w:sz w:val="22"/>
          <w:szCs w:val="22"/>
          <w:lang w:val="en-GB"/>
        </w:rPr>
      </w:pPr>
    </w:p>
    <w:p w14:paraId="3133B169"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is too similar to that of an “establishment” which makes it difficult for a court to know whether to open main or secondary proceedings. </w:t>
      </w:r>
      <w:r w:rsidRPr="008E3C96">
        <w:rPr>
          <w:rFonts w:ascii="Avenir Next" w:hAnsi="Avenir Next" w:cs="Arial"/>
          <w:sz w:val="22"/>
          <w:szCs w:val="22"/>
          <w:lang w:val="en-GB"/>
        </w:rPr>
        <w:t xml:space="preserve"> </w:t>
      </w:r>
    </w:p>
    <w:p w14:paraId="2729D726" w14:textId="77777777" w:rsidR="00F746D8" w:rsidRPr="008E3C96" w:rsidRDefault="00F746D8" w:rsidP="00F746D8">
      <w:pPr>
        <w:jc w:val="both"/>
        <w:rPr>
          <w:rFonts w:ascii="Avenir Next" w:hAnsi="Avenir Next" w:cs="Arial"/>
          <w:sz w:val="22"/>
          <w:szCs w:val="22"/>
          <w:lang w:val="en-GB"/>
        </w:rPr>
      </w:pPr>
    </w:p>
    <w:p w14:paraId="0B2F83A8" w14:textId="77777777" w:rsidR="00F746D8" w:rsidRPr="00E636B4" w:rsidRDefault="00F746D8" w:rsidP="00F746D8">
      <w:pPr>
        <w:pStyle w:val="ListParagraph"/>
        <w:numPr>
          <w:ilvl w:val="0"/>
          <w:numId w:val="8"/>
        </w:numPr>
        <w:ind w:left="426"/>
        <w:jc w:val="both"/>
        <w:rPr>
          <w:rFonts w:ascii="Avenir Next" w:hAnsi="Avenir Next" w:cs="Arial"/>
          <w:sz w:val="22"/>
          <w:szCs w:val="22"/>
          <w:highlight w:val="yellow"/>
          <w:lang w:val="en-GB"/>
        </w:rPr>
      </w:pPr>
      <w:r w:rsidRPr="00E636B4">
        <w:rPr>
          <w:rFonts w:ascii="Avenir Next" w:hAnsi="Avenir Next"/>
          <w:sz w:val="22"/>
          <w:highlight w:val="yellow"/>
          <w:lang w:val="en-GB"/>
        </w:rPr>
        <w:t xml:space="preserve">The </w:t>
      </w:r>
      <w:r w:rsidRPr="00E636B4">
        <w:rPr>
          <w:rFonts w:ascii="Avenir Next" w:hAnsi="Avenir Next" w:cs="Arial"/>
          <w:sz w:val="22"/>
          <w:szCs w:val="22"/>
          <w:highlight w:val="yellow"/>
          <w:lang w:val="en-GB"/>
        </w:rPr>
        <w:t xml:space="preserve">concept is too vague; it may result in higher capital costs; it may lead to manipulation; and it is difficult to assess by creditors.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94224B" w:rsidRDefault="00F746D8" w:rsidP="00F746D8">
      <w:pPr>
        <w:pStyle w:val="ListParagraph"/>
        <w:numPr>
          <w:ilvl w:val="0"/>
          <w:numId w:val="32"/>
        </w:numPr>
        <w:ind w:left="426"/>
        <w:jc w:val="both"/>
        <w:rPr>
          <w:rFonts w:ascii="Avenir Next" w:hAnsi="Avenir Next" w:cs="Arial"/>
          <w:sz w:val="22"/>
          <w:szCs w:val="22"/>
          <w:highlight w:val="yellow"/>
          <w:lang w:val="en-GB"/>
        </w:rPr>
      </w:pPr>
      <w:r w:rsidRPr="0094224B">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B3030B9" w14:textId="77777777" w:rsidR="00F746D8" w:rsidRPr="008E3C96" w:rsidRDefault="00F746D8" w:rsidP="00F746D8">
      <w:pPr>
        <w:pStyle w:val="ListParagraph"/>
        <w:ind w:left="426"/>
        <w:jc w:val="both"/>
        <w:rPr>
          <w:rFonts w:ascii="Avenir Next" w:hAnsi="Avenir Next" w:cs="Arial"/>
          <w:sz w:val="22"/>
          <w:szCs w:val="22"/>
          <w:lang w:val="en-GB"/>
        </w:rPr>
      </w:pPr>
    </w:p>
    <w:p w14:paraId="12CA0080"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1.10 </w:t>
      </w:r>
    </w:p>
    <w:p w14:paraId="355E2A01" w14:textId="77777777" w:rsidR="00F746D8" w:rsidRPr="008E3C96" w:rsidRDefault="00F746D8" w:rsidP="00F746D8">
      <w:pPr>
        <w:jc w:val="both"/>
        <w:rPr>
          <w:rFonts w:ascii="Avenir Next" w:hAnsi="Avenir Next" w:cs="Arial"/>
          <w:sz w:val="22"/>
          <w:szCs w:val="22"/>
        </w:rPr>
      </w:pPr>
    </w:p>
    <w:p w14:paraId="787E49FE" w14:textId="77777777" w:rsidR="00F746D8" w:rsidRPr="008E3C96" w:rsidRDefault="00F746D8" w:rsidP="00F746D8">
      <w:pPr>
        <w:jc w:val="both"/>
        <w:rPr>
          <w:rFonts w:ascii="Avenir Next" w:hAnsi="Avenir Next" w:cs="Arial"/>
          <w:sz w:val="22"/>
          <w:szCs w:val="22"/>
          <w:lang w:val="en-GB"/>
        </w:rPr>
      </w:pPr>
      <w:r>
        <w:rPr>
          <w:rFonts w:ascii="Avenir Next" w:hAnsi="Avenir Next" w:cs="Arial"/>
          <w:sz w:val="22"/>
          <w:szCs w:val="22"/>
          <w:lang w:val="en-GB"/>
        </w:rPr>
        <w:t>Carala</w:t>
      </w:r>
      <w:r w:rsidRPr="008E3C96">
        <w:rPr>
          <w:rFonts w:ascii="Avenir Next" w:hAnsi="Avenir Next" w:cs="Arial"/>
          <w:sz w:val="22"/>
          <w:szCs w:val="22"/>
          <w:lang w:val="en-GB"/>
        </w:rPr>
        <w:t xml:space="preserve"> SARL is a French-registered company selling </w:t>
      </w:r>
      <w:r>
        <w:rPr>
          <w:rFonts w:ascii="Avenir Next" w:hAnsi="Avenir Next" w:cs="Arial"/>
          <w:sz w:val="22"/>
          <w:szCs w:val="22"/>
          <w:lang w:val="en-GB"/>
        </w:rPr>
        <w:t>jam jars made out of glass</w:t>
      </w:r>
      <w:r w:rsidRPr="008E3C96">
        <w:rPr>
          <w:rFonts w:ascii="Avenir Next" w:hAnsi="Avenir Next" w:cs="Arial"/>
          <w:sz w:val="22"/>
          <w:szCs w:val="22"/>
          <w:lang w:val="en-GB"/>
        </w:rPr>
        <w:t>. The company ha</w:t>
      </w:r>
      <w:r>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w:t>
      </w:r>
      <w:r>
        <w:rPr>
          <w:rFonts w:ascii="Avenir Next" w:hAnsi="Avenir Next" w:cs="Arial"/>
          <w:sz w:val="22"/>
          <w:szCs w:val="22"/>
          <w:lang w:val="en-GB"/>
        </w:rPr>
        <w:t>8. It has since opened another 10 stores in France. Its</w:t>
      </w:r>
      <w:r w:rsidRPr="008E3C96">
        <w:rPr>
          <w:rFonts w:ascii="Avenir Next" w:hAnsi="Avenir Next" w:cs="Arial"/>
          <w:sz w:val="22"/>
          <w:szCs w:val="22"/>
          <w:lang w:val="en-GB"/>
        </w:rPr>
        <w:t xml:space="preserve"> main warehouse is located in Cork, Ireland. </w:t>
      </w:r>
      <w:r>
        <w:rPr>
          <w:rFonts w:ascii="Avenir Next" w:hAnsi="Avenir Next" w:cs="Arial"/>
          <w:sz w:val="22"/>
          <w:szCs w:val="22"/>
          <w:lang w:val="en-GB"/>
        </w:rPr>
        <w:t>95% of its employees are located in France and 5% are located in Ireland. Mo</w:t>
      </w:r>
      <w:r w:rsidRPr="008E3C96">
        <w:rPr>
          <w:rFonts w:ascii="Avenir Next" w:hAnsi="Avenir Next" w:cs="Arial"/>
          <w:sz w:val="22"/>
          <w:szCs w:val="22"/>
          <w:lang w:val="en-GB"/>
        </w:rPr>
        <w:t xml:space="preserve">st of its customers are </w:t>
      </w:r>
      <w:r>
        <w:rPr>
          <w:rFonts w:ascii="Avenir Next" w:hAnsi="Avenir Next" w:cs="Arial"/>
          <w:sz w:val="22"/>
          <w:szCs w:val="22"/>
          <w:lang w:val="en-GB"/>
        </w:rPr>
        <w:t>located in France</w:t>
      </w:r>
      <w:r w:rsidRPr="008E3C96">
        <w:rPr>
          <w:rFonts w:ascii="Avenir Next" w:hAnsi="Avenir Next" w:cs="Arial"/>
          <w:sz w:val="22"/>
          <w:szCs w:val="22"/>
          <w:lang w:val="en-GB"/>
        </w:rPr>
        <w:t xml:space="preserve">, yet some online purchases </w:t>
      </w:r>
      <w:r>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w:t>
      </w:r>
    </w:p>
    <w:p w14:paraId="1FE9891D" w14:textId="77777777" w:rsidR="00F746D8" w:rsidRPr="008E3C96" w:rsidRDefault="00F746D8" w:rsidP="00F746D8">
      <w:pPr>
        <w:jc w:val="both"/>
        <w:rPr>
          <w:rFonts w:ascii="Avenir Next" w:hAnsi="Avenir Next" w:cs="Arial"/>
          <w:sz w:val="22"/>
          <w:szCs w:val="22"/>
          <w:lang w:val="en-GB"/>
        </w:rPr>
      </w:pPr>
    </w:p>
    <w:p w14:paraId="5D3DF07B"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Bella SARL entered into a loan agreement with a Spanish bank because it was hoping to expand its reach onto the Spanish </w:t>
      </w:r>
      <w:r>
        <w:rPr>
          <w:rFonts w:ascii="Avenir Next" w:hAnsi="Avenir Next" w:cs="Arial"/>
          <w:sz w:val="22"/>
          <w:szCs w:val="22"/>
          <w:lang w:val="en-GB"/>
        </w:rPr>
        <w:t>jam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2C3F7B72" w14:textId="77777777" w:rsidR="00F746D8" w:rsidRPr="008E3C96" w:rsidRDefault="00F746D8" w:rsidP="00F746D8">
      <w:pPr>
        <w:jc w:val="both"/>
        <w:rPr>
          <w:rFonts w:ascii="Avenir Next" w:hAnsi="Avenir Next" w:cs="Arial"/>
          <w:sz w:val="22"/>
          <w:szCs w:val="22"/>
          <w:lang w:val="en-GB"/>
        </w:rPr>
      </w:pPr>
    </w:p>
    <w:p w14:paraId="1A6F994F" w14:textId="0197B784" w:rsidR="00F746D8"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w:t>
      </w:r>
      <w:r w:rsidRPr="008E3C96">
        <w:rPr>
          <w:rFonts w:ascii="Avenir Next" w:hAnsi="Avenir Next" w:cs="Arial"/>
          <w:sz w:val="22"/>
          <w:szCs w:val="22"/>
          <w:lang w:val="en-GB"/>
        </w:rPr>
        <w:t xml:space="preserve">. By </w:t>
      </w:r>
      <w:r>
        <w:rPr>
          <w:rFonts w:ascii="Avenir Next" w:hAnsi="Avenir Next" w:cs="Arial"/>
          <w:sz w:val="22"/>
          <w:szCs w:val="22"/>
          <w:lang w:val="en-GB"/>
        </w:rPr>
        <w:t>the end of 2021,</w:t>
      </w:r>
      <w:r w:rsidRPr="008E3C96">
        <w:rPr>
          <w:rFonts w:ascii="Avenir Next" w:hAnsi="Avenir Next" w:cs="Arial"/>
          <w:sz w:val="22"/>
          <w:szCs w:val="22"/>
          <w:lang w:val="en-GB"/>
        </w:rPr>
        <w:t xml:space="preserve"> 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few years. On </w:t>
      </w:r>
      <w:r>
        <w:rPr>
          <w:rFonts w:ascii="Avenir Next" w:hAnsi="Avenir Next" w:cs="Arial"/>
          <w:sz w:val="22"/>
          <w:szCs w:val="22"/>
          <w:lang w:val="en-GB"/>
        </w:rPr>
        <w:t>10 January 2022</w:t>
      </w:r>
      <w:r w:rsidRPr="008E3C96">
        <w:rPr>
          <w:rFonts w:ascii="Avenir Next" w:hAnsi="Avenir Next" w:cs="Arial"/>
          <w:sz w:val="22"/>
          <w:szCs w:val="22"/>
          <w:lang w:val="en-GB"/>
        </w:rPr>
        <w:t>, it</w:t>
      </w:r>
      <w:r>
        <w:rPr>
          <w:rFonts w:ascii="Avenir Next" w:hAnsi="Avenir Next" w:cs="Arial"/>
          <w:sz w:val="22"/>
          <w:szCs w:val="22"/>
          <w:lang w:val="en-GB"/>
        </w:rPr>
        <w:t xml:space="preserve"> wants</w:t>
      </w:r>
      <w:r w:rsidRPr="008E3C96">
        <w:rPr>
          <w:rFonts w:ascii="Avenir Next" w:hAnsi="Avenir Next" w:cs="Arial"/>
          <w:sz w:val="22"/>
          <w:szCs w:val="22"/>
          <w:lang w:val="en-GB"/>
        </w:rPr>
        <w:t xml:space="preserve"> </w:t>
      </w:r>
      <w:r>
        <w:rPr>
          <w:rFonts w:ascii="Avenir Next" w:hAnsi="Avenir Next" w:cs="Arial"/>
          <w:sz w:val="22"/>
          <w:szCs w:val="22"/>
          <w:lang w:val="en-GB"/>
        </w:rPr>
        <w:t xml:space="preserve">to file for insolvency. In which country is Carala’s </w:t>
      </w:r>
      <w:r w:rsidRPr="0017294D">
        <w:rPr>
          <w:rFonts w:ascii="Avenir Next Demi Bold" w:hAnsi="Avenir Next Demi Bold" w:cs="Arial"/>
          <w:sz w:val="22"/>
          <w:szCs w:val="22"/>
          <w:u w:val="single"/>
          <w:lang w:val="en-GB"/>
        </w:rPr>
        <w:t>centre of main interest presumed to be located</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46593DD2" w14:textId="77777777" w:rsidR="00F746D8" w:rsidRPr="008E3C96" w:rsidRDefault="00F746D8" w:rsidP="00F746D8">
      <w:pPr>
        <w:jc w:val="both"/>
        <w:rPr>
          <w:rFonts w:ascii="Avenir Next" w:hAnsi="Avenir Next" w:cs="Arial"/>
          <w:sz w:val="22"/>
          <w:szCs w:val="22"/>
          <w:lang w:val="en-GB"/>
        </w:rPr>
      </w:pPr>
    </w:p>
    <w:p w14:paraId="68A57E20"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Its centre of main interest is located in Spain because the loan agreement will lead to a presumption of COMI.</w:t>
      </w:r>
    </w:p>
    <w:p w14:paraId="2FE46D7D" w14:textId="77777777" w:rsidR="00F746D8" w:rsidRPr="008E3C96" w:rsidRDefault="00F746D8" w:rsidP="00F746D8">
      <w:pPr>
        <w:jc w:val="both"/>
        <w:rPr>
          <w:rFonts w:ascii="Avenir Next" w:hAnsi="Avenir Next" w:cs="Arial"/>
          <w:sz w:val="22"/>
          <w:szCs w:val="22"/>
          <w:lang w:val="en-GB"/>
        </w:rPr>
      </w:pPr>
    </w:p>
    <w:p w14:paraId="69492269"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is located in Ireland because the warehouse will lead to a presumption of COMI. </w:t>
      </w:r>
    </w:p>
    <w:p w14:paraId="35B9F35B" w14:textId="77777777" w:rsidR="00F746D8" w:rsidRPr="008E3C96" w:rsidRDefault="00F746D8" w:rsidP="00F746D8">
      <w:pPr>
        <w:pStyle w:val="ListParagraph"/>
        <w:ind w:left="426"/>
        <w:jc w:val="both"/>
        <w:rPr>
          <w:rFonts w:ascii="Avenir Next" w:hAnsi="Avenir Next" w:cs="Arial"/>
          <w:sz w:val="22"/>
          <w:szCs w:val="22"/>
          <w:lang w:val="en-GB"/>
        </w:rPr>
      </w:pPr>
    </w:p>
    <w:p w14:paraId="39B9C266" w14:textId="77777777" w:rsidR="00F746D8" w:rsidRPr="00263D61" w:rsidRDefault="00F746D8" w:rsidP="00F746D8">
      <w:pPr>
        <w:pStyle w:val="ListParagraph"/>
        <w:numPr>
          <w:ilvl w:val="0"/>
          <w:numId w:val="9"/>
        </w:numPr>
        <w:ind w:left="426"/>
        <w:jc w:val="both"/>
        <w:rPr>
          <w:rFonts w:ascii="Avenir Next" w:hAnsi="Avenir Next" w:cs="Arial"/>
          <w:sz w:val="22"/>
          <w:szCs w:val="22"/>
          <w:highlight w:val="yellow"/>
          <w:lang w:val="en-GB"/>
        </w:rPr>
      </w:pPr>
      <w:r w:rsidRPr="00263D61">
        <w:rPr>
          <w:rFonts w:ascii="Avenir Next" w:hAnsi="Avenir Next" w:cs="Arial"/>
          <w:sz w:val="22"/>
          <w:szCs w:val="22"/>
          <w:highlight w:val="yellow"/>
          <w:lang w:val="en-GB"/>
        </w:rPr>
        <w:t xml:space="preserve">Its centre of main interest is located in France because its registration, stores, customer-base and majority of employees lead to a presumption of COMI. </w:t>
      </w:r>
    </w:p>
    <w:p w14:paraId="2663A2D1" w14:textId="77777777" w:rsidR="00F746D8" w:rsidRPr="008E3C96" w:rsidRDefault="00F746D8" w:rsidP="00F746D8">
      <w:pPr>
        <w:pStyle w:val="ListParagraph"/>
        <w:ind w:left="426"/>
        <w:jc w:val="both"/>
        <w:rPr>
          <w:rFonts w:ascii="Avenir Next" w:hAnsi="Avenir Next" w:cs="Arial"/>
          <w:sz w:val="22"/>
          <w:szCs w:val="22"/>
          <w:lang w:val="en-GB"/>
        </w:rPr>
      </w:pPr>
    </w:p>
    <w:p w14:paraId="5769E4A5"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Its centre of main interest is located in the Netherlands because online customers lead to a presumption of COMI.</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1B1806" w:rsidRDefault="00636C15" w:rsidP="00636C15">
      <w:pPr>
        <w:jc w:val="both"/>
        <w:rPr>
          <w:rFonts w:ascii="Avenir Next" w:hAnsi="Avenir Next" w:cs="Arial"/>
          <w:sz w:val="22"/>
          <w:szCs w:val="22"/>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3C3667E9"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B32588"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75B6B575" w14:textId="220E77E6" w:rsidR="00AA55B5" w:rsidRPr="008E3C96" w:rsidRDefault="00AA55B5" w:rsidP="00636C15">
      <w:pPr>
        <w:jc w:val="both"/>
        <w:rPr>
          <w:rFonts w:ascii="Avenir Next" w:hAnsi="Avenir Next" w:cs="Arial"/>
          <w:sz w:val="22"/>
          <w:szCs w:val="22"/>
          <w:lang w:val="en-GB"/>
        </w:rPr>
      </w:pPr>
    </w:p>
    <w:p w14:paraId="2F802B87" w14:textId="0E3D1F4D" w:rsidR="00636C15"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9651D2">
        <w:rPr>
          <w:rFonts w:ascii="Avenir Next" w:hAnsi="Avenir Next" w:cs="Arial"/>
          <w:sz w:val="22"/>
          <w:szCs w:val="22"/>
          <w:lang w:val="en-GB"/>
        </w:rPr>
        <w:t xml:space="preserve">Pending lawsuits are not covered by the effects of the </w:t>
      </w:r>
      <w:r w:rsidR="009651D2">
        <w:rPr>
          <w:rFonts w:ascii="Avenir Next" w:hAnsi="Avenir Next" w:cs="Arial"/>
          <w:i/>
          <w:iCs/>
          <w:sz w:val="22"/>
          <w:szCs w:val="22"/>
          <w:lang w:val="en-GB"/>
        </w:rPr>
        <w:t xml:space="preserve">lex concursus </w:t>
      </w:r>
      <w:r w:rsidR="009651D2">
        <w:rPr>
          <w:rFonts w:ascii="Avenir Next" w:hAnsi="Avenir Next" w:cs="Arial"/>
          <w:sz w:val="22"/>
          <w:szCs w:val="22"/>
          <w:lang w:val="en-GB"/>
        </w:rPr>
        <w:t xml:space="preserve">in insolvency proceedings.  </w:t>
      </w:r>
    </w:p>
    <w:p w14:paraId="08630CCF" w14:textId="77777777" w:rsidR="00FD75C4" w:rsidRDefault="00FD75C4" w:rsidP="00636C15">
      <w:pPr>
        <w:jc w:val="both"/>
        <w:rPr>
          <w:rFonts w:ascii="Avenir Next" w:hAnsi="Avenir Next" w:cs="Arial"/>
          <w:sz w:val="22"/>
          <w:szCs w:val="22"/>
          <w:lang w:val="en-GB"/>
        </w:rPr>
      </w:pPr>
    </w:p>
    <w:p w14:paraId="211E60D7" w14:textId="20BCFE05" w:rsidR="00FD75C4" w:rsidRPr="008E3C96" w:rsidRDefault="00FD75C4" w:rsidP="00636C15">
      <w:pPr>
        <w:jc w:val="both"/>
        <w:rPr>
          <w:rFonts w:ascii="Avenir Next" w:hAnsi="Avenir Next" w:cs="Arial"/>
          <w:sz w:val="22"/>
          <w:szCs w:val="22"/>
          <w:lang w:val="en-GB"/>
        </w:rPr>
      </w:pPr>
    </w:p>
    <w:p w14:paraId="63129F80" w14:textId="77777777" w:rsidR="00636C15" w:rsidRPr="008E3C96" w:rsidRDefault="00636C15" w:rsidP="00636C15">
      <w:pPr>
        <w:ind w:left="720" w:hanging="720"/>
        <w:jc w:val="both"/>
        <w:rPr>
          <w:rFonts w:ascii="Avenir Next" w:hAnsi="Avenir Next" w:cs="Arial"/>
          <w:sz w:val="22"/>
          <w:szCs w:val="22"/>
        </w:rPr>
      </w:pPr>
    </w:p>
    <w:p w14:paraId="36A35192" w14:textId="46AB0F20" w:rsidR="00FD75C4" w:rsidRDefault="001B1806"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The</w:t>
      </w:r>
      <w:r w:rsidR="00FD75C4">
        <w:rPr>
          <w:rFonts w:ascii="Avenir Next" w:hAnsi="Avenir Next" w:cs="Arial"/>
          <w:color w:val="7B7B7B" w:themeColor="accent3" w:themeShade="BF"/>
          <w:sz w:val="22"/>
          <w:szCs w:val="22"/>
        </w:rPr>
        <w:t xml:space="preserve"> first statement </w:t>
      </w:r>
      <w:r w:rsidR="001E583E">
        <w:rPr>
          <w:rFonts w:ascii="Avenir Next" w:hAnsi="Avenir Next" w:cs="Arial"/>
          <w:color w:val="7B7B7B" w:themeColor="accent3" w:themeShade="BF"/>
          <w:sz w:val="22"/>
          <w:szCs w:val="22"/>
        </w:rPr>
        <w:t xml:space="preserve">relates to the promotion of the rescue of the insolvent debtor. Such rule can be found in the first Article of EIR Recast, which determines its scope </w:t>
      </w:r>
      <w:r w:rsidR="008827BD">
        <w:rPr>
          <w:rFonts w:ascii="Avenir Next" w:hAnsi="Avenir Next" w:cs="Arial"/>
          <w:color w:val="7B7B7B" w:themeColor="accent3" w:themeShade="BF"/>
          <w:sz w:val="22"/>
          <w:szCs w:val="22"/>
        </w:rPr>
        <w:t>and includes the rescue of the debtor.</w:t>
      </w:r>
      <w:r w:rsidR="00F124C8">
        <w:rPr>
          <w:rFonts w:ascii="Avenir Next" w:hAnsi="Avenir Next" w:cs="Arial"/>
          <w:color w:val="7B7B7B" w:themeColor="accent3" w:themeShade="BF"/>
          <w:sz w:val="22"/>
          <w:szCs w:val="22"/>
        </w:rPr>
        <w:t xml:space="preserve"> The promotion of rescue is envisaged also by means of </w:t>
      </w:r>
      <w:r w:rsidR="00477105">
        <w:rPr>
          <w:rFonts w:ascii="Avenir Next" w:hAnsi="Avenir Next" w:cs="Arial"/>
          <w:color w:val="7B7B7B" w:themeColor="accent3" w:themeShade="BF"/>
          <w:sz w:val="22"/>
          <w:szCs w:val="22"/>
        </w:rPr>
        <w:t>Recital</w:t>
      </w:r>
      <w:r w:rsidR="008F19A6">
        <w:rPr>
          <w:rFonts w:ascii="Avenir Next" w:hAnsi="Avenir Next" w:cs="Arial"/>
          <w:color w:val="7B7B7B" w:themeColor="accent3" w:themeShade="BF"/>
          <w:sz w:val="22"/>
          <w:szCs w:val="22"/>
        </w:rPr>
        <w:t xml:space="preserve"> 10.</w:t>
      </w:r>
      <w:r w:rsidR="00F124C8">
        <w:rPr>
          <w:rFonts w:ascii="Avenir Next" w:hAnsi="Avenir Next" w:cs="Arial"/>
          <w:color w:val="7B7B7B" w:themeColor="accent3" w:themeShade="BF"/>
          <w:sz w:val="22"/>
          <w:szCs w:val="22"/>
        </w:rPr>
        <w:t xml:space="preserve"> </w:t>
      </w:r>
    </w:p>
    <w:p w14:paraId="7CFF9638" w14:textId="77777777" w:rsidR="00FD75C4" w:rsidRDefault="00FD75C4" w:rsidP="000A3278">
      <w:pPr>
        <w:jc w:val="both"/>
        <w:rPr>
          <w:rFonts w:ascii="Avenir Next" w:hAnsi="Avenir Next" w:cs="Arial"/>
          <w:color w:val="7B7B7B" w:themeColor="accent3" w:themeShade="BF"/>
          <w:sz w:val="22"/>
          <w:szCs w:val="22"/>
        </w:rPr>
      </w:pPr>
    </w:p>
    <w:p w14:paraId="1A1637C6" w14:textId="19BAFCC6" w:rsidR="006C3FB7" w:rsidRDefault="00477105"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second</w:t>
      </w:r>
      <w:r w:rsidR="001B1806">
        <w:rPr>
          <w:rFonts w:ascii="Avenir Next" w:hAnsi="Avenir Next" w:cs="Arial"/>
          <w:color w:val="7B7B7B" w:themeColor="accent3" w:themeShade="BF"/>
          <w:sz w:val="22"/>
          <w:szCs w:val="22"/>
        </w:rPr>
        <w:t xml:space="preserve"> statement relates to </w:t>
      </w:r>
      <w:r>
        <w:rPr>
          <w:rFonts w:ascii="Avenir Next" w:hAnsi="Avenir Next" w:cs="Arial"/>
          <w:color w:val="7B7B7B" w:themeColor="accent3" w:themeShade="BF"/>
          <w:sz w:val="22"/>
          <w:szCs w:val="22"/>
        </w:rPr>
        <w:t>Article</w:t>
      </w:r>
      <w:r w:rsidR="00EA13F2">
        <w:rPr>
          <w:rFonts w:ascii="Avenir Next" w:hAnsi="Avenir Next" w:cs="Arial"/>
          <w:color w:val="7B7B7B" w:themeColor="accent3" w:themeShade="BF"/>
          <w:sz w:val="22"/>
          <w:szCs w:val="22"/>
        </w:rPr>
        <w:t xml:space="preserve"> 18 of EIR 2015, wh</w:t>
      </w:r>
      <w:r w:rsidR="005C7BF1">
        <w:rPr>
          <w:rFonts w:ascii="Avenir Next" w:hAnsi="Avenir Next" w:cs="Arial"/>
          <w:color w:val="7B7B7B" w:themeColor="accent3" w:themeShade="BF"/>
          <w:sz w:val="22"/>
          <w:szCs w:val="22"/>
        </w:rPr>
        <w:t>ich</w:t>
      </w:r>
      <w:r w:rsidR="00EA13F2">
        <w:rPr>
          <w:rFonts w:ascii="Avenir Next" w:hAnsi="Avenir Next" w:cs="Arial"/>
          <w:color w:val="7B7B7B" w:themeColor="accent3" w:themeShade="BF"/>
          <w:sz w:val="22"/>
          <w:szCs w:val="22"/>
        </w:rPr>
        <w:t xml:space="preserve"> </w:t>
      </w:r>
      <w:r w:rsidR="005C7BF1">
        <w:rPr>
          <w:rFonts w:ascii="Avenir Next" w:hAnsi="Avenir Next" w:cs="Arial"/>
          <w:color w:val="7B7B7B" w:themeColor="accent3" w:themeShade="BF"/>
          <w:sz w:val="22"/>
          <w:szCs w:val="22"/>
        </w:rPr>
        <w:t xml:space="preserve">has the </w:t>
      </w:r>
      <w:r w:rsidR="00EA13F2">
        <w:rPr>
          <w:rFonts w:ascii="Avenir Next" w:hAnsi="Avenir Next" w:cs="Arial"/>
          <w:color w:val="7B7B7B" w:themeColor="accent3" w:themeShade="BF"/>
          <w:sz w:val="22"/>
          <w:szCs w:val="22"/>
        </w:rPr>
        <w:t xml:space="preserve">title </w:t>
      </w:r>
      <w:r w:rsidR="005837B7">
        <w:rPr>
          <w:rFonts w:ascii="Avenir Next" w:hAnsi="Avenir Next" w:cs="Arial"/>
          <w:color w:val="7B7B7B" w:themeColor="accent3" w:themeShade="BF"/>
          <w:sz w:val="22"/>
          <w:szCs w:val="22"/>
        </w:rPr>
        <w:t>“Effects of insolvency proceedings on pending lawsuits or arbitral proceedings”</w:t>
      </w:r>
      <w:r w:rsidR="0015307B">
        <w:rPr>
          <w:rFonts w:ascii="Avenir Next" w:hAnsi="Avenir Next" w:cs="Arial"/>
          <w:color w:val="7B7B7B" w:themeColor="accent3" w:themeShade="BF"/>
          <w:sz w:val="22"/>
          <w:szCs w:val="22"/>
        </w:rPr>
        <w:t xml:space="preserve">. The rule prescribes that the law which </w:t>
      </w:r>
      <w:r w:rsidR="00DB2429">
        <w:rPr>
          <w:rFonts w:ascii="Avenir Next" w:hAnsi="Avenir Next" w:cs="Arial"/>
          <w:color w:val="7B7B7B" w:themeColor="accent3" w:themeShade="BF"/>
          <w:sz w:val="22"/>
          <w:szCs w:val="22"/>
        </w:rPr>
        <w:t xml:space="preserve">governs the effect of the insolvency proceedings on pending lawsuits and arbitral proceedings is the law of the Member State </w:t>
      </w:r>
      <w:r w:rsidR="00B32576">
        <w:rPr>
          <w:rFonts w:ascii="Avenir Next" w:hAnsi="Avenir Next" w:cs="Arial"/>
          <w:color w:val="7B7B7B" w:themeColor="accent3" w:themeShade="BF"/>
          <w:sz w:val="22"/>
          <w:szCs w:val="22"/>
        </w:rPr>
        <w:t>in which the lawsuit is pending or in which the arbitral tribunal has its seat. This is the exception to the</w:t>
      </w:r>
      <w:r w:rsidR="00FD75C4">
        <w:rPr>
          <w:rFonts w:ascii="Avenir Next" w:hAnsi="Avenir Next" w:cs="Arial"/>
          <w:color w:val="7B7B7B" w:themeColor="accent3" w:themeShade="BF"/>
          <w:sz w:val="22"/>
          <w:szCs w:val="22"/>
        </w:rPr>
        <w:t xml:space="preserve"> rule that the lex concursus regulates the effect of insolvency proceedings. </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34D15276" w14:textId="7D9FA6FF" w:rsidR="007E3AA9" w:rsidRDefault="007E3AA9" w:rsidP="007E3AA9">
      <w:pPr>
        <w:jc w:val="both"/>
        <w:rPr>
          <w:rFonts w:ascii="Avenir Next" w:hAnsi="Avenir Next" w:cs="Arial"/>
          <w:sz w:val="22"/>
          <w:szCs w:val="22"/>
          <w:lang w:val="en-GB"/>
        </w:rPr>
      </w:pPr>
      <w:r w:rsidRPr="008E3C96">
        <w:rPr>
          <w:rFonts w:ascii="Avenir Next" w:hAnsi="Avenir Next" w:cs="Arial"/>
          <w:sz w:val="22"/>
          <w:szCs w:val="22"/>
          <w:lang w:val="en-GB"/>
        </w:rPr>
        <w:t>The EIR Recast</w:t>
      </w:r>
      <w:r>
        <w:rPr>
          <w:rFonts w:ascii="Avenir Next" w:hAnsi="Avenir Next" w:cs="Arial"/>
          <w:sz w:val="22"/>
          <w:szCs w:val="22"/>
          <w:lang w:val="en-GB"/>
        </w:rPr>
        <w:t xml:space="preserve">’s objective remains, as much as possible, the universality of proceedings. However, several exceptions to this universal vision exist throughout the Regulation.  </w:t>
      </w:r>
      <w:r w:rsidRPr="008E3C96">
        <w:rPr>
          <w:rFonts w:ascii="Avenir Next" w:hAnsi="Avenir Next" w:cs="Arial"/>
          <w:sz w:val="22"/>
          <w:szCs w:val="22"/>
          <w:lang w:val="en-GB"/>
        </w:rPr>
        <w:t xml:space="preserve">Provide </w:t>
      </w:r>
      <w:r w:rsidRPr="006723E9">
        <w:rPr>
          <w:rFonts w:ascii="Avenir Next Demi Bold" w:hAnsi="Avenir Next Demi Bold" w:cs="Arial"/>
          <w:b/>
          <w:bCs/>
          <w:sz w:val="22"/>
          <w:szCs w:val="22"/>
          <w:u w:val="single"/>
          <w:lang w:val="en-GB"/>
        </w:rPr>
        <w:t>three (3) examples</w:t>
      </w:r>
      <w:r w:rsidRPr="008E3C96">
        <w:rPr>
          <w:rFonts w:ascii="Avenir Next" w:hAnsi="Avenir Next" w:cs="Arial"/>
          <w:sz w:val="22"/>
          <w:szCs w:val="22"/>
          <w:lang w:val="en-GB"/>
        </w:rPr>
        <w:t xml:space="preserve"> of provisions from the EIR Recast which </w:t>
      </w:r>
      <w:r>
        <w:rPr>
          <w:rFonts w:ascii="Avenir Next" w:hAnsi="Avenir Next" w:cs="Arial"/>
          <w:sz w:val="22"/>
          <w:szCs w:val="22"/>
          <w:lang w:val="en-GB"/>
        </w:rPr>
        <w:t xml:space="preserve">depart from a universal approach to cross-border insolvency. </w:t>
      </w:r>
      <w:r w:rsidRPr="008E3C96">
        <w:rPr>
          <w:rFonts w:ascii="Avenir Next" w:hAnsi="Avenir Next" w:cs="Arial"/>
          <w:sz w:val="22"/>
          <w:szCs w:val="22"/>
          <w:lang w:val="en-GB"/>
        </w:rPr>
        <w:t xml:space="preserve"> </w:t>
      </w:r>
    </w:p>
    <w:p w14:paraId="2BFFB7B5" w14:textId="77777777" w:rsidR="00E70FA4" w:rsidRPr="008E3C96" w:rsidRDefault="00E70FA4" w:rsidP="00636C15">
      <w:pPr>
        <w:jc w:val="both"/>
        <w:rPr>
          <w:rFonts w:ascii="Avenir Next" w:hAnsi="Avenir Next" w:cs="Arial"/>
          <w:sz w:val="22"/>
          <w:szCs w:val="22"/>
          <w:lang w:val="en-GB"/>
        </w:rPr>
      </w:pPr>
    </w:p>
    <w:p w14:paraId="541F1100" w14:textId="18FB683F" w:rsidR="000A3278" w:rsidRDefault="00AD333E"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Firstly, </w:t>
      </w:r>
      <w:r w:rsidR="008C28F6">
        <w:rPr>
          <w:rFonts w:ascii="Avenir Next" w:hAnsi="Avenir Next" w:cs="Arial"/>
          <w:color w:val="7B7B7B" w:themeColor="accent3" w:themeShade="BF"/>
          <w:sz w:val="22"/>
          <w:szCs w:val="22"/>
        </w:rPr>
        <w:t xml:space="preserve">for the third party’s rights </w:t>
      </w:r>
      <w:r w:rsidR="008C28F6" w:rsidRPr="008C28F6">
        <w:rPr>
          <w:rFonts w:ascii="Avenir Next" w:hAnsi="Avenir Next" w:cs="Arial"/>
          <w:i/>
          <w:iCs/>
          <w:color w:val="7B7B7B" w:themeColor="accent3" w:themeShade="BF"/>
          <w:sz w:val="22"/>
          <w:szCs w:val="22"/>
        </w:rPr>
        <w:t>in rem</w:t>
      </w:r>
      <w:r w:rsidR="008C28F6">
        <w:rPr>
          <w:rFonts w:ascii="Avenir Next" w:hAnsi="Avenir Next" w:cs="Arial"/>
          <w:color w:val="7B7B7B" w:themeColor="accent3" w:themeShade="BF"/>
          <w:sz w:val="22"/>
          <w:szCs w:val="22"/>
        </w:rPr>
        <w:t xml:space="preserve">, </w:t>
      </w:r>
      <w:r w:rsidR="00717B2C">
        <w:rPr>
          <w:rFonts w:ascii="Avenir Next" w:hAnsi="Avenir Next" w:cs="Arial"/>
          <w:color w:val="7B7B7B" w:themeColor="accent3" w:themeShade="BF"/>
          <w:sz w:val="22"/>
          <w:szCs w:val="22"/>
        </w:rPr>
        <w:t xml:space="preserve">the opening of the insolvency proceedings does not have </w:t>
      </w:r>
      <w:r w:rsidR="007F46A4">
        <w:rPr>
          <w:rFonts w:ascii="Avenir Next" w:hAnsi="Avenir Next" w:cs="Arial"/>
          <w:color w:val="7B7B7B" w:themeColor="accent3" w:themeShade="BF"/>
          <w:sz w:val="22"/>
          <w:szCs w:val="22"/>
        </w:rPr>
        <w:t>an effect</w:t>
      </w:r>
      <w:r w:rsidR="00717B2C">
        <w:rPr>
          <w:rFonts w:ascii="Avenir Next" w:hAnsi="Avenir Next" w:cs="Arial"/>
          <w:color w:val="7B7B7B" w:themeColor="accent3" w:themeShade="BF"/>
          <w:sz w:val="22"/>
          <w:szCs w:val="22"/>
        </w:rPr>
        <w:t xml:space="preserve"> on </w:t>
      </w:r>
      <w:r w:rsidR="00BC48BA">
        <w:rPr>
          <w:rFonts w:ascii="Avenir Next" w:hAnsi="Avenir Next" w:cs="Arial"/>
          <w:color w:val="7B7B7B" w:themeColor="accent3" w:themeShade="BF"/>
          <w:sz w:val="22"/>
          <w:szCs w:val="22"/>
        </w:rPr>
        <w:t xml:space="preserve">rights of creditors on in rem (on things), whether they are tangible, intangible, movable, immovable, </w:t>
      </w:r>
      <w:r w:rsidR="00311F5A">
        <w:rPr>
          <w:rFonts w:ascii="Avenir Next" w:hAnsi="Avenir Next" w:cs="Arial"/>
          <w:color w:val="7B7B7B" w:themeColor="accent3" w:themeShade="BF"/>
          <w:sz w:val="22"/>
          <w:szCs w:val="22"/>
        </w:rPr>
        <w:t>indefinite assets as a whole.</w:t>
      </w:r>
      <w:r w:rsidR="007F46A4">
        <w:rPr>
          <w:rFonts w:ascii="Avenir Next" w:hAnsi="Avenir Next" w:cs="Arial"/>
          <w:color w:val="7B7B7B" w:themeColor="accent3" w:themeShade="BF"/>
          <w:sz w:val="22"/>
          <w:szCs w:val="22"/>
        </w:rPr>
        <w:t xml:space="preserve"> Hence, the ownership or mortgage (or other types of collateral rights) are not regulated by lex concursus. </w:t>
      </w:r>
    </w:p>
    <w:p w14:paraId="71381845" w14:textId="77777777" w:rsidR="0054743F" w:rsidRDefault="0054743F" w:rsidP="000A3278">
      <w:pPr>
        <w:jc w:val="both"/>
        <w:rPr>
          <w:rFonts w:ascii="Avenir Next" w:hAnsi="Avenir Next" w:cs="Arial"/>
          <w:color w:val="7B7B7B" w:themeColor="accent3" w:themeShade="BF"/>
          <w:sz w:val="22"/>
          <w:szCs w:val="22"/>
        </w:rPr>
      </w:pPr>
    </w:p>
    <w:p w14:paraId="0F53BECF" w14:textId="7A80AAD7" w:rsidR="007F46A4" w:rsidRDefault="0054743F"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second</w:t>
      </w:r>
      <w:r w:rsidR="002A36FF">
        <w:rPr>
          <w:rFonts w:ascii="Avenir Next" w:hAnsi="Avenir Next" w:cs="Arial"/>
          <w:color w:val="7B7B7B" w:themeColor="accent3" w:themeShade="BF"/>
          <w:sz w:val="22"/>
          <w:szCs w:val="22"/>
        </w:rPr>
        <w:t xml:space="preserve"> example </w:t>
      </w:r>
      <w:r>
        <w:rPr>
          <w:rFonts w:ascii="Avenir Next" w:hAnsi="Avenir Next" w:cs="Arial"/>
          <w:color w:val="7B7B7B" w:themeColor="accent3" w:themeShade="BF"/>
          <w:sz w:val="22"/>
          <w:szCs w:val="22"/>
        </w:rPr>
        <w:t>is</w:t>
      </w:r>
      <w:r w:rsidR="002A36FF">
        <w:rPr>
          <w:rFonts w:ascii="Avenir Next" w:hAnsi="Avenir Next" w:cs="Arial"/>
          <w:color w:val="7B7B7B" w:themeColor="accent3" w:themeShade="BF"/>
          <w:sz w:val="22"/>
          <w:szCs w:val="22"/>
        </w:rPr>
        <w:t xml:space="preserve"> </w:t>
      </w:r>
      <w:r w:rsidR="003D2515">
        <w:rPr>
          <w:rFonts w:ascii="Avenir Next" w:hAnsi="Avenir Next" w:cs="Arial"/>
          <w:color w:val="7B7B7B" w:themeColor="accent3" w:themeShade="BF"/>
          <w:sz w:val="22"/>
          <w:szCs w:val="22"/>
        </w:rPr>
        <w:t>employment contracts, which are regulated by the law of the Member State in which the employment took place. The rationale is th</w:t>
      </w:r>
      <w:r>
        <w:rPr>
          <w:rFonts w:ascii="Avenir Next" w:hAnsi="Avenir Next" w:cs="Arial"/>
          <w:color w:val="7B7B7B" w:themeColor="accent3" w:themeShade="BF"/>
          <w:sz w:val="22"/>
          <w:szCs w:val="22"/>
        </w:rPr>
        <w:t>e protection of employees and their jobs.</w:t>
      </w:r>
    </w:p>
    <w:p w14:paraId="6991411F" w14:textId="77777777" w:rsidR="0054743F" w:rsidRDefault="0054743F" w:rsidP="000A3278">
      <w:pPr>
        <w:jc w:val="both"/>
        <w:rPr>
          <w:rFonts w:ascii="Avenir Next" w:hAnsi="Avenir Next" w:cs="Arial"/>
          <w:color w:val="7B7B7B" w:themeColor="accent3" w:themeShade="BF"/>
          <w:sz w:val="22"/>
          <w:szCs w:val="22"/>
        </w:rPr>
      </w:pPr>
    </w:p>
    <w:p w14:paraId="2B514076" w14:textId="57048586" w:rsidR="0054743F" w:rsidRDefault="0054743F"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Third example </w:t>
      </w:r>
      <w:r w:rsidR="00A93621">
        <w:rPr>
          <w:rFonts w:ascii="Avenir Next" w:hAnsi="Avenir Next" w:cs="Arial"/>
          <w:color w:val="7B7B7B" w:themeColor="accent3" w:themeShade="BF"/>
          <w:sz w:val="22"/>
          <w:szCs w:val="22"/>
        </w:rPr>
        <w:t xml:space="preserve">are detrimental acts, when the </w:t>
      </w:r>
      <w:r w:rsidR="00AC5A67">
        <w:rPr>
          <w:rFonts w:ascii="Avenir Next" w:hAnsi="Avenir Next" w:cs="Arial"/>
          <w:color w:val="7B7B7B" w:themeColor="accent3" w:themeShade="BF"/>
          <w:sz w:val="22"/>
          <w:szCs w:val="22"/>
        </w:rPr>
        <w:t>beneficiary of such acts provides proof that such act is regulated by the country</w:t>
      </w:r>
      <w:r w:rsidR="001C6D1F">
        <w:rPr>
          <w:rFonts w:ascii="Avenir Next" w:hAnsi="Avenir Next" w:cs="Arial"/>
          <w:color w:val="7B7B7B" w:themeColor="accent3" w:themeShade="BF"/>
          <w:sz w:val="22"/>
          <w:szCs w:val="22"/>
        </w:rPr>
        <w:t xml:space="preserve"> (Member State) other that country of opening of insolvency proceedings and that that law of the Member State does not </w:t>
      </w:r>
      <w:r w:rsidR="002B261C">
        <w:rPr>
          <w:rFonts w:ascii="Avenir Next" w:hAnsi="Avenir Next" w:cs="Arial"/>
          <w:color w:val="7B7B7B" w:themeColor="accent3" w:themeShade="BF"/>
          <w:sz w:val="22"/>
          <w:szCs w:val="22"/>
        </w:rPr>
        <w:t>provide the possibility of challenging of such act.</w:t>
      </w:r>
    </w:p>
    <w:p w14:paraId="621E2567" w14:textId="77777777" w:rsidR="0054743F" w:rsidRDefault="0054743F" w:rsidP="000A3278">
      <w:pPr>
        <w:jc w:val="both"/>
        <w:rPr>
          <w:rFonts w:ascii="Avenir Next" w:hAnsi="Avenir Next" w:cs="Arial"/>
          <w:color w:val="7B7B7B" w:themeColor="accent3" w:themeShade="BF"/>
          <w:sz w:val="22"/>
          <w:szCs w:val="22"/>
        </w:rPr>
      </w:pPr>
    </w:p>
    <w:p w14:paraId="105CC30D" w14:textId="77777777" w:rsidR="0054743F" w:rsidRPr="008C28F6" w:rsidRDefault="0054743F" w:rsidP="000A3278">
      <w:pPr>
        <w:jc w:val="both"/>
        <w:rPr>
          <w:rFonts w:ascii="Avenir Next" w:hAnsi="Avenir Next" w:cs="Arial"/>
          <w:color w:val="7B7B7B" w:themeColor="accent3" w:themeShade="BF"/>
          <w:sz w:val="22"/>
          <w:szCs w:val="22"/>
        </w:rPr>
      </w:pPr>
    </w:p>
    <w:p w14:paraId="6948B395" w14:textId="65A1604F" w:rsidR="00E90991" w:rsidRPr="005E42DB" w:rsidRDefault="00E90991" w:rsidP="000A3278">
      <w:pPr>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1E24B4CD" w14:textId="3A1C2A64" w:rsidR="00956E63" w:rsidRDefault="00956E63" w:rsidP="00956E63">
      <w:pPr>
        <w:jc w:val="both"/>
        <w:rPr>
          <w:rFonts w:ascii="Avenir Next" w:hAnsi="Avenir Next" w:cs="Arial"/>
          <w:sz w:val="22"/>
          <w:szCs w:val="22"/>
          <w:lang w:val="en-GB"/>
        </w:rPr>
      </w:pPr>
      <w:r>
        <w:rPr>
          <w:rFonts w:ascii="Avenir Next" w:hAnsi="Avenir Next" w:cs="Arial"/>
          <w:sz w:val="22"/>
          <w:szCs w:val="22"/>
        </w:rPr>
        <w:t>The EIR Recast regulates</w:t>
      </w:r>
      <w:r w:rsidRPr="00956E63">
        <w:rPr>
          <w:rFonts w:ascii="Avenir Next" w:hAnsi="Avenir Next"/>
          <w:sz w:val="22"/>
        </w:rPr>
        <w:t xml:space="preserve"> the </w:t>
      </w:r>
      <w:r>
        <w:rPr>
          <w:rFonts w:ascii="Avenir Next" w:hAnsi="Avenir Next" w:cs="Arial"/>
          <w:sz w:val="22"/>
          <w:szCs w:val="22"/>
        </w:rPr>
        <w:t>material scope of the Regulation in relation to national</w:t>
      </w:r>
      <w:r w:rsidRPr="00956E63">
        <w:rPr>
          <w:rFonts w:ascii="Avenir Next" w:hAnsi="Avenir Next"/>
          <w:sz w:val="22"/>
        </w:rPr>
        <w:t xml:space="preserve"> insolvency proceedings in </w:t>
      </w:r>
      <w:r>
        <w:rPr>
          <w:rFonts w:ascii="Avenir Next" w:hAnsi="Avenir Next" w:cs="Arial"/>
          <w:sz w:val="22"/>
          <w:szCs w:val="22"/>
        </w:rPr>
        <w:t>Member States.</w:t>
      </w:r>
      <w:r w:rsidRPr="00956E63">
        <w:rPr>
          <w:rFonts w:ascii="Avenir Next" w:hAnsi="Avenir Next"/>
          <w:sz w:val="22"/>
        </w:rPr>
        <w:t xml:space="preserve"> </w:t>
      </w:r>
      <w:r w:rsidRPr="008E3C96">
        <w:rPr>
          <w:rFonts w:ascii="Avenir Next" w:hAnsi="Avenir Next" w:cs="Arial"/>
          <w:sz w:val="22"/>
          <w:szCs w:val="22"/>
          <w:lang w:val="en-GB"/>
        </w:rPr>
        <w:t xml:space="preserve">List </w:t>
      </w:r>
      <w:r w:rsidRPr="006723E9">
        <w:rPr>
          <w:rFonts w:ascii="Avenir Next Demi Bold" w:hAnsi="Avenir Next Demi Bold" w:cs="Arial"/>
          <w:b/>
          <w:bCs/>
          <w:sz w:val="22"/>
          <w:szCs w:val="22"/>
          <w:u w:val="single"/>
          <w:lang w:val="en-GB"/>
        </w:rPr>
        <w:t xml:space="preserve">three (3) </w:t>
      </w:r>
      <w:r>
        <w:rPr>
          <w:rFonts w:ascii="Avenir Next Demi Bold" w:hAnsi="Avenir Next Demi Bold" w:cs="Arial"/>
          <w:b/>
          <w:bCs/>
          <w:sz w:val="22"/>
          <w:szCs w:val="22"/>
          <w:u w:val="single"/>
          <w:lang w:val="en-GB"/>
        </w:rPr>
        <w:t>elements</w:t>
      </w:r>
      <w:r w:rsidRPr="008E3C96">
        <w:rPr>
          <w:rFonts w:ascii="Avenir Next" w:hAnsi="Avenir Next" w:cs="Arial"/>
          <w:sz w:val="22"/>
          <w:szCs w:val="22"/>
          <w:lang w:val="en-GB"/>
        </w:rPr>
        <w:t xml:space="preserve"> of the EIR Recast that deal with </w:t>
      </w:r>
      <w:r>
        <w:rPr>
          <w:rFonts w:ascii="Avenir Next" w:hAnsi="Avenir Next" w:cs="Arial"/>
          <w:sz w:val="22"/>
          <w:szCs w:val="22"/>
          <w:lang w:val="en-GB"/>
        </w:rPr>
        <w:t>this matter and explain how they relate to this.</w:t>
      </w:r>
      <w:r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67E24F60" w14:textId="4D15687B" w:rsidR="000A3278" w:rsidRPr="00574953" w:rsidRDefault="00E26564"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material scope of EIR Recast</w:t>
      </w:r>
      <w:r w:rsidR="001A5A78">
        <w:rPr>
          <w:rFonts w:ascii="Avenir Next" w:hAnsi="Avenir Next" w:cs="Arial"/>
          <w:color w:val="7B7B7B" w:themeColor="accent3" w:themeShade="BF"/>
          <w:sz w:val="22"/>
          <w:szCs w:val="22"/>
        </w:rPr>
        <w:t xml:space="preserve"> as defined in the Article 1</w:t>
      </w:r>
      <w:r>
        <w:rPr>
          <w:rFonts w:ascii="Avenir Next" w:hAnsi="Avenir Next" w:cs="Arial"/>
          <w:color w:val="7B7B7B" w:themeColor="accent3" w:themeShade="BF"/>
          <w:sz w:val="22"/>
          <w:szCs w:val="22"/>
        </w:rPr>
        <w:t xml:space="preserve"> consists of three elements: 1) the insolvent debtor </w:t>
      </w:r>
      <w:r w:rsidR="001A5A78">
        <w:rPr>
          <w:rFonts w:ascii="Avenir Next" w:hAnsi="Avenir Next" w:cs="Arial"/>
          <w:color w:val="7B7B7B" w:themeColor="accent3" w:themeShade="BF"/>
          <w:sz w:val="22"/>
          <w:szCs w:val="22"/>
        </w:rPr>
        <w:t xml:space="preserve">is divested of its assets and insolvency practitioner is appointed, 2) </w:t>
      </w:r>
      <w:r w:rsidR="00333C27">
        <w:rPr>
          <w:rFonts w:ascii="Avenir Next" w:hAnsi="Avenir Next" w:cs="Arial"/>
          <w:color w:val="7B7B7B" w:themeColor="accent3" w:themeShade="BF"/>
          <w:sz w:val="22"/>
          <w:szCs w:val="22"/>
        </w:rPr>
        <w:t xml:space="preserve">the assets and affairs of the debtor is subject to control or supervision of the court, 3) </w:t>
      </w:r>
      <w:r w:rsidR="00574953">
        <w:rPr>
          <w:rFonts w:ascii="Avenir Next" w:hAnsi="Avenir Next" w:cs="Arial"/>
          <w:color w:val="7B7B7B" w:themeColor="accent3" w:themeShade="BF"/>
          <w:sz w:val="22"/>
          <w:szCs w:val="22"/>
        </w:rPr>
        <w:t xml:space="preserve">there is a temporary stay of individual actions of creditors (usually understood as </w:t>
      </w:r>
      <w:r w:rsidR="00574953">
        <w:rPr>
          <w:rFonts w:ascii="Avenir Next" w:hAnsi="Avenir Next" w:cs="Arial"/>
          <w:i/>
          <w:iCs/>
          <w:color w:val="7B7B7B" w:themeColor="accent3" w:themeShade="BF"/>
          <w:sz w:val="22"/>
          <w:szCs w:val="22"/>
        </w:rPr>
        <w:t>moratorium</w:t>
      </w:r>
      <w:r w:rsidR="00574953">
        <w:rPr>
          <w:rFonts w:ascii="Avenir Next" w:hAnsi="Avenir Next" w:cs="Arial"/>
          <w:color w:val="7B7B7B" w:themeColor="accent3" w:themeShade="BF"/>
          <w:sz w:val="22"/>
          <w:szCs w:val="22"/>
        </w:rPr>
        <w:t>).</w:t>
      </w:r>
      <w:r w:rsidR="003722BC">
        <w:rPr>
          <w:rFonts w:ascii="Avenir Next" w:hAnsi="Avenir Next" w:cs="Arial"/>
          <w:color w:val="7B7B7B" w:themeColor="accent3" w:themeShade="BF"/>
          <w:sz w:val="22"/>
          <w:szCs w:val="22"/>
        </w:rPr>
        <w:t xml:space="preserve"> The proceedings understood as insolvency under the EIR Recast are listed in the Appendix A</w:t>
      </w:r>
      <w:r w:rsidR="001B4E73">
        <w:rPr>
          <w:rFonts w:ascii="Avenir Next" w:hAnsi="Avenir Next" w:cs="Arial"/>
          <w:color w:val="7B7B7B" w:themeColor="accent3" w:themeShade="BF"/>
          <w:sz w:val="22"/>
          <w:szCs w:val="22"/>
        </w:rPr>
        <w:t xml:space="preserve">. When the material scope, together with the </w:t>
      </w:r>
      <w:r w:rsidR="00EB2747">
        <w:rPr>
          <w:rFonts w:ascii="Avenir Next" w:hAnsi="Avenir Next" w:cs="Arial"/>
          <w:color w:val="7B7B7B" w:themeColor="accent3" w:themeShade="BF"/>
          <w:sz w:val="22"/>
          <w:szCs w:val="22"/>
        </w:rPr>
        <w:t xml:space="preserve">personal, </w:t>
      </w:r>
      <w:r w:rsidR="001B4E73">
        <w:rPr>
          <w:rFonts w:ascii="Avenir Next" w:hAnsi="Avenir Next" w:cs="Arial"/>
          <w:color w:val="7B7B7B" w:themeColor="accent3" w:themeShade="BF"/>
          <w:sz w:val="22"/>
          <w:szCs w:val="22"/>
        </w:rPr>
        <w:t>territorial and temporal</w:t>
      </w:r>
      <w:r w:rsidR="008A547A">
        <w:rPr>
          <w:rFonts w:ascii="Avenir Next" w:hAnsi="Avenir Next" w:cs="Arial"/>
          <w:color w:val="7B7B7B" w:themeColor="accent3" w:themeShade="BF"/>
          <w:sz w:val="22"/>
          <w:szCs w:val="22"/>
        </w:rPr>
        <w:t xml:space="preserve"> conditions are fulfilled, the EIR Recast is applicable to </w:t>
      </w:r>
      <w:r w:rsidR="00F214C5">
        <w:rPr>
          <w:rFonts w:ascii="Avenir Next" w:hAnsi="Avenir Next" w:cs="Arial"/>
          <w:color w:val="7B7B7B" w:themeColor="accent3" w:themeShade="BF"/>
          <w:sz w:val="22"/>
          <w:szCs w:val="22"/>
        </w:rPr>
        <w:t xml:space="preserve">such insolvency proceedings. </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157B313A" w14:textId="61E59F59" w:rsidR="000A373F"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DD1686">
        <w:rPr>
          <w:rFonts w:ascii="Avenir Next" w:hAnsi="Avenir Next" w:cs="Arial"/>
          <w:sz w:val="22"/>
          <w:szCs w:val="22"/>
          <w:lang w:val="en-GB"/>
        </w:rPr>
        <w:t>one</w:t>
      </w:r>
      <w:r w:rsidRPr="008E3C96">
        <w:rPr>
          <w:rFonts w:ascii="Avenir Next" w:hAnsi="Avenir Next" w:cs="Arial"/>
          <w:sz w:val="22"/>
          <w:szCs w:val="22"/>
          <w:lang w:val="en-GB"/>
        </w:rPr>
        <w:t xml:space="preserve"> to </w:t>
      </w:r>
      <w:r w:rsidR="00DD168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01D03511" w14:textId="77777777" w:rsidR="000A373F" w:rsidRPr="008E3C96" w:rsidRDefault="000A373F" w:rsidP="002A37BB">
      <w:pPr>
        <w:jc w:val="both"/>
        <w:rPr>
          <w:rFonts w:ascii="Avenir Next" w:hAnsi="Avenir Next" w:cs="Arial"/>
          <w:sz w:val="22"/>
          <w:szCs w:val="22"/>
          <w:lang w:val="en-GB"/>
        </w:rPr>
      </w:pPr>
    </w:p>
    <w:p w14:paraId="002BC547" w14:textId="0EAF9699" w:rsidR="000A3278" w:rsidRDefault="00F214C5"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In order to prevent the secondary insolvency proceedings the insolvency practitioner is </w:t>
      </w:r>
      <w:r w:rsidR="00EB2747">
        <w:rPr>
          <w:rFonts w:ascii="Avenir Next" w:hAnsi="Avenir Next" w:cs="Arial"/>
          <w:color w:val="7B7B7B" w:themeColor="accent3" w:themeShade="BF"/>
          <w:sz w:val="22"/>
          <w:szCs w:val="22"/>
        </w:rPr>
        <w:t xml:space="preserve">given the opportunity to provide </w:t>
      </w:r>
      <w:r w:rsidR="00933642">
        <w:rPr>
          <w:rFonts w:ascii="Avenir Next" w:hAnsi="Avenir Next" w:cs="Arial"/>
          <w:color w:val="7B7B7B" w:themeColor="accent3" w:themeShade="BF"/>
          <w:sz w:val="22"/>
          <w:szCs w:val="22"/>
        </w:rPr>
        <w:t>an undertaking</w:t>
      </w:r>
      <w:r w:rsidR="00064C28">
        <w:rPr>
          <w:rFonts w:ascii="Avenir Next" w:hAnsi="Avenir Next" w:cs="Arial"/>
          <w:color w:val="7B7B7B" w:themeColor="accent3" w:themeShade="BF"/>
          <w:sz w:val="22"/>
          <w:szCs w:val="22"/>
        </w:rPr>
        <w:t xml:space="preserve">, which </w:t>
      </w:r>
      <w:r w:rsidR="00EE571F">
        <w:rPr>
          <w:rFonts w:ascii="Avenir Next" w:hAnsi="Avenir Next" w:cs="Arial"/>
          <w:color w:val="7B7B7B" w:themeColor="accent3" w:themeShade="BF"/>
          <w:sz w:val="22"/>
          <w:szCs w:val="22"/>
        </w:rPr>
        <w:t xml:space="preserve">is </w:t>
      </w:r>
      <w:r w:rsidR="00E36F23">
        <w:rPr>
          <w:rFonts w:ascii="Avenir Next" w:hAnsi="Avenir Next" w:cs="Arial"/>
          <w:color w:val="7B7B7B" w:themeColor="accent3" w:themeShade="BF"/>
          <w:sz w:val="22"/>
          <w:szCs w:val="22"/>
        </w:rPr>
        <w:t>also called</w:t>
      </w:r>
      <w:r w:rsidR="00EE571F">
        <w:rPr>
          <w:rFonts w:ascii="Avenir Next" w:hAnsi="Avenir Next" w:cs="Arial"/>
          <w:color w:val="7B7B7B" w:themeColor="accent3" w:themeShade="BF"/>
          <w:sz w:val="22"/>
          <w:szCs w:val="22"/>
        </w:rPr>
        <w:t xml:space="preserve"> synthetic secondary proceedings. </w:t>
      </w:r>
      <w:r w:rsidR="00E36F23">
        <w:rPr>
          <w:rFonts w:ascii="Avenir Next" w:hAnsi="Avenir Next" w:cs="Arial"/>
          <w:color w:val="7B7B7B" w:themeColor="accent3" w:themeShade="BF"/>
          <w:sz w:val="22"/>
          <w:szCs w:val="22"/>
        </w:rPr>
        <w:t xml:space="preserve">This possibility was created by judicial jurisprudence. </w:t>
      </w:r>
      <w:r w:rsidR="00F54D9E">
        <w:rPr>
          <w:rFonts w:ascii="Avenir Next" w:hAnsi="Avenir Next" w:cs="Arial"/>
          <w:color w:val="7B7B7B" w:themeColor="accent3" w:themeShade="BF"/>
          <w:sz w:val="22"/>
          <w:szCs w:val="22"/>
        </w:rPr>
        <w:t>Insolvency practitioner</w:t>
      </w:r>
      <w:r w:rsidR="005A5D30">
        <w:rPr>
          <w:rFonts w:ascii="Avenir Next" w:hAnsi="Avenir Next" w:cs="Arial"/>
          <w:color w:val="7B7B7B" w:themeColor="accent3" w:themeShade="BF"/>
          <w:sz w:val="22"/>
          <w:szCs w:val="22"/>
        </w:rPr>
        <w:t xml:space="preserve"> nominated in the main insolvency proceedings</w:t>
      </w:r>
      <w:r w:rsidR="00F54D9E">
        <w:rPr>
          <w:rFonts w:ascii="Avenir Next" w:hAnsi="Avenir Next" w:cs="Arial"/>
          <w:color w:val="7B7B7B" w:themeColor="accent3" w:themeShade="BF"/>
          <w:sz w:val="22"/>
          <w:szCs w:val="22"/>
        </w:rPr>
        <w:t xml:space="preserve"> can </w:t>
      </w:r>
      <w:r w:rsidR="005A5D30">
        <w:rPr>
          <w:rFonts w:ascii="Avenir Next" w:hAnsi="Avenir Next" w:cs="Arial"/>
          <w:color w:val="7B7B7B" w:themeColor="accent3" w:themeShade="BF"/>
          <w:sz w:val="22"/>
          <w:szCs w:val="22"/>
        </w:rPr>
        <w:t xml:space="preserve">provide </w:t>
      </w:r>
      <w:r w:rsidR="002253DE">
        <w:rPr>
          <w:rFonts w:ascii="Avenir Next" w:hAnsi="Avenir Next" w:cs="Arial"/>
          <w:color w:val="7B7B7B" w:themeColor="accent3" w:themeShade="BF"/>
          <w:sz w:val="22"/>
          <w:szCs w:val="22"/>
        </w:rPr>
        <w:t>a one-sided promise given by such IP to the local creditors</w:t>
      </w:r>
      <w:r w:rsidR="009656E1">
        <w:rPr>
          <w:rFonts w:ascii="Avenir Next" w:hAnsi="Avenir Next" w:cs="Arial"/>
          <w:color w:val="7B7B7B" w:themeColor="accent3" w:themeShade="BF"/>
          <w:sz w:val="22"/>
          <w:szCs w:val="22"/>
        </w:rPr>
        <w:t xml:space="preserve"> regarding the assets of the insolvent debtor in the other Member State where the secondary proceedings otherwise could be opened. </w:t>
      </w:r>
      <w:r w:rsidR="00C91288">
        <w:rPr>
          <w:rFonts w:ascii="Avenir Next" w:hAnsi="Avenir Next" w:cs="Arial"/>
          <w:color w:val="7B7B7B" w:themeColor="accent3" w:themeShade="BF"/>
          <w:sz w:val="22"/>
          <w:szCs w:val="22"/>
        </w:rPr>
        <w:t xml:space="preserve">The promise is </w:t>
      </w:r>
      <w:r w:rsidR="008B13A6">
        <w:rPr>
          <w:rFonts w:ascii="Avenir Next" w:hAnsi="Avenir Next" w:cs="Arial"/>
          <w:color w:val="7B7B7B" w:themeColor="accent3" w:themeShade="BF"/>
          <w:sz w:val="22"/>
          <w:szCs w:val="22"/>
        </w:rPr>
        <w:t>that the local creditors from that other Member State will be treated as if the secondary proceedings are opened in that Member State</w:t>
      </w:r>
      <w:r w:rsidR="009F6C0A">
        <w:rPr>
          <w:rFonts w:ascii="Avenir Next" w:hAnsi="Avenir Next" w:cs="Arial"/>
          <w:color w:val="7B7B7B" w:themeColor="accent3" w:themeShade="BF"/>
          <w:sz w:val="22"/>
          <w:szCs w:val="22"/>
        </w:rPr>
        <w:t xml:space="preserve"> (regarding distribution of proceeds and creditors priority rights).</w:t>
      </w:r>
    </w:p>
    <w:p w14:paraId="0DC3261F" w14:textId="77777777" w:rsidR="009F6C0A" w:rsidRDefault="009F6C0A" w:rsidP="000A3278">
      <w:pPr>
        <w:jc w:val="both"/>
        <w:rPr>
          <w:rFonts w:ascii="Avenir Next" w:hAnsi="Avenir Next" w:cs="Arial"/>
          <w:color w:val="7B7B7B" w:themeColor="accent3" w:themeShade="BF"/>
          <w:sz w:val="22"/>
          <w:szCs w:val="22"/>
        </w:rPr>
      </w:pPr>
    </w:p>
    <w:p w14:paraId="4227B3B2" w14:textId="14EBD5E6" w:rsidR="009F6C0A" w:rsidRDefault="009F6C0A"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other possibility is the stay of secondary proceedings</w:t>
      </w:r>
      <w:r w:rsidR="00417C51">
        <w:rPr>
          <w:rFonts w:ascii="Avenir Next" w:hAnsi="Avenir Next" w:cs="Arial"/>
          <w:color w:val="7B7B7B" w:themeColor="accent3" w:themeShade="BF"/>
          <w:sz w:val="22"/>
          <w:szCs w:val="22"/>
        </w:rPr>
        <w:t xml:space="preserve">. The IP of the debtor in possession can request such stay </w:t>
      </w:r>
      <w:r w:rsidR="000900DD">
        <w:rPr>
          <w:rFonts w:ascii="Avenir Next" w:hAnsi="Avenir Next" w:cs="Arial"/>
          <w:color w:val="7B7B7B" w:themeColor="accent3" w:themeShade="BF"/>
          <w:sz w:val="22"/>
          <w:szCs w:val="22"/>
        </w:rPr>
        <w:t xml:space="preserve">for the period of up to three months and if the interests of </w:t>
      </w:r>
      <w:r w:rsidR="00C84E74">
        <w:rPr>
          <w:rFonts w:ascii="Avenir Next" w:hAnsi="Avenir Next" w:cs="Arial"/>
          <w:color w:val="7B7B7B" w:themeColor="accent3" w:themeShade="BF"/>
          <w:sz w:val="22"/>
          <w:szCs w:val="22"/>
        </w:rPr>
        <w:t>local</w:t>
      </w:r>
      <w:r w:rsidR="000900DD">
        <w:rPr>
          <w:rFonts w:ascii="Avenir Next" w:hAnsi="Avenir Next" w:cs="Arial"/>
          <w:color w:val="7B7B7B" w:themeColor="accent3" w:themeShade="BF"/>
          <w:sz w:val="22"/>
          <w:szCs w:val="22"/>
        </w:rPr>
        <w:t xml:space="preserve"> creditors </w:t>
      </w:r>
      <w:r w:rsidR="00C84E74">
        <w:rPr>
          <w:rFonts w:ascii="Avenir Next" w:hAnsi="Avenir Next" w:cs="Arial"/>
          <w:color w:val="7B7B7B" w:themeColor="accent3" w:themeShade="BF"/>
          <w:sz w:val="22"/>
          <w:szCs w:val="22"/>
        </w:rPr>
        <w:t xml:space="preserve">are protected by sufficient and adequate measures. </w:t>
      </w:r>
      <w:r w:rsidR="009050C8">
        <w:rPr>
          <w:rFonts w:ascii="Avenir Next" w:hAnsi="Avenir Next" w:cs="Arial"/>
          <w:color w:val="7B7B7B" w:themeColor="accent3" w:themeShade="BF"/>
          <w:sz w:val="22"/>
          <w:szCs w:val="22"/>
        </w:rPr>
        <w:t xml:space="preserve">The court is not obliged to grant the stay, </w:t>
      </w:r>
      <w:r w:rsidR="004A280E">
        <w:rPr>
          <w:rFonts w:ascii="Avenir Next" w:hAnsi="Avenir Next" w:cs="Arial"/>
          <w:color w:val="7B7B7B" w:themeColor="accent3" w:themeShade="BF"/>
          <w:sz w:val="22"/>
          <w:szCs w:val="22"/>
        </w:rPr>
        <w:t xml:space="preserve">which differs from </w:t>
      </w:r>
      <w:r w:rsidR="009050C8">
        <w:rPr>
          <w:rFonts w:ascii="Avenir Next" w:hAnsi="Avenir Next" w:cs="Arial"/>
          <w:color w:val="7B7B7B" w:themeColor="accent3" w:themeShade="BF"/>
          <w:sz w:val="22"/>
          <w:szCs w:val="22"/>
        </w:rPr>
        <w:t>the case of the first example (undertaking).</w:t>
      </w:r>
    </w:p>
    <w:p w14:paraId="1A72971A" w14:textId="77777777" w:rsidR="00D72770" w:rsidRPr="008E3C96" w:rsidRDefault="00D72770"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35ADCF95" w14:textId="5B74C41E" w:rsidR="000A3278" w:rsidRDefault="00450CC7"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European</w:t>
      </w:r>
      <w:r w:rsidR="00834164">
        <w:rPr>
          <w:rFonts w:ascii="Avenir Next" w:hAnsi="Avenir Next" w:cs="Arial"/>
          <w:color w:val="7B7B7B" w:themeColor="accent3" w:themeShade="BF"/>
          <w:sz w:val="22"/>
          <w:szCs w:val="22"/>
        </w:rPr>
        <w:t xml:space="preserve"> Commission recognized the necessity to</w:t>
      </w:r>
      <w:r w:rsidR="00481E65">
        <w:rPr>
          <w:rFonts w:ascii="Avenir Next" w:hAnsi="Avenir Next" w:cs="Arial"/>
          <w:color w:val="7B7B7B" w:themeColor="accent3" w:themeShade="BF"/>
          <w:sz w:val="22"/>
          <w:szCs w:val="22"/>
        </w:rPr>
        <w:t xml:space="preserve"> provide a more business friendly environment and to</w:t>
      </w:r>
      <w:r w:rsidR="00834164">
        <w:rPr>
          <w:rFonts w:ascii="Avenir Next" w:hAnsi="Avenir Next" w:cs="Arial"/>
          <w:color w:val="7B7B7B" w:themeColor="accent3" w:themeShade="BF"/>
          <w:sz w:val="22"/>
          <w:szCs w:val="22"/>
        </w:rPr>
        <w:t xml:space="preserve"> broaden the scope of application of EIR in such matter that it also provides the regulatory framework for the rescue mechanisms in insolvency, such as reorganization</w:t>
      </w:r>
      <w:r w:rsidR="00433E5A">
        <w:rPr>
          <w:rFonts w:ascii="Avenir Next" w:hAnsi="Avenir Next" w:cs="Arial"/>
          <w:color w:val="7B7B7B" w:themeColor="accent3" w:themeShade="BF"/>
          <w:sz w:val="22"/>
          <w:szCs w:val="22"/>
        </w:rPr>
        <w:t xml:space="preserve"> / restructuring</w:t>
      </w:r>
      <w:r w:rsidR="005B6687">
        <w:rPr>
          <w:rFonts w:ascii="Avenir Next" w:hAnsi="Avenir Next" w:cs="Arial"/>
          <w:color w:val="7B7B7B" w:themeColor="accent3" w:themeShade="BF"/>
          <w:sz w:val="22"/>
          <w:szCs w:val="22"/>
        </w:rPr>
        <w:t>, preventive mechanisms</w:t>
      </w:r>
      <w:r w:rsidR="00840FD6">
        <w:rPr>
          <w:rFonts w:ascii="Avenir Next" w:hAnsi="Avenir Next" w:cs="Arial"/>
          <w:color w:val="7B7B7B" w:themeColor="accent3" w:themeShade="BF"/>
          <w:sz w:val="22"/>
          <w:szCs w:val="22"/>
        </w:rPr>
        <w:t xml:space="preserve">. Another improvement was </w:t>
      </w:r>
      <w:r w:rsidR="00EE36E3">
        <w:rPr>
          <w:rFonts w:ascii="Avenir Next" w:hAnsi="Avenir Next" w:cs="Arial"/>
          <w:color w:val="7B7B7B" w:themeColor="accent3" w:themeShade="BF"/>
          <w:sz w:val="22"/>
          <w:szCs w:val="22"/>
        </w:rPr>
        <w:t>the introduction</w:t>
      </w:r>
      <w:r w:rsidR="00840FD6">
        <w:rPr>
          <w:rFonts w:ascii="Avenir Next" w:hAnsi="Avenir Next" w:cs="Arial"/>
          <w:color w:val="7B7B7B" w:themeColor="accent3" w:themeShade="BF"/>
          <w:sz w:val="22"/>
          <w:szCs w:val="22"/>
        </w:rPr>
        <w:t xml:space="preserve"> of the concept of insolvency of </w:t>
      </w:r>
      <w:r w:rsidR="00EE36E3">
        <w:rPr>
          <w:rFonts w:ascii="Avenir Next" w:hAnsi="Avenir Next" w:cs="Arial"/>
          <w:color w:val="7B7B7B" w:themeColor="accent3" w:themeShade="BF"/>
          <w:sz w:val="22"/>
          <w:szCs w:val="22"/>
        </w:rPr>
        <w:t>groups</w:t>
      </w:r>
      <w:r w:rsidR="00840FD6">
        <w:rPr>
          <w:rFonts w:ascii="Avenir Next" w:hAnsi="Avenir Next" w:cs="Arial"/>
          <w:color w:val="7B7B7B" w:themeColor="accent3" w:themeShade="BF"/>
          <w:sz w:val="22"/>
          <w:szCs w:val="22"/>
        </w:rPr>
        <w:t xml:space="preserve"> of companies, which did not exist in the EIR 2000 text. </w:t>
      </w:r>
      <w:r w:rsidR="00EE36E3">
        <w:rPr>
          <w:rFonts w:ascii="Avenir Next" w:hAnsi="Avenir Next" w:cs="Arial"/>
          <w:color w:val="7B7B7B" w:themeColor="accent3" w:themeShade="BF"/>
          <w:sz w:val="22"/>
          <w:szCs w:val="22"/>
        </w:rPr>
        <w:t xml:space="preserve">In addition, more efficient rules for cooperation between IPs, </w:t>
      </w:r>
      <w:r w:rsidR="00BC24A8">
        <w:rPr>
          <w:rFonts w:ascii="Avenir Next" w:hAnsi="Avenir Next" w:cs="Arial"/>
          <w:color w:val="7B7B7B" w:themeColor="accent3" w:themeShade="BF"/>
          <w:sz w:val="22"/>
          <w:szCs w:val="22"/>
        </w:rPr>
        <w:t>courts</w:t>
      </w:r>
      <w:r w:rsidR="004F0A43">
        <w:rPr>
          <w:rFonts w:ascii="Avenir Next" w:hAnsi="Avenir Next" w:cs="Arial"/>
          <w:color w:val="7B7B7B" w:themeColor="accent3" w:themeShade="BF"/>
          <w:sz w:val="22"/>
          <w:szCs w:val="22"/>
        </w:rPr>
        <w:t>,</w:t>
      </w:r>
      <w:r w:rsidR="001C6AE5">
        <w:rPr>
          <w:rFonts w:ascii="Avenir Next" w:hAnsi="Avenir Next" w:cs="Arial"/>
          <w:color w:val="7B7B7B" w:themeColor="accent3" w:themeShade="BF"/>
          <w:sz w:val="22"/>
          <w:szCs w:val="22"/>
        </w:rPr>
        <w:t xml:space="preserve"> and IP and between courts </w:t>
      </w:r>
      <w:r w:rsidR="00FC5010">
        <w:rPr>
          <w:rFonts w:ascii="Avenir Next" w:hAnsi="Avenir Next" w:cs="Arial"/>
          <w:color w:val="7B7B7B" w:themeColor="accent3" w:themeShade="BF"/>
          <w:sz w:val="22"/>
          <w:szCs w:val="22"/>
        </w:rPr>
        <w:t>were</w:t>
      </w:r>
      <w:r w:rsidR="001C6AE5">
        <w:rPr>
          <w:rFonts w:ascii="Avenir Next" w:hAnsi="Avenir Next" w:cs="Arial"/>
          <w:color w:val="7B7B7B" w:themeColor="accent3" w:themeShade="BF"/>
          <w:sz w:val="22"/>
          <w:szCs w:val="22"/>
        </w:rPr>
        <w:t xml:space="preserve"> necessary. </w:t>
      </w:r>
    </w:p>
    <w:p w14:paraId="48156A92" w14:textId="77777777" w:rsidR="00EC7B46" w:rsidRDefault="00EC7B46" w:rsidP="000A3278">
      <w:pPr>
        <w:jc w:val="both"/>
        <w:rPr>
          <w:rFonts w:ascii="Avenir Next" w:hAnsi="Avenir Next" w:cs="Arial"/>
          <w:color w:val="7B7B7B" w:themeColor="accent3" w:themeShade="BF"/>
          <w:sz w:val="22"/>
          <w:szCs w:val="22"/>
        </w:rPr>
      </w:pPr>
    </w:p>
    <w:p w14:paraId="1D072F13" w14:textId="5A52E456" w:rsidR="00EC7B46" w:rsidRDefault="00FC5010"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European</w:t>
      </w:r>
      <w:r w:rsidR="00EC7B46">
        <w:rPr>
          <w:rFonts w:ascii="Avenir Next" w:hAnsi="Avenir Next" w:cs="Arial"/>
          <w:color w:val="7B7B7B" w:themeColor="accent3" w:themeShade="BF"/>
          <w:sz w:val="22"/>
          <w:szCs w:val="22"/>
        </w:rPr>
        <w:t xml:space="preserve"> Parliament issued a set of recommendations to the European Commission </w:t>
      </w:r>
      <w:r w:rsidR="00A97DCF">
        <w:rPr>
          <w:rFonts w:ascii="Avenir Next" w:hAnsi="Avenir Next" w:cs="Arial"/>
          <w:color w:val="7B7B7B" w:themeColor="accent3" w:themeShade="BF"/>
          <w:sz w:val="22"/>
          <w:szCs w:val="22"/>
        </w:rPr>
        <w:t>and the Commission prepared in 2012 the New Approach to Business Failure and Insolvency</w:t>
      </w:r>
      <w:r w:rsidR="00905C72">
        <w:rPr>
          <w:rFonts w:ascii="Avenir Next" w:hAnsi="Avenir Next" w:cs="Arial"/>
          <w:color w:val="7B7B7B" w:themeColor="accent3" w:themeShade="BF"/>
          <w:sz w:val="22"/>
          <w:szCs w:val="22"/>
        </w:rPr>
        <w:t xml:space="preserve"> and in 2014 the </w:t>
      </w:r>
      <w:r w:rsidR="00566C77">
        <w:rPr>
          <w:rFonts w:ascii="Avenir Next" w:hAnsi="Avenir Next" w:cs="Arial"/>
          <w:color w:val="7B7B7B" w:themeColor="accent3" w:themeShade="BF"/>
          <w:sz w:val="22"/>
          <w:szCs w:val="22"/>
        </w:rPr>
        <w:t>Recommendation “</w:t>
      </w:r>
      <w:r w:rsidR="00905C72">
        <w:rPr>
          <w:rFonts w:ascii="Avenir Next" w:hAnsi="Avenir Next" w:cs="Arial"/>
          <w:color w:val="7B7B7B" w:themeColor="accent3" w:themeShade="BF"/>
          <w:sz w:val="22"/>
          <w:szCs w:val="22"/>
        </w:rPr>
        <w:t>New Approach to Business Failure and Insolvency</w:t>
      </w:r>
      <w:r w:rsidR="00566C77">
        <w:rPr>
          <w:rFonts w:ascii="Avenir Next" w:hAnsi="Avenir Next" w:cs="Arial"/>
          <w:color w:val="7B7B7B" w:themeColor="accent3" w:themeShade="BF"/>
          <w:sz w:val="22"/>
          <w:szCs w:val="22"/>
        </w:rPr>
        <w:t>”.</w:t>
      </w:r>
      <w:r w:rsidR="004F0A43">
        <w:rPr>
          <w:rFonts w:ascii="Avenir Next" w:hAnsi="Avenir Next" w:cs="Arial"/>
          <w:color w:val="7B7B7B" w:themeColor="accent3" w:themeShade="BF"/>
          <w:sz w:val="22"/>
          <w:szCs w:val="22"/>
        </w:rPr>
        <w:t xml:space="preserve"> </w:t>
      </w:r>
      <w:r w:rsidR="001F1245">
        <w:rPr>
          <w:rFonts w:ascii="Avenir Next" w:hAnsi="Avenir Next" w:cs="Arial"/>
          <w:color w:val="7B7B7B" w:themeColor="accent3" w:themeShade="BF"/>
          <w:sz w:val="22"/>
          <w:szCs w:val="22"/>
        </w:rPr>
        <w:t xml:space="preserve">The </w:t>
      </w:r>
      <w:r w:rsidR="00606AA6">
        <w:rPr>
          <w:rFonts w:ascii="Avenir Next" w:hAnsi="Avenir Next" w:cs="Arial"/>
          <w:color w:val="7B7B7B" w:themeColor="accent3" w:themeShade="BF"/>
          <w:sz w:val="22"/>
          <w:szCs w:val="22"/>
        </w:rPr>
        <w:t xml:space="preserve">harmonized approach was proposed which would include the </w:t>
      </w:r>
      <w:r w:rsidR="000058AC">
        <w:rPr>
          <w:rFonts w:ascii="Avenir Next" w:hAnsi="Avenir Next" w:cs="Arial"/>
          <w:color w:val="7B7B7B" w:themeColor="accent3" w:themeShade="BF"/>
          <w:sz w:val="22"/>
          <w:szCs w:val="22"/>
        </w:rPr>
        <w:t xml:space="preserve">preventive restructuring models, stay of individual actions, </w:t>
      </w:r>
      <w:r w:rsidR="00AF3DBA">
        <w:rPr>
          <w:rFonts w:ascii="Avenir Next" w:hAnsi="Avenir Next" w:cs="Arial"/>
          <w:color w:val="7B7B7B" w:themeColor="accent3" w:themeShade="BF"/>
          <w:sz w:val="22"/>
          <w:szCs w:val="22"/>
        </w:rPr>
        <w:t>protections of dissenting creditors, debtor in possession model, cram-down</w:t>
      </w:r>
      <w:r w:rsidR="00AF45BC">
        <w:rPr>
          <w:rFonts w:ascii="Avenir Next" w:hAnsi="Avenir Next" w:cs="Arial"/>
          <w:color w:val="7B7B7B" w:themeColor="accent3" w:themeShade="BF"/>
          <w:sz w:val="22"/>
          <w:szCs w:val="22"/>
        </w:rPr>
        <w:t xml:space="preserve">, protection of new and interim financing. </w:t>
      </w:r>
      <w:r w:rsidR="00E65AF8">
        <w:rPr>
          <w:rFonts w:ascii="Avenir Next" w:hAnsi="Avenir Next" w:cs="Arial"/>
          <w:color w:val="7B7B7B" w:themeColor="accent3" w:themeShade="BF"/>
          <w:sz w:val="22"/>
          <w:szCs w:val="22"/>
        </w:rPr>
        <w:t xml:space="preserve">The recommendation had modest results and </w:t>
      </w:r>
      <w:r w:rsidR="00726035">
        <w:rPr>
          <w:rFonts w:ascii="Avenir Next" w:hAnsi="Avenir Next" w:cs="Arial"/>
          <w:color w:val="7B7B7B" w:themeColor="accent3" w:themeShade="BF"/>
          <w:sz w:val="22"/>
          <w:szCs w:val="22"/>
        </w:rPr>
        <w:t>limited</w:t>
      </w:r>
      <w:r w:rsidR="00E65AF8">
        <w:rPr>
          <w:rFonts w:ascii="Avenir Next" w:hAnsi="Avenir Next" w:cs="Arial"/>
          <w:color w:val="7B7B7B" w:themeColor="accent3" w:themeShade="BF"/>
          <w:sz w:val="22"/>
          <w:szCs w:val="22"/>
        </w:rPr>
        <w:t xml:space="preserve"> </w:t>
      </w:r>
      <w:r w:rsidR="00BC24A8">
        <w:rPr>
          <w:rFonts w:ascii="Avenir Next" w:hAnsi="Avenir Next" w:cs="Arial"/>
          <w:color w:val="7B7B7B" w:themeColor="accent3" w:themeShade="BF"/>
          <w:sz w:val="22"/>
          <w:szCs w:val="22"/>
        </w:rPr>
        <w:t>acceptance</w:t>
      </w:r>
      <w:r w:rsidR="00D37EBD">
        <w:rPr>
          <w:rFonts w:ascii="Avenir Next" w:hAnsi="Avenir Next" w:cs="Arial"/>
          <w:color w:val="7B7B7B" w:themeColor="accent3" w:themeShade="BF"/>
          <w:sz w:val="22"/>
          <w:szCs w:val="22"/>
        </w:rPr>
        <w:t xml:space="preserve"> between Member States. Therefore, in 2016 the Commission formed a new</w:t>
      </w:r>
      <w:r w:rsidR="00EC4746">
        <w:rPr>
          <w:rFonts w:ascii="Avenir Next" w:hAnsi="Avenir Next" w:cs="Arial"/>
          <w:color w:val="7B7B7B" w:themeColor="accent3" w:themeShade="BF"/>
          <w:sz w:val="22"/>
          <w:szCs w:val="22"/>
        </w:rPr>
        <w:t xml:space="preserve"> Expert Group on Restructuring and Insolvency law which proposed the new </w:t>
      </w:r>
      <w:r w:rsidR="00726035">
        <w:rPr>
          <w:rFonts w:ascii="Avenir Next" w:hAnsi="Avenir Next" w:cs="Arial"/>
          <w:color w:val="7B7B7B" w:themeColor="accent3" w:themeShade="BF"/>
          <w:sz w:val="22"/>
          <w:szCs w:val="22"/>
        </w:rPr>
        <w:t>Insolvency Directive.</w:t>
      </w:r>
    </w:p>
    <w:p w14:paraId="56641C73" w14:textId="77777777" w:rsidR="00FC5010" w:rsidRDefault="00FC5010" w:rsidP="000A3278">
      <w:pPr>
        <w:jc w:val="both"/>
        <w:rPr>
          <w:rFonts w:ascii="Avenir Next" w:hAnsi="Avenir Next" w:cs="Arial"/>
          <w:color w:val="7B7B7B" w:themeColor="accent3" w:themeShade="BF"/>
          <w:sz w:val="22"/>
          <w:szCs w:val="22"/>
        </w:rPr>
      </w:pPr>
    </w:p>
    <w:p w14:paraId="16F41157" w14:textId="77777777" w:rsidR="00DF3CC6" w:rsidRDefault="00DF3CC6" w:rsidP="000A3278">
      <w:pPr>
        <w:jc w:val="both"/>
        <w:rPr>
          <w:rFonts w:ascii="Avenir Next" w:hAnsi="Avenir Next" w:cs="Arial"/>
          <w:color w:val="7B7B7B" w:themeColor="accent3" w:themeShade="BF"/>
          <w:sz w:val="22"/>
          <w:szCs w:val="22"/>
        </w:rPr>
      </w:pPr>
    </w:p>
    <w:p w14:paraId="755D6AFF" w14:textId="0FC51646" w:rsidR="00C550C8" w:rsidRPr="006723E9" w:rsidRDefault="00C550C8" w:rsidP="000A327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0889CDD" w14:textId="720BFEB2" w:rsidR="008115C6" w:rsidRPr="008E3C96" w:rsidRDefault="008115C6" w:rsidP="008115C6">
      <w:pPr>
        <w:jc w:val="both"/>
        <w:rPr>
          <w:rFonts w:ascii="Avenir Next" w:hAnsi="Avenir Next" w:cs="Arial"/>
          <w:sz w:val="22"/>
          <w:szCs w:val="22"/>
          <w:lang w:val="en-GB"/>
        </w:rPr>
      </w:pPr>
      <w:r>
        <w:rPr>
          <w:rFonts w:ascii="Avenir Next" w:hAnsi="Avenir Next" w:cs="Arial"/>
          <w:sz w:val="22"/>
          <w:szCs w:val="22"/>
          <w:lang w:val="en-GB"/>
        </w:rPr>
        <w:t>The concept of the “centre of main interest</w:t>
      </w:r>
      <w:r w:rsidRPr="008E3C96">
        <w:rPr>
          <w:rFonts w:ascii="Avenir Next" w:hAnsi="Avenir Next" w:cs="Arial"/>
          <w:sz w:val="22"/>
          <w:szCs w:val="22"/>
          <w:lang w:val="en-GB"/>
        </w:rPr>
        <w:t>”</w:t>
      </w:r>
      <w:r>
        <w:rPr>
          <w:rFonts w:ascii="Avenir Next" w:hAnsi="Avenir Next" w:cs="Arial"/>
          <w:sz w:val="22"/>
          <w:szCs w:val="22"/>
          <w:lang w:val="en-GB"/>
        </w:rPr>
        <w:t xml:space="preserve"> has been both praised and criticised by EU institutions, academics, and practitioners</w:t>
      </w:r>
      <w:r w:rsidRPr="008E3C96">
        <w:rPr>
          <w:rFonts w:ascii="Avenir Next" w:hAnsi="Avenir Next" w:cs="Arial"/>
          <w:sz w:val="22"/>
          <w:szCs w:val="22"/>
          <w:lang w:val="en-GB"/>
        </w:rPr>
        <w:t xml:space="preserve">. List </w:t>
      </w:r>
      <w:r w:rsidRPr="006723E9">
        <w:rPr>
          <w:rFonts w:ascii="Avenir Next Demi Bold" w:hAnsi="Avenir Next Demi Bold" w:cs="Arial"/>
          <w:b/>
          <w:bCs/>
          <w:sz w:val="22"/>
          <w:szCs w:val="22"/>
          <w:u w:val="single"/>
          <w:lang w:val="en-GB"/>
        </w:rPr>
        <w:t xml:space="preserve">two (2) </w:t>
      </w:r>
      <w:r>
        <w:rPr>
          <w:rFonts w:ascii="Avenir Next Demi Bold" w:hAnsi="Avenir Next Demi Bold" w:cs="Arial"/>
          <w:b/>
          <w:bCs/>
          <w:sz w:val="22"/>
          <w:szCs w:val="22"/>
          <w:u w:val="single"/>
          <w:lang w:val="en-GB"/>
        </w:rPr>
        <w:t>praises and</w:t>
      </w:r>
      <w:r w:rsidR="00F3562C">
        <w:rPr>
          <w:rFonts w:ascii="Avenir Next Demi Bold" w:hAnsi="Avenir Next Demi Bold" w:cs="Arial"/>
          <w:b/>
          <w:bCs/>
          <w:sz w:val="22"/>
          <w:szCs w:val="22"/>
          <w:u w:val="single"/>
          <w:lang w:val="en-GB"/>
        </w:rPr>
        <w:t xml:space="preserve"> </w:t>
      </w:r>
      <w:r>
        <w:rPr>
          <w:rFonts w:ascii="Avenir Next Demi Bold" w:hAnsi="Avenir Next Demi Bold" w:cs="Arial"/>
          <w:b/>
          <w:bCs/>
          <w:sz w:val="22"/>
          <w:szCs w:val="22"/>
          <w:u w:val="single"/>
          <w:lang w:val="en-GB"/>
        </w:rPr>
        <w:t>/</w:t>
      </w:r>
      <w:r w:rsidR="00F3562C">
        <w:rPr>
          <w:rFonts w:ascii="Avenir Next Demi Bold" w:hAnsi="Avenir Next Demi Bold" w:cs="Arial"/>
          <w:b/>
          <w:bCs/>
          <w:sz w:val="22"/>
          <w:szCs w:val="22"/>
          <w:u w:val="single"/>
          <w:lang w:val="en-GB"/>
        </w:rPr>
        <w:t xml:space="preserve"> </w:t>
      </w:r>
      <w:r w:rsidRPr="008115C6">
        <w:rPr>
          <w:rFonts w:ascii="Avenir Next Demi Bold" w:hAnsi="Avenir Next Demi Bold"/>
          <w:b/>
          <w:sz w:val="22"/>
          <w:u w:val="single"/>
          <w:lang w:val="en-GB"/>
        </w:rPr>
        <w:t>or shortcomings</w:t>
      </w:r>
      <w:r w:rsidRPr="008115C6">
        <w:rPr>
          <w:rFonts w:ascii="Avenir Next Demi Bold" w:hAnsi="Avenir Next Demi Bold"/>
          <w:b/>
          <w:sz w:val="22"/>
          <w:lang w:val="en-GB"/>
        </w:rPr>
        <w:t xml:space="preserve"> </w:t>
      </w:r>
      <w:r w:rsidRPr="00B111A5">
        <w:rPr>
          <w:rFonts w:ascii="Avenir Next" w:hAnsi="Avenir Next" w:cs="Arial"/>
          <w:sz w:val="22"/>
          <w:szCs w:val="22"/>
          <w:lang w:val="en-GB"/>
        </w:rPr>
        <w:t>and</w:t>
      </w:r>
      <w:r>
        <w:rPr>
          <w:rFonts w:ascii="Avenir Next" w:hAnsi="Avenir Next" w:cs="Arial"/>
          <w:sz w:val="22"/>
          <w:szCs w:val="22"/>
          <w:lang w:val="en-GB"/>
        </w:rPr>
        <w:t xml:space="preserve"> explain why they are considered praises</w:t>
      </w:r>
      <w:r w:rsidR="00F3562C">
        <w:rPr>
          <w:rFonts w:ascii="Avenir Next" w:hAnsi="Avenir Next" w:cs="Arial"/>
          <w:sz w:val="22"/>
          <w:szCs w:val="22"/>
          <w:lang w:val="en-GB"/>
        </w:rPr>
        <w:t xml:space="preserve"> </w:t>
      </w:r>
      <w:r>
        <w:rPr>
          <w:rFonts w:ascii="Avenir Next" w:hAnsi="Avenir Next" w:cs="Arial"/>
          <w:sz w:val="22"/>
          <w:szCs w:val="22"/>
          <w:lang w:val="en-GB"/>
        </w:rPr>
        <w:t>/</w:t>
      </w:r>
      <w:r w:rsidR="00F3562C">
        <w:rPr>
          <w:rFonts w:ascii="Avenir Next" w:hAnsi="Avenir Next" w:cs="Arial"/>
          <w:sz w:val="22"/>
          <w:szCs w:val="22"/>
          <w:lang w:val="en-GB"/>
        </w:rPr>
        <w:t xml:space="preserve"> </w:t>
      </w:r>
      <w:r>
        <w:rPr>
          <w:rFonts w:ascii="Avenir Next" w:hAnsi="Avenir Next" w:cs="Arial"/>
          <w:sz w:val="22"/>
          <w:szCs w:val="22"/>
          <w:lang w:val="en-GB"/>
        </w:rPr>
        <w:t>shortcomings.</w:t>
      </w:r>
    </w:p>
    <w:p w14:paraId="55B2B266" w14:textId="77777777" w:rsidR="003D4A79" w:rsidRPr="008E3C96" w:rsidRDefault="003D4A79" w:rsidP="003D4A79">
      <w:pPr>
        <w:jc w:val="both"/>
        <w:rPr>
          <w:rFonts w:ascii="Avenir Next" w:hAnsi="Avenir Next" w:cs="Arial"/>
          <w:sz w:val="22"/>
          <w:szCs w:val="22"/>
          <w:lang w:val="en-GB"/>
        </w:rPr>
      </w:pPr>
    </w:p>
    <w:p w14:paraId="3450D4EE" w14:textId="3F086C51" w:rsidR="00F97338" w:rsidRDefault="000B579F"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EIR Recast </w:t>
      </w:r>
      <w:r w:rsidR="0020716B">
        <w:rPr>
          <w:rFonts w:ascii="Avenir Next" w:hAnsi="Avenir Next" w:cs="Arial"/>
          <w:color w:val="7B7B7B" w:themeColor="accent3" w:themeShade="BF"/>
          <w:sz w:val="22"/>
          <w:szCs w:val="22"/>
        </w:rPr>
        <w:t>provided in Article 3 the definition of COMI as “</w:t>
      </w:r>
      <w:r w:rsidR="0020716B" w:rsidRPr="0020716B">
        <w:rPr>
          <w:rFonts w:ascii="Avenir Next" w:hAnsi="Avenir Next" w:cs="Arial"/>
          <w:color w:val="7B7B7B" w:themeColor="accent3" w:themeShade="BF"/>
          <w:sz w:val="22"/>
          <w:szCs w:val="22"/>
        </w:rPr>
        <w:t>place where the debtor conducts the administration of its interests on a regular basis and which is ascertainable by third parties</w:t>
      </w:r>
      <w:r w:rsidR="0020716B">
        <w:rPr>
          <w:rFonts w:ascii="Avenir Next" w:hAnsi="Avenir Next" w:cs="Arial"/>
          <w:color w:val="7B7B7B" w:themeColor="accent3" w:themeShade="BF"/>
          <w:sz w:val="22"/>
          <w:szCs w:val="22"/>
        </w:rPr>
        <w:t xml:space="preserve">”. </w:t>
      </w:r>
      <w:r w:rsidR="00315B98">
        <w:rPr>
          <w:rFonts w:ascii="Avenir Next" w:hAnsi="Avenir Next" w:cs="Arial"/>
          <w:color w:val="7B7B7B" w:themeColor="accent3" w:themeShade="BF"/>
          <w:sz w:val="22"/>
          <w:szCs w:val="22"/>
        </w:rPr>
        <w:t xml:space="preserve">The </w:t>
      </w:r>
      <w:r w:rsidR="00315B98">
        <w:rPr>
          <w:rFonts w:ascii="Avenir Next" w:hAnsi="Avenir Next" w:cs="Arial"/>
          <w:color w:val="7B7B7B" w:themeColor="accent3" w:themeShade="BF"/>
          <w:sz w:val="22"/>
          <w:szCs w:val="22"/>
        </w:rPr>
        <w:lastRenderedPageBreak/>
        <w:t xml:space="preserve">advantage of COMI is that is has an autonomous </w:t>
      </w:r>
      <w:r w:rsidR="00411DBA">
        <w:rPr>
          <w:rFonts w:ascii="Avenir Next" w:hAnsi="Avenir Next" w:cs="Arial"/>
          <w:color w:val="7B7B7B" w:themeColor="accent3" w:themeShade="BF"/>
          <w:sz w:val="22"/>
          <w:szCs w:val="22"/>
        </w:rPr>
        <w:t xml:space="preserve">meaning, as it was held in jurisprudence of </w:t>
      </w:r>
      <w:r w:rsidR="00F97338">
        <w:rPr>
          <w:rFonts w:ascii="Avenir Next" w:hAnsi="Avenir Next" w:cs="Arial"/>
          <w:color w:val="7B7B7B" w:themeColor="accent3" w:themeShade="BF"/>
          <w:sz w:val="22"/>
          <w:szCs w:val="22"/>
        </w:rPr>
        <w:t>CJEU,</w:t>
      </w:r>
      <w:r w:rsidR="00411DBA">
        <w:rPr>
          <w:rFonts w:ascii="Avenir Next" w:hAnsi="Avenir Next" w:cs="Arial"/>
          <w:color w:val="7B7B7B" w:themeColor="accent3" w:themeShade="BF"/>
          <w:sz w:val="22"/>
          <w:szCs w:val="22"/>
        </w:rPr>
        <w:t xml:space="preserve"> and this enables the legal certainty</w:t>
      </w:r>
      <w:r w:rsidR="0045069D">
        <w:rPr>
          <w:rFonts w:ascii="Avenir Next" w:hAnsi="Avenir Next" w:cs="Arial"/>
          <w:color w:val="7B7B7B" w:themeColor="accent3" w:themeShade="BF"/>
          <w:sz w:val="22"/>
          <w:szCs w:val="22"/>
        </w:rPr>
        <w:t xml:space="preserve"> and foreseeability</w:t>
      </w:r>
      <w:r w:rsidR="00411DBA">
        <w:rPr>
          <w:rFonts w:ascii="Avenir Next" w:hAnsi="Avenir Next" w:cs="Arial"/>
          <w:color w:val="7B7B7B" w:themeColor="accent3" w:themeShade="BF"/>
          <w:sz w:val="22"/>
          <w:szCs w:val="22"/>
        </w:rPr>
        <w:t xml:space="preserve"> among the Member States. </w:t>
      </w:r>
      <w:r w:rsidR="00E25D01">
        <w:rPr>
          <w:rFonts w:ascii="Avenir Next" w:hAnsi="Avenir Next" w:cs="Arial"/>
          <w:color w:val="7B7B7B" w:themeColor="accent3" w:themeShade="BF"/>
          <w:sz w:val="22"/>
          <w:szCs w:val="22"/>
        </w:rPr>
        <w:t xml:space="preserve">There are few presumptions of COMI, such as in the case of legal entities the place of its </w:t>
      </w:r>
      <w:r w:rsidR="007D62A9">
        <w:rPr>
          <w:rFonts w:ascii="Avenir Next" w:hAnsi="Avenir Next" w:cs="Arial"/>
          <w:color w:val="7B7B7B" w:themeColor="accent3" w:themeShade="BF"/>
          <w:sz w:val="22"/>
          <w:szCs w:val="22"/>
        </w:rPr>
        <w:t>registered office</w:t>
      </w:r>
      <w:r w:rsidR="00DE188A">
        <w:rPr>
          <w:rFonts w:ascii="Avenir Next" w:hAnsi="Avenir Next" w:cs="Arial"/>
          <w:color w:val="7B7B7B" w:themeColor="accent3" w:themeShade="BF"/>
          <w:sz w:val="22"/>
          <w:szCs w:val="22"/>
        </w:rPr>
        <w:t xml:space="preserve"> (unless this place has moved in the 3 months suspect period)</w:t>
      </w:r>
      <w:r w:rsidR="007D62A9">
        <w:rPr>
          <w:rFonts w:ascii="Avenir Next" w:hAnsi="Avenir Next" w:cs="Arial"/>
          <w:color w:val="7B7B7B" w:themeColor="accent3" w:themeShade="BF"/>
          <w:sz w:val="22"/>
          <w:szCs w:val="22"/>
        </w:rPr>
        <w:t>, for physical persons the place of their habitual residence</w:t>
      </w:r>
      <w:r w:rsidR="00E77E25">
        <w:rPr>
          <w:rFonts w:ascii="Avenir Next" w:hAnsi="Avenir Next" w:cs="Arial"/>
          <w:color w:val="7B7B7B" w:themeColor="accent3" w:themeShade="BF"/>
          <w:sz w:val="22"/>
          <w:szCs w:val="22"/>
        </w:rPr>
        <w:t xml:space="preserve"> and for individuals conducting business activities – the principal place of business. Such presumptions </w:t>
      </w:r>
      <w:r w:rsidR="002E2293">
        <w:rPr>
          <w:rFonts w:ascii="Avenir Next" w:hAnsi="Avenir Next" w:cs="Arial"/>
          <w:color w:val="7B7B7B" w:themeColor="accent3" w:themeShade="BF"/>
          <w:sz w:val="22"/>
          <w:szCs w:val="22"/>
        </w:rPr>
        <w:t xml:space="preserve">contribute to the easier determination of the center of main interests. However, these presumptions can be rebutted. </w:t>
      </w:r>
      <w:r w:rsidR="00BE4DAF">
        <w:rPr>
          <w:rFonts w:ascii="Avenir Next" w:hAnsi="Avenir Next" w:cs="Arial"/>
          <w:color w:val="7B7B7B" w:themeColor="accent3" w:themeShade="BF"/>
          <w:sz w:val="22"/>
          <w:szCs w:val="22"/>
        </w:rPr>
        <w:t xml:space="preserve">The COMI model contributes to the association of the insolvent debtor with its closest territorial </w:t>
      </w:r>
      <w:r w:rsidR="00F97338">
        <w:rPr>
          <w:rFonts w:ascii="Avenir Next" w:hAnsi="Avenir Next" w:cs="Arial"/>
          <w:color w:val="7B7B7B" w:themeColor="accent3" w:themeShade="BF"/>
          <w:sz w:val="22"/>
          <w:szCs w:val="22"/>
        </w:rPr>
        <w:t>link,</w:t>
      </w:r>
      <w:r w:rsidR="00E7086C">
        <w:rPr>
          <w:rFonts w:ascii="Avenir Next" w:hAnsi="Avenir Next" w:cs="Arial"/>
          <w:color w:val="7B7B7B" w:themeColor="accent3" w:themeShade="BF"/>
          <w:sz w:val="22"/>
          <w:szCs w:val="22"/>
        </w:rPr>
        <w:t xml:space="preserve"> and it helps the creditors to </w:t>
      </w:r>
      <w:r w:rsidR="004C6630">
        <w:rPr>
          <w:rFonts w:ascii="Avenir Next" w:hAnsi="Avenir Next" w:cs="Arial"/>
          <w:color w:val="7B7B7B" w:themeColor="accent3" w:themeShade="BF"/>
          <w:sz w:val="22"/>
          <w:szCs w:val="22"/>
        </w:rPr>
        <w:t xml:space="preserve">understand </w:t>
      </w:r>
      <w:r w:rsidR="000A1388">
        <w:rPr>
          <w:rFonts w:ascii="Avenir Next" w:hAnsi="Avenir Next" w:cs="Arial"/>
          <w:color w:val="7B7B7B" w:themeColor="accent3" w:themeShade="BF"/>
          <w:sz w:val="22"/>
          <w:szCs w:val="22"/>
        </w:rPr>
        <w:t>their risks better</w:t>
      </w:r>
      <w:r w:rsidR="004C6630">
        <w:rPr>
          <w:rFonts w:ascii="Avenir Next" w:hAnsi="Avenir Next" w:cs="Arial"/>
          <w:color w:val="7B7B7B" w:themeColor="accent3" w:themeShade="BF"/>
          <w:sz w:val="22"/>
          <w:szCs w:val="22"/>
        </w:rPr>
        <w:t xml:space="preserve"> when dealing with such private or legal entities, as Virgos-S</w:t>
      </w:r>
      <w:r w:rsidR="00F97338">
        <w:rPr>
          <w:rFonts w:ascii="Avenir Next" w:hAnsi="Avenir Next" w:cs="Arial"/>
          <w:color w:val="7B7B7B" w:themeColor="accent3" w:themeShade="BF"/>
          <w:sz w:val="22"/>
          <w:szCs w:val="22"/>
        </w:rPr>
        <w:t>chmit Report indicated.</w:t>
      </w:r>
    </w:p>
    <w:p w14:paraId="1AA40B26" w14:textId="77777777" w:rsidR="00F97338" w:rsidRDefault="00F97338" w:rsidP="000A3278">
      <w:pPr>
        <w:jc w:val="both"/>
        <w:rPr>
          <w:rFonts w:ascii="Avenir Next" w:hAnsi="Avenir Next" w:cs="Arial"/>
          <w:color w:val="7B7B7B" w:themeColor="accent3" w:themeShade="BF"/>
          <w:sz w:val="22"/>
          <w:szCs w:val="22"/>
        </w:rPr>
      </w:pPr>
    </w:p>
    <w:p w14:paraId="4662A9D9" w14:textId="7F6F2222" w:rsidR="000A3278" w:rsidRDefault="00F9733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Critics </w:t>
      </w:r>
      <w:r w:rsidR="002B6ABC">
        <w:rPr>
          <w:rFonts w:ascii="Avenir Next" w:hAnsi="Avenir Next" w:cs="Arial"/>
          <w:color w:val="7B7B7B" w:themeColor="accent3" w:themeShade="BF"/>
          <w:sz w:val="22"/>
          <w:szCs w:val="22"/>
        </w:rPr>
        <w:t xml:space="preserve">raised arguments that the concept of COMI is vague </w:t>
      </w:r>
      <w:r w:rsidR="000A1388">
        <w:rPr>
          <w:rFonts w:ascii="Avenir Next" w:hAnsi="Avenir Next" w:cs="Arial"/>
          <w:color w:val="7B7B7B" w:themeColor="accent3" w:themeShade="BF"/>
          <w:sz w:val="22"/>
          <w:szCs w:val="22"/>
        </w:rPr>
        <w:t xml:space="preserve">and there is not enough guidance in EIR recast </w:t>
      </w:r>
      <w:r w:rsidR="008D78ED">
        <w:rPr>
          <w:rFonts w:ascii="Avenir Next" w:hAnsi="Avenir Next" w:cs="Arial"/>
          <w:color w:val="7B7B7B" w:themeColor="accent3" w:themeShade="BF"/>
          <w:sz w:val="22"/>
          <w:szCs w:val="22"/>
        </w:rPr>
        <w:t xml:space="preserve">for its interpretation. </w:t>
      </w:r>
      <w:r w:rsidR="009D4D0D">
        <w:rPr>
          <w:rFonts w:ascii="Avenir Next" w:hAnsi="Avenir Next" w:cs="Arial"/>
          <w:color w:val="7B7B7B" w:themeColor="accent3" w:themeShade="BF"/>
          <w:sz w:val="22"/>
          <w:szCs w:val="22"/>
        </w:rPr>
        <w:t xml:space="preserve">COMI cannot be easily </w:t>
      </w:r>
      <w:r w:rsidR="00716B2F">
        <w:rPr>
          <w:rFonts w:ascii="Avenir Next" w:hAnsi="Avenir Next" w:cs="Arial"/>
          <w:color w:val="7B7B7B" w:themeColor="accent3" w:themeShade="BF"/>
          <w:sz w:val="22"/>
          <w:szCs w:val="22"/>
        </w:rPr>
        <w:t>determined,</w:t>
      </w:r>
      <w:r w:rsidR="009D4D0D">
        <w:rPr>
          <w:rFonts w:ascii="Avenir Next" w:hAnsi="Avenir Next" w:cs="Arial"/>
          <w:color w:val="7B7B7B" w:themeColor="accent3" w:themeShade="BF"/>
          <w:sz w:val="22"/>
          <w:szCs w:val="22"/>
        </w:rPr>
        <w:t xml:space="preserve"> and it may be subject of forum shopping.</w:t>
      </w:r>
      <w:r w:rsidR="003249D9">
        <w:rPr>
          <w:rFonts w:ascii="Avenir Next" w:hAnsi="Avenir Next" w:cs="Arial"/>
          <w:color w:val="7B7B7B" w:themeColor="accent3" w:themeShade="BF"/>
          <w:sz w:val="22"/>
          <w:szCs w:val="22"/>
        </w:rPr>
        <w:t xml:space="preserve"> The term administration of the main interest of the debtor, which is recognized by the creditors is not precise and provides space for different understanding. </w:t>
      </w:r>
    </w:p>
    <w:p w14:paraId="27C1045F" w14:textId="32D1694F" w:rsidR="008D6048" w:rsidRPr="000A373F" w:rsidRDefault="008D6048" w:rsidP="002A37BB">
      <w:pPr>
        <w:jc w:val="both"/>
        <w:rPr>
          <w:rFonts w:ascii="Avenir Next" w:hAnsi="Avenir Next" w:cs="Arial"/>
          <w:color w:val="808080" w:themeColor="background1" w:themeShade="80"/>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3B7672B9" w14:textId="7BEC4FE0" w:rsidR="000A3278" w:rsidRPr="006D13A4" w:rsidRDefault="003808A7"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Directive introduces the </w:t>
      </w:r>
      <w:r w:rsidR="00246126">
        <w:rPr>
          <w:rFonts w:ascii="Avenir Next" w:hAnsi="Avenir Next" w:cs="Arial"/>
          <w:color w:val="7B7B7B" w:themeColor="accent3" w:themeShade="BF"/>
          <w:sz w:val="22"/>
          <w:szCs w:val="22"/>
        </w:rPr>
        <w:t xml:space="preserve">more flexible approach to </w:t>
      </w:r>
      <w:r w:rsidR="00527EFC">
        <w:rPr>
          <w:rFonts w:ascii="Avenir Next" w:hAnsi="Avenir Next" w:cs="Arial"/>
          <w:color w:val="7B7B7B" w:themeColor="accent3" w:themeShade="BF"/>
          <w:sz w:val="22"/>
          <w:szCs w:val="22"/>
        </w:rPr>
        <w:t xml:space="preserve">insolvency </w:t>
      </w:r>
      <w:r w:rsidR="00246126">
        <w:rPr>
          <w:rFonts w:ascii="Avenir Next" w:hAnsi="Avenir Next" w:cs="Arial"/>
          <w:color w:val="7B7B7B" w:themeColor="accent3" w:themeShade="BF"/>
          <w:sz w:val="22"/>
          <w:szCs w:val="22"/>
        </w:rPr>
        <w:t xml:space="preserve">restructuring </w:t>
      </w:r>
      <w:r w:rsidR="00AA303E">
        <w:rPr>
          <w:rFonts w:ascii="Avenir Next" w:hAnsi="Avenir Next" w:cs="Arial"/>
          <w:color w:val="7B7B7B" w:themeColor="accent3" w:themeShade="BF"/>
          <w:sz w:val="22"/>
          <w:szCs w:val="22"/>
        </w:rPr>
        <w:t xml:space="preserve">and it is a first harmonized approach to insolvency in EU. </w:t>
      </w:r>
      <w:r w:rsidR="005D7D93">
        <w:rPr>
          <w:rFonts w:ascii="Avenir Next" w:hAnsi="Avenir Next" w:cs="Arial"/>
          <w:color w:val="7B7B7B" w:themeColor="accent3" w:themeShade="BF"/>
          <w:sz w:val="22"/>
          <w:szCs w:val="22"/>
        </w:rPr>
        <w:t xml:space="preserve">It introduced the </w:t>
      </w:r>
      <w:r w:rsidR="005D7D93" w:rsidRPr="006D13A4">
        <w:rPr>
          <w:rFonts w:ascii="Avenir Next" w:hAnsi="Avenir Next" w:cs="Arial"/>
          <w:b/>
          <w:bCs/>
          <w:color w:val="7B7B7B" w:themeColor="accent3" w:themeShade="BF"/>
          <w:sz w:val="22"/>
          <w:szCs w:val="22"/>
        </w:rPr>
        <w:t xml:space="preserve">minimum standards </w:t>
      </w:r>
      <w:r w:rsidR="00B4656D" w:rsidRPr="006D13A4">
        <w:rPr>
          <w:rFonts w:ascii="Avenir Next" w:hAnsi="Avenir Next" w:cs="Arial"/>
          <w:b/>
          <w:bCs/>
          <w:color w:val="7B7B7B" w:themeColor="accent3" w:themeShade="BF"/>
          <w:sz w:val="22"/>
          <w:szCs w:val="22"/>
        </w:rPr>
        <w:t>for preventive mechanisms</w:t>
      </w:r>
      <w:r w:rsidR="00527EFC">
        <w:rPr>
          <w:rFonts w:ascii="Avenir Next" w:hAnsi="Avenir Next" w:cs="Arial"/>
          <w:color w:val="7B7B7B" w:themeColor="accent3" w:themeShade="BF"/>
          <w:sz w:val="22"/>
          <w:szCs w:val="22"/>
        </w:rPr>
        <w:t xml:space="preserve"> </w:t>
      </w:r>
      <w:r w:rsidR="002C66ED">
        <w:rPr>
          <w:rFonts w:ascii="Avenir Next" w:hAnsi="Avenir Next" w:cs="Arial"/>
          <w:color w:val="7B7B7B" w:themeColor="accent3" w:themeShade="BF"/>
          <w:sz w:val="22"/>
          <w:szCs w:val="22"/>
        </w:rPr>
        <w:t>to</w:t>
      </w:r>
      <w:r w:rsidR="00527EFC">
        <w:rPr>
          <w:rFonts w:ascii="Avenir Next" w:hAnsi="Avenir Next" w:cs="Arial"/>
          <w:color w:val="7B7B7B" w:themeColor="accent3" w:themeShade="BF"/>
          <w:sz w:val="22"/>
          <w:szCs w:val="22"/>
        </w:rPr>
        <w:t xml:space="preserve"> facilitate the harmonization between the EU Member States</w:t>
      </w:r>
      <w:r w:rsidR="00D556CD">
        <w:rPr>
          <w:rFonts w:ascii="Avenir Next" w:hAnsi="Avenir Next" w:cs="Arial"/>
          <w:color w:val="7B7B7B" w:themeColor="accent3" w:themeShade="BF"/>
          <w:sz w:val="22"/>
          <w:szCs w:val="22"/>
        </w:rPr>
        <w:t xml:space="preserve"> and early warning </w:t>
      </w:r>
      <w:r w:rsidR="00894FBC">
        <w:rPr>
          <w:rFonts w:ascii="Avenir Next" w:hAnsi="Avenir Next" w:cs="Arial"/>
          <w:color w:val="7B7B7B" w:themeColor="accent3" w:themeShade="BF"/>
          <w:sz w:val="22"/>
          <w:szCs w:val="22"/>
        </w:rPr>
        <w:t>mechanisms</w:t>
      </w:r>
      <w:r w:rsidR="00527EFC">
        <w:rPr>
          <w:rFonts w:ascii="Avenir Next" w:hAnsi="Avenir Next" w:cs="Arial"/>
          <w:color w:val="7B7B7B" w:themeColor="accent3" w:themeShade="BF"/>
          <w:sz w:val="22"/>
          <w:szCs w:val="22"/>
        </w:rPr>
        <w:t xml:space="preserve">. </w:t>
      </w:r>
      <w:r w:rsidR="00894FBC">
        <w:rPr>
          <w:rFonts w:ascii="Avenir Next" w:hAnsi="Avenir Next" w:cs="Arial"/>
          <w:color w:val="7B7B7B" w:themeColor="accent3" w:themeShade="BF"/>
          <w:sz w:val="22"/>
          <w:szCs w:val="22"/>
        </w:rPr>
        <w:t>The directive</w:t>
      </w:r>
      <w:r w:rsidR="00D4342D">
        <w:rPr>
          <w:rFonts w:ascii="Avenir Next" w:hAnsi="Avenir Next" w:cs="Arial"/>
          <w:color w:val="7B7B7B" w:themeColor="accent3" w:themeShade="BF"/>
          <w:sz w:val="22"/>
          <w:szCs w:val="22"/>
        </w:rPr>
        <w:t xml:space="preserve"> introduced the obligation to the Member State to enable the preventive </w:t>
      </w:r>
      <w:r w:rsidR="0045794A">
        <w:rPr>
          <w:rFonts w:ascii="Avenir Next" w:hAnsi="Avenir Next" w:cs="Arial"/>
          <w:color w:val="7B7B7B" w:themeColor="accent3" w:themeShade="BF"/>
          <w:sz w:val="22"/>
          <w:szCs w:val="22"/>
        </w:rPr>
        <w:t>restructuring for debtors in financial distress</w:t>
      </w:r>
      <w:r w:rsidR="00F465DA">
        <w:rPr>
          <w:rFonts w:ascii="Avenir Next" w:hAnsi="Avenir Next" w:cs="Arial"/>
          <w:color w:val="7B7B7B" w:themeColor="accent3" w:themeShade="BF"/>
          <w:sz w:val="22"/>
          <w:szCs w:val="22"/>
        </w:rPr>
        <w:t>, i.e. for the debtors which face the likelihood of insolvency.</w:t>
      </w:r>
      <w:r w:rsidR="006D13A4">
        <w:rPr>
          <w:rFonts w:ascii="Avenir Next" w:hAnsi="Avenir Next" w:cs="Arial"/>
          <w:color w:val="7B7B7B" w:themeColor="accent3" w:themeShade="BF"/>
          <w:sz w:val="22"/>
          <w:szCs w:val="22"/>
        </w:rPr>
        <w:t xml:space="preserve"> In addition, the Directive </w:t>
      </w:r>
      <w:r w:rsidR="006D13A4">
        <w:rPr>
          <w:rFonts w:ascii="Avenir Next" w:hAnsi="Avenir Next" w:cs="Arial"/>
          <w:b/>
          <w:bCs/>
          <w:color w:val="7B7B7B" w:themeColor="accent3" w:themeShade="BF"/>
          <w:sz w:val="22"/>
          <w:szCs w:val="22"/>
        </w:rPr>
        <w:t>introduces the cram-down between classes of creditors</w:t>
      </w:r>
      <w:r w:rsidR="0030051A">
        <w:rPr>
          <w:rFonts w:ascii="Avenir Next" w:hAnsi="Avenir Next" w:cs="Arial"/>
          <w:color w:val="7B7B7B" w:themeColor="accent3" w:themeShade="BF"/>
          <w:sz w:val="22"/>
          <w:szCs w:val="22"/>
        </w:rPr>
        <w:t xml:space="preserve">. Both of these examples did not exist in EIR Recast. </w:t>
      </w:r>
    </w:p>
    <w:p w14:paraId="1B25A8C1" w14:textId="77777777" w:rsidR="000A373F" w:rsidRPr="008E3C96" w:rsidRDefault="000A373F" w:rsidP="002A37BB">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11B8986E" w14:textId="77777777" w:rsidR="00E70FA4" w:rsidRPr="00E70FA4" w:rsidRDefault="00AE477C" w:rsidP="002A37BB">
      <w:pPr>
        <w:jc w:val="both"/>
        <w:rPr>
          <w:rFonts w:ascii="Avenir Next Demi Bold" w:hAnsi="Avenir Next Demi Bold" w:cs="Arial"/>
          <w:b/>
          <w:bCs/>
          <w:sz w:val="22"/>
          <w:szCs w:val="22"/>
          <w:lang w:val="en-GB"/>
        </w:rPr>
      </w:pPr>
      <w:r w:rsidRPr="00E70FA4">
        <w:rPr>
          <w:rFonts w:ascii="Avenir Next Demi Bold" w:hAnsi="Avenir Next Demi Bold" w:cs="Arial"/>
          <w:b/>
          <w:bCs/>
          <w:sz w:val="22"/>
          <w:szCs w:val="22"/>
          <w:lang w:val="en-GB"/>
        </w:rPr>
        <w:t>Scenario</w:t>
      </w:r>
    </w:p>
    <w:p w14:paraId="64D8D9D9" w14:textId="77777777" w:rsidR="00E70FA4" w:rsidRDefault="00E70FA4" w:rsidP="002A37BB">
      <w:pPr>
        <w:jc w:val="both"/>
        <w:rPr>
          <w:rFonts w:ascii="Avenir Next" w:hAnsi="Avenir Next" w:cs="Arial"/>
          <w:sz w:val="22"/>
          <w:szCs w:val="22"/>
          <w:lang w:val="en-GB"/>
        </w:rPr>
      </w:pPr>
    </w:p>
    <w:p w14:paraId="330F5DD7" w14:textId="02F6C6F7" w:rsidR="00434072" w:rsidRDefault="00434072" w:rsidP="00434072">
      <w:pPr>
        <w:jc w:val="both"/>
        <w:rPr>
          <w:rFonts w:ascii="Avenir Next" w:hAnsi="Avenir Next" w:cs="Arial"/>
          <w:sz w:val="22"/>
          <w:szCs w:val="22"/>
          <w:lang w:val="en-GB"/>
        </w:rPr>
      </w:pP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is a company selling </w:t>
      </w:r>
      <w:r>
        <w:rPr>
          <w:rFonts w:ascii="Avenir Next" w:hAnsi="Avenir Next" w:cs="Arial"/>
          <w:sz w:val="22"/>
          <w:szCs w:val="22"/>
          <w:lang w:val="en-GB"/>
        </w:rPr>
        <w:t>children stuffed animals</w:t>
      </w:r>
      <w:r w:rsidRPr="008E3C96">
        <w:rPr>
          <w:rFonts w:ascii="Avenir Next" w:hAnsi="Avenir Next" w:cs="Arial"/>
          <w:sz w:val="22"/>
          <w:szCs w:val="22"/>
          <w:lang w:val="en-GB"/>
        </w:rPr>
        <w:t xml:space="preserve">. </w:t>
      </w:r>
      <w:r>
        <w:rPr>
          <w:rFonts w:ascii="Avenir Next" w:hAnsi="Avenir Next" w:cs="Arial"/>
          <w:sz w:val="22"/>
          <w:szCs w:val="22"/>
          <w:lang w:val="en-GB"/>
        </w:rPr>
        <w:t xml:space="preserve">It is incorporated in France 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w:t>
      </w:r>
      <w:proofErr w:type="spellStart"/>
      <w:r w:rsidRPr="00E90EF2">
        <w:rPr>
          <w:rFonts w:ascii="Avenir Next" w:hAnsi="Avenir Next" w:cs="Arial"/>
          <w:sz w:val="22"/>
          <w:szCs w:val="22"/>
          <w:lang w:val="en-GB"/>
        </w:rPr>
        <w:t>Flèche</w:t>
      </w:r>
      <w:proofErr w:type="spellEnd"/>
      <w:r w:rsidRPr="00E90EF2">
        <w:rPr>
          <w:rFonts w:ascii="Avenir Next" w:hAnsi="Avenir Next" w:cs="Arial"/>
          <w:sz w:val="22"/>
          <w:szCs w:val="22"/>
          <w:lang w:val="en-GB"/>
        </w:rPr>
        <w:t xml:space="preserv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80% of its employees work in France. It also has an office in Cork, Ireland, as well as three stores around Ireland. 20% of its employees are located in Ireland. Its main warehouse is in Spain. Most of its customers come from France, and some online purchases are coming mainly from the United Kingdom.  </w:t>
      </w:r>
    </w:p>
    <w:p w14:paraId="6F8FDE77" w14:textId="77777777" w:rsidR="00434072" w:rsidRPr="008E3C96" w:rsidRDefault="00434072" w:rsidP="00434072">
      <w:pPr>
        <w:jc w:val="both"/>
        <w:rPr>
          <w:rFonts w:ascii="Avenir Next" w:hAnsi="Avenir Next" w:cs="Arial"/>
          <w:sz w:val="22"/>
          <w:szCs w:val="22"/>
          <w:lang w:val="en-GB"/>
        </w:rPr>
      </w:pPr>
    </w:p>
    <w:p w14:paraId="7D566181" w14:textId="65415CB5"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entered into a loan agreement with a Spanish bank because it was hoping to expand its reach onto the Spanish </w:t>
      </w:r>
      <w:r>
        <w:rPr>
          <w:rFonts w:ascii="Avenir Next" w:hAnsi="Avenir Next" w:cs="Arial"/>
          <w:sz w:val="22"/>
          <w:szCs w:val="22"/>
          <w:lang w:val="en-GB"/>
        </w:rPr>
        <w:t>children toys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75E78FD1" w14:textId="77777777" w:rsidR="00434072" w:rsidRPr="008E3C96" w:rsidRDefault="00434072" w:rsidP="00434072">
      <w:pPr>
        <w:jc w:val="both"/>
        <w:rPr>
          <w:rFonts w:ascii="Avenir Next" w:hAnsi="Avenir Next" w:cs="Arial"/>
          <w:sz w:val="22"/>
          <w:szCs w:val="22"/>
          <w:lang w:val="en-GB"/>
        </w:rPr>
      </w:pPr>
    </w:p>
    <w:p w14:paraId="4F852BCD" w14:textId="5B122CAB"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 which hit the world in 2020</w:t>
      </w:r>
      <w:r w:rsidRPr="008E3C96">
        <w:rPr>
          <w:rFonts w:ascii="Avenir Next" w:hAnsi="Avenir Next" w:cs="Arial"/>
          <w:sz w:val="22"/>
          <w:szCs w:val="22"/>
          <w:lang w:val="en-GB"/>
        </w:rPr>
        <w:t>. By 20</w:t>
      </w:r>
      <w:r>
        <w:rPr>
          <w:rFonts w:ascii="Avenir Next" w:hAnsi="Avenir Next" w:cs="Arial"/>
          <w:sz w:val="22"/>
          <w:szCs w:val="22"/>
          <w:lang w:val="en-GB"/>
        </w:rPr>
        <w:t xml:space="preserve">21, </w:t>
      </w:r>
      <w:r w:rsidRPr="008E3C96">
        <w:rPr>
          <w:rFonts w:ascii="Avenir Next" w:hAnsi="Avenir Next" w:cs="Arial"/>
          <w:sz w:val="22"/>
          <w:szCs w:val="22"/>
          <w:lang w:val="en-GB"/>
        </w:rPr>
        <w:t>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w:t>
      </w:r>
      <w:r>
        <w:rPr>
          <w:rFonts w:ascii="Avenir Next" w:hAnsi="Avenir Next" w:cs="Arial"/>
          <w:sz w:val="22"/>
          <w:szCs w:val="22"/>
          <w:lang w:val="en-GB"/>
        </w:rPr>
        <w:t>two years</w:t>
      </w:r>
      <w:r w:rsidRPr="008E3C96">
        <w:rPr>
          <w:rFonts w:ascii="Avenir Next" w:hAnsi="Avenir Next" w:cs="Arial"/>
          <w:sz w:val="22"/>
          <w:szCs w:val="22"/>
          <w:lang w:val="en-GB"/>
        </w:rPr>
        <w:t>. On 20 June 20</w:t>
      </w:r>
      <w:r>
        <w:rPr>
          <w:rFonts w:ascii="Avenir Next" w:hAnsi="Avenir Next" w:cs="Arial"/>
          <w:sz w:val="22"/>
          <w:szCs w:val="22"/>
          <w:lang w:val="en-GB"/>
        </w:rPr>
        <w:t>23</w:t>
      </w:r>
      <w:r w:rsidRPr="008E3C96">
        <w:rPr>
          <w:rFonts w:ascii="Avenir Next" w:hAnsi="Avenir Next" w:cs="Arial"/>
          <w:sz w:val="22"/>
          <w:szCs w:val="22"/>
          <w:lang w:val="en-GB"/>
        </w:rPr>
        <w:t xml:space="preserve">, it filed a petition to open safeguard proceedings in the </w:t>
      </w:r>
      <w:r>
        <w:rPr>
          <w:rFonts w:ascii="Avenir Next" w:hAnsi="Avenir Next" w:cs="Arial"/>
          <w:sz w:val="22"/>
          <w:szCs w:val="22"/>
          <w:lang w:val="en-GB"/>
        </w:rPr>
        <w:t>Commercial Court in Le Mans, France.</w:t>
      </w:r>
      <w:r w:rsidRPr="008E3C96">
        <w:rPr>
          <w:rFonts w:ascii="Avenir Next" w:hAnsi="Avenir Next" w:cs="Arial"/>
          <w:sz w:val="22"/>
          <w:szCs w:val="22"/>
          <w:lang w:val="en-GB"/>
        </w:rPr>
        <w:t xml:space="preserv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D25EB9" w:rsidRDefault="009B0723" w:rsidP="002A37BB">
      <w:pPr>
        <w:jc w:val="both"/>
        <w:rPr>
          <w:rFonts w:ascii="Avenir Next Demi Bold" w:hAnsi="Avenir Next Demi Bold" w:cs="Arial"/>
          <w:b/>
          <w:bCs/>
          <w:sz w:val="22"/>
          <w:szCs w:val="22"/>
          <w:lang w:val="sr-Latn-RS"/>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2B16CF87" w14:textId="3EE010D4" w:rsidR="00F60B34" w:rsidRPr="006723E9" w:rsidRDefault="00F60B34" w:rsidP="00F60B34">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Does the EIR 2000</w:t>
      </w:r>
      <w:r>
        <w:rPr>
          <w:rFonts w:ascii="Avenir Next Demi Bold" w:hAnsi="Avenir Next Demi Bold" w:cs="Arial"/>
          <w:b/>
          <w:bCs/>
          <w:i/>
          <w:iCs/>
          <w:sz w:val="22"/>
          <w:szCs w:val="22"/>
          <w:lang w:val="en-GB"/>
        </w:rPr>
        <w:t xml:space="preserve"> apply to this case and to the opening of safeguard proceedings</w:t>
      </w:r>
      <w:r w:rsidRPr="006723E9">
        <w:rPr>
          <w:rFonts w:ascii="Avenir Next Demi Bold" w:hAnsi="Avenir Next Demi Bold" w:cs="Arial"/>
          <w:b/>
          <w:bCs/>
          <w:i/>
          <w:iCs/>
          <w:sz w:val="22"/>
          <w:szCs w:val="22"/>
          <w:lang w:val="en-GB"/>
        </w:rPr>
        <w:t xml:space="preserve">? </w:t>
      </w:r>
    </w:p>
    <w:p w14:paraId="1A235C51" w14:textId="77777777" w:rsidR="006723E9" w:rsidRDefault="006723E9" w:rsidP="002A37BB">
      <w:pPr>
        <w:jc w:val="both"/>
        <w:rPr>
          <w:rFonts w:ascii="Avenir Next" w:hAnsi="Avenir Next" w:cs="Arial"/>
          <w:sz w:val="22"/>
          <w:szCs w:val="22"/>
          <w:lang w:val="en-GB"/>
        </w:rPr>
      </w:pPr>
    </w:p>
    <w:p w14:paraId="42DD66CB" w14:textId="7B1E8BD2" w:rsidR="00E70FA4"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7FB759B1" w14:textId="77777777" w:rsidR="00EC0181" w:rsidRDefault="00EC0181" w:rsidP="002A37BB">
      <w:pPr>
        <w:jc w:val="both"/>
        <w:rPr>
          <w:rFonts w:ascii="Avenir Next" w:hAnsi="Avenir Next" w:cs="Arial"/>
          <w:sz w:val="22"/>
          <w:szCs w:val="22"/>
          <w:lang w:val="en-GB"/>
        </w:rPr>
      </w:pPr>
    </w:p>
    <w:p w14:paraId="0BA586BF" w14:textId="59A54F23" w:rsidR="000A3278" w:rsidRDefault="00D25EB9"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EIR 2000 was applicable in all EU Member States except for Denmark. </w:t>
      </w:r>
      <w:r w:rsidR="00AC3793">
        <w:rPr>
          <w:rFonts w:ascii="Avenir Next" w:hAnsi="Avenir Next" w:cs="Arial"/>
          <w:color w:val="7B7B7B" w:themeColor="accent3" w:themeShade="BF"/>
          <w:sz w:val="22"/>
          <w:szCs w:val="22"/>
        </w:rPr>
        <w:t xml:space="preserve">Having in mind </w:t>
      </w:r>
      <w:r w:rsidR="003F6CA1">
        <w:rPr>
          <w:rFonts w:ascii="Avenir Next" w:hAnsi="Avenir Next" w:cs="Arial"/>
          <w:color w:val="7B7B7B" w:themeColor="accent3" w:themeShade="BF"/>
          <w:sz w:val="22"/>
          <w:szCs w:val="22"/>
        </w:rPr>
        <w:t xml:space="preserve">that the countries involved are France, Ireland, Spain, all EU states, the territorial precondition is fulfilled. </w:t>
      </w:r>
      <w:r w:rsidR="004E1161">
        <w:rPr>
          <w:rFonts w:ascii="Avenir Next" w:hAnsi="Avenir Next" w:cs="Arial"/>
          <w:color w:val="7B7B7B" w:themeColor="accent3" w:themeShade="BF"/>
          <w:sz w:val="22"/>
          <w:szCs w:val="22"/>
        </w:rPr>
        <w:t>SARL company form in France is the limited liability company (</w:t>
      </w:r>
      <w:r w:rsidR="004E1161" w:rsidRPr="004E1161">
        <w:rPr>
          <w:rFonts w:ascii="Avenir Next" w:hAnsi="Avenir Next" w:cs="Arial"/>
          <w:color w:val="7B7B7B" w:themeColor="accent3" w:themeShade="BF"/>
          <w:sz w:val="22"/>
          <w:szCs w:val="22"/>
        </w:rPr>
        <w:t xml:space="preserve">Société à </w:t>
      </w:r>
      <w:proofErr w:type="spellStart"/>
      <w:r w:rsidR="004E1161" w:rsidRPr="004E1161">
        <w:rPr>
          <w:rFonts w:ascii="Avenir Next" w:hAnsi="Avenir Next" w:cs="Arial"/>
          <w:color w:val="7B7B7B" w:themeColor="accent3" w:themeShade="BF"/>
          <w:sz w:val="22"/>
          <w:szCs w:val="22"/>
        </w:rPr>
        <w:t>responsabilité</w:t>
      </w:r>
      <w:proofErr w:type="spellEnd"/>
      <w:r w:rsidR="004E1161" w:rsidRPr="004E1161">
        <w:rPr>
          <w:rFonts w:ascii="Avenir Next" w:hAnsi="Avenir Next" w:cs="Arial"/>
          <w:color w:val="7B7B7B" w:themeColor="accent3" w:themeShade="BF"/>
          <w:sz w:val="22"/>
          <w:szCs w:val="22"/>
        </w:rPr>
        <w:t xml:space="preserve"> </w:t>
      </w:r>
      <w:proofErr w:type="spellStart"/>
      <w:r w:rsidR="004E1161" w:rsidRPr="004E1161">
        <w:rPr>
          <w:rFonts w:ascii="Avenir Next" w:hAnsi="Avenir Next" w:cs="Arial"/>
          <w:color w:val="7B7B7B" w:themeColor="accent3" w:themeShade="BF"/>
          <w:sz w:val="22"/>
          <w:szCs w:val="22"/>
        </w:rPr>
        <w:t>limitée</w:t>
      </w:r>
      <w:proofErr w:type="spellEnd"/>
      <w:r w:rsidR="004E1161">
        <w:rPr>
          <w:rFonts w:ascii="Avenir Next" w:hAnsi="Avenir Next" w:cs="Arial"/>
          <w:color w:val="7B7B7B" w:themeColor="accent3" w:themeShade="BF"/>
          <w:sz w:val="22"/>
          <w:szCs w:val="22"/>
        </w:rPr>
        <w:t xml:space="preserve">), therefore the personal </w:t>
      </w:r>
      <w:r w:rsidR="00933432">
        <w:rPr>
          <w:rFonts w:ascii="Avenir Next" w:hAnsi="Avenir Next" w:cs="Arial"/>
          <w:color w:val="7B7B7B" w:themeColor="accent3" w:themeShade="BF"/>
          <w:sz w:val="22"/>
          <w:szCs w:val="22"/>
        </w:rPr>
        <w:t xml:space="preserve">aspect is also covered. Article 3 of the EIR 2000 prescribed that </w:t>
      </w:r>
      <w:r w:rsidR="00961DE8">
        <w:rPr>
          <w:rFonts w:ascii="Avenir Next" w:hAnsi="Avenir Next" w:cs="Arial"/>
          <w:color w:val="7B7B7B" w:themeColor="accent3" w:themeShade="BF"/>
          <w:sz w:val="22"/>
          <w:szCs w:val="22"/>
        </w:rPr>
        <w:t xml:space="preserve">the court of the country where the debtor’s main interests </w:t>
      </w:r>
      <w:r w:rsidR="00880EB6">
        <w:rPr>
          <w:rFonts w:ascii="Avenir Next" w:hAnsi="Avenir Next" w:cs="Arial"/>
          <w:color w:val="7B7B7B" w:themeColor="accent3" w:themeShade="BF"/>
          <w:sz w:val="22"/>
          <w:szCs w:val="22"/>
        </w:rPr>
        <w:t xml:space="preserve">is situated (presumption of registered office) has jurisdiction to open insolvency proceedings. </w:t>
      </w:r>
      <w:r w:rsidR="00722306">
        <w:rPr>
          <w:rFonts w:ascii="Avenir Next" w:hAnsi="Avenir Next" w:cs="Arial"/>
          <w:color w:val="7B7B7B" w:themeColor="accent3" w:themeShade="BF"/>
          <w:sz w:val="22"/>
          <w:szCs w:val="22"/>
        </w:rPr>
        <w:t xml:space="preserve">Article 1 of EIR 2000 defines the scope of EIR application for the </w:t>
      </w:r>
      <w:r w:rsidR="00D2676E">
        <w:rPr>
          <w:rFonts w:ascii="Avenir Next" w:hAnsi="Avenir Next" w:cs="Arial"/>
          <w:color w:val="7B7B7B" w:themeColor="accent3" w:themeShade="BF"/>
          <w:sz w:val="22"/>
          <w:szCs w:val="22"/>
        </w:rPr>
        <w:t xml:space="preserve">collective insolvency proceedings, “which entails partial or total divestment of a debtor and appointment of </w:t>
      </w:r>
      <w:r w:rsidR="009F25D1">
        <w:rPr>
          <w:rFonts w:ascii="Avenir Next" w:hAnsi="Avenir Next" w:cs="Arial"/>
          <w:color w:val="7B7B7B" w:themeColor="accent3" w:themeShade="BF"/>
          <w:sz w:val="22"/>
          <w:szCs w:val="22"/>
        </w:rPr>
        <w:t xml:space="preserve">a liquidator.” Article 2 </w:t>
      </w:r>
      <w:r w:rsidR="00222EDC">
        <w:rPr>
          <w:rFonts w:ascii="Avenir Next" w:hAnsi="Avenir Next" w:cs="Arial"/>
          <w:color w:val="7B7B7B" w:themeColor="accent3" w:themeShade="BF"/>
          <w:sz w:val="22"/>
          <w:szCs w:val="22"/>
        </w:rPr>
        <w:t xml:space="preserve">defines insolvency proceedings and indicates that such proceedings are listed in the </w:t>
      </w:r>
      <w:r w:rsidR="00760465">
        <w:rPr>
          <w:rFonts w:ascii="Avenir Next" w:hAnsi="Avenir Next" w:cs="Arial"/>
          <w:color w:val="7B7B7B" w:themeColor="accent3" w:themeShade="BF"/>
          <w:sz w:val="22"/>
          <w:szCs w:val="22"/>
        </w:rPr>
        <w:t xml:space="preserve">Annex A. </w:t>
      </w:r>
    </w:p>
    <w:p w14:paraId="023457CD" w14:textId="77777777" w:rsidR="00760465" w:rsidRDefault="00760465" w:rsidP="000A3278">
      <w:pPr>
        <w:jc w:val="both"/>
        <w:rPr>
          <w:rFonts w:ascii="Avenir Next" w:hAnsi="Avenir Next" w:cs="Arial"/>
          <w:color w:val="7B7B7B" w:themeColor="accent3" w:themeShade="BF"/>
          <w:sz w:val="22"/>
          <w:szCs w:val="22"/>
        </w:rPr>
      </w:pPr>
    </w:p>
    <w:p w14:paraId="3451C845" w14:textId="4B550F07" w:rsidR="00760465" w:rsidRDefault="00760465"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It is important to note that rescue proceedings are not included in the definition of insolvency proceedings and that in the Annex A under France, </w:t>
      </w:r>
      <w:proofErr w:type="spellStart"/>
      <w:r>
        <w:rPr>
          <w:rFonts w:ascii="Avenir Next" w:hAnsi="Avenir Next" w:cs="Arial"/>
          <w:color w:val="7B7B7B" w:themeColor="accent3" w:themeShade="BF"/>
          <w:sz w:val="22"/>
          <w:szCs w:val="22"/>
        </w:rPr>
        <w:t>sauvegard</w:t>
      </w:r>
      <w:proofErr w:type="spellEnd"/>
      <w:r>
        <w:rPr>
          <w:rFonts w:ascii="Avenir Next" w:hAnsi="Avenir Next" w:cs="Arial"/>
          <w:color w:val="7B7B7B" w:themeColor="accent3" w:themeShade="BF"/>
          <w:sz w:val="22"/>
          <w:szCs w:val="22"/>
        </w:rPr>
        <w:t xml:space="preserve"> proceedings were not included, but solely </w:t>
      </w:r>
      <w:r w:rsidR="00344E75">
        <w:rPr>
          <w:rFonts w:ascii="Avenir Next" w:hAnsi="Avenir Next" w:cs="Arial"/>
          <w:color w:val="7B7B7B" w:themeColor="accent3" w:themeShade="BF"/>
          <w:sz w:val="22"/>
          <w:szCs w:val="22"/>
        </w:rPr>
        <w:t xml:space="preserve">1) </w:t>
      </w:r>
      <w:r w:rsidR="00344E75" w:rsidRPr="00344E75">
        <w:rPr>
          <w:rFonts w:ascii="Avenir Next" w:hAnsi="Avenir Next" w:cs="Arial"/>
          <w:i/>
          <w:iCs/>
          <w:color w:val="7B7B7B" w:themeColor="accent3" w:themeShade="BF"/>
          <w:sz w:val="22"/>
          <w:szCs w:val="22"/>
        </w:rPr>
        <w:t>Liquidation</w:t>
      </w:r>
      <w:r w:rsidR="00344E75" w:rsidRPr="00344E75">
        <w:rPr>
          <w:rFonts w:ascii="Avenir Next" w:hAnsi="Avenir Next" w:cs="Arial"/>
          <w:i/>
          <w:iCs/>
          <w:color w:val="7B7B7B" w:themeColor="accent3" w:themeShade="BF"/>
          <w:sz w:val="22"/>
          <w:szCs w:val="22"/>
        </w:rPr>
        <w:t xml:space="preserve"> </w:t>
      </w:r>
      <w:proofErr w:type="spellStart"/>
      <w:r w:rsidR="00344E75" w:rsidRPr="00344E75">
        <w:rPr>
          <w:rFonts w:ascii="Avenir Next" w:hAnsi="Avenir Next" w:cs="Arial"/>
          <w:i/>
          <w:iCs/>
          <w:color w:val="7B7B7B" w:themeColor="accent3" w:themeShade="BF"/>
          <w:sz w:val="22"/>
          <w:szCs w:val="22"/>
        </w:rPr>
        <w:t>judiciaire</w:t>
      </w:r>
      <w:proofErr w:type="spellEnd"/>
      <w:r w:rsidR="00344E75">
        <w:rPr>
          <w:rFonts w:ascii="Avenir Next" w:hAnsi="Avenir Next" w:cs="Arial"/>
          <w:color w:val="7B7B7B" w:themeColor="accent3" w:themeShade="BF"/>
          <w:sz w:val="22"/>
          <w:szCs w:val="22"/>
        </w:rPr>
        <w:t xml:space="preserve"> and 2) </w:t>
      </w:r>
      <w:proofErr w:type="spellStart"/>
      <w:r w:rsidR="00344E75" w:rsidRPr="00344E75">
        <w:rPr>
          <w:rFonts w:ascii="Avenir Next" w:hAnsi="Avenir Next" w:cs="Arial"/>
          <w:i/>
          <w:iCs/>
          <w:color w:val="7B7B7B" w:themeColor="accent3" w:themeShade="BF"/>
          <w:sz w:val="22"/>
          <w:szCs w:val="22"/>
        </w:rPr>
        <w:t>Redressement</w:t>
      </w:r>
      <w:proofErr w:type="spellEnd"/>
      <w:r w:rsidR="00344E75" w:rsidRPr="00344E75">
        <w:rPr>
          <w:rFonts w:ascii="Avenir Next" w:hAnsi="Avenir Next" w:cs="Arial"/>
          <w:i/>
          <w:iCs/>
          <w:color w:val="7B7B7B" w:themeColor="accent3" w:themeShade="BF"/>
          <w:sz w:val="22"/>
          <w:szCs w:val="22"/>
        </w:rPr>
        <w:t xml:space="preserve"> </w:t>
      </w:r>
      <w:proofErr w:type="spellStart"/>
      <w:r w:rsidR="00344E75" w:rsidRPr="00344E75">
        <w:rPr>
          <w:rFonts w:ascii="Avenir Next" w:hAnsi="Avenir Next" w:cs="Arial"/>
          <w:i/>
          <w:iCs/>
          <w:color w:val="7B7B7B" w:themeColor="accent3" w:themeShade="BF"/>
          <w:sz w:val="22"/>
          <w:szCs w:val="22"/>
        </w:rPr>
        <w:t>judiciaire</w:t>
      </w:r>
      <w:proofErr w:type="spellEnd"/>
      <w:r w:rsidR="00344E75" w:rsidRPr="00344E75">
        <w:rPr>
          <w:rFonts w:ascii="Avenir Next" w:hAnsi="Avenir Next" w:cs="Arial"/>
          <w:i/>
          <w:iCs/>
          <w:color w:val="7B7B7B" w:themeColor="accent3" w:themeShade="BF"/>
          <w:sz w:val="22"/>
          <w:szCs w:val="22"/>
        </w:rPr>
        <w:t xml:space="preserve"> </w:t>
      </w:r>
      <w:r w:rsidR="00344E75" w:rsidRPr="00344E75">
        <w:rPr>
          <w:rFonts w:ascii="Avenir Next" w:hAnsi="Avenir Next" w:cs="Arial"/>
          <w:i/>
          <w:iCs/>
          <w:color w:val="7B7B7B" w:themeColor="accent3" w:themeShade="BF"/>
          <w:sz w:val="22"/>
          <w:szCs w:val="22"/>
        </w:rPr>
        <w:t>avec</w:t>
      </w:r>
      <w:r w:rsidR="00344E75" w:rsidRPr="00344E75">
        <w:rPr>
          <w:rFonts w:ascii="Avenir Next" w:hAnsi="Avenir Next" w:cs="Arial"/>
          <w:i/>
          <w:iCs/>
          <w:color w:val="7B7B7B" w:themeColor="accent3" w:themeShade="BF"/>
          <w:sz w:val="22"/>
          <w:szCs w:val="22"/>
        </w:rPr>
        <w:t xml:space="preserve"> </w:t>
      </w:r>
      <w:r w:rsidR="00344E75" w:rsidRPr="00344E75">
        <w:rPr>
          <w:rFonts w:ascii="Avenir Next" w:hAnsi="Avenir Next" w:cs="Arial"/>
          <w:i/>
          <w:iCs/>
          <w:color w:val="7B7B7B" w:themeColor="accent3" w:themeShade="BF"/>
          <w:sz w:val="22"/>
          <w:szCs w:val="22"/>
        </w:rPr>
        <w:t>nomination</w:t>
      </w:r>
      <w:r w:rsidR="00344E75" w:rsidRPr="00344E75">
        <w:rPr>
          <w:rFonts w:ascii="Avenir Next" w:hAnsi="Avenir Next" w:cs="Arial"/>
          <w:i/>
          <w:iCs/>
          <w:color w:val="7B7B7B" w:themeColor="accent3" w:themeShade="BF"/>
          <w:sz w:val="22"/>
          <w:szCs w:val="22"/>
        </w:rPr>
        <w:t xml:space="preserve"> </w:t>
      </w:r>
      <w:r w:rsidR="00344E75" w:rsidRPr="00344E75">
        <w:rPr>
          <w:rFonts w:ascii="Avenir Next" w:hAnsi="Avenir Next" w:cs="Arial"/>
          <w:i/>
          <w:iCs/>
          <w:color w:val="7B7B7B" w:themeColor="accent3" w:themeShade="BF"/>
          <w:sz w:val="22"/>
          <w:szCs w:val="22"/>
        </w:rPr>
        <w:t>d</w:t>
      </w:r>
      <w:r w:rsidR="00344E75" w:rsidRPr="00344E75">
        <w:rPr>
          <w:rFonts w:ascii="Avenir Next" w:hAnsi="Avenir Next" w:cs="Arial"/>
          <w:i/>
          <w:iCs/>
          <w:color w:val="7B7B7B" w:themeColor="accent3" w:themeShade="BF"/>
          <w:sz w:val="22"/>
          <w:szCs w:val="22"/>
        </w:rPr>
        <w:t xml:space="preserve"> </w:t>
      </w:r>
      <w:r w:rsidR="00344E75" w:rsidRPr="00344E75">
        <w:rPr>
          <w:rFonts w:ascii="Avenir Next" w:hAnsi="Avenir Next" w:cs="Arial"/>
          <w:i/>
          <w:iCs/>
          <w:color w:val="7B7B7B" w:themeColor="accent3" w:themeShade="BF"/>
          <w:sz w:val="22"/>
          <w:szCs w:val="22"/>
        </w:rPr>
        <w:t>’un</w:t>
      </w:r>
      <w:r w:rsidR="00344E75" w:rsidRPr="00344E75">
        <w:rPr>
          <w:rFonts w:ascii="Avenir Next" w:hAnsi="Avenir Next" w:cs="Arial"/>
          <w:i/>
          <w:iCs/>
          <w:color w:val="7B7B7B" w:themeColor="accent3" w:themeShade="BF"/>
          <w:sz w:val="22"/>
          <w:szCs w:val="22"/>
        </w:rPr>
        <w:t xml:space="preserve"> </w:t>
      </w:r>
      <w:proofErr w:type="spellStart"/>
      <w:r w:rsidR="00344E75" w:rsidRPr="00344E75">
        <w:rPr>
          <w:rFonts w:ascii="Avenir Next" w:hAnsi="Avenir Next" w:cs="Arial"/>
          <w:i/>
          <w:iCs/>
          <w:color w:val="7B7B7B" w:themeColor="accent3" w:themeShade="BF"/>
          <w:sz w:val="22"/>
          <w:szCs w:val="22"/>
        </w:rPr>
        <w:t>administrateur</w:t>
      </w:r>
      <w:proofErr w:type="spellEnd"/>
      <w:r w:rsidR="00344E75">
        <w:rPr>
          <w:rFonts w:ascii="Avenir Next" w:hAnsi="Avenir Next" w:cs="Arial"/>
          <w:color w:val="7B7B7B" w:themeColor="accent3" w:themeShade="BF"/>
          <w:sz w:val="22"/>
          <w:szCs w:val="22"/>
        </w:rPr>
        <w:t>.</w:t>
      </w:r>
      <w:r w:rsidR="003A752E">
        <w:rPr>
          <w:rFonts w:ascii="Avenir Next" w:hAnsi="Avenir Next" w:cs="Arial"/>
          <w:color w:val="7B7B7B" w:themeColor="accent3" w:themeShade="BF"/>
          <w:sz w:val="22"/>
          <w:szCs w:val="22"/>
        </w:rPr>
        <w:t xml:space="preserve"> Therefore, EIR 2000 would not be applicable.</w:t>
      </w:r>
    </w:p>
    <w:p w14:paraId="50DD3A41" w14:textId="77777777" w:rsidR="00961DE8" w:rsidRDefault="00961DE8" w:rsidP="000A3278">
      <w:pPr>
        <w:jc w:val="both"/>
        <w:rPr>
          <w:rFonts w:ascii="Avenir Next" w:hAnsi="Avenir Next" w:cs="Arial"/>
          <w:color w:val="7B7B7B" w:themeColor="accent3" w:themeShade="BF"/>
          <w:sz w:val="22"/>
          <w:szCs w:val="22"/>
        </w:rPr>
      </w:pPr>
    </w:p>
    <w:p w14:paraId="4A288851" w14:textId="1228DF6F" w:rsidR="003E4DB0" w:rsidRDefault="003E4DB0"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50AE5949"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E70FA4">
        <w:rPr>
          <w:rFonts w:ascii="Avenir Next" w:hAnsi="Avenir Next" w:cs="Arial"/>
          <w:sz w:val="22"/>
          <w:szCs w:val="22"/>
          <w:lang w:val="en-GB"/>
        </w:rPr>
        <w:t xml:space="preserve">original </w:t>
      </w:r>
      <w:r w:rsidRPr="008E3C96">
        <w:rPr>
          <w:rFonts w:ascii="Avenir Next" w:hAnsi="Avenir Next" w:cs="Arial"/>
          <w:sz w:val="22"/>
          <w:szCs w:val="22"/>
          <w:lang w:val="en-GB"/>
        </w:rPr>
        <w:t xml:space="preserve">scenario above and that the French High Court opens safeguard proceedings on </w:t>
      </w:r>
      <w:r w:rsidR="00751788">
        <w:rPr>
          <w:rFonts w:ascii="Avenir Next" w:hAnsi="Avenir Next" w:cs="Arial"/>
          <w:sz w:val="22"/>
          <w:szCs w:val="22"/>
          <w:lang w:val="en-GB"/>
        </w:rPr>
        <w:t>23</w:t>
      </w:r>
      <w:r w:rsidRPr="008E3C96">
        <w:rPr>
          <w:rFonts w:ascii="Avenir Next" w:hAnsi="Avenir Next" w:cs="Arial"/>
          <w:sz w:val="22"/>
          <w:szCs w:val="22"/>
          <w:lang w:val="en-GB"/>
        </w:rPr>
        <w:t xml:space="preserve"> June 20</w:t>
      </w:r>
      <w:r w:rsidR="00751788">
        <w:rPr>
          <w:rFonts w:ascii="Avenir Next" w:hAnsi="Avenir Next" w:cs="Arial"/>
          <w:sz w:val="22"/>
          <w:szCs w:val="22"/>
          <w:lang w:val="en-GB"/>
        </w:rPr>
        <w:t>23</w:t>
      </w:r>
      <w:r w:rsidRPr="008E3C96">
        <w:rPr>
          <w:rFonts w:ascii="Avenir Next" w:hAnsi="Avenir Next" w:cs="Arial"/>
          <w:sz w:val="22"/>
          <w:szCs w:val="22"/>
          <w:lang w:val="en-GB"/>
        </w:rPr>
        <w:t xml:space="preserve">. </w:t>
      </w:r>
    </w:p>
    <w:p w14:paraId="180282F5" w14:textId="77777777" w:rsidR="00375ADF" w:rsidRPr="008E3C96" w:rsidRDefault="00375ADF"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7B0D4556" w14:textId="77777777" w:rsidR="006723E9" w:rsidRDefault="006723E9" w:rsidP="002A37BB">
      <w:pPr>
        <w:jc w:val="both"/>
        <w:rPr>
          <w:rFonts w:ascii="Avenir Next" w:hAnsi="Avenir Next" w:cs="Arial"/>
          <w:sz w:val="22"/>
          <w:szCs w:val="22"/>
          <w:lang w:val="en-GB"/>
        </w:rPr>
      </w:pPr>
    </w:p>
    <w:p w14:paraId="27FE742D" w14:textId="1F939023" w:rsidR="009B0723"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468C3857" w14:textId="77777777" w:rsidR="000A3278" w:rsidRPr="008E3C96" w:rsidRDefault="000A3278" w:rsidP="002A37BB">
      <w:pPr>
        <w:jc w:val="both"/>
        <w:rPr>
          <w:rFonts w:ascii="Avenir Next" w:hAnsi="Avenir Next" w:cs="Arial"/>
          <w:sz w:val="22"/>
          <w:szCs w:val="22"/>
          <w:lang w:val="en-GB"/>
        </w:rPr>
      </w:pPr>
    </w:p>
    <w:p w14:paraId="388F5071" w14:textId="4531684B" w:rsidR="00EA14EE" w:rsidRDefault="00BF4F6D" w:rsidP="002A37BB">
      <w:pPr>
        <w:autoSpaceDE w:val="0"/>
        <w:autoSpaceDN w:val="0"/>
        <w:adjustRightInd w:val="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Here, the situation would be different. Namely, the debtor has its COMI in France, as the debtor has the closest link with this country (registered seat, </w:t>
      </w:r>
      <w:r w:rsidR="00004606">
        <w:rPr>
          <w:rFonts w:ascii="Avenir Next" w:hAnsi="Avenir Next" w:cs="Arial"/>
          <w:color w:val="7B7B7B" w:themeColor="accent3" w:themeShade="BF"/>
          <w:sz w:val="22"/>
          <w:szCs w:val="22"/>
        </w:rPr>
        <w:t xml:space="preserve">most of its stores are located in France, 80% of the work force, most of customers are coming from France). </w:t>
      </w:r>
      <w:r w:rsidR="003940B7">
        <w:rPr>
          <w:rFonts w:ascii="Avenir Next" w:hAnsi="Avenir Next" w:cs="Arial"/>
          <w:color w:val="7B7B7B" w:themeColor="accent3" w:themeShade="BF"/>
          <w:sz w:val="22"/>
          <w:szCs w:val="22"/>
        </w:rPr>
        <w:t>Debtor is not excluded from the scope of application of EIR Recast, as it is not a bank, insurance company</w:t>
      </w:r>
      <w:r w:rsidR="00707C83">
        <w:rPr>
          <w:rFonts w:ascii="Avenir Next" w:hAnsi="Avenir Next" w:cs="Arial"/>
          <w:color w:val="7B7B7B" w:themeColor="accent3" w:themeShade="BF"/>
          <w:sz w:val="22"/>
          <w:szCs w:val="22"/>
        </w:rPr>
        <w:t>, investment company (Article 1, p</w:t>
      </w:r>
      <w:r w:rsidR="00B87FF3">
        <w:rPr>
          <w:rFonts w:ascii="Avenir Next" w:hAnsi="Avenir Next" w:cs="Arial"/>
          <w:color w:val="7B7B7B" w:themeColor="accent3" w:themeShade="BF"/>
          <w:sz w:val="22"/>
          <w:szCs w:val="22"/>
        </w:rPr>
        <w:t>ara</w:t>
      </w:r>
      <w:r w:rsidR="00707C83">
        <w:rPr>
          <w:rFonts w:ascii="Avenir Next" w:hAnsi="Avenir Next" w:cs="Arial"/>
          <w:color w:val="7B7B7B" w:themeColor="accent3" w:themeShade="BF"/>
          <w:sz w:val="22"/>
          <w:szCs w:val="22"/>
        </w:rPr>
        <w:t xml:space="preserve"> 2 of EIR Recast).</w:t>
      </w:r>
      <w:r w:rsidR="00B87FF3">
        <w:rPr>
          <w:rFonts w:ascii="Avenir Next" w:hAnsi="Avenir Next" w:cs="Arial"/>
          <w:color w:val="7B7B7B" w:themeColor="accent3" w:themeShade="BF"/>
          <w:sz w:val="22"/>
          <w:szCs w:val="22"/>
        </w:rPr>
        <w:t xml:space="preserve"> The </w:t>
      </w:r>
      <w:proofErr w:type="spellStart"/>
      <w:r w:rsidR="00B87FF3">
        <w:rPr>
          <w:rFonts w:ascii="Avenir Next" w:hAnsi="Avenir Next" w:cs="Arial"/>
          <w:color w:val="7B7B7B" w:themeColor="accent3" w:themeShade="BF"/>
          <w:sz w:val="22"/>
          <w:szCs w:val="22"/>
        </w:rPr>
        <w:t>sauvegard</w:t>
      </w:r>
      <w:proofErr w:type="spellEnd"/>
      <w:r w:rsidR="00B87FF3">
        <w:rPr>
          <w:rFonts w:ascii="Avenir Next" w:hAnsi="Avenir Next" w:cs="Arial"/>
          <w:color w:val="7B7B7B" w:themeColor="accent3" w:themeShade="BF"/>
          <w:sz w:val="22"/>
          <w:szCs w:val="22"/>
        </w:rPr>
        <w:t xml:space="preserve"> proceedings is listed in Annex A of EIR Recast. The proceeding is opened after 26 June 2017</w:t>
      </w:r>
      <w:r w:rsidR="00012300">
        <w:rPr>
          <w:rFonts w:ascii="Avenir Next" w:hAnsi="Avenir Next" w:cs="Arial"/>
          <w:color w:val="7B7B7B" w:themeColor="accent3" w:themeShade="BF"/>
          <w:sz w:val="22"/>
          <w:szCs w:val="22"/>
        </w:rPr>
        <w:t xml:space="preserve">. Therefore, EIR Recast is applicable in this scenario. </w:t>
      </w:r>
    </w:p>
    <w:p w14:paraId="4F42E1C8" w14:textId="77777777" w:rsidR="00375ADF" w:rsidRPr="00EA14EE" w:rsidRDefault="00375ADF" w:rsidP="002A37BB">
      <w:pPr>
        <w:autoSpaceDE w:val="0"/>
        <w:autoSpaceDN w:val="0"/>
        <w:adjustRightInd w:val="0"/>
        <w:jc w:val="both"/>
        <w:rPr>
          <w:rFonts w:ascii="Avenir Next" w:hAnsi="Avenir Next" w:cs="Arial"/>
          <w:color w:val="808080" w:themeColor="background1" w:themeShade="80"/>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2596630B" w14:textId="356395B8" w:rsidR="0078463C" w:rsidRDefault="0078463C" w:rsidP="0078463C">
      <w:pPr>
        <w:jc w:val="both"/>
        <w:rPr>
          <w:rFonts w:ascii="Avenir Next" w:hAnsi="Avenir Next" w:cs="Arial"/>
          <w:sz w:val="22"/>
          <w:szCs w:val="22"/>
          <w:lang w:val="en-GB"/>
        </w:rPr>
      </w:pPr>
      <w:r w:rsidRPr="008E3C96">
        <w:rPr>
          <w:rFonts w:ascii="Avenir Next" w:hAnsi="Avenir Next" w:cs="Arial"/>
          <w:sz w:val="22"/>
          <w:szCs w:val="22"/>
          <w:lang w:val="en-GB"/>
        </w:rPr>
        <w:t>A</w:t>
      </w:r>
      <w:r>
        <w:rPr>
          <w:rFonts w:ascii="Avenir Next" w:hAnsi="Avenir Next" w:cs="Arial"/>
          <w:sz w:val="22"/>
          <w:szCs w:val="22"/>
          <w:lang w:val="en-GB"/>
        </w:rPr>
        <w:t xml:space="preserve"> Spanish </w:t>
      </w:r>
      <w:r w:rsidRPr="008E3C96">
        <w:rPr>
          <w:rFonts w:ascii="Avenir Next" w:hAnsi="Avenir Next" w:cs="Arial"/>
          <w:sz w:val="22"/>
          <w:szCs w:val="22"/>
          <w:lang w:val="en-GB"/>
        </w:rPr>
        <w:t xml:space="preserve">bank files a petition to open secondary insolvency proceedings in </w:t>
      </w:r>
      <w:r>
        <w:rPr>
          <w:rFonts w:ascii="Avenir Next" w:hAnsi="Avenir Next" w:cs="Arial"/>
          <w:sz w:val="22"/>
          <w:szCs w:val="22"/>
          <w:lang w:val="en-GB"/>
        </w:rPr>
        <w:t>Spain</w:t>
      </w:r>
      <w:r w:rsidRPr="008E3C96">
        <w:rPr>
          <w:rFonts w:ascii="Avenir Next" w:hAnsi="Avenir Next" w:cs="Arial"/>
          <w:sz w:val="22"/>
          <w:szCs w:val="22"/>
          <w:lang w:val="en-GB"/>
        </w:rPr>
        <w:t xml:space="preserve"> with the purpose of securing a</w:t>
      </w:r>
      <w:r>
        <w:rPr>
          <w:rFonts w:ascii="Avenir Next" w:hAnsi="Avenir Next" w:cs="Arial"/>
          <w:sz w:val="22"/>
          <w:szCs w:val="22"/>
          <w:lang w:val="en-GB"/>
        </w:rPr>
        <w:t xml:space="preserve"> Spanish i</w:t>
      </w:r>
      <w:r w:rsidRPr="008E3C96">
        <w:rPr>
          <w:rFonts w:ascii="Avenir Next" w:hAnsi="Avenir Next" w:cs="Arial"/>
          <w:sz w:val="22"/>
          <w:szCs w:val="22"/>
          <w:lang w:val="en-GB"/>
        </w:rPr>
        <w:t xml:space="preserve">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6C706484" w14:textId="0F947C13" w:rsidR="000A3278" w:rsidRDefault="00C02700"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In the present case, we do not have any information if the debtor has any establishment in Italy, therefore with such assumption</w:t>
      </w:r>
      <w:r w:rsidR="0078299C">
        <w:rPr>
          <w:rFonts w:ascii="Avenir Next" w:hAnsi="Avenir Next" w:cs="Arial"/>
          <w:color w:val="7B7B7B" w:themeColor="accent3" w:themeShade="BF"/>
          <w:sz w:val="22"/>
          <w:szCs w:val="22"/>
        </w:rPr>
        <w:t xml:space="preserve"> (such establishment does not exist) it would not be possible to open secondary insolvency proceedings in Italy. The establishment is necessary in a Member State in order to open secondary insolvency proceedings.</w:t>
      </w:r>
    </w:p>
    <w:p w14:paraId="6400201A" w14:textId="77777777" w:rsidR="00F2176D" w:rsidRDefault="00F2176D" w:rsidP="000A3278">
      <w:pPr>
        <w:jc w:val="both"/>
        <w:rPr>
          <w:rFonts w:ascii="Avenir Next" w:hAnsi="Avenir Next" w:cs="Arial"/>
          <w:color w:val="7B7B7B" w:themeColor="accent3" w:themeShade="BF"/>
          <w:sz w:val="22"/>
          <w:szCs w:val="22"/>
        </w:rPr>
      </w:pPr>
    </w:p>
    <w:p w14:paraId="6CF4AF00" w14:textId="04DCF0E8" w:rsidR="00F2176D" w:rsidRDefault="00F2176D"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Article 2 of EIR Recast defines establishment as: “</w:t>
      </w:r>
      <w:r w:rsidRPr="00F2176D">
        <w:rPr>
          <w:rFonts w:ascii="Avenir Next" w:hAnsi="Avenir Next" w:cs="Arial"/>
          <w:color w:val="7B7B7B" w:themeColor="accent3" w:themeShade="BF"/>
          <w:sz w:val="22"/>
          <w:szCs w:val="22"/>
        </w:rPr>
        <w:t>any place of operations where a debtor carries out or has carried out in the 3-month period prior to the request to open main insolvency proceedings a non-transitory economic activity with human means and assets</w:t>
      </w:r>
      <w:r>
        <w:rPr>
          <w:rFonts w:ascii="Avenir Next" w:hAnsi="Avenir Next" w:cs="Arial"/>
          <w:color w:val="7B7B7B" w:themeColor="accent3" w:themeShade="BF"/>
          <w:sz w:val="22"/>
          <w:szCs w:val="22"/>
        </w:rPr>
        <w:t xml:space="preserve">.” </w:t>
      </w:r>
    </w:p>
    <w:p w14:paraId="02C256E4" w14:textId="77777777" w:rsidR="00C878A5" w:rsidRDefault="00C878A5" w:rsidP="000A3278">
      <w:pPr>
        <w:jc w:val="both"/>
        <w:rPr>
          <w:rFonts w:ascii="Avenir Next" w:hAnsi="Avenir Next" w:cs="Arial"/>
          <w:color w:val="7B7B7B" w:themeColor="accent3" w:themeShade="BF"/>
          <w:sz w:val="22"/>
          <w:szCs w:val="22"/>
        </w:rPr>
      </w:pPr>
    </w:p>
    <w:p w14:paraId="03398BFE" w14:textId="0EC0BD4C" w:rsidR="00F2176D" w:rsidRDefault="00C878A5"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3 para 2 prescribes that the secondary insolvency proceedings can be opened </w:t>
      </w:r>
      <w:r w:rsidRPr="00C878A5">
        <w:rPr>
          <w:rFonts w:ascii="Avenir Next" w:hAnsi="Avenir Next" w:cs="Arial"/>
          <w:color w:val="7B7B7B" w:themeColor="accent3" w:themeShade="BF"/>
          <w:sz w:val="22"/>
          <w:szCs w:val="22"/>
        </w:rPr>
        <w:t xml:space="preserve">only if </w:t>
      </w:r>
      <w:r>
        <w:rPr>
          <w:rFonts w:ascii="Avenir Next" w:hAnsi="Avenir Next" w:cs="Arial"/>
          <w:color w:val="7B7B7B" w:themeColor="accent3" w:themeShade="BF"/>
          <w:sz w:val="22"/>
          <w:szCs w:val="22"/>
        </w:rPr>
        <w:t xml:space="preserve">the insolvent debtor </w:t>
      </w:r>
      <w:r w:rsidRPr="00C878A5">
        <w:rPr>
          <w:rFonts w:ascii="Avenir Next" w:hAnsi="Avenir Next" w:cs="Arial"/>
          <w:color w:val="7B7B7B" w:themeColor="accent3" w:themeShade="BF"/>
          <w:sz w:val="22"/>
          <w:szCs w:val="22"/>
        </w:rPr>
        <w:t>possesses an establishment within the territory of th</w:t>
      </w:r>
      <w:r>
        <w:rPr>
          <w:rFonts w:ascii="Avenir Next" w:hAnsi="Avenir Next" w:cs="Arial"/>
          <w:color w:val="7B7B7B" w:themeColor="accent3" w:themeShade="BF"/>
          <w:sz w:val="22"/>
          <w:szCs w:val="22"/>
        </w:rPr>
        <w:t>e</w:t>
      </w:r>
      <w:r w:rsidRPr="00C878A5">
        <w:rPr>
          <w:rFonts w:ascii="Avenir Next" w:hAnsi="Avenir Next" w:cs="Arial"/>
          <w:color w:val="7B7B7B" w:themeColor="accent3" w:themeShade="BF"/>
          <w:sz w:val="22"/>
          <w:szCs w:val="22"/>
        </w:rPr>
        <w:t xml:space="preserve"> other Member State.</w:t>
      </w:r>
      <w:r>
        <w:rPr>
          <w:rFonts w:ascii="Avenir Next" w:hAnsi="Avenir Next" w:cs="Arial"/>
          <w:color w:val="7B7B7B" w:themeColor="accent3" w:themeShade="BF"/>
          <w:sz w:val="22"/>
          <w:szCs w:val="22"/>
        </w:rPr>
        <w:t xml:space="preserve"> </w:t>
      </w:r>
    </w:p>
    <w:p w14:paraId="271588D1" w14:textId="77777777" w:rsidR="00B95570" w:rsidRDefault="00B95570" w:rsidP="000A3278">
      <w:pPr>
        <w:jc w:val="both"/>
        <w:rPr>
          <w:rFonts w:ascii="Avenir Next" w:hAnsi="Avenir Next" w:cs="Arial"/>
          <w:color w:val="7B7B7B" w:themeColor="accent3" w:themeShade="BF"/>
          <w:sz w:val="22"/>
          <w:szCs w:val="22"/>
        </w:rPr>
      </w:pPr>
    </w:p>
    <w:p w14:paraId="1418CCB3" w14:textId="4F5BF06E" w:rsidR="00B95570" w:rsidRDefault="00B95570"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CJEU has determined in the case </w:t>
      </w:r>
      <w:proofErr w:type="spellStart"/>
      <w:r w:rsidRPr="00A805FF">
        <w:rPr>
          <w:rFonts w:ascii="Avenir Next" w:hAnsi="Avenir Next" w:cs="Arial"/>
          <w:i/>
          <w:iCs/>
          <w:color w:val="7B7B7B" w:themeColor="accent3" w:themeShade="BF"/>
          <w:sz w:val="22"/>
          <w:szCs w:val="22"/>
        </w:rPr>
        <w:t>Inter</w:t>
      </w:r>
      <w:r w:rsidR="003D2DB5" w:rsidRPr="00A805FF">
        <w:rPr>
          <w:rFonts w:ascii="Avenir Next" w:hAnsi="Avenir Next" w:cs="Arial"/>
          <w:i/>
          <w:iCs/>
          <w:color w:val="7B7B7B" w:themeColor="accent3" w:themeShade="BF"/>
          <w:sz w:val="22"/>
          <w:szCs w:val="22"/>
        </w:rPr>
        <w:t>e</w:t>
      </w:r>
      <w:r w:rsidRPr="00A805FF">
        <w:rPr>
          <w:rFonts w:ascii="Avenir Next" w:hAnsi="Avenir Next" w:cs="Arial"/>
          <w:i/>
          <w:iCs/>
          <w:color w:val="7B7B7B" w:themeColor="accent3" w:themeShade="BF"/>
          <w:sz w:val="22"/>
          <w:szCs w:val="22"/>
        </w:rPr>
        <w:t>dil</w:t>
      </w:r>
      <w:proofErr w:type="spellEnd"/>
      <w:r w:rsidR="003D2DB5" w:rsidRPr="00A805FF">
        <w:rPr>
          <w:rFonts w:ascii="Avenir Next" w:hAnsi="Avenir Next" w:cs="Arial"/>
          <w:i/>
          <w:iCs/>
          <w:color w:val="7B7B7B" w:themeColor="accent3" w:themeShade="BF"/>
          <w:sz w:val="22"/>
          <w:szCs w:val="22"/>
        </w:rPr>
        <w:t xml:space="preserve"> </w:t>
      </w:r>
      <w:proofErr w:type="spellStart"/>
      <w:r w:rsidR="00452D51">
        <w:rPr>
          <w:rFonts w:ascii="Avenir Next" w:hAnsi="Avenir Next" w:cs="Arial"/>
          <w:i/>
          <w:iCs/>
          <w:color w:val="7B7B7B" w:themeColor="accent3" w:themeShade="BF"/>
          <w:sz w:val="22"/>
          <w:szCs w:val="22"/>
        </w:rPr>
        <w:t>Srl</w:t>
      </w:r>
      <w:proofErr w:type="spellEnd"/>
      <w:r w:rsidR="00452D51">
        <w:rPr>
          <w:rFonts w:ascii="Avenir Next" w:hAnsi="Avenir Next" w:cs="Arial"/>
          <w:i/>
          <w:iCs/>
          <w:color w:val="7B7B7B" w:themeColor="accent3" w:themeShade="BF"/>
          <w:sz w:val="22"/>
          <w:szCs w:val="22"/>
        </w:rPr>
        <w:t xml:space="preserve"> v </w:t>
      </w:r>
      <w:proofErr w:type="spellStart"/>
      <w:r w:rsidR="00452D51">
        <w:rPr>
          <w:rFonts w:ascii="Avenir Next" w:hAnsi="Avenir Next" w:cs="Arial"/>
          <w:i/>
          <w:iCs/>
          <w:color w:val="7B7B7B" w:themeColor="accent3" w:themeShade="BF"/>
          <w:sz w:val="22"/>
          <w:szCs w:val="22"/>
        </w:rPr>
        <w:t>Fallimento</w:t>
      </w:r>
      <w:proofErr w:type="spellEnd"/>
      <w:r w:rsidR="00452D51">
        <w:rPr>
          <w:rFonts w:ascii="Avenir Next" w:hAnsi="Avenir Next" w:cs="Arial"/>
          <w:i/>
          <w:iCs/>
          <w:color w:val="7B7B7B" w:themeColor="accent3" w:themeShade="BF"/>
          <w:sz w:val="22"/>
          <w:szCs w:val="22"/>
        </w:rPr>
        <w:t xml:space="preserve"> </w:t>
      </w:r>
      <w:proofErr w:type="spellStart"/>
      <w:r w:rsidR="00452D51">
        <w:rPr>
          <w:rFonts w:ascii="Avenir Next" w:hAnsi="Avenir Next" w:cs="Arial"/>
          <w:i/>
          <w:iCs/>
          <w:color w:val="7B7B7B" w:themeColor="accent3" w:themeShade="BF"/>
          <w:sz w:val="22"/>
          <w:szCs w:val="22"/>
        </w:rPr>
        <w:t>Intereedil</w:t>
      </w:r>
      <w:proofErr w:type="spellEnd"/>
      <w:r w:rsidR="00452D51">
        <w:rPr>
          <w:rFonts w:ascii="Avenir Next" w:hAnsi="Avenir Next" w:cs="Arial"/>
          <w:i/>
          <w:iCs/>
          <w:color w:val="7B7B7B" w:themeColor="accent3" w:themeShade="BF"/>
          <w:sz w:val="22"/>
          <w:szCs w:val="22"/>
        </w:rPr>
        <w:t xml:space="preserve"> </w:t>
      </w:r>
      <w:proofErr w:type="spellStart"/>
      <w:r w:rsidR="00452D51">
        <w:rPr>
          <w:rFonts w:ascii="Avenir Next" w:hAnsi="Avenir Next" w:cs="Arial"/>
          <w:i/>
          <w:iCs/>
          <w:color w:val="7B7B7B" w:themeColor="accent3" w:themeShade="BF"/>
          <w:sz w:val="22"/>
          <w:szCs w:val="22"/>
        </w:rPr>
        <w:t>Srl</w:t>
      </w:r>
      <w:proofErr w:type="spellEnd"/>
      <w:r w:rsidR="00452D51">
        <w:rPr>
          <w:rFonts w:ascii="Avenir Next" w:hAnsi="Avenir Next" w:cs="Arial"/>
          <w:i/>
          <w:iCs/>
          <w:color w:val="7B7B7B" w:themeColor="accent3" w:themeShade="BF"/>
          <w:sz w:val="22"/>
          <w:szCs w:val="22"/>
        </w:rPr>
        <w:t xml:space="preserve"> </w:t>
      </w:r>
      <w:r w:rsidR="003D2DB5">
        <w:rPr>
          <w:rFonts w:ascii="Avenir Next" w:hAnsi="Avenir Next" w:cs="Arial"/>
          <w:color w:val="7B7B7B" w:themeColor="accent3" w:themeShade="BF"/>
          <w:sz w:val="22"/>
          <w:szCs w:val="22"/>
        </w:rPr>
        <w:t>(</w:t>
      </w:r>
      <w:r w:rsidR="009C3EA9">
        <w:rPr>
          <w:rFonts w:ascii="Avenir Next" w:hAnsi="Avenir Next" w:cs="Arial"/>
          <w:color w:val="7B7B7B" w:themeColor="accent3" w:themeShade="BF"/>
          <w:sz w:val="22"/>
          <w:szCs w:val="22"/>
        </w:rPr>
        <w:t>Case C-396/09</w:t>
      </w:r>
      <w:r w:rsidR="00A805FF">
        <w:rPr>
          <w:rFonts w:ascii="Avenir Next" w:hAnsi="Avenir Next" w:cs="Arial"/>
          <w:color w:val="7B7B7B" w:themeColor="accent3" w:themeShade="BF"/>
          <w:sz w:val="22"/>
          <w:szCs w:val="22"/>
        </w:rPr>
        <w:t>, ECLI:EU:C:2011:671 (Oct 20, 2011))</w:t>
      </w:r>
      <w:r>
        <w:rPr>
          <w:rFonts w:ascii="Avenir Next" w:hAnsi="Avenir Next" w:cs="Arial"/>
          <w:color w:val="7B7B7B" w:themeColor="accent3" w:themeShade="BF"/>
          <w:sz w:val="22"/>
          <w:szCs w:val="22"/>
        </w:rPr>
        <w:t xml:space="preserve"> </w:t>
      </w:r>
      <w:r w:rsidR="00157EF8">
        <w:rPr>
          <w:rFonts w:ascii="Avenir Next" w:hAnsi="Avenir Next" w:cs="Arial"/>
          <w:color w:val="7B7B7B" w:themeColor="accent3" w:themeShade="BF"/>
          <w:sz w:val="22"/>
          <w:szCs w:val="22"/>
        </w:rPr>
        <w:t>that the minimum level of organization</w:t>
      </w:r>
      <w:r w:rsidR="009D7328">
        <w:rPr>
          <w:rFonts w:ascii="Avenir Next" w:hAnsi="Avenir Next" w:cs="Arial"/>
          <w:color w:val="7B7B7B" w:themeColor="accent3" w:themeShade="BF"/>
          <w:sz w:val="22"/>
          <w:szCs w:val="22"/>
        </w:rPr>
        <w:t>, stability and human resources are enough for the presence of the establishment.</w:t>
      </w:r>
    </w:p>
    <w:p w14:paraId="1C5E4610" w14:textId="067E0BA5" w:rsidR="00C878A5" w:rsidRDefault="00C878A5" w:rsidP="000A3278">
      <w:pPr>
        <w:jc w:val="both"/>
        <w:rPr>
          <w:rFonts w:ascii="Avenir Next" w:hAnsi="Avenir Next" w:cs="Arial"/>
          <w:color w:val="7B7B7B" w:themeColor="accent3" w:themeShade="BF"/>
          <w:sz w:val="22"/>
          <w:szCs w:val="22"/>
        </w:rPr>
      </w:pPr>
    </w:p>
    <w:p w14:paraId="5037FB6C" w14:textId="66C5C58C" w:rsidR="008E120E" w:rsidRDefault="008E120E"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As there is no establishment in Italy, </w:t>
      </w:r>
      <w:r w:rsidR="009E039E">
        <w:rPr>
          <w:rFonts w:ascii="Avenir Next" w:hAnsi="Avenir Next" w:cs="Arial"/>
          <w:color w:val="7B7B7B" w:themeColor="accent3" w:themeShade="BF"/>
          <w:sz w:val="22"/>
          <w:szCs w:val="22"/>
        </w:rPr>
        <w:t xml:space="preserve">the secondary insolvency proceedings cannot be opened in that country. </w:t>
      </w:r>
      <w:r w:rsidR="00B95570">
        <w:rPr>
          <w:rFonts w:ascii="Avenir Next" w:hAnsi="Avenir Next" w:cs="Arial"/>
          <w:color w:val="7B7B7B" w:themeColor="accent3" w:themeShade="BF"/>
          <w:sz w:val="22"/>
          <w:szCs w:val="22"/>
        </w:rPr>
        <w:t xml:space="preserve"> </w:t>
      </w:r>
    </w:p>
    <w:p w14:paraId="2B1DF024" w14:textId="77777777" w:rsidR="00B95570" w:rsidRDefault="00B95570" w:rsidP="000A3278">
      <w:pPr>
        <w:jc w:val="both"/>
        <w:rPr>
          <w:rFonts w:ascii="Avenir Next" w:hAnsi="Avenir Next" w:cs="Arial"/>
          <w:color w:val="7B7B7B" w:themeColor="accent3" w:themeShade="BF"/>
          <w:sz w:val="22"/>
          <w:szCs w:val="22"/>
        </w:rPr>
      </w:pPr>
    </w:p>
    <w:p w14:paraId="2943D6F8" w14:textId="77777777" w:rsidR="00EA14EE" w:rsidRPr="00EA14EE" w:rsidRDefault="00EA14EE" w:rsidP="00EA14EE">
      <w:pPr>
        <w:pStyle w:val="ListParagraph"/>
        <w:rPr>
          <w:rFonts w:ascii="Avenir Next" w:hAnsi="Avenir Next" w:cs="Arial"/>
          <w:color w:val="808080" w:themeColor="background1" w:themeShade="80"/>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1378BE">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4949" w14:textId="77777777" w:rsidR="001378BE" w:rsidRDefault="001378BE" w:rsidP="00241B44">
      <w:r>
        <w:separator/>
      </w:r>
    </w:p>
  </w:endnote>
  <w:endnote w:type="continuationSeparator" w:id="0">
    <w:p w14:paraId="15E7EABC" w14:textId="77777777" w:rsidR="001378BE" w:rsidRDefault="001378BE" w:rsidP="00241B44">
      <w:r>
        <w:continuationSeparator/>
      </w:r>
    </w:p>
  </w:endnote>
  <w:endnote w:type="continuationNotice" w:id="1">
    <w:p w14:paraId="0F31E9D9" w14:textId="77777777" w:rsidR="001378BE" w:rsidRDefault="00137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1B6DDC">
          <w:rPr>
            <w:rStyle w:val="PageNumber"/>
            <w:rFonts w:ascii="Avenir Next" w:hAnsi="Avenir Next" w:cs="Arial"/>
            <w:sz w:val="22"/>
            <w:szCs w:val="22"/>
          </w:rPr>
          <w:t xml:space="preserve">Page </w:t>
        </w:r>
        <w:r w:rsidRPr="001B6DDC">
          <w:rPr>
            <w:rStyle w:val="PageNumber"/>
            <w:rFonts w:ascii="Avenir Next" w:hAnsi="Avenir Next" w:cs="Arial"/>
            <w:sz w:val="22"/>
            <w:szCs w:val="22"/>
          </w:rPr>
          <w:fldChar w:fldCharType="begin"/>
        </w:r>
        <w:r w:rsidRPr="001B6DDC">
          <w:rPr>
            <w:rStyle w:val="PageNumber"/>
            <w:rFonts w:ascii="Avenir Next" w:hAnsi="Avenir Next" w:cs="Arial"/>
            <w:sz w:val="22"/>
            <w:szCs w:val="22"/>
          </w:rPr>
          <w:instrText xml:space="preserve"> PAGE </w:instrText>
        </w:r>
        <w:r w:rsidRPr="001B6DDC">
          <w:rPr>
            <w:rStyle w:val="PageNumber"/>
            <w:rFonts w:ascii="Avenir Next" w:hAnsi="Avenir Next" w:cs="Arial"/>
            <w:sz w:val="22"/>
            <w:szCs w:val="22"/>
          </w:rPr>
          <w:fldChar w:fldCharType="separate"/>
        </w:r>
        <w:r w:rsidR="00BA543A" w:rsidRPr="001B6DDC">
          <w:rPr>
            <w:rStyle w:val="PageNumber"/>
            <w:rFonts w:ascii="Avenir Next" w:hAnsi="Avenir Next" w:cs="Arial"/>
            <w:noProof/>
            <w:sz w:val="22"/>
            <w:szCs w:val="22"/>
          </w:rPr>
          <w:t>9</w:t>
        </w:r>
        <w:r w:rsidRPr="001B6DDC">
          <w:rPr>
            <w:rStyle w:val="PageNumber"/>
            <w:rFonts w:ascii="Avenir Next" w:hAnsi="Avenir Next" w:cs="Arial"/>
            <w:sz w:val="22"/>
            <w:szCs w:val="22"/>
          </w:rPr>
          <w:fldChar w:fldCharType="end"/>
        </w:r>
      </w:p>
    </w:sdtContent>
  </w:sdt>
  <w:p w14:paraId="30F05E79" w14:textId="51881D9C" w:rsidR="00D509A5" w:rsidRPr="005418A0" w:rsidRDefault="000232D9" w:rsidP="009B4976">
    <w:pPr>
      <w:pStyle w:val="Footer"/>
      <w:ind w:right="360"/>
      <w:rPr>
        <w:rFonts w:ascii="Avenir Next" w:hAnsi="Avenir Next" w:cs="Arial"/>
        <w:sz w:val="22"/>
        <w:szCs w:val="22"/>
        <w:lang w:val="en-GB"/>
      </w:rPr>
    </w:pPr>
    <w:r w:rsidRPr="000232D9">
      <w:rPr>
        <w:rFonts w:ascii="Avenir Next" w:hAnsi="Avenir Next" w:cs="Arial"/>
        <w:sz w:val="22"/>
        <w:szCs w:val="22"/>
        <w:lang w:val="en-GB"/>
      </w:rPr>
      <w:t>FC202324-1414.assessment</w:t>
    </w:r>
    <w:r>
      <w:rPr>
        <w:rFonts w:ascii="Avenir Next" w:hAnsi="Avenir Next" w:cs="Arial"/>
        <w:sz w:val="22"/>
        <w:szCs w:val="22"/>
        <w:lang w:val="en-GB"/>
      </w:rPr>
      <w: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B230B" w14:textId="77777777" w:rsidR="001378BE" w:rsidRDefault="001378BE" w:rsidP="00241B44">
      <w:r>
        <w:separator/>
      </w:r>
    </w:p>
  </w:footnote>
  <w:footnote w:type="continuationSeparator" w:id="0">
    <w:p w14:paraId="3091E600" w14:textId="77777777" w:rsidR="001378BE" w:rsidRDefault="001378BE" w:rsidP="00241B44">
      <w:r>
        <w:continuationSeparator/>
      </w:r>
    </w:p>
  </w:footnote>
  <w:footnote w:type="continuationNotice" w:id="1">
    <w:p w14:paraId="45E5E8C4" w14:textId="77777777" w:rsidR="001378BE" w:rsidRDefault="001378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50264125">
    <w:abstractNumId w:val="13"/>
  </w:num>
  <w:num w:numId="2" w16cid:durableId="2002611782">
    <w:abstractNumId w:val="22"/>
  </w:num>
  <w:num w:numId="3" w16cid:durableId="1046681177">
    <w:abstractNumId w:val="16"/>
  </w:num>
  <w:num w:numId="4" w16cid:durableId="1250502507">
    <w:abstractNumId w:val="28"/>
  </w:num>
  <w:num w:numId="5" w16cid:durableId="262424646">
    <w:abstractNumId w:val="21"/>
  </w:num>
  <w:num w:numId="6" w16cid:durableId="2052070068">
    <w:abstractNumId w:val="24"/>
  </w:num>
  <w:num w:numId="7" w16cid:durableId="1461680123">
    <w:abstractNumId w:val="6"/>
  </w:num>
  <w:num w:numId="8" w16cid:durableId="892274553">
    <w:abstractNumId w:val="19"/>
  </w:num>
  <w:num w:numId="9" w16cid:durableId="626088575">
    <w:abstractNumId w:val="18"/>
  </w:num>
  <w:num w:numId="10" w16cid:durableId="1127773174">
    <w:abstractNumId w:val="14"/>
  </w:num>
  <w:num w:numId="11" w16cid:durableId="1017780422">
    <w:abstractNumId w:val="20"/>
  </w:num>
  <w:num w:numId="12" w16cid:durableId="1731923168">
    <w:abstractNumId w:val="2"/>
  </w:num>
  <w:num w:numId="13" w16cid:durableId="325937709">
    <w:abstractNumId w:val="11"/>
  </w:num>
  <w:num w:numId="14" w16cid:durableId="87119507">
    <w:abstractNumId w:val="17"/>
  </w:num>
  <w:num w:numId="15" w16cid:durableId="537401627">
    <w:abstractNumId w:val="15"/>
  </w:num>
  <w:num w:numId="16" w16cid:durableId="225994540">
    <w:abstractNumId w:val="10"/>
  </w:num>
  <w:num w:numId="17" w16cid:durableId="1550260514">
    <w:abstractNumId w:val="13"/>
  </w:num>
  <w:num w:numId="18" w16cid:durableId="641735283">
    <w:abstractNumId w:val="3"/>
  </w:num>
  <w:num w:numId="19" w16cid:durableId="792407038">
    <w:abstractNumId w:val="0"/>
  </w:num>
  <w:num w:numId="20" w16cid:durableId="1217475378">
    <w:abstractNumId w:val="5"/>
  </w:num>
  <w:num w:numId="21" w16cid:durableId="1798719523">
    <w:abstractNumId w:val="0"/>
  </w:num>
  <w:num w:numId="22" w16cid:durableId="120156217">
    <w:abstractNumId w:val="8"/>
  </w:num>
  <w:num w:numId="23" w16cid:durableId="1566800475">
    <w:abstractNumId w:val="23"/>
  </w:num>
  <w:num w:numId="24" w16cid:durableId="1845364164">
    <w:abstractNumId w:val="25"/>
  </w:num>
  <w:num w:numId="25" w16cid:durableId="1565870678">
    <w:abstractNumId w:val="4"/>
  </w:num>
  <w:num w:numId="26" w16cid:durableId="974988881">
    <w:abstractNumId w:val="29"/>
  </w:num>
  <w:num w:numId="27" w16cid:durableId="1096101251">
    <w:abstractNumId w:val="9"/>
  </w:num>
  <w:num w:numId="28" w16cid:durableId="1807311193">
    <w:abstractNumId w:val="1"/>
  </w:num>
  <w:num w:numId="29" w16cid:durableId="614291072">
    <w:abstractNumId w:val="12"/>
  </w:num>
  <w:num w:numId="30" w16cid:durableId="1134907189">
    <w:abstractNumId w:val="27"/>
  </w:num>
  <w:num w:numId="31" w16cid:durableId="92938254">
    <w:abstractNumId w:val="26"/>
  </w:num>
  <w:num w:numId="32" w16cid:durableId="1838615408">
    <w:abstractNumId w:val="7"/>
  </w:num>
  <w:num w:numId="33" w16cid:durableId="2087847088">
    <w:abstractNumId w:val="31"/>
  </w:num>
  <w:num w:numId="34" w16cid:durableId="1031685811">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606"/>
    <w:rsid w:val="000058AC"/>
    <w:rsid w:val="00007146"/>
    <w:rsid w:val="00010BA0"/>
    <w:rsid w:val="00012300"/>
    <w:rsid w:val="0001344B"/>
    <w:rsid w:val="00016162"/>
    <w:rsid w:val="00020557"/>
    <w:rsid w:val="000232D9"/>
    <w:rsid w:val="0002365D"/>
    <w:rsid w:val="000250C7"/>
    <w:rsid w:val="00026F16"/>
    <w:rsid w:val="00037621"/>
    <w:rsid w:val="00041B32"/>
    <w:rsid w:val="00044D46"/>
    <w:rsid w:val="00045088"/>
    <w:rsid w:val="00045904"/>
    <w:rsid w:val="00054E15"/>
    <w:rsid w:val="00064C28"/>
    <w:rsid w:val="00065166"/>
    <w:rsid w:val="000756D2"/>
    <w:rsid w:val="00082162"/>
    <w:rsid w:val="00082609"/>
    <w:rsid w:val="000851CC"/>
    <w:rsid w:val="00086936"/>
    <w:rsid w:val="00087CD6"/>
    <w:rsid w:val="000900DD"/>
    <w:rsid w:val="00093BE8"/>
    <w:rsid w:val="000A1388"/>
    <w:rsid w:val="000A3278"/>
    <w:rsid w:val="000A373F"/>
    <w:rsid w:val="000A68ED"/>
    <w:rsid w:val="000A7BF9"/>
    <w:rsid w:val="000B579F"/>
    <w:rsid w:val="000B5FF1"/>
    <w:rsid w:val="000B609F"/>
    <w:rsid w:val="000C6BB5"/>
    <w:rsid w:val="000D55A8"/>
    <w:rsid w:val="000E4841"/>
    <w:rsid w:val="000F1677"/>
    <w:rsid w:val="000F3D6C"/>
    <w:rsid w:val="000F4A14"/>
    <w:rsid w:val="00100276"/>
    <w:rsid w:val="00101707"/>
    <w:rsid w:val="00113E29"/>
    <w:rsid w:val="0011473D"/>
    <w:rsid w:val="0011548B"/>
    <w:rsid w:val="00115C85"/>
    <w:rsid w:val="00123855"/>
    <w:rsid w:val="00126A4D"/>
    <w:rsid w:val="00134A85"/>
    <w:rsid w:val="001378BE"/>
    <w:rsid w:val="0014171F"/>
    <w:rsid w:val="0014622C"/>
    <w:rsid w:val="00152348"/>
    <w:rsid w:val="0015307B"/>
    <w:rsid w:val="0015456D"/>
    <w:rsid w:val="00155FA2"/>
    <w:rsid w:val="00157EF8"/>
    <w:rsid w:val="00157F6F"/>
    <w:rsid w:val="00161F1B"/>
    <w:rsid w:val="00162829"/>
    <w:rsid w:val="00174DC4"/>
    <w:rsid w:val="00175A7D"/>
    <w:rsid w:val="00180548"/>
    <w:rsid w:val="00180AC4"/>
    <w:rsid w:val="00180CCE"/>
    <w:rsid w:val="0018267A"/>
    <w:rsid w:val="00182779"/>
    <w:rsid w:val="001830DF"/>
    <w:rsid w:val="00183ED8"/>
    <w:rsid w:val="00184331"/>
    <w:rsid w:val="00187A34"/>
    <w:rsid w:val="001966D9"/>
    <w:rsid w:val="001A5A78"/>
    <w:rsid w:val="001A68CC"/>
    <w:rsid w:val="001A7E9A"/>
    <w:rsid w:val="001B0F70"/>
    <w:rsid w:val="001B1806"/>
    <w:rsid w:val="001B4E73"/>
    <w:rsid w:val="001B5016"/>
    <w:rsid w:val="001B6DDC"/>
    <w:rsid w:val="001C45FC"/>
    <w:rsid w:val="001C4B1B"/>
    <w:rsid w:val="001C6AE5"/>
    <w:rsid w:val="001C6D1F"/>
    <w:rsid w:val="001D0469"/>
    <w:rsid w:val="001D4862"/>
    <w:rsid w:val="001D6E1C"/>
    <w:rsid w:val="001E25B9"/>
    <w:rsid w:val="001E49E0"/>
    <w:rsid w:val="001E583E"/>
    <w:rsid w:val="001E5F8A"/>
    <w:rsid w:val="001E7B5A"/>
    <w:rsid w:val="001F1245"/>
    <w:rsid w:val="001F7412"/>
    <w:rsid w:val="00202DFE"/>
    <w:rsid w:val="00203720"/>
    <w:rsid w:val="0020716B"/>
    <w:rsid w:val="0020725B"/>
    <w:rsid w:val="002110F1"/>
    <w:rsid w:val="00217C14"/>
    <w:rsid w:val="00222EDC"/>
    <w:rsid w:val="00222FB5"/>
    <w:rsid w:val="002253DE"/>
    <w:rsid w:val="0024116D"/>
    <w:rsid w:val="00241B44"/>
    <w:rsid w:val="00241FA3"/>
    <w:rsid w:val="00244C44"/>
    <w:rsid w:val="00245EFB"/>
    <w:rsid w:val="00246126"/>
    <w:rsid w:val="0025386E"/>
    <w:rsid w:val="002638B0"/>
    <w:rsid w:val="00263D61"/>
    <w:rsid w:val="0026647A"/>
    <w:rsid w:val="002668D3"/>
    <w:rsid w:val="0027299F"/>
    <w:rsid w:val="002729AB"/>
    <w:rsid w:val="00284EBE"/>
    <w:rsid w:val="0029433F"/>
    <w:rsid w:val="00294829"/>
    <w:rsid w:val="0029690F"/>
    <w:rsid w:val="00297C8A"/>
    <w:rsid w:val="002A2A60"/>
    <w:rsid w:val="002A36FF"/>
    <w:rsid w:val="002A37BB"/>
    <w:rsid w:val="002B1C45"/>
    <w:rsid w:val="002B261C"/>
    <w:rsid w:val="002B6ABC"/>
    <w:rsid w:val="002C13C8"/>
    <w:rsid w:val="002C3547"/>
    <w:rsid w:val="002C66ED"/>
    <w:rsid w:val="002D0021"/>
    <w:rsid w:val="002D3473"/>
    <w:rsid w:val="002E2293"/>
    <w:rsid w:val="002E4CF1"/>
    <w:rsid w:val="002E62A0"/>
    <w:rsid w:val="002F1956"/>
    <w:rsid w:val="002F3440"/>
    <w:rsid w:val="002F55D2"/>
    <w:rsid w:val="002F70C6"/>
    <w:rsid w:val="002F75A3"/>
    <w:rsid w:val="002F7843"/>
    <w:rsid w:val="0030051A"/>
    <w:rsid w:val="00302D76"/>
    <w:rsid w:val="00303C2F"/>
    <w:rsid w:val="00311F5A"/>
    <w:rsid w:val="003144EF"/>
    <w:rsid w:val="00315B98"/>
    <w:rsid w:val="0032234E"/>
    <w:rsid w:val="003249D9"/>
    <w:rsid w:val="003252C2"/>
    <w:rsid w:val="00326292"/>
    <w:rsid w:val="00326415"/>
    <w:rsid w:val="00330937"/>
    <w:rsid w:val="00330F31"/>
    <w:rsid w:val="00331480"/>
    <w:rsid w:val="00333C27"/>
    <w:rsid w:val="00334648"/>
    <w:rsid w:val="0033768C"/>
    <w:rsid w:val="00337938"/>
    <w:rsid w:val="00340769"/>
    <w:rsid w:val="00341AA6"/>
    <w:rsid w:val="00344E75"/>
    <w:rsid w:val="0034705B"/>
    <w:rsid w:val="003525B6"/>
    <w:rsid w:val="00361A0A"/>
    <w:rsid w:val="00364836"/>
    <w:rsid w:val="003650E5"/>
    <w:rsid w:val="0036565C"/>
    <w:rsid w:val="0036625E"/>
    <w:rsid w:val="00366415"/>
    <w:rsid w:val="003722BC"/>
    <w:rsid w:val="0037465A"/>
    <w:rsid w:val="00375ADF"/>
    <w:rsid w:val="00375D11"/>
    <w:rsid w:val="003808A7"/>
    <w:rsid w:val="00382C98"/>
    <w:rsid w:val="0038533C"/>
    <w:rsid w:val="00386568"/>
    <w:rsid w:val="00390B57"/>
    <w:rsid w:val="00392CA8"/>
    <w:rsid w:val="003940B7"/>
    <w:rsid w:val="003948D5"/>
    <w:rsid w:val="00396821"/>
    <w:rsid w:val="00397D3A"/>
    <w:rsid w:val="003A051E"/>
    <w:rsid w:val="003A5DF3"/>
    <w:rsid w:val="003A752E"/>
    <w:rsid w:val="003B0A27"/>
    <w:rsid w:val="003B170F"/>
    <w:rsid w:val="003B3C5F"/>
    <w:rsid w:val="003C4342"/>
    <w:rsid w:val="003C4471"/>
    <w:rsid w:val="003C4BCB"/>
    <w:rsid w:val="003D0A6D"/>
    <w:rsid w:val="003D17A2"/>
    <w:rsid w:val="003D1974"/>
    <w:rsid w:val="003D2515"/>
    <w:rsid w:val="003D2DB5"/>
    <w:rsid w:val="003D4A79"/>
    <w:rsid w:val="003E0B16"/>
    <w:rsid w:val="003E1D56"/>
    <w:rsid w:val="003E2475"/>
    <w:rsid w:val="003E4DB0"/>
    <w:rsid w:val="003E67D1"/>
    <w:rsid w:val="003F6CA1"/>
    <w:rsid w:val="00404329"/>
    <w:rsid w:val="00405DC1"/>
    <w:rsid w:val="00411DBA"/>
    <w:rsid w:val="00415F1F"/>
    <w:rsid w:val="00417C51"/>
    <w:rsid w:val="004202D2"/>
    <w:rsid w:val="0042108F"/>
    <w:rsid w:val="00425094"/>
    <w:rsid w:val="00430FED"/>
    <w:rsid w:val="00433E5A"/>
    <w:rsid w:val="00434072"/>
    <w:rsid w:val="00434A8C"/>
    <w:rsid w:val="00437297"/>
    <w:rsid w:val="00444284"/>
    <w:rsid w:val="0044574C"/>
    <w:rsid w:val="00445CE6"/>
    <w:rsid w:val="0045069D"/>
    <w:rsid w:val="00450CC7"/>
    <w:rsid w:val="00452D51"/>
    <w:rsid w:val="004534C2"/>
    <w:rsid w:val="0045446F"/>
    <w:rsid w:val="0045683E"/>
    <w:rsid w:val="0045794A"/>
    <w:rsid w:val="00457CA3"/>
    <w:rsid w:val="0046202C"/>
    <w:rsid w:val="00465BFF"/>
    <w:rsid w:val="00470681"/>
    <w:rsid w:val="00477105"/>
    <w:rsid w:val="00477C72"/>
    <w:rsid w:val="00481E65"/>
    <w:rsid w:val="00491675"/>
    <w:rsid w:val="00493855"/>
    <w:rsid w:val="00495E79"/>
    <w:rsid w:val="0049649C"/>
    <w:rsid w:val="004A0692"/>
    <w:rsid w:val="004A280E"/>
    <w:rsid w:val="004A57DD"/>
    <w:rsid w:val="004A7B51"/>
    <w:rsid w:val="004A7D71"/>
    <w:rsid w:val="004A7EF3"/>
    <w:rsid w:val="004B11FD"/>
    <w:rsid w:val="004B23A2"/>
    <w:rsid w:val="004C0D03"/>
    <w:rsid w:val="004C0D33"/>
    <w:rsid w:val="004C6630"/>
    <w:rsid w:val="004D1A5A"/>
    <w:rsid w:val="004D2FFF"/>
    <w:rsid w:val="004D3721"/>
    <w:rsid w:val="004D64F9"/>
    <w:rsid w:val="004E1161"/>
    <w:rsid w:val="004E3A6B"/>
    <w:rsid w:val="004E622C"/>
    <w:rsid w:val="004F0A43"/>
    <w:rsid w:val="004F4245"/>
    <w:rsid w:val="004F4AF9"/>
    <w:rsid w:val="004F5FDF"/>
    <w:rsid w:val="005177FE"/>
    <w:rsid w:val="0052263B"/>
    <w:rsid w:val="00524728"/>
    <w:rsid w:val="00527EFC"/>
    <w:rsid w:val="005331CA"/>
    <w:rsid w:val="00537970"/>
    <w:rsid w:val="00540E3A"/>
    <w:rsid w:val="005418A0"/>
    <w:rsid w:val="00544127"/>
    <w:rsid w:val="00544F6E"/>
    <w:rsid w:val="005463A9"/>
    <w:rsid w:val="0054743F"/>
    <w:rsid w:val="00553EB2"/>
    <w:rsid w:val="00560534"/>
    <w:rsid w:val="0056391B"/>
    <w:rsid w:val="005650E2"/>
    <w:rsid w:val="00566C77"/>
    <w:rsid w:val="00567AD7"/>
    <w:rsid w:val="0057161E"/>
    <w:rsid w:val="00574953"/>
    <w:rsid w:val="00575B2D"/>
    <w:rsid w:val="005833D0"/>
    <w:rsid w:val="005837B7"/>
    <w:rsid w:val="005846F3"/>
    <w:rsid w:val="0058622F"/>
    <w:rsid w:val="00591280"/>
    <w:rsid w:val="00592F82"/>
    <w:rsid w:val="005A0CCA"/>
    <w:rsid w:val="005A5D30"/>
    <w:rsid w:val="005A726D"/>
    <w:rsid w:val="005B6687"/>
    <w:rsid w:val="005B67AC"/>
    <w:rsid w:val="005B79F4"/>
    <w:rsid w:val="005B7C95"/>
    <w:rsid w:val="005C7BF1"/>
    <w:rsid w:val="005D2CD6"/>
    <w:rsid w:val="005D43E0"/>
    <w:rsid w:val="005D58A3"/>
    <w:rsid w:val="005D7D93"/>
    <w:rsid w:val="005E1502"/>
    <w:rsid w:val="005E1B79"/>
    <w:rsid w:val="005E42DB"/>
    <w:rsid w:val="005E7008"/>
    <w:rsid w:val="005E784A"/>
    <w:rsid w:val="005F026D"/>
    <w:rsid w:val="005F2AEA"/>
    <w:rsid w:val="005F2D0B"/>
    <w:rsid w:val="005F4B31"/>
    <w:rsid w:val="006048C0"/>
    <w:rsid w:val="00606AA6"/>
    <w:rsid w:val="00610388"/>
    <w:rsid w:val="00611DE6"/>
    <w:rsid w:val="00612CA5"/>
    <w:rsid w:val="006153EC"/>
    <w:rsid w:val="00621A17"/>
    <w:rsid w:val="00627CC9"/>
    <w:rsid w:val="00627DE9"/>
    <w:rsid w:val="00627E7B"/>
    <w:rsid w:val="00630542"/>
    <w:rsid w:val="0063292A"/>
    <w:rsid w:val="00632ADD"/>
    <w:rsid w:val="00632E44"/>
    <w:rsid w:val="00634622"/>
    <w:rsid w:val="00636808"/>
    <w:rsid w:val="00636C15"/>
    <w:rsid w:val="00641515"/>
    <w:rsid w:val="00654B27"/>
    <w:rsid w:val="00654C2F"/>
    <w:rsid w:val="00656DA7"/>
    <w:rsid w:val="00657087"/>
    <w:rsid w:val="006603F1"/>
    <w:rsid w:val="006639DB"/>
    <w:rsid w:val="00664A67"/>
    <w:rsid w:val="006661EF"/>
    <w:rsid w:val="006707E5"/>
    <w:rsid w:val="006723E9"/>
    <w:rsid w:val="00677AEB"/>
    <w:rsid w:val="00680EF2"/>
    <w:rsid w:val="00687A1D"/>
    <w:rsid w:val="0069381A"/>
    <w:rsid w:val="00696ED8"/>
    <w:rsid w:val="00697EA1"/>
    <w:rsid w:val="006A2646"/>
    <w:rsid w:val="006A6530"/>
    <w:rsid w:val="006B435A"/>
    <w:rsid w:val="006B4C64"/>
    <w:rsid w:val="006C3FB7"/>
    <w:rsid w:val="006C4FAA"/>
    <w:rsid w:val="006D1104"/>
    <w:rsid w:val="006D13A4"/>
    <w:rsid w:val="006D217A"/>
    <w:rsid w:val="006D6BD5"/>
    <w:rsid w:val="006E07D8"/>
    <w:rsid w:val="006E481A"/>
    <w:rsid w:val="006E5287"/>
    <w:rsid w:val="006E5298"/>
    <w:rsid w:val="006E7963"/>
    <w:rsid w:val="006F0106"/>
    <w:rsid w:val="006F2B12"/>
    <w:rsid w:val="006F4A78"/>
    <w:rsid w:val="006F734A"/>
    <w:rsid w:val="00700D83"/>
    <w:rsid w:val="00704852"/>
    <w:rsid w:val="007074E9"/>
    <w:rsid w:val="00707C83"/>
    <w:rsid w:val="00713DA4"/>
    <w:rsid w:val="00714BF1"/>
    <w:rsid w:val="00716B2F"/>
    <w:rsid w:val="00717B2C"/>
    <w:rsid w:val="00721383"/>
    <w:rsid w:val="00722306"/>
    <w:rsid w:val="00726035"/>
    <w:rsid w:val="0073158B"/>
    <w:rsid w:val="007333CC"/>
    <w:rsid w:val="0073399A"/>
    <w:rsid w:val="00745D6F"/>
    <w:rsid w:val="00751788"/>
    <w:rsid w:val="007603F5"/>
    <w:rsid w:val="00760465"/>
    <w:rsid w:val="00764DB0"/>
    <w:rsid w:val="0076764D"/>
    <w:rsid w:val="0077498C"/>
    <w:rsid w:val="007772BD"/>
    <w:rsid w:val="007809BC"/>
    <w:rsid w:val="0078299C"/>
    <w:rsid w:val="00782DF0"/>
    <w:rsid w:val="00782EE1"/>
    <w:rsid w:val="00784128"/>
    <w:rsid w:val="0078463C"/>
    <w:rsid w:val="00785DF8"/>
    <w:rsid w:val="00793173"/>
    <w:rsid w:val="00795130"/>
    <w:rsid w:val="007A107A"/>
    <w:rsid w:val="007A2A33"/>
    <w:rsid w:val="007A6B8D"/>
    <w:rsid w:val="007A7B20"/>
    <w:rsid w:val="007C1FCC"/>
    <w:rsid w:val="007C50AA"/>
    <w:rsid w:val="007C6201"/>
    <w:rsid w:val="007D62A9"/>
    <w:rsid w:val="007D7C92"/>
    <w:rsid w:val="007E1154"/>
    <w:rsid w:val="007E39B3"/>
    <w:rsid w:val="007E3AA9"/>
    <w:rsid w:val="007E44C4"/>
    <w:rsid w:val="007E6BA4"/>
    <w:rsid w:val="007F41F8"/>
    <w:rsid w:val="007F46A4"/>
    <w:rsid w:val="007F6A57"/>
    <w:rsid w:val="00800B1B"/>
    <w:rsid w:val="00800B76"/>
    <w:rsid w:val="008017F0"/>
    <w:rsid w:val="0080454E"/>
    <w:rsid w:val="00804C32"/>
    <w:rsid w:val="00804DA6"/>
    <w:rsid w:val="00806302"/>
    <w:rsid w:val="00807119"/>
    <w:rsid w:val="008115C6"/>
    <w:rsid w:val="0082424D"/>
    <w:rsid w:val="0082483F"/>
    <w:rsid w:val="008279C0"/>
    <w:rsid w:val="00834164"/>
    <w:rsid w:val="00840FD6"/>
    <w:rsid w:val="00841051"/>
    <w:rsid w:val="008500BD"/>
    <w:rsid w:val="00860723"/>
    <w:rsid w:val="00864593"/>
    <w:rsid w:val="0086548F"/>
    <w:rsid w:val="00871BD0"/>
    <w:rsid w:val="008723F3"/>
    <w:rsid w:val="00874240"/>
    <w:rsid w:val="00880EB6"/>
    <w:rsid w:val="00881DE6"/>
    <w:rsid w:val="008827BD"/>
    <w:rsid w:val="008837A6"/>
    <w:rsid w:val="008905A5"/>
    <w:rsid w:val="0089145D"/>
    <w:rsid w:val="0089362E"/>
    <w:rsid w:val="00894C1D"/>
    <w:rsid w:val="00894D36"/>
    <w:rsid w:val="00894FBC"/>
    <w:rsid w:val="00897A78"/>
    <w:rsid w:val="008A4DF2"/>
    <w:rsid w:val="008A547A"/>
    <w:rsid w:val="008A6CFE"/>
    <w:rsid w:val="008A7391"/>
    <w:rsid w:val="008B13A6"/>
    <w:rsid w:val="008B5333"/>
    <w:rsid w:val="008B6223"/>
    <w:rsid w:val="008C28F6"/>
    <w:rsid w:val="008C385B"/>
    <w:rsid w:val="008C4AC6"/>
    <w:rsid w:val="008C66E0"/>
    <w:rsid w:val="008D6048"/>
    <w:rsid w:val="008D62F7"/>
    <w:rsid w:val="008D70EB"/>
    <w:rsid w:val="008D78ED"/>
    <w:rsid w:val="008E0EC8"/>
    <w:rsid w:val="008E120E"/>
    <w:rsid w:val="008E3339"/>
    <w:rsid w:val="008E3C96"/>
    <w:rsid w:val="008E7371"/>
    <w:rsid w:val="008F19A6"/>
    <w:rsid w:val="008F20FC"/>
    <w:rsid w:val="008F5FFE"/>
    <w:rsid w:val="009050C8"/>
    <w:rsid w:val="00905A43"/>
    <w:rsid w:val="00905C72"/>
    <w:rsid w:val="00912C79"/>
    <w:rsid w:val="00914A23"/>
    <w:rsid w:val="00933432"/>
    <w:rsid w:val="00933642"/>
    <w:rsid w:val="00935A21"/>
    <w:rsid w:val="00942123"/>
    <w:rsid w:val="0094224B"/>
    <w:rsid w:val="0095207B"/>
    <w:rsid w:val="00956E63"/>
    <w:rsid w:val="00961DE8"/>
    <w:rsid w:val="00962045"/>
    <w:rsid w:val="009651D2"/>
    <w:rsid w:val="009656E1"/>
    <w:rsid w:val="00967219"/>
    <w:rsid w:val="00971896"/>
    <w:rsid w:val="00980E61"/>
    <w:rsid w:val="00986FCB"/>
    <w:rsid w:val="00991428"/>
    <w:rsid w:val="00992676"/>
    <w:rsid w:val="009954B2"/>
    <w:rsid w:val="00996691"/>
    <w:rsid w:val="009B0723"/>
    <w:rsid w:val="009B07AD"/>
    <w:rsid w:val="009B0883"/>
    <w:rsid w:val="009B15E2"/>
    <w:rsid w:val="009B4976"/>
    <w:rsid w:val="009C0B8E"/>
    <w:rsid w:val="009C1BC8"/>
    <w:rsid w:val="009C2442"/>
    <w:rsid w:val="009C3EA9"/>
    <w:rsid w:val="009C5E52"/>
    <w:rsid w:val="009D0811"/>
    <w:rsid w:val="009D0EE1"/>
    <w:rsid w:val="009D4D0D"/>
    <w:rsid w:val="009D693A"/>
    <w:rsid w:val="009D7328"/>
    <w:rsid w:val="009E039E"/>
    <w:rsid w:val="009E2AEB"/>
    <w:rsid w:val="009E2E27"/>
    <w:rsid w:val="009E39B2"/>
    <w:rsid w:val="009E4DE3"/>
    <w:rsid w:val="009F25D1"/>
    <w:rsid w:val="009F275E"/>
    <w:rsid w:val="009F6C0A"/>
    <w:rsid w:val="00A02A4A"/>
    <w:rsid w:val="00A047EE"/>
    <w:rsid w:val="00A07E6F"/>
    <w:rsid w:val="00A11E80"/>
    <w:rsid w:val="00A17858"/>
    <w:rsid w:val="00A2274A"/>
    <w:rsid w:val="00A235B7"/>
    <w:rsid w:val="00A27A7A"/>
    <w:rsid w:val="00A33FA6"/>
    <w:rsid w:val="00A407EF"/>
    <w:rsid w:val="00A46B4C"/>
    <w:rsid w:val="00A50055"/>
    <w:rsid w:val="00A5117B"/>
    <w:rsid w:val="00A54CB5"/>
    <w:rsid w:val="00A60074"/>
    <w:rsid w:val="00A620A6"/>
    <w:rsid w:val="00A62FDA"/>
    <w:rsid w:val="00A6627C"/>
    <w:rsid w:val="00A71019"/>
    <w:rsid w:val="00A805FF"/>
    <w:rsid w:val="00A81029"/>
    <w:rsid w:val="00A83E9F"/>
    <w:rsid w:val="00A842C5"/>
    <w:rsid w:val="00A93621"/>
    <w:rsid w:val="00A96489"/>
    <w:rsid w:val="00A97DCF"/>
    <w:rsid w:val="00AA303E"/>
    <w:rsid w:val="00AA55B5"/>
    <w:rsid w:val="00AB685C"/>
    <w:rsid w:val="00AB6C2D"/>
    <w:rsid w:val="00AC08F7"/>
    <w:rsid w:val="00AC3793"/>
    <w:rsid w:val="00AC3839"/>
    <w:rsid w:val="00AC4C4F"/>
    <w:rsid w:val="00AC5A67"/>
    <w:rsid w:val="00AC7082"/>
    <w:rsid w:val="00AD2931"/>
    <w:rsid w:val="00AD3319"/>
    <w:rsid w:val="00AD333E"/>
    <w:rsid w:val="00AD35E0"/>
    <w:rsid w:val="00AD513F"/>
    <w:rsid w:val="00AD6870"/>
    <w:rsid w:val="00AE2316"/>
    <w:rsid w:val="00AE477C"/>
    <w:rsid w:val="00AE74BA"/>
    <w:rsid w:val="00AF228E"/>
    <w:rsid w:val="00AF39A8"/>
    <w:rsid w:val="00AF3DBA"/>
    <w:rsid w:val="00AF45BC"/>
    <w:rsid w:val="00B016A8"/>
    <w:rsid w:val="00B070D2"/>
    <w:rsid w:val="00B12499"/>
    <w:rsid w:val="00B12EF7"/>
    <w:rsid w:val="00B137B0"/>
    <w:rsid w:val="00B14819"/>
    <w:rsid w:val="00B15E2F"/>
    <w:rsid w:val="00B17AA9"/>
    <w:rsid w:val="00B30D9A"/>
    <w:rsid w:val="00B32576"/>
    <w:rsid w:val="00B32588"/>
    <w:rsid w:val="00B437B1"/>
    <w:rsid w:val="00B44713"/>
    <w:rsid w:val="00B4656D"/>
    <w:rsid w:val="00B56103"/>
    <w:rsid w:val="00B64460"/>
    <w:rsid w:val="00B64929"/>
    <w:rsid w:val="00B70CB2"/>
    <w:rsid w:val="00B736DF"/>
    <w:rsid w:val="00B743D6"/>
    <w:rsid w:val="00B74FBD"/>
    <w:rsid w:val="00B77F46"/>
    <w:rsid w:val="00B82586"/>
    <w:rsid w:val="00B829A3"/>
    <w:rsid w:val="00B86DB1"/>
    <w:rsid w:val="00B87869"/>
    <w:rsid w:val="00B87FF3"/>
    <w:rsid w:val="00B95570"/>
    <w:rsid w:val="00B96CE3"/>
    <w:rsid w:val="00BA543A"/>
    <w:rsid w:val="00BB0F2B"/>
    <w:rsid w:val="00BB38D1"/>
    <w:rsid w:val="00BB4985"/>
    <w:rsid w:val="00BC24A8"/>
    <w:rsid w:val="00BC48BA"/>
    <w:rsid w:val="00BD73DA"/>
    <w:rsid w:val="00BE4BFD"/>
    <w:rsid w:val="00BE4DAF"/>
    <w:rsid w:val="00BE4FF3"/>
    <w:rsid w:val="00BF4F6D"/>
    <w:rsid w:val="00BF50F7"/>
    <w:rsid w:val="00C00B20"/>
    <w:rsid w:val="00C00E77"/>
    <w:rsid w:val="00C02700"/>
    <w:rsid w:val="00C02F29"/>
    <w:rsid w:val="00C15FA2"/>
    <w:rsid w:val="00C20AFE"/>
    <w:rsid w:val="00C22A25"/>
    <w:rsid w:val="00C35671"/>
    <w:rsid w:val="00C35B77"/>
    <w:rsid w:val="00C35F52"/>
    <w:rsid w:val="00C376EB"/>
    <w:rsid w:val="00C46A92"/>
    <w:rsid w:val="00C46DF7"/>
    <w:rsid w:val="00C46EC1"/>
    <w:rsid w:val="00C52796"/>
    <w:rsid w:val="00C528A1"/>
    <w:rsid w:val="00C53E2C"/>
    <w:rsid w:val="00C550C8"/>
    <w:rsid w:val="00C56B61"/>
    <w:rsid w:val="00C606C3"/>
    <w:rsid w:val="00C60B85"/>
    <w:rsid w:val="00C620F4"/>
    <w:rsid w:val="00C63E03"/>
    <w:rsid w:val="00C72848"/>
    <w:rsid w:val="00C7729F"/>
    <w:rsid w:val="00C7736C"/>
    <w:rsid w:val="00C82D87"/>
    <w:rsid w:val="00C84E74"/>
    <w:rsid w:val="00C8712A"/>
    <w:rsid w:val="00C878A5"/>
    <w:rsid w:val="00C91288"/>
    <w:rsid w:val="00C963D3"/>
    <w:rsid w:val="00CA7069"/>
    <w:rsid w:val="00CB1983"/>
    <w:rsid w:val="00CB2CBB"/>
    <w:rsid w:val="00CB7CAC"/>
    <w:rsid w:val="00CC5335"/>
    <w:rsid w:val="00CC5BA4"/>
    <w:rsid w:val="00CD4998"/>
    <w:rsid w:val="00CE1035"/>
    <w:rsid w:val="00CE2FD5"/>
    <w:rsid w:val="00CE4206"/>
    <w:rsid w:val="00CE6E50"/>
    <w:rsid w:val="00CF0F57"/>
    <w:rsid w:val="00CF1AF7"/>
    <w:rsid w:val="00CF2819"/>
    <w:rsid w:val="00CF4F9D"/>
    <w:rsid w:val="00CF70DC"/>
    <w:rsid w:val="00D148DC"/>
    <w:rsid w:val="00D17FDC"/>
    <w:rsid w:val="00D21F62"/>
    <w:rsid w:val="00D24871"/>
    <w:rsid w:val="00D25EB9"/>
    <w:rsid w:val="00D2676E"/>
    <w:rsid w:val="00D26E26"/>
    <w:rsid w:val="00D351F8"/>
    <w:rsid w:val="00D37EBD"/>
    <w:rsid w:val="00D4342D"/>
    <w:rsid w:val="00D509A5"/>
    <w:rsid w:val="00D556CD"/>
    <w:rsid w:val="00D56B4E"/>
    <w:rsid w:val="00D608A4"/>
    <w:rsid w:val="00D60E46"/>
    <w:rsid w:val="00D63EFD"/>
    <w:rsid w:val="00D651FD"/>
    <w:rsid w:val="00D66F96"/>
    <w:rsid w:val="00D72770"/>
    <w:rsid w:val="00D75351"/>
    <w:rsid w:val="00D84752"/>
    <w:rsid w:val="00D86B3B"/>
    <w:rsid w:val="00D8748A"/>
    <w:rsid w:val="00D9187D"/>
    <w:rsid w:val="00D93196"/>
    <w:rsid w:val="00D95496"/>
    <w:rsid w:val="00DA0DC0"/>
    <w:rsid w:val="00DB1D76"/>
    <w:rsid w:val="00DB2429"/>
    <w:rsid w:val="00DB243C"/>
    <w:rsid w:val="00DB482A"/>
    <w:rsid w:val="00DB56F2"/>
    <w:rsid w:val="00DB6EF5"/>
    <w:rsid w:val="00DC3089"/>
    <w:rsid w:val="00DC4420"/>
    <w:rsid w:val="00DD0802"/>
    <w:rsid w:val="00DD1686"/>
    <w:rsid w:val="00DD2E11"/>
    <w:rsid w:val="00DD47EF"/>
    <w:rsid w:val="00DE03AF"/>
    <w:rsid w:val="00DE121C"/>
    <w:rsid w:val="00DE188A"/>
    <w:rsid w:val="00DE6633"/>
    <w:rsid w:val="00DF0864"/>
    <w:rsid w:val="00DF3CC6"/>
    <w:rsid w:val="00DF75F8"/>
    <w:rsid w:val="00DF7A3A"/>
    <w:rsid w:val="00E00C00"/>
    <w:rsid w:val="00E03AF0"/>
    <w:rsid w:val="00E07C5A"/>
    <w:rsid w:val="00E13432"/>
    <w:rsid w:val="00E15BA9"/>
    <w:rsid w:val="00E22929"/>
    <w:rsid w:val="00E25D01"/>
    <w:rsid w:val="00E26564"/>
    <w:rsid w:val="00E26E19"/>
    <w:rsid w:val="00E30C8A"/>
    <w:rsid w:val="00E31DF3"/>
    <w:rsid w:val="00E36F23"/>
    <w:rsid w:val="00E450A4"/>
    <w:rsid w:val="00E506BE"/>
    <w:rsid w:val="00E52662"/>
    <w:rsid w:val="00E55547"/>
    <w:rsid w:val="00E604A1"/>
    <w:rsid w:val="00E6302B"/>
    <w:rsid w:val="00E636B4"/>
    <w:rsid w:val="00E6452F"/>
    <w:rsid w:val="00E64F45"/>
    <w:rsid w:val="00E65AF8"/>
    <w:rsid w:val="00E6742D"/>
    <w:rsid w:val="00E7086C"/>
    <w:rsid w:val="00E70FA4"/>
    <w:rsid w:val="00E71CB0"/>
    <w:rsid w:val="00E77C3D"/>
    <w:rsid w:val="00E77E25"/>
    <w:rsid w:val="00E81160"/>
    <w:rsid w:val="00E83CE8"/>
    <w:rsid w:val="00E90991"/>
    <w:rsid w:val="00E909F0"/>
    <w:rsid w:val="00E90D47"/>
    <w:rsid w:val="00E93993"/>
    <w:rsid w:val="00E9597C"/>
    <w:rsid w:val="00EA0913"/>
    <w:rsid w:val="00EA13F2"/>
    <w:rsid w:val="00EA14EE"/>
    <w:rsid w:val="00EA5B00"/>
    <w:rsid w:val="00EB146B"/>
    <w:rsid w:val="00EB2747"/>
    <w:rsid w:val="00EB45AC"/>
    <w:rsid w:val="00EB5CA4"/>
    <w:rsid w:val="00EC00F9"/>
    <w:rsid w:val="00EC0181"/>
    <w:rsid w:val="00EC242E"/>
    <w:rsid w:val="00EC4746"/>
    <w:rsid w:val="00EC7B46"/>
    <w:rsid w:val="00ED0BC4"/>
    <w:rsid w:val="00ED20E8"/>
    <w:rsid w:val="00ED472A"/>
    <w:rsid w:val="00ED54B6"/>
    <w:rsid w:val="00ED5F37"/>
    <w:rsid w:val="00EE36E3"/>
    <w:rsid w:val="00EE4971"/>
    <w:rsid w:val="00EE571F"/>
    <w:rsid w:val="00EF090E"/>
    <w:rsid w:val="00F033DA"/>
    <w:rsid w:val="00F04354"/>
    <w:rsid w:val="00F124C8"/>
    <w:rsid w:val="00F13FB1"/>
    <w:rsid w:val="00F214C5"/>
    <w:rsid w:val="00F2176D"/>
    <w:rsid w:val="00F25974"/>
    <w:rsid w:val="00F27CD8"/>
    <w:rsid w:val="00F30351"/>
    <w:rsid w:val="00F3323E"/>
    <w:rsid w:val="00F341F4"/>
    <w:rsid w:val="00F34D6E"/>
    <w:rsid w:val="00F34F9D"/>
    <w:rsid w:val="00F3562C"/>
    <w:rsid w:val="00F35CCE"/>
    <w:rsid w:val="00F465DA"/>
    <w:rsid w:val="00F51441"/>
    <w:rsid w:val="00F54D9E"/>
    <w:rsid w:val="00F5524B"/>
    <w:rsid w:val="00F57C8E"/>
    <w:rsid w:val="00F60538"/>
    <w:rsid w:val="00F60B34"/>
    <w:rsid w:val="00F61DD2"/>
    <w:rsid w:val="00F66AFF"/>
    <w:rsid w:val="00F71433"/>
    <w:rsid w:val="00F746D8"/>
    <w:rsid w:val="00F76CD4"/>
    <w:rsid w:val="00F814B4"/>
    <w:rsid w:val="00F83464"/>
    <w:rsid w:val="00F93BE7"/>
    <w:rsid w:val="00F97338"/>
    <w:rsid w:val="00F97C5B"/>
    <w:rsid w:val="00FA3D50"/>
    <w:rsid w:val="00FB50CD"/>
    <w:rsid w:val="00FB6122"/>
    <w:rsid w:val="00FB7FBD"/>
    <w:rsid w:val="00FC235E"/>
    <w:rsid w:val="00FC36AD"/>
    <w:rsid w:val="00FC374A"/>
    <w:rsid w:val="00FC48D8"/>
    <w:rsid w:val="00FC5010"/>
    <w:rsid w:val="00FC7B47"/>
    <w:rsid w:val="00FD035C"/>
    <w:rsid w:val="00FD1A35"/>
    <w:rsid w:val="00FD36C5"/>
    <w:rsid w:val="00FD6310"/>
    <w:rsid w:val="00FD75C4"/>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11</Pages>
  <Words>4201</Words>
  <Characters>23949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Ivan Todorovic</cp:lastModifiedBy>
  <cp:revision>182</cp:revision>
  <cp:lastPrinted>2019-08-27T05:42:00Z</cp:lastPrinted>
  <dcterms:created xsi:type="dcterms:W3CDTF">2024-02-25T17:58:00Z</dcterms:created>
  <dcterms:modified xsi:type="dcterms:W3CDTF">2024-02-28T19:19:00Z</dcterms:modified>
</cp:coreProperties>
</file>