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4D50E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9761F1" w:rsidRDefault="00B263D0" w:rsidP="004D50EE">
      <w:pPr>
        <w:pStyle w:val="ListParagraph"/>
        <w:numPr>
          <w:ilvl w:val="0"/>
          <w:numId w:val="1"/>
        </w:numPr>
        <w:ind w:left="426" w:hanging="426"/>
        <w:jc w:val="both"/>
        <w:rPr>
          <w:rFonts w:ascii="Avenir Next" w:hAnsi="Avenir Next" w:cs="Arial"/>
          <w:sz w:val="22"/>
          <w:szCs w:val="22"/>
          <w:highlight w:val="yellow"/>
          <w:lang w:val="en-GB"/>
        </w:rPr>
      </w:pPr>
      <w:r w:rsidRPr="009761F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4D50E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D50E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4D50EE">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4D50E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4D50E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4D50E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4D50E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9761F1" w:rsidRDefault="00AD0E59" w:rsidP="004D50EE">
      <w:pPr>
        <w:pStyle w:val="ListParagraph"/>
        <w:numPr>
          <w:ilvl w:val="0"/>
          <w:numId w:val="10"/>
        </w:numPr>
        <w:ind w:left="426" w:hanging="426"/>
        <w:jc w:val="both"/>
        <w:rPr>
          <w:rFonts w:ascii="Avenir Next" w:hAnsi="Avenir Next" w:cs="Arial"/>
          <w:sz w:val="22"/>
          <w:szCs w:val="22"/>
          <w:highlight w:val="yellow"/>
          <w:lang w:val="en-GB"/>
        </w:rPr>
      </w:pPr>
      <w:r w:rsidRPr="009761F1">
        <w:rPr>
          <w:rFonts w:ascii="Avenir Next" w:hAnsi="Avenir Next" w:cs="Arial"/>
          <w:sz w:val="22"/>
          <w:szCs w:val="22"/>
          <w:highlight w:val="yellow"/>
          <w:lang w:val="en-GB"/>
        </w:rPr>
        <w:t>Options (</w:t>
      </w:r>
      <w:proofErr w:type="spellStart"/>
      <w:r w:rsidRPr="009761F1">
        <w:rPr>
          <w:rFonts w:ascii="Avenir Next" w:hAnsi="Avenir Next" w:cs="Arial"/>
          <w:sz w:val="22"/>
          <w:szCs w:val="22"/>
          <w:highlight w:val="yellow"/>
          <w:lang w:val="en-GB"/>
        </w:rPr>
        <w:t>i</w:t>
      </w:r>
      <w:proofErr w:type="spellEnd"/>
      <w:r w:rsidRPr="009761F1">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4D50E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4D50E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4D50E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4D50E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4D50E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4D50E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4D50E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Pr="00552237" w:rsidRDefault="00893A03" w:rsidP="004D50EE">
      <w:pPr>
        <w:pStyle w:val="ListParagraph"/>
        <w:numPr>
          <w:ilvl w:val="0"/>
          <w:numId w:val="2"/>
        </w:numPr>
        <w:ind w:left="426" w:hanging="426"/>
        <w:jc w:val="both"/>
        <w:rPr>
          <w:rFonts w:ascii="Avenir Next" w:hAnsi="Avenir Next" w:cs="Arial"/>
          <w:sz w:val="22"/>
          <w:szCs w:val="22"/>
          <w:lang w:val="en-GB"/>
        </w:rPr>
      </w:pPr>
      <w:r w:rsidRPr="00552237">
        <w:rPr>
          <w:rFonts w:ascii="Avenir Next" w:hAnsi="Avenir Next" w:cs="Arial"/>
          <w:sz w:val="22"/>
          <w:szCs w:val="22"/>
          <w:lang w:val="en-GB"/>
        </w:rPr>
        <w:t>Options (ii), (iii) and (iv).</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4D50E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552237">
      <w:pPr>
        <w:pStyle w:val="ListParagraph"/>
        <w:numPr>
          <w:ilvl w:val="0"/>
          <w:numId w:val="2"/>
        </w:numPr>
        <w:shd w:val="clear" w:color="auto" w:fill="FFFF00"/>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4D50E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4D50E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4D50E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4D50E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4D50E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4D50E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761F1" w:rsidRDefault="00812AFE" w:rsidP="004D50EE">
      <w:pPr>
        <w:pStyle w:val="ListParagraph"/>
        <w:numPr>
          <w:ilvl w:val="0"/>
          <w:numId w:val="3"/>
        </w:numPr>
        <w:ind w:left="426" w:hanging="426"/>
        <w:jc w:val="both"/>
        <w:rPr>
          <w:rFonts w:ascii="Avenir Next" w:hAnsi="Avenir Next" w:cs="Arial"/>
          <w:sz w:val="22"/>
          <w:szCs w:val="22"/>
          <w:highlight w:val="yellow"/>
          <w:lang w:val="en-GB"/>
        </w:rPr>
      </w:pPr>
      <w:r w:rsidRPr="009761F1">
        <w:rPr>
          <w:rFonts w:ascii="Avenir Next" w:hAnsi="Avenir Next" w:cs="Arial"/>
          <w:sz w:val="22"/>
          <w:szCs w:val="22"/>
          <w:highlight w:val="yellow"/>
          <w:lang w:val="en-GB"/>
        </w:rPr>
        <w:t>Options (</w:t>
      </w:r>
      <w:proofErr w:type="spellStart"/>
      <w:r w:rsidRPr="009761F1">
        <w:rPr>
          <w:rFonts w:ascii="Avenir Next" w:hAnsi="Avenir Next" w:cs="Arial"/>
          <w:sz w:val="22"/>
          <w:szCs w:val="22"/>
          <w:highlight w:val="yellow"/>
          <w:lang w:val="en-GB"/>
        </w:rPr>
        <w:t>i</w:t>
      </w:r>
      <w:proofErr w:type="spellEnd"/>
      <w:r w:rsidRPr="009761F1">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4D50E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4D50E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4D50E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4D50E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4D50E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4D50E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4D50E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4D50E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4D50E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4D50E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4D50E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9761F1" w:rsidRDefault="003220BA" w:rsidP="004D50EE">
      <w:pPr>
        <w:pStyle w:val="ListParagraph"/>
        <w:numPr>
          <w:ilvl w:val="0"/>
          <w:numId w:val="4"/>
        </w:numPr>
        <w:ind w:left="426" w:hanging="426"/>
        <w:jc w:val="both"/>
        <w:rPr>
          <w:rFonts w:ascii="Avenir Next" w:hAnsi="Avenir Next" w:cs="Arial"/>
          <w:sz w:val="22"/>
          <w:szCs w:val="22"/>
          <w:highlight w:val="yellow"/>
          <w:lang w:val="en-GB"/>
        </w:rPr>
      </w:pPr>
      <w:r w:rsidRPr="009761F1">
        <w:rPr>
          <w:rFonts w:ascii="Avenir Next" w:hAnsi="Avenir Next" w:cs="Arial"/>
          <w:sz w:val="22"/>
          <w:szCs w:val="22"/>
          <w:highlight w:val="yellow"/>
          <w:lang w:val="en-GB"/>
        </w:rPr>
        <w:t>Options (</w:t>
      </w:r>
      <w:proofErr w:type="spellStart"/>
      <w:r w:rsidRPr="009761F1">
        <w:rPr>
          <w:rFonts w:ascii="Avenir Next" w:hAnsi="Avenir Next" w:cs="Arial"/>
          <w:sz w:val="22"/>
          <w:szCs w:val="22"/>
          <w:highlight w:val="yellow"/>
          <w:lang w:val="en-GB"/>
        </w:rPr>
        <w:t>i</w:t>
      </w:r>
      <w:proofErr w:type="spellEnd"/>
      <w:r w:rsidRPr="009761F1">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4D50E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393D95" w:rsidRDefault="009344C1" w:rsidP="004D50EE">
      <w:pPr>
        <w:pStyle w:val="ListParagraph"/>
        <w:numPr>
          <w:ilvl w:val="0"/>
          <w:numId w:val="5"/>
        </w:numPr>
        <w:ind w:left="426" w:hanging="426"/>
        <w:jc w:val="both"/>
        <w:rPr>
          <w:rFonts w:ascii="Avenir Next" w:hAnsi="Avenir Next" w:cs="Arial"/>
          <w:sz w:val="22"/>
          <w:szCs w:val="22"/>
          <w:highlight w:val="yellow"/>
          <w:lang w:val="en-GB"/>
        </w:rPr>
      </w:pPr>
      <w:r w:rsidRPr="00393D95">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4D50EE">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4D50E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4D50E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4D50E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4D50E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4D50E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4D50E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4D50E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393D95" w:rsidRDefault="00F51EE5" w:rsidP="004D50EE">
      <w:pPr>
        <w:pStyle w:val="ListParagraph"/>
        <w:numPr>
          <w:ilvl w:val="0"/>
          <w:numId w:val="6"/>
        </w:numPr>
        <w:ind w:left="426" w:hanging="426"/>
        <w:jc w:val="both"/>
        <w:rPr>
          <w:rFonts w:ascii="Avenir Next" w:hAnsi="Avenir Next" w:cs="Arial"/>
          <w:sz w:val="22"/>
          <w:szCs w:val="22"/>
          <w:highlight w:val="yellow"/>
          <w:lang w:val="en-GB"/>
        </w:rPr>
      </w:pPr>
      <w:r w:rsidRPr="00393D95">
        <w:rPr>
          <w:rFonts w:ascii="Avenir Next" w:hAnsi="Avenir Next" w:cs="Arial"/>
          <w:sz w:val="22"/>
          <w:szCs w:val="22"/>
          <w:highlight w:val="yellow"/>
          <w:lang w:val="en-GB"/>
        </w:rPr>
        <w:t>Options (</w:t>
      </w:r>
      <w:proofErr w:type="spellStart"/>
      <w:r w:rsidRPr="00393D95">
        <w:rPr>
          <w:rFonts w:ascii="Avenir Next" w:hAnsi="Avenir Next" w:cs="Arial"/>
          <w:sz w:val="22"/>
          <w:szCs w:val="22"/>
          <w:highlight w:val="yellow"/>
          <w:lang w:val="en-GB"/>
        </w:rPr>
        <w:t>i</w:t>
      </w:r>
      <w:proofErr w:type="spellEnd"/>
      <w:r w:rsidRPr="00393D9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4D50E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4D50EE">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4D50E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4D50E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4D50E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4D50E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93D95" w:rsidRDefault="0097337E" w:rsidP="004D50EE">
      <w:pPr>
        <w:pStyle w:val="ListParagraph"/>
        <w:numPr>
          <w:ilvl w:val="0"/>
          <w:numId w:val="7"/>
        </w:numPr>
        <w:ind w:left="426" w:hanging="426"/>
        <w:jc w:val="both"/>
        <w:rPr>
          <w:rFonts w:ascii="Avenir Next" w:hAnsi="Avenir Next" w:cs="Arial"/>
          <w:sz w:val="22"/>
          <w:szCs w:val="22"/>
          <w:highlight w:val="yellow"/>
          <w:lang w:val="en-GB"/>
        </w:rPr>
      </w:pPr>
      <w:r w:rsidRPr="00393D95">
        <w:rPr>
          <w:rFonts w:ascii="Avenir Next" w:hAnsi="Avenir Next" w:cs="Arial"/>
          <w:sz w:val="22"/>
          <w:szCs w:val="22"/>
          <w:highlight w:val="yellow"/>
          <w:lang w:val="en-GB"/>
        </w:rPr>
        <w:t>Options (</w:t>
      </w:r>
      <w:proofErr w:type="spellStart"/>
      <w:r w:rsidRPr="00393D95">
        <w:rPr>
          <w:rFonts w:ascii="Avenir Next" w:hAnsi="Avenir Next" w:cs="Arial"/>
          <w:sz w:val="22"/>
          <w:szCs w:val="22"/>
          <w:highlight w:val="yellow"/>
          <w:lang w:val="en-GB"/>
        </w:rPr>
        <w:t>i</w:t>
      </w:r>
      <w:proofErr w:type="spellEnd"/>
      <w:r w:rsidRPr="00393D95">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4D50E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4D50E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4D50E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4D50E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4D50E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4D50E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lastRenderedPageBreak/>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4D50E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4D50E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93D95" w:rsidRDefault="009A58D1" w:rsidP="004D50EE">
      <w:pPr>
        <w:pStyle w:val="ListParagraph"/>
        <w:numPr>
          <w:ilvl w:val="0"/>
          <w:numId w:val="8"/>
        </w:numPr>
        <w:ind w:left="426" w:hanging="426"/>
        <w:jc w:val="both"/>
        <w:rPr>
          <w:rFonts w:ascii="Avenir Next" w:hAnsi="Avenir Next" w:cs="Arial"/>
          <w:sz w:val="22"/>
          <w:szCs w:val="22"/>
          <w:highlight w:val="yellow"/>
          <w:lang w:val="en-GB"/>
        </w:rPr>
      </w:pPr>
      <w:r w:rsidRPr="00393D95">
        <w:rPr>
          <w:rFonts w:ascii="Avenir Next" w:hAnsi="Avenir Next" w:cs="Arial"/>
          <w:sz w:val="22"/>
          <w:szCs w:val="22"/>
          <w:highlight w:val="yellow"/>
          <w:lang w:val="en-GB"/>
        </w:rPr>
        <w:t>Options (iii), (</w:t>
      </w:r>
      <w:proofErr w:type="spellStart"/>
      <w:r w:rsidRPr="00393D95">
        <w:rPr>
          <w:rFonts w:ascii="Avenir Next" w:hAnsi="Avenir Next" w:cs="Arial"/>
          <w:sz w:val="22"/>
          <w:szCs w:val="22"/>
          <w:highlight w:val="yellow"/>
          <w:lang w:val="en-GB"/>
        </w:rPr>
        <w:t>i</w:t>
      </w:r>
      <w:proofErr w:type="spellEnd"/>
      <w:r w:rsidRPr="00393D95">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4D50E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4D50E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4D50E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4D50E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13232" w:rsidRDefault="00C4510C" w:rsidP="004D50EE">
      <w:pPr>
        <w:pStyle w:val="ListParagraph"/>
        <w:numPr>
          <w:ilvl w:val="0"/>
          <w:numId w:val="9"/>
        </w:numPr>
        <w:ind w:left="426" w:hanging="426"/>
        <w:jc w:val="both"/>
        <w:rPr>
          <w:rFonts w:ascii="Avenir Next" w:hAnsi="Avenir Next" w:cs="Arial"/>
          <w:sz w:val="22"/>
          <w:szCs w:val="22"/>
          <w:highlight w:val="yellow"/>
          <w:lang w:val="en-GB"/>
        </w:rPr>
      </w:pPr>
      <w:r w:rsidRPr="00B1323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2CBF262" w14:textId="12625163" w:rsidR="00536A4E" w:rsidRDefault="00B77352" w:rsidP="004958C1">
      <w:pPr>
        <w:ind w:left="142"/>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B13232">
        <w:rPr>
          <w:rFonts w:ascii="Avenir Next" w:hAnsi="Avenir Next" w:cs="Arial"/>
          <w:color w:val="808080" w:themeColor="background1" w:themeShade="80"/>
          <w:sz w:val="22"/>
          <w:szCs w:val="22"/>
          <w:lang w:val="en-GB"/>
        </w:rPr>
        <w:t>The EU Regulation</w:t>
      </w:r>
      <w:r w:rsidR="00E203D4">
        <w:rPr>
          <w:rFonts w:ascii="Avenir Next" w:hAnsi="Avenir Next" w:cs="Arial"/>
          <w:color w:val="808080" w:themeColor="background1" w:themeShade="80"/>
          <w:sz w:val="22"/>
          <w:szCs w:val="22"/>
          <w:lang w:val="en-GB"/>
        </w:rPr>
        <w:t xml:space="preserve"> (EIR) and UNCITRAL Model Law both aim to provide a framework for dealing with</w:t>
      </w:r>
      <w:r w:rsidR="004958C1">
        <w:rPr>
          <w:rFonts w:ascii="Avenir Next" w:hAnsi="Avenir Next" w:cs="Arial"/>
          <w:color w:val="808080" w:themeColor="background1" w:themeShade="80"/>
          <w:sz w:val="22"/>
          <w:szCs w:val="22"/>
          <w:lang w:val="en-GB"/>
        </w:rPr>
        <w:t xml:space="preserve"> </w:t>
      </w:r>
      <w:r w:rsidR="00E203D4">
        <w:rPr>
          <w:rFonts w:ascii="Avenir Next" w:hAnsi="Avenir Next" w:cs="Arial"/>
          <w:color w:val="808080" w:themeColor="background1" w:themeShade="80"/>
          <w:sz w:val="22"/>
          <w:szCs w:val="22"/>
          <w:lang w:val="en-GB"/>
        </w:rPr>
        <w:t>international insolvency scenarios</w:t>
      </w:r>
      <w:r w:rsidR="00536A4E">
        <w:rPr>
          <w:rFonts w:ascii="Avenir Next" w:hAnsi="Avenir Next" w:cs="Arial"/>
          <w:color w:val="808080" w:themeColor="background1" w:themeShade="80"/>
          <w:sz w:val="22"/>
          <w:szCs w:val="22"/>
          <w:lang w:val="en-GB"/>
        </w:rPr>
        <w:t xml:space="preserve">, but they differ in their application and scope. </w:t>
      </w:r>
    </w:p>
    <w:p w14:paraId="29AC44B3" w14:textId="77777777" w:rsidR="00CF7C2F" w:rsidRDefault="00CF7C2F" w:rsidP="004958C1">
      <w:pPr>
        <w:ind w:left="142"/>
        <w:jc w:val="both"/>
        <w:rPr>
          <w:rFonts w:ascii="Avenir Next" w:hAnsi="Avenir Next" w:cs="Arial"/>
          <w:color w:val="808080" w:themeColor="background1" w:themeShade="80"/>
          <w:sz w:val="22"/>
          <w:szCs w:val="22"/>
          <w:lang w:val="en-GB"/>
        </w:rPr>
      </w:pPr>
    </w:p>
    <w:p w14:paraId="2319AAF3" w14:textId="7ECE73BB" w:rsidR="00536A4E" w:rsidRDefault="00536A4E" w:rsidP="004958C1">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applies specifically to insolvency proceedings involving entities with ties to EU member states. It focuses on co</w:t>
      </w:r>
      <w:r w:rsidR="00CF7C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ordination and co</w:t>
      </w:r>
      <w:r w:rsidR="00CF7C2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operation between different EU jurisdictions in cases where a company or individual has assets or creditors in multiple EU countries. </w:t>
      </w:r>
    </w:p>
    <w:p w14:paraId="56F0D411" w14:textId="77777777" w:rsidR="00CF7C2F" w:rsidRDefault="00CF7C2F" w:rsidP="004958C1">
      <w:pPr>
        <w:ind w:left="142"/>
        <w:jc w:val="both"/>
        <w:rPr>
          <w:rFonts w:ascii="Avenir Next" w:hAnsi="Avenir Next" w:cs="Arial"/>
          <w:color w:val="808080" w:themeColor="background1" w:themeShade="80"/>
          <w:sz w:val="22"/>
          <w:szCs w:val="22"/>
          <w:lang w:val="en-GB"/>
        </w:rPr>
      </w:pPr>
    </w:p>
    <w:p w14:paraId="0BF3008B" w14:textId="0A76D8A6" w:rsidR="00B13232" w:rsidRDefault="00536A4E" w:rsidP="004958C1">
      <w:pPr>
        <w:ind w:left="14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MLCBI has a broader scope and is designed to provide a framework for the recognition and cooperation of insolvency proceedings that involve multiple countries, regardless of whether they are within the EU or not. </w:t>
      </w:r>
    </w:p>
    <w:p w14:paraId="2828AC4E" w14:textId="77777777" w:rsidR="00536A4E" w:rsidRDefault="00536A4E" w:rsidP="00536A4E">
      <w:pPr>
        <w:ind w:left="720" w:hanging="720"/>
        <w:jc w:val="both"/>
        <w:rPr>
          <w:rFonts w:ascii="Avenir Next" w:hAnsi="Avenir Next" w:cs="Arial"/>
          <w:color w:val="808080" w:themeColor="background1" w:themeShade="80"/>
          <w:sz w:val="22"/>
          <w:szCs w:val="22"/>
          <w:lang w:val="en-GB"/>
        </w:rPr>
      </w:pPr>
    </w:p>
    <w:p w14:paraId="774881D7" w14:textId="3C3E1CC3" w:rsidR="00536A4E" w:rsidRDefault="00536A4E" w:rsidP="00536A4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benefits of the EIR:</w:t>
      </w:r>
    </w:p>
    <w:p w14:paraId="448B3F5F" w14:textId="77777777" w:rsidR="00536A4E" w:rsidRDefault="00536A4E" w:rsidP="00536A4E">
      <w:pPr>
        <w:ind w:left="720" w:hanging="720"/>
        <w:jc w:val="both"/>
        <w:rPr>
          <w:rFonts w:ascii="Avenir Next" w:hAnsi="Avenir Next" w:cs="Arial"/>
          <w:color w:val="808080" w:themeColor="background1" w:themeShade="80"/>
          <w:sz w:val="22"/>
          <w:szCs w:val="22"/>
          <w:lang w:val="en-GB"/>
        </w:rPr>
      </w:pPr>
    </w:p>
    <w:p w14:paraId="1B82470C" w14:textId="148BAE7A" w:rsidR="00536A4E" w:rsidRDefault="00536A4E" w:rsidP="00536A4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proceedings initiated in one EU member state are generally recognised in other EU member states automatically </w:t>
      </w:r>
    </w:p>
    <w:p w14:paraId="21FE2EB7" w14:textId="03B3BC8B" w:rsidR="00536A4E" w:rsidRDefault="00536A4E" w:rsidP="00536A4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aims to harmonise the rules on cross-border insolvency within the EU </w:t>
      </w:r>
    </w:p>
    <w:p w14:paraId="0B4DD216" w14:textId="77777777" w:rsidR="00536A4E" w:rsidRDefault="00536A4E" w:rsidP="00536A4E">
      <w:pPr>
        <w:pStyle w:val="ListParagraph"/>
        <w:jc w:val="both"/>
        <w:rPr>
          <w:rFonts w:ascii="Avenir Next" w:hAnsi="Avenir Next" w:cs="Arial"/>
          <w:color w:val="808080" w:themeColor="background1" w:themeShade="80"/>
          <w:sz w:val="22"/>
          <w:szCs w:val="22"/>
          <w:lang w:val="en-GB"/>
        </w:rPr>
      </w:pPr>
    </w:p>
    <w:p w14:paraId="4BF92449" w14:textId="500EA405" w:rsidR="00536A4E" w:rsidRDefault="00536A4E" w:rsidP="00536A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Key disadvantages of the EIR:</w:t>
      </w:r>
    </w:p>
    <w:p w14:paraId="7A7096ED" w14:textId="77777777" w:rsidR="00536A4E" w:rsidRDefault="00536A4E" w:rsidP="00536A4E">
      <w:pPr>
        <w:jc w:val="both"/>
        <w:rPr>
          <w:rFonts w:ascii="Avenir Next" w:hAnsi="Avenir Next" w:cs="Arial"/>
          <w:color w:val="808080" w:themeColor="background1" w:themeShade="80"/>
          <w:sz w:val="22"/>
          <w:szCs w:val="22"/>
          <w:lang w:val="en-GB"/>
        </w:rPr>
      </w:pPr>
    </w:p>
    <w:p w14:paraId="56AE412C" w14:textId="289AA820" w:rsidR="00536A4E" w:rsidRDefault="00536A4E" w:rsidP="00536A4E">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Limited scope, it may not be suitable for addressing cross-border insolvencies involving non-EU countries. </w:t>
      </w:r>
    </w:p>
    <w:p w14:paraId="743F8806" w14:textId="227680BE" w:rsidR="00536A4E" w:rsidRDefault="00536A4E" w:rsidP="00536A4E">
      <w:pPr>
        <w:jc w:val="both"/>
        <w:rPr>
          <w:rFonts w:ascii="Avenir Next" w:hAnsi="Avenir Next" w:cs="Arial"/>
          <w:color w:val="808080" w:themeColor="background1" w:themeShade="80"/>
          <w:sz w:val="22"/>
          <w:szCs w:val="22"/>
          <w:lang w:val="en-GB"/>
        </w:rPr>
      </w:pPr>
    </w:p>
    <w:p w14:paraId="12BAD98C" w14:textId="0304FE4E" w:rsidR="00536A4E" w:rsidRDefault="00536A4E" w:rsidP="00536A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Advantages of </w:t>
      </w:r>
      <w:r w:rsidR="00D03646">
        <w:rPr>
          <w:rFonts w:ascii="Avenir Next" w:hAnsi="Avenir Next" w:cs="Arial"/>
          <w:color w:val="808080" w:themeColor="background1" w:themeShade="80"/>
          <w:sz w:val="22"/>
          <w:szCs w:val="22"/>
          <w:lang w:val="en-GB"/>
        </w:rPr>
        <w:t>MLCBI</w:t>
      </w:r>
    </w:p>
    <w:p w14:paraId="210ECF0B" w14:textId="77777777" w:rsidR="00D03646" w:rsidRDefault="00D03646" w:rsidP="00536A4E">
      <w:pPr>
        <w:jc w:val="both"/>
        <w:rPr>
          <w:rFonts w:ascii="Avenir Next" w:hAnsi="Avenir Next" w:cs="Arial"/>
          <w:color w:val="808080" w:themeColor="background1" w:themeShade="80"/>
          <w:sz w:val="22"/>
          <w:szCs w:val="22"/>
          <w:lang w:val="en-GB"/>
        </w:rPr>
      </w:pPr>
    </w:p>
    <w:p w14:paraId="664680E2" w14:textId="1DAE2D8B" w:rsidR="00D03646" w:rsidRDefault="00D03646" w:rsidP="00D0364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Global application. It is designed to facilitate cooperation and coordination in cross-border insolvency proceedings on a global scale, making it suitable for cases involving non-</w:t>
      </w:r>
      <w:r w:rsidR="0031656E">
        <w:rPr>
          <w:rFonts w:ascii="Avenir Next" w:hAnsi="Avenir Next" w:cs="Arial"/>
          <w:color w:val="808080" w:themeColor="background1" w:themeShade="80"/>
          <w:sz w:val="22"/>
          <w:szCs w:val="22"/>
          <w:lang w:val="en-GB"/>
        </w:rPr>
        <w:t xml:space="preserve">EU countries. </w:t>
      </w:r>
    </w:p>
    <w:p w14:paraId="6B1C22D4" w14:textId="2DE69442" w:rsidR="0031656E" w:rsidRDefault="0031656E" w:rsidP="00D0364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 allows for adaption for different legal systems and can be implemented in various jurisdiction</w:t>
      </w:r>
      <w:r w:rsidR="00646BF1">
        <w:rPr>
          <w:rFonts w:ascii="Avenir Next" w:hAnsi="Avenir Next" w:cs="Arial"/>
          <w:color w:val="808080" w:themeColor="background1" w:themeShade="80"/>
          <w:sz w:val="22"/>
          <w:szCs w:val="22"/>
          <w:lang w:val="en-GB"/>
        </w:rPr>
        <w:t xml:space="preserve">s with diverse legal tradition </w:t>
      </w:r>
    </w:p>
    <w:p w14:paraId="007DE6A0" w14:textId="77777777" w:rsidR="00646BF1" w:rsidRDefault="00646BF1" w:rsidP="00646BF1">
      <w:pPr>
        <w:jc w:val="both"/>
        <w:rPr>
          <w:rFonts w:ascii="Avenir Next" w:hAnsi="Avenir Next" w:cs="Arial"/>
          <w:color w:val="808080" w:themeColor="background1" w:themeShade="80"/>
          <w:sz w:val="22"/>
          <w:szCs w:val="22"/>
          <w:lang w:val="en-GB"/>
        </w:rPr>
      </w:pPr>
    </w:p>
    <w:p w14:paraId="1DACE791" w14:textId="71D13591" w:rsidR="00646BF1" w:rsidRDefault="00646BF1" w:rsidP="00646B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Disadvantages of MLCBI</w:t>
      </w:r>
    </w:p>
    <w:p w14:paraId="7B5E51F6" w14:textId="77777777" w:rsidR="00646BF1" w:rsidRDefault="00646BF1" w:rsidP="00646BF1">
      <w:pPr>
        <w:jc w:val="both"/>
        <w:rPr>
          <w:rFonts w:ascii="Avenir Next" w:hAnsi="Avenir Next" w:cs="Arial"/>
          <w:color w:val="808080" w:themeColor="background1" w:themeShade="80"/>
          <w:sz w:val="22"/>
          <w:szCs w:val="22"/>
          <w:lang w:val="en-GB"/>
        </w:rPr>
      </w:pPr>
    </w:p>
    <w:p w14:paraId="502DD432" w14:textId="3735C4B4" w:rsidR="00646BF1" w:rsidRPr="00646BF1" w:rsidRDefault="00646BF1" w:rsidP="00646BF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Varied implementation. While many countries adopted MLCBI, the specifics of its implementation may vary from one jurisdiction to another, even to the extent of rendering it dormant. </w:t>
      </w:r>
      <w:r w:rsidR="00621D3D">
        <w:rPr>
          <w:rFonts w:ascii="Avenir Next" w:hAnsi="Avenir Next" w:cs="Arial"/>
          <w:color w:val="808080" w:themeColor="background1" w:themeShade="80"/>
          <w:sz w:val="22"/>
          <w:szCs w:val="22"/>
          <w:lang w:val="en-GB"/>
        </w:rPr>
        <w:t xml:space="preserve">For example, in South Africa the 2000 Cross-Border Insolvency Act introduced the Model law, </w:t>
      </w:r>
      <w:r>
        <w:rPr>
          <w:rFonts w:ascii="Avenir Next" w:hAnsi="Avenir Next" w:cs="Arial"/>
          <w:color w:val="808080" w:themeColor="background1" w:themeShade="80"/>
          <w:sz w:val="22"/>
          <w:szCs w:val="22"/>
          <w:lang w:val="en-GB"/>
        </w:rPr>
        <w:t xml:space="preserve"> </w:t>
      </w:r>
      <w:r w:rsidR="00621D3D">
        <w:rPr>
          <w:rFonts w:ascii="Avenir Next" w:hAnsi="Avenir Next" w:cs="Arial"/>
          <w:color w:val="808080" w:themeColor="background1" w:themeShade="80"/>
          <w:sz w:val="22"/>
          <w:szCs w:val="22"/>
          <w:lang w:val="en-GB"/>
        </w:rPr>
        <w:t xml:space="preserve">however, it continues to be dormant due to the reciprocity requirement adopted in South Africa.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Default="0001365B" w:rsidP="0001365B">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6C06A2CE" w14:textId="77777777" w:rsidR="002809F3" w:rsidRDefault="002809F3" w:rsidP="0001365B">
      <w:pPr>
        <w:jc w:val="both"/>
        <w:rPr>
          <w:rFonts w:ascii="Avenir Next" w:hAnsi="Avenir Next"/>
          <w:sz w:val="22"/>
          <w:szCs w:val="28"/>
          <w:lang w:val="en-GB"/>
        </w:rPr>
      </w:pPr>
    </w:p>
    <w:p w14:paraId="0FE4FD75" w14:textId="4856FF85" w:rsidR="002809F3" w:rsidRDefault="00C015E7" w:rsidP="000D4BB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822587" w:rsidRPr="000D4BB2">
        <w:rPr>
          <w:rFonts w:ascii="Avenir Next" w:hAnsi="Avenir Next" w:cs="Arial"/>
          <w:color w:val="808080" w:themeColor="background1" w:themeShade="80"/>
          <w:sz w:val="22"/>
          <w:szCs w:val="22"/>
          <w:lang w:val="en-GB"/>
        </w:rPr>
        <w:t>court must</w:t>
      </w:r>
      <w:r w:rsidR="009E263D">
        <w:rPr>
          <w:rFonts w:ascii="Avenir Next" w:hAnsi="Avenir Next" w:cs="Arial"/>
          <w:color w:val="808080" w:themeColor="background1" w:themeShade="80"/>
          <w:sz w:val="22"/>
          <w:szCs w:val="22"/>
          <w:lang w:val="en-GB"/>
        </w:rPr>
        <w:t xml:space="preserve"> consider what is an appropriate balance between the relief that may be granted to the foreign representative and the interest if the persons that may be affected by the relief.  Article 22 mentions the interest of creditors, the debtor and other interested parties. </w:t>
      </w:r>
      <w:r w:rsidR="00822587" w:rsidRPr="000D4BB2">
        <w:rPr>
          <w:rFonts w:ascii="Avenir Next" w:hAnsi="Avenir Next" w:cs="Arial"/>
          <w:color w:val="808080" w:themeColor="background1" w:themeShade="80"/>
          <w:sz w:val="22"/>
          <w:szCs w:val="22"/>
          <w:lang w:val="en-GB"/>
        </w:rPr>
        <w:t xml:space="preserve"> </w:t>
      </w:r>
    </w:p>
    <w:p w14:paraId="293C9F5E" w14:textId="77777777" w:rsidR="009E263D" w:rsidRDefault="009E263D" w:rsidP="009E263D">
      <w:pPr>
        <w:pStyle w:val="ListParagraph"/>
        <w:ind w:left="1429"/>
        <w:jc w:val="both"/>
        <w:rPr>
          <w:rFonts w:ascii="Avenir Next" w:hAnsi="Avenir Next" w:cs="Arial"/>
          <w:color w:val="808080" w:themeColor="background1" w:themeShade="80"/>
          <w:sz w:val="22"/>
          <w:szCs w:val="22"/>
          <w:lang w:val="en-GB"/>
        </w:rPr>
      </w:pPr>
    </w:p>
    <w:p w14:paraId="13ABCF6A" w14:textId="74B93F4A" w:rsidR="009E263D" w:rsidRDefault="009E263D" w:rsidP="000D4BB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ensure that any relief granted under Article 21 is consistent with the domestic insolvency proceedings</w:t>
      </w:r>
    </w:p>
    <w:p w14:paraId="25AB180F" w14:textId="77777777" w:rsidR="0085661D" w:rsidRPr="000D4BB2" w:rsidRDefault="0085661D" w:rsidP="0085661D">
      <w:pPr>
        <w:pStyle w:val="ListParagraph"/>
        <w:ind w:left="1429"/>
        <w:jc w:val="both"/>
        <w:rPr>
          <w:rFonts w:ascii="Avenir Next" w:hAnsi="Avenir Next" w:cs="Arial"/>
          <w:color w:val="808080" w:themeColor="background1" w:themeShade="80"/>
          <w:sz w:val="22"/>
          <w:szCs w:val="22"/>
          <w:lang w:val="en-GB"/>
        </w:rPr>
      </w:pPr>
    </w:p>
    <w:p w14:paraId="64886F40" w14:textId="18131FFD" w:rsidR="00822587" w:rsidRPr="000D4BB2" w:rsidRDefault="009E263D" w:rsidP="000D4BB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w:t>
      </w:r>
      <w:r w:rsidR="00822587" w:rsidRPr="000D4BB2">
        <w:rPr>
          <w:rFonts w:ascii="Avenir Next" w:hAnsi="Avenir Next" w:cs="Arial"/>
          <w:color w:val="808080" w:themeColor="background1" w:themeShade="80"/>
          <w:sz w:val="22"/>
          <w:szCs w:val="22"/>
          <w:lang w:val="en-GB"/>
        </w:rPr>
        <w:t xml:space="preserve">hen granting relief to foreign representatives of a foreign non-main proceedings, </w:t>
      </w:r>
      <w:r w:rsidR="000F501B" w:rsidRPr="000D4BB2">
        <w:rPr>
          <w:rFonts w:ascii="Avenir Next" w:hAnsi="Avenir Next" w:cs="Arial"/>
          <w:color w:val="808080" w:themeColor="background1" w:themeShade="80"/>
          <w:sz w:val="22"/>
          <w:szCs w:val="22"/>
          <w:lang w:val="en-GB"/>
        </w:rPr>
        <w:t>must be satisfied that the relief relates to assets that (under the law of enacti</w:t>
      </w:r>
      <w:r>
        <w:rPr>
          <w:rFonts w:ascii="Avenir Next" w:hAnsi="Avenir Next" w:cs="Arial"/>
          <w:color w:val="808080" w:themeColor="background1" w:themeShade="80"/>
          <w:sz w:val="22"/>
          <w:szCs w:val="22"/>
          <w:lang w:val="en-GB"/>
        </w:rPr>
        <w:t>ng</w:t>
      </w:r>
      <w:r w:rsidR="000F501B" w:rsidRPr="000D4BB2">
        <w:rPr>
          <w:rFonts w:ascii="Avenir Next" w:hAnsi="Avenir Next" w:cs="Arial"/>
          <w:color w:val="808080" w:themeColor="background1" w:themeShade="80"/>
          <w:sz w:val="22"/>
          <w:szCs w:val="22"/>
          <w:lang w:val="en-GB"/>
        </w:rPr>
        <w:t xml:space="preserve"> State) should be administered in the foreign non-main proceedings, or concern information required in that proceedings, i.e. such relief should not interfere with the administration of another insolvency proceedings, in particular the main proceedings. </w:t>
      </w:r>
    </w:p>
    <w:p w14:paraId="0A09C1BB" w14:textId="77777777" w:rsidR="002809F3" w:rsidRDefault="002809F3" w:rsidP="0001365B">
      <w:pPr>
        <w:jc w:val="both"/>
        <w:rPr>
          <w:rFonts w:ascii="Avenir Next" w:hAnsi="Avenir Next"/>
          <w:sz w:val="22"/>
          <w:szCs w:val="28"/>
          <w:lang w:val="en-GB"/>
        </w:rPr>
      </w:pPr>
    </w:p>
    <w:p w14:paraId="61701DD3" w14:textId="528BCDF5" w:rsidR="00867A8F" w:rsidRPr="00E2622D" w:rsidRDefault="00620800" w:rsidP="0007406F">
      <w:pPr>
        <w:jc w:val="both"/>
        <w:rPr>
          <w:rFonts w:ascii="Avenir Next" w:hAnsi="Avenir Next" w:cs="Arial"/>
          <w:sz w:val="22"/>
          <w:szCs w:val="22"/>
          <w:lang w:val="en-GB"/>
        </w:rPr>
      </w:pPr>
      <w:proofErr w:type="spellStart"/>
      <w:r>
        <w:rPr>
          <w:rFonts w:ascii="Avenir Next" w:hAnsi="Avenir Next" w:cs="Arial"/>
          <w:sz w:val="22"/>
          <w:szCs w:val="22"/>
          <w:lang w:val="en-GB"/>
        </w:rPr>
        <w:t>i</w:t>
      </w:r>
      <w:proofErr w:type="spellEnd"/>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9426AC1" w:rsidR="00867A8F" w:rsidRDefault="00867A8F" w:rsidP="000D4BB2">
      <w:pPr>
        <w:ind w:left="720" w:hanging="11"/>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862002">
        <w:rPr>
          <w:rFonts w:ascii="Avenir Next" w:hAnsi="Avenir Next" w:cs="Arial"/>
          <w:color w:val="808080" w:themeColor="background1" w:themeShade="80"/>
          <w:sz w:val="22"/>
          <w:szCs w:val="22"/>
          <w:lang w:val="en-GB"/>
        </w:rPr>
        <w:t xml:space="preserve">Article13  </w:t>
      </w:r>
      <w:r w:rsidR="00620800">
        <w:rPr>
          <w:rFonts w:ascii="Avenir Next" w:hAnsi="Avenir Next" w:cs="Arial"/>
          <w:color w:val="808080" w:themeColor="background1" w:themeShade="80"/>
          <w:sz w:val="22"/>
          <w:szCs w:val="22"/>
          <w:lang w:val="en-GB"/>
        </w:rPr>
        <w:t xml:space="preserve">does include provisions for the recognising  court to  assess the merits of the foreign court’s decision to issue insolvency -related judgments or to consider issued related to the commencement of the insolvency proceedings   </w:t>
      </w:r>
      <w:r w:rsidR="001564BC">
        <w:rPr>
          <w:rFonts w:ascii="Avenir Next" w:hAnsi="Avenir Next" w:cs="Arial"/>
          <w:color w:val="808080" w:themeColor="background1" w:themeShade="80"/>
          <w:sz w:val="22"/>
          <w:szCs w:val="22"/>
          <w:lang w:val="en-GB"/>
        </w:rPr>
        <w:t xml:space="preserve">to which the judgment is related. Article 13 therefore establish clear and predictable criteria for recognition of insolvency judgment, thereby protecting creditor’s interest in the relevant proceedings. </w:t>
      </w:r>
    </w:p>
    <w:p w14:paraId="42707C48" w14:textId="77777777" w:rsidR="00BF16BE" w:rsidRDefault="00BF16BE" w:rsidP="000D4BB2">
      <w:pPr>
        <w:ind w:left="720" w:hanging="11"/>
        <w:jc w:val="both"/>
        <w:rPr>
          <w:rFonts w:ascii="Avenir Next" w:hAnsi="Avenir Next" w:cs="Arial"/>
          <w:color w:val="808080" w:themeColor="background1" w:themeShade="80"/>
          <w:sz w:val="22"/>
          <w:szCs w:val="22"/>
          <w:lang w:val="en-GB"/>
        </w:rPr>
      </w:pPr>
    </w:p>
    <w:p w14:paraId="30906786" w14:textId="1756697C" w:rsidR="00BF16BE" w:rsidRPr="00B77352" w:rsidRDefault="00BF16BE" w:rsidP="000D4BB2">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gives foreign creditors the same rights as creditors </w:t>
      </w:r>
      <w:r w:rsidR="000D4BB2">
        <w:rPr>
          <w:rFonts w:ascii="Avenir Next" w:hAnsi="Avenir Next" w:cs="Arial"/>
          <w:color w:val="808080" w:themeColor="background1" w:themeShade="80"/>
          <w:sz w:val="22"/>
          <w:szCs w:val="22"/>
          <w:lang w:val="en-GB"/>
        </w:rPr>
        <w:t>domiciled</w:t>
      </w:r>
      <w:r>
        <w:rPr>
          <w:rFonts w:ascii="Avenir Next" w:hAnsi="Avenir Next" w:cs="Arial"/>
          <w:color w:val="808080" w:themeColor="background1" w:themeShade="80"/>
          <w:sz w:val="22"/>
          <w:szCs w:val="22"/>
          <w:lang w:val="en-GB"/>
        </w:rPr>
        <w:t xml:space="preserve"> in the enacting state without affecting the ranking of claims in the enacting state.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F892FE9" w14:textId="77777777" w:rsidR="005A2A11" w:rsidRDefault="00867A8F" w:rsidP="00F823B5">
      <w:pPr>
        <w:ind w:left="720" w:hanging="11"/>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C54B5">
        <w:rPr>
          <w:rFonts w:ascii="Avenir Next" w:hAnsi="Avenir Next" w:cs="Arial"/>
          <w:color w:val="808080" w:themeColor="background1" w:themeShade="80"/>
          <w:sz w:val="22"/>
          <w:szCs w:val="22"/>
          <w:lang w:val="en-GB"/>
        </w:rPr>
        <w:t>Article 2</w:t>
      </w:r>
      <w:r w:rsidR="005A2A11">
        <w:rPr>
          <w:rFonts w:ascii="Avenir Next" w:hAnsi="Avenir Next" w:cs="Arial"/>
          <w:color w:val="808080" w:themeColor="background1" w:themeShade="80"/>
          <w:sz w:val="22"/>
          <w:szCs w:val="22"/>
          <w:lang w:val="en-GB"/>
        </w:rPr>
        <w:t xml:space="preserve">0 </w:t>
      </w:r>
      <w:r w:rsidR="00CC54B5">
        <w:rPr>
          <w:rFonts w:ascii="Avenir Next" w:hAnsi="Avenir Next" w:cs="Arial"/>
          <w:color w:val="808080" w:themeColor="background1" w:themeShade="80"/>
          <w:sz w:val="22"/>
          <w:szCs w:val="22"/>
          <w:lang w:val="en-GB"/>
        </w:rPr>
        <w:t>of the Model Law provides for automatic mandatory relief in case the recognised foreign proceeding qualifies as a foreign main proceeding.</w:t>
      </w:r>
      <w:r w:rsidR="00A916F3">
        <w:rPr>
          <w:rFonts w:ascii="Avenir Next" w:hAnsi="Avenir Next" w:cs="Arial"/>
          <w:color w:val="808080" w:themeColor="background1" w:themeShade="80"/>
          <w:sz w:val="22"/>
          <w:szCs w:val="22"/>
          <w:lang w:val="en-GB"/>
        </w:rPr>
        <w:t xml:space="preserve"> The recognition of a foreign main proceeding has the following three automatic effects: (</w:t>
      </w:r>
      <w:proofErr w:type="spellStart"/>
      <w:r w:rsidR="00A916F3">
        <w:rPr>
          <w:rFonts w:ascii="Avenir Next" w:hAnsi="Avenir Next" w:cs="Arial"/>
          <w:color w:val="808080" w:themeColor="background1" w:themeShade="80"/>
          <w:sz w:val="22"/>
          <w:szCs w:val="22"/>
          <w:lang w:val="en-GB"/>
        </w:rPr>
        <w:t>i</w:t>
      </w:r>
      <w:proofErr w:type="spellEnd"/>
      <w:r w:rsidR="00A916F3">
        <w:rPr>
          <w:rFonts w:ascii="Avenir Next" w:hAnsi="Avenir Next" w:cs="Arial"/>
          <w:color w:val="808080" w:themeColor="background1" w:themeShade="80"/>
          <w:sz w:val="22"/>
          <w:szCs w:val="22"/>
          <w:lang w:val="en-GB"/>
        </w:rPr>
        <w:t xml:space="preserve">) a stay of the commencement or continuation of individual action or individual proceedings concerning the debtor’s assets, rights, obligations or liabilities; (ii) a stay of execution against the debtor’s assets; and © a suspension of the right to </w:t>
      </w:r>
      <w:r w:rsidR="00A11353">
        <w:rPr>
          <w:rFonts w:ascii="Avenir Next" w:hAnsi="Avenir Next" w:cs="Arial"/>
          <w:color w:val="808080" w:themeColor="background1" w:themeShade="80"/>
          <w:sz w:val="22"/>
          <w:szCs w:val="22"/>
          <w:lang w:val="en-GB"/>
        </w:rPr>
        <w:t>transfer</w:t>
      </w:r>
      <w:r w:rsidR="00A916F3">
        <w:rPr>
          <w:rFonts w:ascii="Avenir Next" w:hAnsi="Avenir Next" w:cs="Arial"/>
          <w:color w:val="808080" w:themeColor="background1" w:themeShade="80"/>
          <w:sz w:val="22"/>
          <w:szCs w:val="22"/>
          <w:lang w:val="en-GB"/>
        </w:rPr>
        <w:t xml:space="preserve">, encumber or </w:t>
      </w:r>
      <w:r w:rsidR="00A11353">
        <w:rPr>
          <w:rFonts w:ascii="Avenir Next" w:hAnsi="Avenir Next" w:cs="Arial"/>
          <w:color w:val="808080" w:themeColor="background1" w:themeShade="80"/>
          <w:sz w:val="22"/>
          <w:szCs w:val="22"/>
          <w:lang w:val="en-GB"/>
        </w:rPr>
        <w:t>otherwise</w:t>
      </w:r>
      <w:r w:rsidR="00A916F3">
        <w:rPr>
          <w:rFonts w:ascii="Avenir Next" w:hAnsi="Avenir Next" w:cs="Arial"/>
          <w:color w:val="808080" w:themeColor="background1" w:themeShade="80"/>
          <w:sz w:val="22"/>
          <w:szCs w:val="22"/>
          <w:lang w:val="en-GB"/>
        </w:rPr>
        <w:t xml:space="preserve"> dispose of any assets of the debtor.  These automatic consequences are intended to allow time for steps to be taken to organise an orderly and fair cross-border insolvency proceedings. </w:t>
      </w:r>
      <w:r w:rsidR="000B2B19">
        <w:rPr>
          <w:rFonts w:ascii="Avenir Next" w:hAnsi="Avenir Next" w:cs="Arial"/>
          <w:color w:val="808080" w:themeColor="background1" w:themeShade="80"/>
          <w:sz w:val="22"/>
          <w:szCs w:val="22"/>
          <w:lang w:val="en-GB"/>
        </w:rPr>
        <w:t>Additionally, the stay under Article 20 covers actions before an arbitral tribunal, Article 20 in effect establishes a mandatory limitation to the effectiveness of an arbitration agreement</w:t>
      </w:r>
      <w:r w:rsidR="004561FD">
        <w:rPr>
          <w:rFonts w:ascii="Avenir Next" w:hAnsi="Avenir Next" w:cs="Arial"/>
          <w:color w:val="808080" w:themeColor="background1" w:themeShade="80"/>
          <w:sz w:val="22"/>
          <w:szCs w:val="22"/>
          <w:lang w:val="en-GB"/>
        </w:rPr>
        <w:t>.</w:t>
      </w:r>
    </w:p>
    <w:p w14:paraId="03360588" w14:textId="77777777" w:rsidR="005A2A11" w:rsidRDefault="005A2A11" w:rsidP="00F823B5">
      <w:pPr>
        <w:ind w:left="720" w:hanging="11"/>
        <w:jc w:val="both"/>
        <w:rPr>
          <w:rFonts w:ascii="Avenir Next" w:hAnsi="Avenir Next" w:cs="Arial"/>
          <w:color w:val="808080" w:themeColor="background1" w:themeShade="80"/>
          <w:sz w:val="22"/>
          <w:szCs w:val="22"/>
          <w:lang w:val="en-GB"/>
        </w:rPr>
      </w:pPr>
    </w:p>
    <w:p w14:paraId="18F91E21" w14:textId="7CFFFA66" w:rsidR="00867A8F" w:rsidRDefault="00CC5C5C" w:rsidP="00F823B5">
      <w:pPr>
        <w:ind w:left="720" w:hanging="11"/>
        <w:jc w:val="both"/>
        <w:rPr>
          <w:rFonts w:ascii="Avenir Next" w:hAnsi="Avenir Next" w:cs="Arial"/>
          <w:color w:val="808080" w:themeColor="background1" w:themeShade="80"/>
          <w:sz w:val="22"/>
          <w:szCs w:val="22"/>
          <w:lang w:val="en-GB"/>
        </w:rPr>
      </w:pPr>
      <w:r w:rsidRPr="00CC5C5C">
        <w:t xml:space="preserve"> </w:t>
      </w:r>
      <w:r w:rsidR="00CC54B5">
        <w:rPr>
          <w:rFonts w:ascii="Avenir Next" w:hAnsi="Avenir Next" w:cs="Arial"/>
          <w:color w:val="808080" w:themeColor="background1" w:themeShade="80"/>
          <w:sz w:val="22"/>
          <w:szCs w:val="22"/>
          <w:lang w:val="en-GB"/>
        </w:rPr>
        <w:t>If</w:t>
      </w:r>
      <w:r w:rsidRPr="00CC5C5C">
        <w:rPr>
          <w:rFonts w:ascii="Avenir Next" w:hAnsi="Avenir Next" w:cs="Arial"/>
          <w:color w:val="808080" w:themeColor="background1" w:themeShade="80"/>
          <w:sz w:val="22"/>
          <w:szCs w:val="22"/>
          <w:lang w:val="en-GB"/>
        </w:rPr>
        <w:t xml:space="preserve"> the proceedings recognised are non</w:t>
      </w:r>
      <w:r w:rsidR="00E16F21">
        <w:rPr>
          <w:rFonts w:ascii="Avenir Next" w:hAnsi="Avenir Next" w:cs="Arial"/>
          <w:color w:val="808080" w:themeColor="background1" w:themeShade="80"/>
          <w:sz w:val="22"/>
          <w:szCs w:val="22"/>
          <w:lang w:val="en-GB"/>
        </w:rPr>
        <w:t>-</w:t>
      </w:r>
      <w:r w:rsidRPr="00CC5C5C">
        <w:rPr>
          <w:rFonts w:ascii="Avenir Next" w:hAnsi="Avenir Next" w:cs="Arial"/>
          <w:color w:val="808080" w:themeColor="background1" w:themeShade="80"/>
          <w:sz w:val="22"/>
          <w:szCs w:val="22"/>
          <w:lang w:val="en-GB"/>
        </w:rPr>
        <w:t xml:space="preserve">main proceedings there is no automatic stay and the foreign representative  would have to apply for </w:t>
      </w:r>
      <w:r w:rsidR="000B2B19">
        <w:rPr>
          <w:rFonts w:ascii="Avenir Next" w:hAnsi="Avenir Next" w:cs="Arial"/>
          <w:color w:val="808080" w:themeColor="background1" w:themeShade="80"/>
          <w:sz w:val="22"/>
          <w:szCs w:val="22"/>
          <w:lang w:val="en-GB"/>
        </w:rPr>
        <w:t xml:space="preserve">appropriate </w:t>
      </w:r>
      <w:r w:rsidRPr="00CC5C5C">
        <w:rPr>
          <w:rFonts w:ascii="Avenir Next" w:hAnsi="Avenir Next" w:cs="Arial"/>
          <w:color w:val="808080" w:themeColor="background1" w:themeShade="80"/>
          <w:sz w:val="22"/>
          <w:szCs w:val="22"/>
          <w:lang w:val="en-GB"/>
        </w:rPr>
        <w:t xml:space="preserve"> relief under Article 21.</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135DD75" w14:textId="6821CA3B" w:rsidR="00227411" w:rsidRDefault="00867A8F" w:rsidP="0078737B">
      <w:pPr>
        <w:ind w:left="720" w:hanging="11"/>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C74D9">
        <w:rPr>
          <w:rFonts w:ascii="Avenir Next" w:hAnsi="Avenir Next" w:cs="Arial"/>
          <w:color w:val="808080" w:themeColor="background1" w:themeShade="80"/>
          <w:sz w:val="22"/>
          <w:szCs w:val="22"/>
          <w:lang w:val="en-GB"/>
        </w:rPr>
        <w:t xml:space="preserve">With the proceedings opened in </w:t>
      </w:r>
      <w:r w:rsidR="00266EA6">
        <w:rPr>
          <w:rFonts w:ascii="Avenir Next" w:hAnsi="Avenir Next" w:cs="Arial"/>
          <w:color w:val="808080" w:themeColor="background1" w:themeShade="80"/>
          <w:sz w:val="22"/>
          <w:szCs w:val="22"/>
          <w:lang w:val="en-GB"/>
        </w:rPr>
        <w:t>Germany and Bermuda, the foreign proceedings must have been filed in the US</w:t>
      </w:r>
      <w:r w:rsidR="00CE6612">
        <w:rPr>
          <w:rFonts w:ascii="Avenir Next" w:hAnsi="Avenir Next" w:cs="Arial"/>
          <w:color w:val="808080" w:themeColor="background1" w:themeShade="80"/>
          <w:sz w:val="22"/>
          <w:szCs w:val="22"/>
          <w:lang w:val="en-GB"/>
        </w:rPr>
        <w:t xml:space="preserve"> </w:t>
      </w:r>
      <w:r w:rsidR="00AB08DB">
        <w:rPr>
          <w:rFonts w:ascii="Avenir Next" w:hAnsi="Avenir Next" w:cs="Arial"/>
          <w:color w:val="808080" w:themeColor="background1" w:themeShade="80"/>
          <w:sz w:val="22"/>
          <w:szCs w:val="22"/>
          <w:lang w:val="en-GB"/>
        </w:rPr>
        <w:t>to recognise the Germany and Bermuda proceedings respectively</w:t>
      </w:r>
      <w:r w:rsidR="00636BCA">
        <w:rPr>
          <w:rFonts w:ascii="Avenir Next" w:hAnsi="Avenir Next" w:cs="Arial"/>
          <w:color w:val="808080" w:themeColor="background1" w:themeShade="80"/>
          <w:sz w:val="22"/>
          <w:szCs w:val="22"/>
          <w:lang w:val="en-GB"/>
        </w:rPr>
        <w:t>(the Proceedings)</w:t>
      </w:r>
      <w:r w:rsidR="00AB08DB">
        <w:rPr>
          <w:rFonts w:ascii="Avenir Next" w:hAnsi="Avenir Next" w:cs="Arial"/>
          <w:color w:val="808080" w:themeColor="background1" w:themeShade="80"/>
          <w:sz w:val="22"/>
          <w:szCs w:val="22"/>
          <w:lang w:val="en-GB"/>
        </w:rPr>
        <w:t xml:space="preserve">. </w:t>
      </w:r>
    </w:p>
    <w:p w14:paraId="64EB08DD" w14:textId="03DE8C37" w:rsidR="00DC501A" w:rsidRDefault="00636BCA" w:rsidP="0078737B">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proceedings in the US have been opened, which means that the US Court had completed its assessment </w:t>
      </w:r>
      <w:r w:rsidR="00DC501A">
        <w:rPr>
          <w:rFonts w:ascii="Avenir Next" w:hAnsi="Avenir Next" w:cs="Arial"/>
          <w:color w:val="808080" w:themeColor="background1" w:themeShade="80"/>
          <w:sz w:val="22"/>
          <w:szCs w:val="22"/>
          <w:lang w:val="en-GB"/>
        </w:rPr>
        <w:t>pursuant to Article 17 (1) (a) and (b) of the Model Law</w:t>
      </w:r>
      <w:r>
        <w:rPr>
          <w:rFonts w:ascii="Avenir Next" w:hAnsi="Avenir Next" w:cs="Arial"/>
          <w:color w:val="808080" w:themeColor="background1" w:themeShade="80"/>
          <w:sz w:val="22"/>
          <w:szCs w:val="22"/>
          <w:lang w:val="en-GB"/>
        </w:rPr>
        <w:t xml:space="preserve"> to confirm whether the Proceedings mee all the required characteristic; and there were no grounds to confirm</w:t>
      </w:r>
      <w:r w:rsidR="00274261">
        <w:rPr>
          <w:rFonts w:ascii="Avenir Next" w:hAnsi="Avenir Next" w:cs="Arial"/>
          <w:color w:val="808080" w:themeColor="background1" w:themeShade="80"/>
          <w:sz w:val="22"/>
          <w:szCs w:val="22"/>
          <w:lang w:val="en-GB"/>
        </w:rPr>
        <w:t xml:space="preserve"> invoke the public policy exception under Article 6 of the Model Law.  </w:t>
      </w:r>
    </w:p>
    <w:p w14:paraId="59C16AD8" w14:textId="47365430" w:rsidR="00DC501A" w:rsidRDefault="00274261" w:rsidP="0078737B">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court will then need to confirm</w:t>
      </w:r>
      <w:r w:rsidR="00C85CE1">
        <w:rPr>
          <w:rFonts w:ascii="Avenir Next" w:hAnsi="Avenir Next" w:cs="Arial"/>
          <w:color w:val="808080" w:themeColor="background1" w:themeShade="80"/>
          <w:sz w:val="22"/>
          <w:szCs w:val="22"/>
          <w:lang w:val="en-GB"/>
        </w:rPr>
        <w:t xml:space="preserve">, </w:t>
      </w:r>
      <w:r w:rsidR="00C318FB">
        <w:rPr>
          <w:rFonts w:ascii="Avenir Next" w:hAnsi="Avenir Next" w:cs="Arial"/>
          <w:color w:val="808080" w:themeColor="background1" w:themeShade="80"/>
          <w:sz w:val="22"/>
          <w:szCs w:val="22"/>
          <w:lang w:val="en-GB"/>
        </w:rPr>
        <w:t xml:space="preserve">in accordance with Article 17 (2) of the Model Law, whether the debtor’s COMI is indeed in Germany where the proceedings were opened, in which case the German Proceedings can be recognised as foreign main proceedings.  </w:t>
      </w:r>
    </w:p>
    <w:p w14:paraId="575FB1ED" w14:textId="2237050A" w:rsidR="00E34554" w:rsidRDefault="00E34554" w:rsidP="0078737B">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proceedings in Bermuda, where the debtor has an establishment, can be recognised as foreign non-main proceedings. </w:t>
      </w:r>
    </w:p>
    <w:p w14:paraId="41C534A3" w14:textId="3E674A20" w:rsidR="001556A3" w:rsidRDefault="00CD458C" w:rsidP="0078737B">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of the German proceedings as main proceedings in the US unlocks automatic mandatory relief which entails the following: </w:t>
      </w:r>
    </w:p>
    <w:p w14:paraId="07A84666" w14:textId="1CE9FC26" w:rsidR="001556A3" w:rsidRDefault="001556A3" w:rsidP="0078737B">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commencement or continuation of proceedings concerning the debtor’s assets, right, liabilities and obligations; </w:t>
      </w:r>
    </w:p>
    <w:p w14:paraId="2305A324" w14:textId="6D8CD5F4" w:rsidR="001556A3" w:rsidRDefault="001556A3" w:rsidP="0078737B">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execution against the debtor’s assets; and </w:t>
      </w:r>
    </w:p>
    <w:p w14:paraId="3CADFC75" w14:textId="17DB3590" w:rsidR="001556A3" w:rsidRDefault="001556A3" w:rsidP="0078737B">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suspension of the right to transfer or otherwise dispose of any assets of the debtor. </w:t>
      </w:r>
    </w:p>
    <w:p w14:paraId="2ADC2E3E" w14:textId="77777777" w:rsidR="001556A3" w:rsidRDefault="001556A3" w:rsidP="001556A3">
      <w:pPr>
        <w:jc w:val="both"/>
        <w:rPr>
          <w:rFonts w:ascii="Avenir Next" w:hAnsi="Avenir Next" w:cs="Arial"/>
          <w:color w:val="808080" w:themeColor="background1" w:themeShade="80"/>
          <w:sz w:val="22"/>
          <w:szCs w:val="22"/>
          <w:lang w:val="en-GB"/>
        </w:rPr>
      </w:pPr>
    </w:p>
    <w:p w14:paraId="0A16CD0E" w14:textId="77777777" w:rsidR="001556A3" w:rsidRDefault="001556A3" w:rsidP="001556A3">
      <w:pPr>
        <w:jc w:val="both"/>
        <w:rPr>
          <w:rFonts w:ascii="Avenir Next" w:hAnsi="Avenir Next" w:cs="Arial"/>
          <w:color w:val="808080" w:themeColor="background1" w:themeShade="80"/>
          <w:sz w:val="22"/>
          <w:szCs w:val="22"/>
          <w:lang w:val="en-GB"/>
        </w:rPr>
      </w:pPr>
    </w:p>
    <w:p w14:paraId="5774A6B0" w14:textId="177BD050" w:rsidR="001556A3" w:rsidRPr="001556A3" w:rsidRDefault="001556A3" w:rsidP="0078737B">
      <w:pPr>
        <w:ind w:left="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Automatic mandatory relief will not be available in respect of the Bermuda proceedings. </w:t>
      </w:r>
    </w:p>
    <w:p w14:paraId="7EE6CFBA" w14:textId="0576C716" w:rsidR="0052153D" w:rsidRDefault="005B41DC" w:rsidP="0078737B">
      <w:pPr>
        <w:ind w:left="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0741A2">
        <w:rPr>
          <w:rFonts w:ascii="Avenir Next" w:hAnsi="Avenir Next" w:cs="Arial"/>
          <w:color w:val="808080" w:themeColor="background1" w:themeShade="80"/>
          <w:sz w:val="22"/>
          <w:szCs w:val="22"/>
          <w:lang w:val="en-GB"/>
        </w:rPr>
        <w:t xml:space="preserve"> US court, according to </w:t>
      </w:r>
      <w:r w:rsidR="004C01D6">
        <w:rPr>
          <w:rFonts w:ascii="Avenir Next" w:hAnsi="Avenir Next" w:cs="Arial"/>
          <w:color w:val="808080" w:themeColor="background1" w:themeShade="80"/>
          <w:sz w:val="22"/>
          <w:szCs w:val="22"/>
          <w:lang w:val="en-GB"/>
        </w:rPr>
        <w:t>Article</w:t>
      </w:r>
      <w:r w:rsidR="004E5D76">
        <w:rPr>
          <w:rFonts w:ascii="Avenir Next" w:hAnsi="Avenir Next" w:cs="Arial"/>
          <w:color w:val="808080" w:themeColor="background1" w:themeShade="80"/>
          <w:sz w:val="22"/>
          <w:szCs w:val="22"/>
          <w:lang w:val="en-GB"/>
        </w:rPr>
        <w:t xml:space="preserve"> </w:t>
      </w:r>
      <w:r w:rsidR="004C01D6">
        <w:rPr>
          <w:rFonts w:ascii="Avenir Next" w:hAnsi="Avenir Next" w:cs="Arial"/>
          <w:color w:val="808080" w:themeColor="background1" w:themeShade="80"/>
          <w:sz w:val="22"/>
          <w:szCs w:val="22"/>
          <w:lang w:val="en-GB"/>
        </w:rPr>
        <w:t>22 of the Model</w:t>
      </w:r>
      <w:r w:rsidR="000741A2">
        <w:rPr>
          <w:rFonts w:ascii="Avenir Next" w:hAnsi="Avenir Next" w:cs="Arial"/>
          <w:color w:val="808080" w:themeColor="background1" w:themeShade="80"/>
          <w:sz w:val="22"/>
          <w:szCs w:val="22"/>
          <w:lang w:val="en-GB"/>
        </w:rPr>
        <w:t xml:space="preserve"> Law, </w:t>
      </w:r>
      <w:r w:rsidR="00F84ABD">
        <w:rPr>
          <w:rFonts w:ascii="Avenir Next" w:hAnsi="Avenir Next" w:cs="Arial"/>
          <w:color w:val="808080" w:themeColor="background1" w:themeShade="80"/>
          <w:sz w:val="22"/>
          <w:szCs w:val="22"/>
          <w:lang w:val="en-GB"/>
        </w:rPr>
        <w:t xml:space="preserve">must be satisfied that the interest of the debtor’s creditors and other interested parties are adequately protected. Accordingly, the US court has the power to subject relief to conditions it considers appropriate and at the request of the foreign representative or an affected person the court may further modify or terminate the relief. </w:t>
      </w:r>
    </w:p>
    <w:p w14:paraId="015F4BEE" w14:textId="77777777" w:rsidR="000741A2" w:rsidRDefault="000741A2" w:rsidP="00C04242">
      <w:pPr>
        <w:jc w:val="both"/>
        <w:rPr>
          <w:rFonts w:ascii="Avenir Next" w:hAnsi="Avenir Next" w:cs="Arial"/>
          <w:color w:val="808080" w:themeColor="background1" w:themeShade="80"/>
          <w:sz w:val="22"/>
          <w:szCs w:val="22"/>
          <w:lang w:val="en-GB"/>
        </w:rPr>
      </w:pPr>
    </w:p>
    <w:p w14:paraId="08475351" w14:textId="276FE6FE" w:rsidR="00867A8F" w:rsidRDefault="00C04242" w:rsidP="00CF6DFB">
      <w:pPr>
        <w:ind w:left="720" w:hanging="15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331097">
        <w:rPr>
          <w:rFonts w:ascii="Avenir Next" w:hAnsi="Avenir Next" w:cs="Arial"/>
          <w:color w:val="808080" w:themeColor="background1" w:themeShade="80"/>
          <w:sz w:val="22"/>
          <w:szCs w:val="22"/>
          <w:lang w:val="en-GB"/>
        </w:rPr>
        <w:t>Once the proceedings are recognised, s</w:t>
      </w:r>
      <w:r w:rsidR="00C040AE">
        <w:rPr>
          <w:rFonts w:ascii="Avenir Next" w:hAnsi="Avenir Next" w:cs="Arial"/>
          <w:color w:val="808080" w:themeColor="background1" w:themeShade="80"/>
          <w:sz w:val="22"/>
          <w:szCs w:val="22"/>
          <w:lang w:val="en-GB"/>
        </w:rPr>
        <w:t>ignificant cost and time can be saved and complication avoided as the foreign repre</w:t>
      </w:r>
      <w:r w:rsidR="00EE44B6">
        <w:rPr>
          <w:rFonts w:ascii="Avenir Next" w:hAnsi="Avenir Next" w:cs="Arial"/>
          <w:color w:val="808080" w:themeColor="background1" w:themeShade="80"/>
          <w:sz w:val="22"/>
          <w:szCs w:val="22"/>
          <w:lang w:val="en-GB"/>
        </w:rPr>
        <w:t>sentative – through the recognition process – is able to request tailor -made relief without the need to commence local insolvency proceedings.  Fo</w:t>
      </w:r>
      <w:r w:rsidR="00E33730">
        <w:rPr>
          <w:rFonts w:ascii="Avenir Next" w:hAnsi="Avenir Next" w:cs="Arial"/>
          <w:color w:val="808080" w:themeColor="background1" w:themeShade="80"/>
          <w:sz w:val="22"/>
          <w:szCs w:val="22"/>
          <w:lang w:val="en-GB"/>
        </w:rPr>
        <w:t>r</w:t>
      </w:r>
      <w:r w:rsidR="00EE44B6">
        <w:rPr>
          <w:rFonts w:ascii="Avenir Next" w:hAnsi="Avenir Next" w:cs="Arial"/>
          <w:color w:val="808080" w:themeColor="background1" w:themeShade="80"/>
          <w:sz w:val="22"/>
          <w:szCs w:val="22"/>
          <w:lang w:val="en-GB"/>
        </w:rPr>
        <w:t xml:space="preserve"> example, </w:t>
      </w:r>
      <w:r w:rsidR="00E33730">
        <w:rPr>
          <w:rFonts w:ascii="Avenir Next" w:hAnsi="Avenir Next" w:cs="Arial"/>
          <w:color w:val="808080" w:themeColor="background1" w:themeShade="80"/>
          <w:sz w:val="22"/>
          <w:szCs w:val="22"/>
          <w:lang w:val="en-GB"/>
        </w:rPr>
        <w:t>German/Bermudian</w:t>
      </w:r>
      <w:r w:rsidR="00EE44B6">
        <w:rPr>
          <w:rFonts w:ascii="Avenir Next" w:hAnsi="Avenir Next" w:cs="Arial"/>
          <w:color w:val="808080" w:themeColor="background1" w:themeShade="80"/>
          <w:sz w:val="22"/>
          <w:szCs w:val="22"/>
          <w:lang w:val="en-GB"/>
        </w:rPr>
        <w:t xml:space="preserve"> </w:t>
      </w:r>
      <w:r w:rsidR="006979B1">
        <w:rPr>
          <w:rFonts w:ascii="Avenir Next" w:hAnsi="Avenir Next" w:cs="Arial"/>
          <w:color w:val="808080" w:themeColor="background1" w:themeShade="80"/>
          <w:sz w:val="22"/>
          <w:szCs w:val="22"/>
          <w:lang w:val="en-GB"/>
        </w:rPr>
        <w:t>representative</w:t>
      </w:r>
      <w:r w:rsidR="00EE44B6">
        <w:rPr>
          <w:rFonts w:ascii="Avenir Next" w:hAnsi="Avenir Next" w:cs="Arial"/>
          <w:color w:val="808080" w:themeColor="background1" w:themeShade="80"/>
          <w:sz w:val="22"/>
          <w:szCs w:val="22"/>
          <w:lang w:val="en-GB"/>
        </w:rPr>
        <w:t xml:space="preserve"> </w:t>
      </w:r>
      <w:r w:rsidR="00E33730">
        <w:rPr>
          <w:rFonts w:ascii="Avenir Next" w:hAnsi="Avenir Next" w:cs="Arial"/>
          <w:color w:val="808080" w:themeColor="background1" w:themeShade="80"/>
          <w:sz w:val="22"/>
          <w:szCs w:val="22"/>
          <w:lang w:val="en-GB"/>
        </w:rPr>
        <w:t>will</w:t>
      </w:r>
      <w:r w:rsidR="00EE44B6">
        <w:rPr>
          <w:rFonts w:ascii="Avenir Next" w:hAnsi="Avenir Next" w:cs="Arial"/>
          <w:color w:val="808080" w:themeColor="background1" w:themeShade="80"/>
          <w:sz w:val="22"/>
          <w:szCs w:val="22"/>
          <w:lang w:val="en-GB"/>
        </w:rPr>
        <w:t xml:space="preserve"> be able to seek powers allowing the </w:t>
      </w:r>
      <w:r w:rsidR="00E33730">
        <w:rPr>
          <w:rFonts w:ascii="Avenir Next" w:hAnsi="Avenir Next" w:cs="Arial"/>
          <w:color w:val="808080" w:themeColor="background1" w:themeShade="80"/>
          <w:sz w:val="22"/>
          <w:szCs w:val="22"/>
          <w:lang w:val="en-GB"/>
        </w:rPr>
        <w:t>examination</w:t>
      </w:r>
      <w:r w:rsidR="00EE44B6">
        <w:rPr>
          <w:rFonts w:ascii="Avenir Next" w:hAnsi="Avenir Next" w:cs="Arial"/>
          <w:color w:val="808080" w:themeColor="background1" w:themeShade="80"/>
          <w:sz w:val="22"/>
          <w:szCs w:val="22"/>
          <w:lang w:val="en-GB"/>
        </w:rPr>
        <w:t xml:space="preserve"> of witnesses,  taking evidence, or the delivery of information concerning the debtor’s assets, liabilities and affaires more generally. </w:t>
      </w:r>
      <w:r w:rsidR="00867A8F" w:rsidRPr="00B77352">
        <w:rPr>
          <w:rFonts w:ascii="Avenir Next" w:hAnsi="Avenir Next" w:cs="Arial"/>
          <w:color w:val="808080" w:themeColor="background1" w:themeShade="80"/>
          <w:sz w:val="22"/>
          <w:szCs w:val="22"/>
          <w:lang w:val="en-GB"/>
        </w:rPr>
        <w:t>]</w:t>
      </w:r>
    </w:p>
    <w:p w14:paraId="1BF07ADD" w14:textId="77777777" w:rsidR="0045138F" w:rsidRDefault="0045138F"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5A407E">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5D0C0B21" w14:textId="430D9BB8" w:rsidR="00AE3761" w:rsidRDefault="00AE3761" w:rsidP="001C0188">
      <w:pPr>
        <w:jc w:val="both"/>
        <w:rPr>
          <w:rFonts w:ascii="Avenir Next" w:hAnsi="Avenir Next" w:cs="Arial"/>
          <w:sz w:val="22"/>
          <w:szCs w:val="28"/>
        </w:rPr>
      </w:pPr>
    </w:p>
    <w:p w14:paraId="47594532" w14:textId="6D3AC090" w:rsidR="00622C2B" w:rsidRPr="00FE25D6" w:rsidRDefault="00622C2B" w:rsidP="00707FC8">
      <w:pPr>
        <w:jc w:val="both"/>
        <w:rPr>
          <w:rFonts w:ascii="Avenir Next" w:hAnsi="Avenir Next" w:cs="Arial"/>
          <w:i/>
          <w:iCs/>
          <w:sz w:val="22"/>
          <w:szCs w:val="22"/>
          <w:lang w:val="en-GB"/>
        </w:rPr>
      </w:pPr>
    </w:p>
    <w:p w14:paraId="76FCF226" w14:textId="1273179B" w:rsidR="007B4AA1" w:rsidRPr="00FE25D6" w:rsidRDefault="007B4AA1" w:rsidP="00FE25D6">
      <w:pPr>
        <w:jc w:val="both"/>
        <w:rPr>
          <w:rFonts w:ascii="Avenir Next" w:hAnsi="Avenir Next" w:cs="Arial"/>
          <w:i/>
          <w:iCs/>
          <w:color w:val="808080" w:themeColor="background1" w:themeShade="80"/>
          <w:sz w:val="22"/>
          <w:szCs w:val="22"/>
          <w:lang w:val="en-GB"/>
        </w:rPr>
      </w:pPr>
      <w:r w:rsidRPr="00FE25D6">
        <w:rPr>
          <w:rFonts w:ascii="Avenir Next" w:hAnsi="Avenir Next" w:cs="Arial"/>
          <w:i/>
          <w:iCs/>
          <w:color w:val="808080" w:themeColor="background1" w:themeShade="80"/>
          <w:sz w:val="22"/>
          <w:szCs w:val="22"/>
          <w:lang w:val="en-GB"/>
        </w:rPr>
        <w:t>Default Position</w:t>
      </w:r>
    </w:p>
    <w:p w14:paraId="56624D3E" w14:textId="4DFF6719" w:rsidR="003F3436" w:rsidRDefault="003F3436" w:rsidP="00FE25D6">
      <w:pPr>
        <w:ind w:left="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7C5527">
        <w:rPr>
          <w:rFonts w:ascii="Avenir Next" w:hAnsi="Avenir Next" w:cs="Arial"/>
          <w:color w:val="808080" w:themeColor="background1" w:themeShade="80"/>
          <w:sz w:val="22"/>
          <w:szCs w:val="22"/>
          <w:lang w:val="en-GB"/>
        </w:rPr>
        <w:t>Article 10 of the Model Law provides that “</w:t>
      </w:r>
      <w:r w:rsidR="007C5527" w:rsidRPr="00021E01">
        <w:rPr>
          <w:rFonts w:ascii="Avenir Next" w:hAnsi="Avenir Next" w:cs="Arial"/>
          <w:i/>
          <w:iCs/>
          <w:color w:val="808080" w:themeColor="background1" w:themeShade="80"/>
          <w:sz w:val="22"/>
          <w:szCs w:val="22"/>
          <w:lang w:val="en-GB"/>
        </w:rPr>
        <w:t>the sole fact that an application pursuant to this Law is made to a court in this State by a foreign representative does not subject the foreign representative or the foreign assets and affairs of the debtor to the jurisdiction of the courts of this State for any purpose other than the application</w:t>
      </w:r>
      <w:r w:rsidR="007C5527" w:rsidRPr="007C5527">
        <w:rPr>
          <w:rFonts w:ascii="Avenir Next" w:hAnsi="Avenir Next" w:cs="Arial"/>
          <w:color w:val="808080" w:themeColor="background1" w:themeShade="80"/>
          <w:sz w:val="22"/>
          <w:szCs w:val="22"/>
          <w:lang w:val="en-GB"/>
        </w:rPr>
        <w:t>.</w:t>
      </w:r>
      <w:r w:rsidR="00395931">
        <w:rPr>
          <w:rFonts w:ascii="Avenir Next" w:hAnsi="Avenir Next" w:cs="Arial"/>
          <w:color w:val="808080" w:themeColor="background1" w:themeShade="80"/>
          <w:sz w:val="22"/>
          <w:szCs w:val="22"/>
          <w:lang w:val="en-GB"/>
        </w:rPr>
        <w:t xml:space="preserve">” </w:t>
      </w:r>
      <w:r w:rsidR="00DA768D">
        <w:rPr>
          <w:rFonts w:ascii="Avenir Next" w:hAnsi="Avenir Next" w:cs="Arial"/>
          <w:color w:val="808080" w:themeColor="background1" w:themeShade="80"/>
          <w:sz w:val="22"/>
          <w:szCs w:val="22"/>
          <w:lang w:val="en-GB"/>
        </w:rPr>
        <w:t xml:space="preserve"> </w:t>
      </w:r>
      <w:r w:rsidR="006F588C">
        <w:rPr>
          <w:rFonts w:ascii="Avenir Next" w:hAnsi="Avenir Next" w:cs="Arial"/>
          <w:color w:val="808080" w:themeColor="background1" w:themeShade="80"/>
          <w:sz w:val="22"/>
          <w:szCs w:val="22"/>
          <w:lang w:val="en-GB"/>
        </w:rPr>
        <w:t xml:space="preserve">UNCITRAL Case Digest states that </w:t>
      </w:r>
      <w:r w:rsidR="006F588C" w:rsidRPr="009974EC">
        <w:rPr>
          <w:rFonts w:ascii="Avenir Next" w:hAnsi="Avenir Next" w:cs="Arial"/>
          <w:color w:val="808080" w:themeColor="background1" w:themeShade="80"/>
          <w:sz w:val="22"/>
          <w:szCs w:val="22"/>
          <w:lang w:val="en-GB"/>
        </w:rPr>
        <w:t xml:space="preserve">article 10 constitutes a “safe conduct” rule aimed at ensuring that the court in the enacting State does not assume jurisdiction over all the assets of the debtor on the sole ground that the foreign representative has made an application for recognition of a foreign proceeding. The limitation is not, however, absolute and is only intended to shield the foreign representative to the extent necessary to make court access a meaningful proposition. </w:t>
      </w:r>
    </w:p>
    <w:p w14:paraId="0C7991EB" w14:textId="77777777" w:rsidR="00FE25D6" w:rsidRDefault="00FE25D6" w:rsidP="00FE25D6">
      <w:pPr>
        <w:ind w:left="284"/>
        <w:jc w:val="both"/>
        <w:rPr>
          <w:rFonts w:ascii="Avenir Next" w:hAnsi="Avenir Next" w:cs="Arial"/>
          <w:color w:val="808080" w:themeColor="background1" w:themeShade="80"/>
          <w:sz w:val="22"/>
          <w:szCs w:val="22"/>
          <w:lang w:val="en-GB"/>
        </w:rPr>
      </w:pPr>
    </w:p>
    <w:p w14:paraId="181A4134" w14:textId="79496644" w:rsidR="003F3436" w:rsidRDefault="003F3436" w:rsidP="00FE25D6">
      <w:pPr>
        <w:jc w:val="both"/>
        <w:rPr>
          <w:rFonts w:ascii="Avenir Next" w:hAnsi="Avenir Next" w:cs="Arial"/>
          <w:i/>
          <w:iCs/>
          <w:color w:val="808080" w:themeColor="background1" w:themeShade="80"/>
          <w:sz w:val="22"/>
          <w:szCs w:val="22"/>
          <w:lang w:val="en-GB"/>
        </w:rPr>
      </w:pPr>
      <w:r w:rsidRPr="00FE25D6">
        <w:rPr>
          <w:rFonts w:ascii="Avenir Next" w:hAnsi="Avenir Next" w:cs="Arial"/>
          <w:i/>
          <w:iCs/>
          <w:color w:val="808080" w:themeColor="background1" w:themeShade="80"/>
          <w:sz w:val="22"/>
          <w:szCs w:val="22"/>
          <w:lang w:val="en-GB"/>
        </w:rPr>
        <w:t>Potential Abuse of Process</w:t>
      </w:r>
    </w:p>
    <w:p w14:paraId="50CBC8C8" w14:textId="77777777" w:rsidR="00FE25D6" w:rsidRPr="00FE25D6" w:rsidRDefault="00FE25D6" w:rsidP="00FE25D6">
      <w:pPr>
        <w:jc w:val="both"/>
        <w:rPr>
          <w:rFonts w:ascii="Avenir Next" w:hAnsi="Avenir Next" w:cs="Arial"/>
          <w:i/>
          <w:iCs/>
          <w:color w:val="808080" w:themeColor="background1" w:themeShade="80"/>
          <w:sz w:val="22"/>
          <w:szCs w:val="22"/>
          <w:lang w:val="en-GB"/>
        </w:rPr>
      </w:pPr>
    </w:p>
    <w:p w14:paraId="3937CDFF" w14:textId="15A5C651" w:rsidR="00867A8F" w:rsidRPr="00B77352" w:rsidRDefault="00E009F5" w:rsidP="00FE25D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Model Law does not explicitly prevent a court in the enacting State from responding to a perceived abuse of process. A foreign representative has an obligation of full and frank disclosure to the Court in the enacting State.  As confirmed in </w:t>
      </w:r>
      <w:r w:rsidR="00694FF9" w:rsidRPr="00FE25D6">
        <w:rPr>
          <w:rFonts w:ascii="Avenir Next" w:hAnsi="Avenir Next" w:cs="Arial"/>
          <w:color w:val="808080" w:themeColor="background1" w:themeShade="80"/>
          <w:sz w:val="22"/>
          <w:szCs w:val="22"/>
          <w:lang w:val="en-GB"/>
        </w:rPr>
        <w:t>CSL Australia v Britannia Bulkers A/S, case No. 08-15187 (S.D.N.Y. Sept. 8, 2009</w:t>
      </w:r>
      <w:r w:rsidR="00694FF9" w:rsidRPr="00593139">
        <w:rPr>
          <w:rFonts w:ascii="Avenir Next" w:hAnsi="Avenir Next" w:cs="Arial"/>
          <w:color w:val="808080" w:themeColor="background1" w:themeShade="80"/>
          <w:sz w:val="22"/>
          <w:szCs w:val="22"/>
          <w:lang w:val="en-GB"/>
        </w:rPr>
        <w:t xml:space="preserve">) – United States Bankruptcy Code, 11 U.S.C. sect. 1509 (e), provides that subject to </w:t>
      </w:r>
      <w:r>
        <w:rPr>
          <w:rFonts w:ascii="Avenir Next" w:hAnsi="Avenir Next" w:cs="Arial"/>
          <w:color w:val="808080" w:themeColor="background1" w:themeShade="80"/>
          <w:sz w:val="22"/>
          <w:szCs w:val="22"/>
          <w:lang w:val="en-GB"/>
        </w:rPr>
        <w:t>Article</w:t>
      </w:r>
      <w:r w:rsidR="00694FF9" w:rsidRPr="00593139">
        <w:rPr>
          <w:rFonts w:ascii="Avenir Next" w:hAnsi="Avenir Next" w:cs="Arial"/>
          <w:color w:val="808080" w:themeColor="background1" w:themeShade="80"/>
          <w:sz w:val="22"/>
          <w:szCs w:val="22"/>
          <w:lang w:val="en-GB"/>
        </w:rPr>
        <w:t xml:space="preserve"> 10, a foreign representative is subject to applicable non-bankruptcy law and must therefore comply with court orders</w:t>
      </w:r>
      <w:r w:rsidR="00694FF9">
        <w:rPr>
          <w:rFonts w:ascii="Avenir Next" w:hAnsi="Avenir Next" w:cs="Arial"/>
          <w:color w:val="808080" w:themeColor="background1" w:themeShade="80"/>
          <w:sz w:val="22"/>
          <w:szCs w:val="22"/>
          <w:lang w:val="en-GB"/>
        </w:rPr>
        <w:t>. In</w:t>
      </w:r>
      <w:r w:rsidR="00694FF9" w:rsidRPr="00593139">
        <w:rPr>
          <w:rFonts w:ascii="Avenir Next" w:hAnsi="Avenir Next" w:cs="Arial"/>
          <w:color w:val="808080" w:themeColor="background1" w:themeShade="80"/>
          <w:sz w:val="22"/>
          <w:szCs w:val="22"/>
          <w:lang w:val="en-GB"/>
        </w:rPr>
        <w:t xml:space="preserve"> </w:t>
      </w:r>
      <w:r w:rsidR="00694FF9" w:rsidRPr="00FE25D6">
        <w:rPr>
          <w:rFonts w:ascii="Avenir Next" w:hAnsi="Avenir Next" w:cs="Arial"/>
          <w:color w:val="808080" w:themeColor="background1" w:themeShade="80"/>
          <w:sz w:val="22"/>
          <w:szCs w:val="22"/>
          <w:lang w:val="en-GB"/>
        </w:rPr>
        <w:t>SNP Boat Service SA, 453 B.R. 446 (</w:t>
      </w:r>
      <w:proofErr w:type="spellStart"/>
      <w:r w:rsidR="00694FF9" w:rsidRPr="00FE25D6">
        <w:rPr>
          <w:rFonts w:ascii="Avenir Next" w:hAnsi="Avenir Next" w:cs="Arial"/>
          <w:color w:val="808080" w:themeColor="background1" w:themeShade="80"/>
          <w:sz w:val="22"/>
          <w:szCs w:val="22"/>
          <w:lang w:val="en-GB"/>
        </w:rPr>
        <w:t>Bankr</w:t>
      </w:r>
      <w:proofErr w:type="spellEnd"/>
      <w:r w:rsidR="00694FF9" w:rsidRPr="00FE25D6">
        <w:rPr>
          <w:rFonts w:ascii="Avenir Next" w:hAnsi="Avenir Next" w:cs="Arial"/>
          <w:color w:val="808080" w:themeColor="background1" w:themeShade="80"/>
          <w:sz w:val="22"/>
          <w:szCs w:val="22"/>
          <w:lang w:val="en-GB"/>
        </w:rPr>
        <w:t>. S.D. Fla. 2011</w:t>
      </w:r>
      <w:r w:rsidR="00694FF9" w:rsidRPr="00593139">
        <w:rPr>
          <w:rFonts w:ascii="Avenir Next" w:hAnsi="Avenir Next" w:cs="Arial"/>
          <w:color w:val="808080" w:themeColor="background1" w:themeShade="80"/>
          <w:sz w:val="22"/>
          <w:szCs w:val="22"/>
          <w:lang w:val="en-GB"/>
        </w:rPr>
        <w:t xml:space="preserve">), </w:t>
      </w:r>
      <w:r w:rsidR="00694FF9" w:rsidRPr="00FE25D6">
        <w:rPr>
          <w:rFonts w:ascii="Avenir Next" w:hAnsi="Avenir Next" w:cs="Arial"/>
          <w:color w:val="808080" w:themeColor="background1" w:themeShade="80"/>
          <w:sz w:val="22"/>
          <w:szCs w:val="22"/>
          <w:lang w:val="en-GB"/>
        </w:rPr>
        <w:t>court threatened to revoke recognition of a foreign main proceeding because the foreign representative was not complying with the discovery process</w:t>
      </w:r>
      <w:r w:rsidR="00694FF9">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0CF5AB38"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lastRenderedPageBreak/>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r w:rsidR="00D74CE2">
        <w:rPr>
          <w:rFonts w:ascii="Avenir Next" w:hAnsi="Avenir Next" w:cs="Arial"/>
          <w:sz w:val="22"/>
          <w:szCs w:val="22"/>
          <w:lang w:val="en-GB"/>
        </w:rPr>
        <w:t xml:space="preserve"> </w:t>
      </w:r>
    </w:p>
    <w:p w14:paraId="0D4CF497" w14:textId="77777777" w:rsidR="00C50ACC" w:rsidRDefault="00C50ACC" w:rsidP="00707FC8">
      <w:pPr>
        <w:jc w:val="both"/>
        <w:rPr>
          <w:rFonts w:ascii="Avenir Next" w:hAnsi="Avenir Next" w:cs="Arial"/>
          <w:sz w:val="22"/>
          <w:szCs w:val="22"/>
          <w:lang w:val="en-GB"/>
        </w:rPr>
      </w:pPr>
    </w:p>
    <w:p w14:paraId="05410C2C" w14:textId="77777777" w:rsidR="00C50ACC" w:rsidRPr="00E2622D" w:rsidRDefault="00C50ACC" w:rsidP="00707FC8">
      <w:pPr>
        <w:jc w:val="both"/>
        <w:rPr>
          <w:rFonts w:ascii="Avenir Next" w:hAnsi="Avenir Next" w:cs="Arial"/>
          <w:sz w:val="22"/>
          <w:szCs w:val="22"/>
          <w:lang w:val="en-GB"/>
        </w:rPr>
      </w:pPr>
    </w:p>
    <w:p w14:paraId="560CEC96" w14:textId="40C3D51B" w:rsidR="00B10AA3" w:rsidRDefault="00867A8F" w:rsidP="00406802">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20314">
        <w:rPr>
          <w:rFonts w:ascii="Avenir Next" w:hAnsi="Avenir Next" w:cs="Arial"/>
          <w:color w:val="808080" w:themeColor="background1" w:themeShade="80"/>
          <w:sz w:val="22"/>
          <w:szCs w:val="22"/>
          <w:lang w:val="en-GB"/>
        </w:rPr>
        <w:t xml:space="preserve">      </w:t>
      </w:r>
      <w:r w:rsidR="003167A3">
        <w:rPr>
          <w:rFonts w:ascii="Avenir Next" w:hAnsi="Avenir Next" w:cs="Arial"/>
          <w:color w:val="808080" w:themeColor="background1" w:themeShade="80"/>
          <w:sz w:val="22"/>
          <w:szCs w:val="22"/>
          <w:lang w:val="en-GB"/>
        </w:rPr>
        <w:t xml:space="preserve">1. The foreign representatives should consider if it is necessary to apply for </w:t>
      </w:r>
      <w:r w:rsidR="00C967D7">
        <w:rPr>
          <w:rFonts w:ascii="Avenir Next" w:hAnsi="Avenir Next" w:cs="Arial"/>
          <w:color w:val="808080" w:themeColor="background1" w:themeShade="80"/>
          <w:sz w:val="22"/>
          <w:szCs w:val="22"/>
          <w:lang w:val="en-GB"/>
        </w:rPr>
        <w:t xml:space="preserve">urgent interim under Article 19 of the Model Law. </w:t>
      </w:r>
      <w:r w:rsidR="00F20314">
        <w:rPr>
          <w:rFonts w:ascii="Avenir Next" w:hAnsi="Avenir Next" w:cs="Arial"/>
          <w:color w:val="808080" w:themeColor="background1" w:themeShade="80"/>
          <w:sz w:val="22"/>
          <w:szCs w:val="22"/>
          <w:lang w:val="en-GB"/>
        </w:rPr>
        <w:t xml:space="preserve"> </w:t>
      </w:r>
      <w:r w:rsidR="00C967D7">
        <w:rPr>
          <w:rFonts w:ascii="Avenir Next" w:hAnsi="Avenir Next" w:cs="Arial"/>
          <w:color w:val="808080" w:themeColor="background1" w:themeShade="80"/>
          <w:sz w:val="22"/>
          <w:szCs w:val="22"/>
          <w:lang w:val="en-GB"/>
        </w:rPr>
        <w:t xml:space="preserve">Urgent interim relief can be granted prior to the recognition decision after the recognition application has been filed, provided the interest of the debtor’s creditors and other interested parties are adequately protected. </w:t>
      </w:r>
      <w:r w:rsidR="00B10AA3">
        <w:rPr>
          <w:rFonts w:ascii="Avenir Next" w:hAnsi="Avenir Next" w:cs="Arial"/>
          <w:color w:val="808080" w:themeColor="background1" w:themeShade="80"/>
          <w:sz w:val="22"/>
          <w:szCs w:val="22"/>
          <w:lang w:val="en-GB"/>
        </w:rPr>
        <w:t xml:space="preserve">As there is no information about proceedings in other jurisdiction, the assumption is that the proceedings in the UK will be regarded as main foreign proceedings in the US. Interim relief (which applies to both foreign main and foreign non-main proceedings) can include certain types of post-recognition relief provided for in Article 21, which include, in particular, granting </w:t>
      </w:r>
      <w:r w:rsidR="00B10AA3" w:rsidRPr="00B10AA3">
        <w:rPr>
          <w:rFonts w:ascii="Avenir Next" w:hAnsi="Avenir Next" w:cs="Arial"/>
          <w:i/>
          <w:iCs/>
          <w:color w:val="808080" w:themeColor="background1" w:themeShade="80"/>
          <w:sz w:val="22"/>
          <w:szCs w:val="22"/>
          <w:lang w:val="en-GB"/>
        </w:rPr>
        <w:t>any additional relief that may be available to a domestic office-holder under the laws of enacting State</w:t>
      </w:r>
      <w:r w:rsidR="00B10AA3">
        <w:rPr>
          <w:rFonts w:ascii="Avenir Next" w:hAnsi="Avenir Next" w:cs="Arial"/>
          <w:color w:val="808080" w:themeColor="background1" w:themeShade="80"/>
          <w:sz w:val="22"/>
          <w:szCs w:val="22"/>
          <w:lang w:val="en-GB"/>
        </w:rPr>
        <w:t xml:space="preserve">. </w:t>
      </w:r>
    </w:p>
    <w:p w14:paraId="4F177645" w14:textId="77777777" w:rsidR="003E49B5" w:rsidRDefault="003E49B5" w:rsidP="00406802">
      <w:pPr>
        <w:ind w:left="720" w:hanging="720"/>
        <w:jc w:val="both"/>
        <w:rPr>
          <w:rFonts w:ascii="Avenir Next" w:hAnsi="Avenir Next" w:cs="Arial"/>
          <w:color w:val="808080" w:themeColor="background1" w:themeShade="80"/>
          <w:sz w:val="22"/>
          <w:szCs w:val="22"/>
          <w:lang w:val="en-GB"/>
        </w:rPr>
      </w:pPr>
    </w:p>
    <w:p w14:paraId="5461300F" w14:textId="77777777" w:rsidR="00A27F55" w:rsidRDefault="003E49B5" w:rsidP="009045EA">
      <w:pPr>
        <w:ind w:left="720" w:hanging="578"/>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C967D7">
        <w:rPr>
          <w:rFonts w:ascii="Avenir Next" w:hAnsi="Avenir Next" w:cs="Arial"/>
          <w:color w:val="808080" w:themeColor="background1" w:themeShade="80"/>
          <w:sz w:val="22"/>
          <w:szCs w:val="22"/>
          <w:lang w:val="en-GB"/>
        </w:rPr>
        <w:t xml:space="preserve"> In the current scenario, </w:t>
      </w:r>
      <w:r w:rsidR="000D0F75">
        <w:rPr>
          <w:rFonts w:ascii="Avenir Next" w:hAnsi="Avenir Next" w:cs="Arial"/>
          <w:color w:val="808080" w:themeColor="background1" w:themeShade="80"/>
          <w:sz w:val="22"/>
          <w:szCs w:val="22"/>
          <w:lang w:val="en-GB"/>
        </w:rPr>
        <w:t xml:space="preserve">as </w:t>
      </w:r>
      <w:r w:rsidR="00C967D7">
        <w:rPr>
          <w:rFonts w:ascii="Avenir Next" w:hAnsi="Avenir Next" w:cs="Arial"/>
          <w:color w:val="808080" w:themeColor="background1" w:themeShade="80"/>
          <w:sz w:val="22"/>
          <w:szCs w:val="22"/>
          <w:lang w:val="en-GB"/>
        </w:rPr>
        <w:t xml:space="preserve">the recognition hearing is scheduled in 35 </w:t>
      </w:r>
      <w:r w:rsidR="00A27F55">
        <w:rPr>
          <w:rFonts w:ascii="Avenir Next" w:hAnsi="Avenir Next" w:cs="Arial"/>
          <w:color w:val="808080" w:themeColor="background1" w:themeShade="80"/>
          <w:sz w:val="22"/>
          <w:szCs w:val="22"/>
          <w:lang w:val="en-GB"/>
        </w:rPr>
        <w:t xml:space="preserve">days </w:t>
      </w:r>
      <w:r w:rsidR="00C967D7">
        <w:rPr>
          <w:rFonts w:ascii="Avenir Next" w:hAnsi="Avenir Next" w:cs="Arial"/>
          <w:color w:val="808080" w:themeColor="background1" w:themeShade="80"/>
          <w:sz w:val="22"/>
          <w:szCs w:val="22"/>
          <w:lang w:val="en-GB"/>
        </w:rPr>
        <w:t>after the filing and there is no litigation pending or threatened against the foreign debtor</w:t>
      </w:r>
      <w:r w:rsidR="000D0F75">
        <w:rPr>
          <w:rFonts w:ascii="Avenir Next" w:hAnsi="Avenir Next" w:cs="Arial"/>
          <w:color w:val="808080" w:themeColor="background1" w:themeShade="80"/>
          <w:sz w:val="22"/>
          <w:szCs w:val="22"/>
          <w:lang w:val="en-GB"/>
        </w:rPr>
        <w:t>,</w:t>
      </w:r>
      <w:r w:rsidR="00A27F55">
        <w:rPr>
          <w:rFonts w:ascii="Avenir Next" w:hAnsi="Avenir Next" w:cs="Arial"/>
          <w:color w:val="808080" w:themeColor="background1" w:themeShade="80"/>
          <w:sz w:val="22"/>
          <w:szCs w:val="22"/>
          <w:lang w:val="en-GB"/>
        </w:rPr>
        <w:t xml:space="preserve"> and therefore</w:t>
      </w:r>
      <w:r w:rsidR="000D0F75">
        <w:rPr>
          <w:rFonts w:ascii="Avenir Next" w:hAnsi="Avenir Next" w:cs="Arial"/>
          <w:color w:val="808080" w:themeColor="background1" w:themeShade="80"/>
          <w:sz w:val="22"/>
          <w:szCs w:val="22"/>
          <w:lang w:val="en-GB"/>
        </w:rPr>
        <w:t xml:space="preserve"> it</w:t>
      </w:r>
      <w:r w:rsidR="00A27F55">
        <w:rPr>
          <w:rFonts w:ascii="Avenir Next" w:hAnsi="Avenir Next" w:cs="Arial"/>
          <w:color w:val="808080" w:themeColor="background1" w:themeShade="80"/>
          <w:sz w:val="22"/>
          <w:szCs w:val="22"/>
          <w:lang w:val="en-GB"/>
        </w:rPr>
        <w:t xml:space="preserve"> seems</w:t>
      </w:r>
      <w:r w:rsidR="00BC7FB9">
        <w:rPr>
          <w:rFonts w:ascii="Avenir Next" w:hAnsi="Avenir Next" w:cs="Arial"/>
          <w:color w:val="808080" w:themeColor="background1" w:themeShade="80"/>
          <w:sz w:val="22"/>
          <w:szCs w:val="22"/>
          <w:lang w:val="en-GB"/>
        </w:rPr>
        <w:t xml:space="preserve"> </w:t>
      </w:r>
      <w:r w:rsidR="000D0F75">
        <w:rPr>
          <w:rFonts w:ascii="Avenir Next" w:hAnsi="Avenir Next" w:cs="Arial"/>
          <w:color w:val="808080" w:themeColor="background1" w:themeShade="80"/>
          <w:sz w:val="22"/>
          <w:szCs w:val="22"/>
          <w:lang w:val="en-GB"/>
        </w:rPr>
        <w:t xml:space="preserve">unnecessary to apply for interim relief which would include a stay of execution against the debtor’s assets etc. </w:t>
      </w:r>
    </w:p>
    <w:p w14:paraId="7F33A01A" w14:textId="77777777" w:rsidR="00A27F55" w:rsidRDefault="00A27F55" w:rsidP="00406802">
      <w:pPr>
        <w:ind w:left="720" w:hanging="720"/>
        <w:jc w:val="both"/>
        <w:rPr>
          <w:rFonts w:ascii="Avenir Next" w:hAnsi="Avenir Next" w:cs="Arial"/>
          <w:color w:val="808080" w:themeColor="background1" w:themeShade="80"/>
          <w:sz w:val="22"/>
          <w:szCs w:val="22"/>
          <w:lang w:val="en-GB"/>
        </w:rPr>
      </w:pPr>
    </w:p>
    <w:p w14:paraId="0A2D24AC" w14:textId="6FC76CAF" w:rsidR="007517DC" w:rsidRDefault="00BC7FB9" w:rsidP="00A27F5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However, </w:t>
      </w:r>
      <w:r w:rsidR="003F7D4E">
        <w:rPr>
          <w:rFonts w:ascii="Avenir Next" w:hAnsi="Avenir Next" w:cs="Arial"/>
          <w:color w:val="808080" w:themeColor="background1" w:themeShade="80"/>
          <w:sz w:val="22"/>
          <w:szCs w:val="22"/>
          <w:lang w:val="en-GB"/>
        </w:rPr>
        <w:t xml:space="preserve">the foreign representatives might seek to protect the debtor position in relation to US-governed leases and intellectual property licenses </w:t>
      </w:r>
      <w:r w:rsidR="007517DC">
        <w:rPr>
          <w:rFonts w:ascii="Avenir Next" w:hAnsi="Avenir Next" w:cs="Arial"/>
          <w:color w:val="808080" w:themeColor="background1" w:themeShade="80"/>
          <w:sz w:val="22"/>
          <w:szCs w:val="22"/>
          <w:lang w:val="en-GB"/>
        </w:rPr>
        <w:t xml:space="preserve">from bankruptcy-triggered terminations. </w:t>
      </w:r>
      <w:r w:rsidR="00A77785" w:rsidRPr="00A77785">
        <w:rPr>
          <w:rFonts w:ascii="Avenir Next" w:hAnsi="Avenir Next" w:cs="Arial"/>
          <w:color w:val="808080" w:themeColor="background1" w:themeShade="80"/>
          <w:sz w:val="22"/>
          <w:szCs w:val="22"/>
          <w:lang w:val="en-GB"/>
        </w:rPr>
        <w:t>Belmond Park v BNY Corporate Trustee Services confirms that ipso facto clauses are in principle valid and impossible in a UK insolvency</w:t>
      </w:r>
      <w:r w:rsidR="00A77785">
        <w:rPr>
          <w:rFonts w:ascii="Avenir Next" w:hAnsi="Avenir Next" w:cs="Arial"/>
          <w:color w:val="808080" w:themeColor="background1" w:themeShade="80"/>
          <w:sz w:val="22"/>
          <w:szCs w:val="22"/>
          <w:lang w:val="en-GB"/>
        </w:rPr>
        <w:t xml:space="preserve">. </w:t>
      </w:r>
      <w:r w:rsidR="002823B8">
        <w:rPr>
          <w:rFonts w:ascii="Avenir Next" w:hAnsi="Avenir Next" w:cs="Arial"/>
          <w:color w:val="808080" w:themeColor="background1" w:themeShade="80"/>
          <w:sz w:val="22"/>
          <w:szCs w:val="22"/>
          <w:lang w:val="en-GB"/>
        </w:rPr>
        <w:t xml:space="preserve">Since </w:t>
      </w:r>
      <w:r w:rsidR="00A77785">
        <w:rPr>
          <w:rFonts w:ascii="Avenir Next" w:hAnsi="Avenir Next" w:cs="Arial"/>
          <w:color w:val="808080" w:themeColor="background1" w:themeShade="80"/>
          <w:sz w:val="22"/>
          <w:szCs w:val="22"/>
          <w:lang w:val="en-GB"/>
        </w:rPr>
        <w:t xml:space="preserve">ipso facto clauses are not enforceable under the US law, </w:t>
      </w:r>
      <w:r w:rsidR="002823B8">
        <w:rPr>
          <w:rFonts w:ascii="Avenir Next" w:hAnsi="Avenir Next" w:cs="Arial"/>
          <w:color w:val="808080" w:themeColor="background1" w:themeShade="80"/>
          <w:sz w:val="22"/>
          <w:szCs w:val="22"/>
          <w:lang w:val="en-GB"/>
        </w:rPr>
        <w:t xml:space="preserve">applying to the US court to protect the position in relation to the US-governed leases and licenses may not be an option under Article 19, </w:t>
      </w:r>
      <w:r w:rsidR="00A77785">
        <w:rPr>
          <w:rFonts w:ascii="Avenir Next" w:hAnsi="Avenir Next" w:cs="Arial"/>
          <w:color w:val="808080" w:themeColor="background1" w:themeShade="80"/>
          <w:sz w:val="22"/>
          <w:szCs w:val="22"/>
          <w:lang w:val="en-GB"/>
        </w:rPr>
        <w:t>the foreign representatives may consider applying</w:t>
      </w:r>
      <w:r w:rsidR="002823B8">
        <w:rPr>
          <w:rFonts w:ascii="Avenir Next" w:hAnsi="Avenir Next" w:cs="Arial"/>
          <w:color w:val="808080" w:themeColor="background1" w:themeShade="80"/>
          <w:sz w:val="22"/>
          <w:szCs w:val="22"/>
          <w:lang w:val="en-GB"/>
        </w:rPr>
        <w:t xml:space="preserve"> post-recognition</w:t>
      </w:r>
      <w:r w:rsidR="00A77785">
        <w:rPr>
          <w:rFonts w:ascii="Avenir Next" w:hAnsi="Avenir Next" w:cs="Arial"/>
          <w:color w:val="808080" w:themeColor="background1" w:themeShade="80"/>
          <w:sz w:val="22"/>
          <w:szCs w:val="22"/>
          <w:lang w:val="en-GB"/>
        </w:rPr>
        <w:t xml:space="preserve"> to the US</w:t>
      </w:r>
      <w:r w:rsidR="002823B8">
        <w:rPr>
          <w:rFonts w:ascii="Avenir Next" w:hAnsi="Avenir Next" w:cs="Arial"/>
          <w:color w:val="808080" w:themeColor="background1" w:themeShade="80"/>
          <w:sz w:val="22"/>
          <w:szCs w:val="22"/>
          <w:lang w:val="en-GB"/>
        </w:rPr>
        <w:t xml:space="preserve"> Court </w:t>
      </w:r>
      <w:r w:rsidR="00A77785">
        <w:rPr>
          <w:rFonts w:ascii="Avenir Next" w:hAnsi="Avenir Next" w:cs="Arial"/>
          <w:color w:val="808080" w:themeColor="background1" w:themeShade="80"/>
          <w:sz w:val="22"/>
          <w:szCs w:val="22"/>
          <w:lang w:val="en-GB"/>
        </w:rPr>
        <w:t xml:space="preserve"> for the</w:t>
      </w:r>
      <w:r w:rsidR="002823B8">
        <w:rPr>
          <w:rFonts w:ascii="Avenir Next" w:hAnsi="Avenir Next" w:cs="Arial"/>
          <w:color w:val="808080" w:themeColor="background1" w:themeShade="80"/>
          <w:sz w:val="22"/>
          <w:szCs w:val="22"/>
          <w:lang w:val="en-GB"/>
        </w:rPr>
        <w:t xml:space="preserve"> </w:t>
      </w:r>
      <w:r w:rsidR="00A77785">
        <w:rPr>
          <w:rFonts w:ascii="Avenir Next" w:hAnsi="Avenir Next" w:cs="Arial"/>
          <w:color w:val="808080" w:themeColor="background1" w:themeShade="80"/>
          <w:sz w:val="22"/>
          <w:szCs w:val="22"/>
          <w:lang w:val="en-GB"/>
        </w:rPr>
        <w:t xml:space="preserve"> relief that would have been available under the UK law</w:t>
      </w:r>
      <w:r w:rsidR="004D5F40">
        <w:rPr>
          <w:rFonts w:ascii="Avenir Next" w:hAnsi="Avenir Next" w:cs="Arial"/>
          <w:color w:val="808080" w:themeColor="background1" w:themeShade="80"/>
          <w:sz w:val="22"/>
          <w:szCs w:val="22"/>
          <w:lang w:val="en-GB"/>
        </w:rPr>
        <w:t>.</w:t>
      </w:r>
      <w:r w:rsidR="002823B8">
        <w:rPr>
          <w:rFonts w:ascii="Avenir Next" w:hAnsi="Avenir Next" w:cs="Arial"/>
          <w:color w:val="808080" w:themeColor="background1" w:themeShade="80"/>
          <w:sz w:val="22"/>
          <w:szCs w:val="22"/>
          <w:lang w:val="en-GB"/>
        </w:rPr>
        <w:t xml:space="preserve"> </w:t>
      </w:r>
    </w:p>
    <w:p w14:paraId="4D8117F5" w14:textId="71356918" w:rsidR="00C86FA3" w:rsidRDefault="00C86FA3" w:rsidP="009045EA">
      <w:pPr>
        <w:jc w:val="both"/>
        <w:rPr>
          <w:rFonts w:ascii="Avenir Next" w:hAnsi="Avenir Next" w:cs="Arial"/>
          <w:color w:val="808080" w:themeColor="background1" w:themeShade="80"/>
          <w:sz w:val="22"/>
          <w:szCs w:val="22"/>
          <w:lang w:val="en-GB"/>
        </w:rPr>
      </w:pPr>
    </w:p>
    <w:p w14:paraId="28ADF199" w14:textId="77777777" w:rsidR="00C86FA3" w:rsidRDefault="00C86FA3" w:rsidP="00406802">
      <w:pPr>
        <w:ind w:left="720" w:hanging="720"/>
        <w:jc w:val="both"/>
        <w:rPr>
          <w:rFonts w:ascii="Avenir Next" w:hAnsi="Avenir Next" w:cs="Arial"/>
          <w:color w:val="808080" w:themeColor="background1" w:themeShade="80"/>
          <w:sz w:val="22"/>
          <w:szCs w:val="22"/>
          <w:lang w:val="en-GB"/>
        </w:rPr>
      </w:pPr>
    </w:p>
    <w:p w14:paraId="705655BF" w14:textId="77777777" w:rsidR="00D42D8D" w:rsidRDefault="00C44BEB" w:rsidP="009045EA">
      <w:pPr>
        <w:ind w:left="720" w:hanging="15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045EA">
        <w:rPr>
          <w:rFonts w:ascii="Avenir Next" w:hAnsi="Avenir Next" w:cs="Arial"/>
          <w:color w:val="808080" w:themeColor="background1" w:themeShade="80"/>
          <w:sz w:val="22"/>
          <w:szCs w:val="22"/>
          <w:lang w:val="en-GB"/>
        </w:rPr>
        <w:t xml:space="preserve"> </w:t>
      </w:r>
      <w:r w:rsidR="00C50ACC">
        <w:rPr>
          <w:rFonts w:ascii="Avenir Next" w:hAnsi="Avenir Next" w:cs="Arial"/>
          <w:color w:val="808080" w:themeColor="background1" w:themeShade="80"/>
          <w:sz w:val="22"/>
          <w:szCs w:val="22"/>
          <w:lang w:val="en-GB"/>
        </w:rPr>
        <w:t xml:space="preserve"> </w:t>
      </w:r>
      <w:r w:rsidR="00406802">
        <w:rPr>
          <w:rFonts w:ascii="Avenir Next" w:hAnsi="Avenir Next" w:cs="Arial"/>
          <w:color w:val="808080" w:themeColor="background1" w:themeShade="80"/>
          <w:sz w:val="22"/>
          <w:szCs w:val="22"/>
          <w:lang w:val="en-GB"/>
        </w:rPr>
        <w:t xml:space="preserve">In </w:t>
      </w:r>
      <w:proofErr w:type="spellStart"/>
      <w:r w:rsidR="00406802">
        <w:rPr>
          <w:rFonts w:ascii="Avenir Next" w:hAnsi="Avenir Next" w:cs="Arial"/>
          <w:color w:val="808080" w:themeColor="background1" w:themeShade="80"/>
          <w:sz w:val="22"/>
          <w:szCs w:val="22"/>
          <w:lang w:val="en-GB"/>
        </w:rPr>
        <w:t>Fibria</w:t>
      </w:r>
      <w:proofErr w:type="spellEnd"/>
      <w:r w:rsidR="00406802">
        <w:rPr>
          <w:rFonts w:ascii="Avenir Next" w:hAnsi="Avenir Next" w:cs="Arial"/>
          <w:color w:val="808080" w:themeColor="background1" w:themeShade="80"/>
          <w:sz w:val="22"/>
          <w:szCs w:val="22"/>
          <w:lang w:val="en-GB"/>
        </w:rPr>
        <w:t xml:space="preserve"> </w:t>
      </w:r>
      <w:proofErr w:type="spellStart"/>
      <w:r w:rsidR="00406802">
        <w:rPr>
          <w:rFonts w:ascii="Avenir Next" w:hAnsi="Avenir Next" w:cs="Arial"/>
          <w:color w:val="808080" w:themeColor="background1" w:themeShade="80"/>
          <w:sz w:val="22"/>
          <w:szCs w:val="22"/>
          <w:lang w:val="en-GB"/>
        </w:rPr>
        <w:t>Celulose</w:t>
      </w:r>
      <w:proofErr w:type="spellEnd"/>
      <w:r w:rsidR="00406802">
        <w:rPr>
          <w:rFonts w:ascii="Avenir Next" w:hAnsi="Avenir Next" w:cs="Arial"/>
          <w:color w:val="808080" w:themeColor="background1" w:themeShade="80"/>
          <w:sz w:val="22"/>
          <w:szCs w:val="22"/>
          <w:lang w:val="en-GB"/>
        </w:rPr>
        <w:t xml:space="preserve"> S/A v Pan Ocean Co </w:t>
      </w:r>
      <w:proofErr w:type="spellStart"/>
      <w:r w:rsidR="00406802">
        <w:rPr>
          <w:rFonts w:ascii="Avenir Next" w:hAnsi="Avenir Next" w:cs="Arial"/>
          <w:color w:val="808080" w:themeColor="background1" w:themeShade="80"/>
          <w:sz w:val="22"/>
          <w:szCs w:val="22"/>
          <w:lang w:val="en-GB"/>
        </w:rPr>
        <w:t>lts</w:t>
      </w:r>
      <w:proofErr w:type="spellEnd"/>
      <w:r w:rsidR="00406802">
        <w:rPr>
          <w:rFonts w:ascii="Avenir Next" w:hAnsi="Avenir Next" w:cs="Arial"/>
          <w:color w:val="808080" w:themeColor="background1" w:themeShade="80"/>
          <w:sz w:val="22"/>
          <w:szCs w:val="22"/>
          <w:lang w:val="en-GB"/>
        </w:rPr>
        <w:t>, the insolvency practitioner tried to prevent other party from exercising the ipso facto clause which under Korean Law was deemed null and void</w:t>
      </w:r>
      <w:r w:rsidR="004D030C">
        <w:rPr>
          <w:rFonts w:ascii="Avenir Next" w:hAnsi="Avenir Next" w:cs="Arial"/>
          <w:color w:val="808080" w:themeColor="background1" w:themeShade="80"/>
          <w:sz w:val="22"/>
          <w:szCs w:val="22"/>
          <w:lang w:val="en-GB"/>
        </w:rPr>
        <w:t xml:space="preserve"> by applying for relief under Article 21 (1) (a) </w:t>
      </w:r>
      <w:r w:rsidR="007F5C75">
        <w:rPr>
          <w:rFonts w:ascii="Avenir Next" w:hAnsi="Avenir Next" w:cs="Arial"/>
          <w:color w:val="808080" w:themeColor="background1" w:themeShade="80"/>
          <w:sz w:val="22"/>
          <w:szCs w:val="22"/>
          <w:lang w:val="en-GB"/>
        </w:rPr>
        <w:t xml:space="preserve">of the Model Law </w:t>
      </w:r>
      <w:r w:rsidR="004D030C">
        <w:rPr>
          <w:rFonts w:ascii="Avenir Next" w:hAnsi="Avenir Next" w:cs="Arial"/>
          <w:color w:val="808080" w:themeColor="background1" w:themeShade="80"/>
          <w:sz w:val="22"/>
          <w:szCs w:val="22"/>
          <w:lang w:val="en-GB"/>
        </w:rPr>
        <w:t xml:space="preserve">(stay on “the commencement or continuation of individual actions or individual proceedings” and Article 21 (1) (g) </w:t>
      </w:r>
      <w:r w:rsidR="000D6DDE">
        <w:rPr>
          <w:rFonts w:ascii="Avenir Next" w:hAnsi="Avenir Next" w:cs="Arial"/>
          <w:color w:val="808080" w:themeColor="background1" w:themeShade="80"/>
          <w:sz w:val="22"/>
          <w:szCs w:val="22"/>
          <w:lang w:val="en-GB"/>
        </w:rPr>
        <w:t xml:space="preserve">(to make available the relief that would have been applicable under </w:t>
      </w:r>
      <w:r w:rsidR="0006596D">
        <w:rPr>
          <w:rFonts w:ascii="Avenir Next" w:hAnsi="Avenir Next" w:cs="Arial"/>
          <w:color w:val="808080" w:themeColor="background1" w:themeShade="80"/>
          <w:sz w:val="22"/>
          <w:szCs w:val="22"/>
          <w:lang w:val="en-GB"/>
        </w:rPr>
        <w:t xml:space="preserve">UK </w:t>
      </w:r>
      <w:r w:rsidR="000D6DDE">
        <w:rPr>
          <w:rFonts w:ascii="Avenir Next" w:hAnsi="Avenir Next" w:cs="Arial"/>
          <w:color w:val="808080" w:themeColor="background1" w:themeShade="80"/>
          <w:sz w:val="22"/>
          <w:szCs w:val="22"/>
          <w:lang w:val="en-GB"/>
        </w:rPr>
        <w:t xml:space="preserve">insolvency law. </w:t>
      </w:r>
      <w:r w:rsidR="000A4385">
        <w:rPr>
          <w:rFonts w:ascii="Avenir Next" w:hAnsi="Avenir Next" w:cs="Arial"/>
          <w:color w:val="808080" w:themeColor="background1" w:themeShade="80"/>
          <w:sz w:val="22"/>
          <w:szCs w:val="22"/>
          <w:lang w:val="en-GB"/>
        </w:rPr>
        <w:t>The application was unsuccessful</w:t>
      </w:r>
      <w:r w:rsidR="007F5C75">
        <w:rPr>
          <w:rFonts w:ascii="Avenir Next" w:hAnsi="Avenir Next" w:cs="Arial"/>
          <w:color w:val="808080" w:themeColor="background1" w:themeShade="80"/>
          <w:sz w:val="22"/>
          <w:szCs w:val="22"/>
          <w:lang w:val="en-GB"/>
        </w:rPr>
        <w:t xml:space="preserve">, as the Court found, in summary, that applying foreign law to an English law governed contract is outside the appropriate relief court can grant. </w:t>
      </w:r>
    </w:p>
    <w:p w14:paraId="012F8093" w14:textId="77777777" w:rsidR="00D42D8D" w:rsidRDefault="00D42D8D" w:rsidP="009045EA">
      <w:pPr>
        <w:ind w:left="720" w:hanging="153"/>
        <w:jc w:val="both"/>
        <w:rPr>
          <w:rFonts w:ascii="Avenir Next" w:hAnsi="Avenir Next" w:cs="Arial"/>
          <w:color w:val="808080" w:themeColor="background1" w:themeShade="80"/>
          <w:sz w:val="22"/>
          <w:szCs w:val="22"/>
          <w:lang w:val="en-GB"/>
        </w:rPr>
      </w:pPr>
    </w:p>
    <w:p w14:paraId="494CA6BD" w14:textId="2C261304" w:rsidR="00406802" w:rsidRPr="00235AB0" w:rsidRDefault="000A4385" w:rsidP="009045EA">
      <w:pPr>
        <w:ind w:left="720" w:hanging="15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C86FA3">
        <w:rPr>
          <w:rFonts w:ascii="Avenir Next" w:hAnsi="Avenir Next" w:cs="Arial"/>
          <w:color w:val="808080" w:themeColor="background1" w:themeShade="80"/>
          <w:sz w:val="22"/>
          <w:szCs w:val="22"/>
          <w:lang w:val="en-GB"/>
        </w:rPr>
        <w:t xml:space="preserve"> </w:t>
      </w:r>
      <w:r w:rsidR="00D42D8D">
        <w:rPr>
          <w:rFonts w:ascii="Avenir Next" w:hAnsi="Avenir Next" w:cs="Arial"/>
          <w:color w:val="808080" w:themeColor="background1" w:themeShade="80"/>
          <w:sz w:val="22"/>
          <w:szCs w:val="22"/>
          <w:lang w:val="en-GB"/>
        </w:rPr>
        <w:t xml:space="preserve">Accordingly, there is a high degree of possibility that </w:t>
      </w:r>
      <w:r w:rsidR="00D13B0C">
        <w:rPr>
          <w:rFonts w:ascii="Avenir Next" w:hAnsi="Avenir Next" w:cs="Arial"/>
          <w:color w:val="808080" w:themeColor="background1" w:themeShade="80"/>
          <w:sz w:val="22"/>
          <w:szCs w:val="22"/>
          <w:lang w:val="en-GB"/>
        </w:rPr>
        <w:t xml:space="preserve"> the US court will not necessarily grant the relief sought due to policy reasons and that the sought form of relief is not available under the US Insolvency Law. </w:t>
      </w:r>
      <w:r w:rsidR="00406802">
        <w:rPr>
          <w:rFonts w:ascii="Avenir Next" w:hAnsi="Avenir Next" w:cs="Arial"/>
          <w:color w:val="808080" w:themeColor="background1" w:themeShade="80"/>
          <w:sz w:val="22"/>
          <w:szCs w:val="22"/>
          <w:lang w:val="en-GB"/>
        </w:rPr>
        <w:t xml:space="preserve">              I</w:t>
      </w:r>
    </w:p>
    <w:p w14:paraId="63E7BC57" w14:textId="77777777" w:rsidR="00B93722" w:rsidRPr="009079DB" w:rsidRDefault="00B93722" w:rsidP="00B93722">
      <w:pPr>
        <w:ind w:left="720" w:hanging="720"/>
        <w:jc w:val="both"/>
        <w:rPr>
          <w:rFonts w:ascii="Avenir Next" w:hAnsi="Avenir Next" w:cs="Arial"/>
          <w:color w:val="808080" w:themeColor="background1" w:themeShade="80"/>
          <w:sz w:val="22"/>
          <w:szCs w:val="22"/>
          <w:lang w:val="en-GB"/>
        </w:rPr>
      </w:pPr>
    </w:p>
    <w:p w14:paraId="1FB11F43" w14:textId="77777777" w:rsidR="00C31F49" w:rsidRDefault="00C31F49" w:rsidP="00F31EE9">
      <w:pPr>
        <w:ind w:left="720" w:hanging="720"/>
        <w:jc w:val="both"/>
        <w:rPr>
          <w:rFonts w:ascii="Avenir Next" w:hAnsi="Avenir Next" w:cs="Arial"/>
          <w:color w:val="808080" w:themeColor="background1" w:themeShade="80"/>
          <w:sz w:val="22"/>
          <w:szCs w:val="22"/>
          <w:lang w:val="en-GB"/>
        </w:rPr>
      </w:pPr>
    </w:p>
    <w:p w14:paraId="3DD8792A" w14:textId="77777777" w:rsidR="00A01124" w:rsidRDefault="00A01124" w:rsidP="005330DA">
      <w:pPr>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w:t>
      </w:r>
      <w:r w:rsidRPr="000A7632">
        <w:rPr>
          <w:rFonts w:ascii="Avenir Next" w:hAnsi="Avenir Next" w:cs="Arial"/>
          <w:sz w:val="22"/>
          <w:szCs w:val="22"/>
          <w:lang w:val="en-GB"/>
        </w:rPr>
        <w:lastRenderedPageBreak/>
        <w:t>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Default="00980314" w:rsidP="000077DD">
      <w:pPr>
        <w:jc w:val="both"/>
        <w:rPr>
          <w:rFonts w:ascii="Avenir Next" w:hAnsi="Avenir Next" w:cs="Arial"/>
          <w:sz w:val="22"/>
          <w:szCs w:val="22"/>
          <w:lang w:val="en-GB"/>
        </w:rPr>
      </w:pPr>
    </w:p>
    <w:p w14:paraId="5AD60504" w14:textId="1771C4E0" w:rsidR="00452628" w:rsidRDefault="00867A8F" w:rsidP="001C5D5F">
      <w:pPr>
        <w:ind w:left="720" w:hanging="11"/>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41FD2">
        <w:rPr>
          <w:rFonts w:ascii="Avenir Next" w:hAnsi="Avenir Next" w:cs="Arial"/>
          <w:color w:val="808080" w:themeColor="background1" w:themeShade="80"/>
          <w:sz w:val="22"/>
          <w:szCs w:val="22"/>
          <w:lang w:val="en-GB"/>
        </w:rPr>
        <w:t xml:space="preserve"> </w:t>
      </w:r>
      <w:bookmarkStart w:id="1" w:name="_Hlk160022412"/>
      <w:r w:rsidR="00F21204">
        <w:rPr>
          <w:rFonts w:ascii="Avenir Next" w:hAnsi="Avenir Next" w:cs="Arial"/>
          <w:color w:val="808080" w:themeColor="background1" w:themeShade="80"/>
          <w:sz w:val="22"/>
          <w:szCs w:val="22"/>
          <w:lang w:val="en-GB"/>
        </w:rPr>
        <w:t xml:space="preserve">At the outset the foreign representatives should have ascertained </w:t>
      </w:r>
      <w:r w:rsidR="003246A5">
        <w:rPr>
          <w:rFonts w:ascii="Avenir Next" w:hAnsi="Avenir Next" w:cs="Arial"/>
          <w:color w:val="808080" w:themeColor="background1" w:themeShade="80"/>
          <w:sz w:val="22"/>
          <w:szCs w:val="22"/>
          <w:lang w:val="en-GB"/>
        </w:rPr>
        <w:t>the possibility of applying for recognition of the</w:t>
      </w:r>
      <w:r w:rsidR="00FF1832">
        <w:rPr>
          <w:rFonts w:ascii="Avenir Next" w:hAnsi="Avenir Next" w:cs="Arial"/>
          <w:color w:val="808080" w:themeColor="background1" w:themeShade="80"/>
          <w:sz w:val="22"/>
          <w:szCs w:val="22"/>
          <w:lang w:val="en-GB"/>
        </w:rPr>
        <w:t xml:space="preserve"> Country A </w:t>
      </w:r>
      <w:r w:rsidR="003246A5">
        <w:rPr>
          <w:rFonts w:ascii="Avenir Next" w:hAnsi="Avenir Next" w:cs="Arial"/>
          <w:color w:val="808080" w:themeColor="background1" w:themeShade="80"/>
          <w:sz w:val="22"/>
          <w:szCs w:val="22"/>
          <w:lang w:val="en-GB"/>
        </w:rPr>
        <w:t xml:space="preserve"> proceedings  as both main foreign proceedings and non-main foreign proceedings.</w:t>
      </w:r>
    </w:p>
    <w:p w14:paraId="2296B678" w14:textId="77777777" w:rsidR="00B27AD3" w:rsidRDefault="00452628" w:rsidP="001C5D5F">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 considered whether the</w:t>
      </w:r>
      <w:r w:rsidR="0063213E">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covered all relevant factors </w:t>
      </w:r>
      <w:r w:rsidR="0063213E">
        <w:rPr>
          <w:rFonts w:ascii="Avenir Next" w:hAnsi="Avenir Next" w:cs="Arial"/>
          <w:color w:val="808080" w:themeColor="background1" w:themeShade="80"/>
          <w:sz w:val="22"/>
          <w:szCs w:val="22"/>
          <w:lang w:val="en-GB"/>
        </w:rPr>
        <w:t xml:space="preserve">to demonstrate that the debtor has its COMI In Country A </w:t>
      </w:r>
      <w:r w:rsidR="00B27AD3">
        <w:rPr>
          <w:rFonts w:ascii="Avenir Next" w:hAnsi="Avenir Next" w:cs="Arial"/>
          <w:color w:val="808080" w:themeColor="background1" w:themeShade="80"/>
          <w:sz w:val="22"/>
          <w:szCs w:val="22"/>
          <w:lang w:val="en-GB"/>
        </w:rPr>
        <w:t>in their application for recognition as foreign main proceedings.</w:t>
      </w:r>
    </w:p>
    <w:p w14:paraId="3D88332E" w14:textId="77777777" w:rsidR="00B27AD3" w:rsidRDefault="00B27AD3" w:rsidP="001C5D5F">
      <w:pPr>
        <w:ind w:left="720" w:hanging="11"/>
        <w:jc w:val="both"/>
        <w:rPr>
          <w:rFonts w:ascii="Avenir Next" w:hAnsi="Avenir Next" w:cs="Arial"/>
          <w:color w:val="808080" w:themeColor="background1" w:themeShade="80"/>
          <w:sz w:val="22"/>
          <w:szCs w:val="22"/>
          <w:lang w:val="en-GB"/>
        </w:rPr>
      </w:pPr>
    </w:p>
    <w:p w14:paraId="59C3B8FE" w14:textId="1F7308D2" w:rsidR="002760C1" w:rsidRDefault="00685099" w:rsidP="001C5D5F">
      <w:pPr>
        <w:ind w:left="720"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is not a defined term</w:t>
      </w:r>
      <w:r w:rsidR="007D4F8C">
        <w:rPr>
          <w:rFonts w:ascii="Avenir Next" w:hAnsi="Avenir Next" w:cs="Arial"/>
          <w:color w:val="808080" w:themeColor="background1" w:themeShade="80"/>
          <w:sz w:val="22"/>
          <w:szCs w:val="22"/>
          <w:lang w:val="en-GB"/>
        </w:rPr>
        <w:t xml:space="preserve"> under the Model Law.  However, the UNCITRAL Guide to Enactment provides some guidance. The two key factors for determining COMI under the Model Law are: (</w:t>
      </w:r>
      <w:proofErr w:type="spellStart"/>
      <w:r w:rsidR="007D4F8C">
        <w:rPr>
          <w:rFonts w:ascii="Avenir Next" w:hAnsi="Avenir Next" w:cs="Arial"/>
          <w:color w:val="808080" w:themeColor="background1" w:themeShade="80"/>
          <w:sz w:val="22"/>
          <w:szCs w:val="22"/>
          <w:lang w:val="en-GB"/>
        </w:rPr>
        <w:t>i</w:t>
      </w:r>
      <w:proofErr w:type="spellEnd"/>
      <w:r w:rsidR="007D4F8C">
        <w:rPr>
          <w:rFonts w:ascii="Avenir Next" w:hAnsi="Avenir Next" w:cs="Arial"/>
          <w:color w:val="808080" w:themeColor="background1" w:themeShade="80"/>
          <w:sz w:val="22"/>
          <w:szCs w:val="22"/>
          <w:lang w:val="en-GB"/>
        </w:rPr>
        <w:t>) the location where the central administration of the debtor takes place; and (ii) which is readily ascertainable as such by creditors.  Additional factors that could be considered by a court to determine the debtor’s COMI include, for example, (</w:t>
      </w:r>
      <w:proofErr w:type="spellStart"/>
      <w:r w:rsidR="007D4F8C">
        <w:rPr>
          <w:rFonts w:ascii="Avenir Next" w:hAnsi="Avenir Next" w:cs="Arial"/>
          <w:color w:val="808080" w:themeColor="background1" w:themeShade="80"/>
          <w:sz w:val="22"/>
          <w:szCs w:val="22"/>
          <w:lang w:val="en-GB"/>
        </w:rPr>
        <w:t>i</w:t>
      </w:r>
      <w:proofErr w:type="spellEnd"/>
      <w:r w:rsidR="007D4F8C">
        <w:rPr>
          <w:rFonts w:ascii="Avenir Next" w:hAnsi="Avenir Next" w:cs="Arial"/>
          <w:color w:val="808080" w:themeColor="background1" w:themeShade="80"/>
          <w:sz w:val="22"/>
          <w:szCs w:val="22"/>
          <w:lang w:val="en-GB"/>
        </w:rPr>
        <w:t xml:space="preserve">) the location of the debtor’s books and records; (ii) the location where financing was organised or authorised ; (ii) the location from where the cash management system was run etc. </w:t>
      </w:r>
      <w:bookmarkEnd w:id="1"/>
      <w:r w:rsidR="00452628">
        <w:rPr>
          <w:rFonts w:ascii="Avenir Next" w:hAnsi="Avenir Next" w:cs="Arial"/>
          <w:color w:val="808080" w:themeColor="background1" w:themeShade="80"/>
          <w:sz w:val="22"/>
          <w:szCs w:val="22"/>
          <w:lang w:val="en-GB"/>
        </w:rPr>
        <w:t xml:space="preserve"> </w:t>
      </w:r>
    </w:p>
    <w:p w14:paraId="3931A895" w14:textId="77777777" w:rsidR="002760C1" w:rsidRDefault="002760C1" w:rsidP="00867A8F">
      <w:pPr>
        <w:ind w:left="720" w:hanging="720"/>
        <w:jc w:val="both"/>
        <w:rPr>
          <w:rFonts w:ascii="Avenir Next" w:hAnsi="Avenir Next" w:cs="Arial"/>
          <w:color w:val="808080" w:themeColor="background1" w:themeShade="80"/>
          <w:sz w:val="22"/>
          <w:szCs w:val="22"/>
          <w:lang w:val="en-GB"/>
        </w:rPr>
      </w:pPr>
    </w:p>
    <w:p w14:paraId="60162F7C" w14:textId="69CD475B" w:rsidR="001C5D5F" w:rsidRDefault="00B27AD3" w:rsidP="00B02B9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B02B96">
        <w:rPr>
          <w:rFonts w:ascii="Avenir Next" w:hAnsi="Avenir Next" w:cs="Arial"/>
          <w:color w:val="808080" w:themeColor="background1" w:themeShade="80"/>
          <w:sz w:val="22"/>
          <w:szCs w:val="22"/>
          <w:lang w:val="en-GB"/>
        </w:rPr>
        <w:t xml:space="preserve">However, in the current scenario it is stated that in Country A “the foreign debtor has its registered office and not much more”. Accordingly, the most sensible course would be to apply for recognition of foreign non-main proceedings as </w:t>
      </w:r>
      <w:r w:rsidR="00AB46B8">
        <w:rPr>
          <w:rFonts w:ascii="Avenir Next" w:hAnsi="Avenir Next" w:cs="Arial"/>
          <w:color w:val="808080" w:themeColor="background1" w:themeShade="80"/>
          <w:sz w:val="22"/>
          <w:szCs w:val="22"/>
          <w:lang w:val="en-GB"/>
        </w:rPr>
        <w:t>it appears that the foreign debtor</w:t>
      </w:r>
      <w:r w:rsidR="003E4A69">
        <w:rPr>
          <w:rFonts w:ascii="Avenir Next" w:hAnsi="Avenir Next" w:cs="Arial"/>
          <w:color w:val="808080" w:themeColor="background1" w:themeShade="80"/>
          <w:sz w:val="22"/>
          <w:szCs w:val="22"/>
          <w:lang w:val="en-GB"/>
        </w:rPr>
        <w:t xml:space="preserve"> may have an “establishment” in Country A within the meaning of Article 2 (f) of the Model law. Under Article 2 (F) of the Model Law, the establishment is “</w:t>
      </w:r>
      <w:r w:rsidR="003E4A69" w:rsidRPr="003E4A69">
        <w:rPr>
          <w:rFonts w:ascii="Avenir Next" w:hAnsi="Avenir Next" w:cs="Arial"/>
          <w:i/>
          <w:iCs/>
          <w:color w:val="808080" w:themeColor="background1" w:themeShade="80"/>
          <w:sz w:val="22"/>
          <w:szCs w:val="22"/>
          <w:lang w:val="en-GB"/>
        </w:rPr>
        <w:t>any place of operations where the debtor carries out a non-transitory</w:t>
      </w:r>
      <w:r w:rsidR="003E4A69" w:rsidRPr="003E4A69">
        <w:rPr>
          <w:i/>
          <w:iCs/>
        </w:rPr>
        <w:t xml:space="preserve"> </w:t>
      </w:r>
      <w:r w:rsidR="003E4A69" w:rsidRPr="003E4A69">
        <w:rPr>
          <w:rFonts w:ascii="Avenir Next" w:hAnsi="Avenir Next" w:cs="Arial"/>
          <w:i/>
          <w:iCs/>
          <w:color w:val="808080" w:themeColor="background1" w:themeShade="80"/>
          <w:sz w:val="22"/>
          <w:szCs w:val="22"/>
          <w:lang w:val="en-GB"/>
        </w:rPr>
        <w:t>activity with human means and goods or services</w:t>
      </w:r>
      <w:r w:rsidR="003E4A69">
        <w:rPr>
          <w:rFonts w:ascii="Avenir Next" w:hAnsi="Avenir Next" w:cs="Arial"/>
          <w:color w:val="808080" w:themeColor="background1" w:themeShade="80"/>
          <w:sz w:val="22"/>
          <w:szCs w:val="22"/>
          <w:lang w:val="en-GB"/>
        </w:rPr>
        <w:t>”</w:t>
      </w:r>
    </w:p>
    <w:p w14:paraId="03C68ABC" w14:textId="77777777" w:rsidR="001C5D5F" w:rsidRDefault="001C5D5F" w:rsidP="00867A8F">
      <w:pPr>
        <w:ind w:left="720" w:hanging="720"/>
        <w:jc w:val="both"/>
        <w:rPr>
          <w:rFonts w:ascii="Avenir Next" w:hAnsi="Avenir Next" w:cs="Arial"/>
          <w:color w:val="808080" w:themeColor="background1" w:themeShade="80"/>
          <w:sz w:val="22"/>
          <w:szCs w:val="22"/>
          <w:lang w:val="en-GB"/>
        </w:rPr>
      </w:pPr>
    </w:p>
    <w:p w14:paraId="50EE94BE" w14:textId="793D1B99" w:rsidR="002760C1" w:rsidRDefault="003E4A69" w:rsidP="001C5D5F">
      <w:pPr>
        <w:ind w:left="720" w:hanging="15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AB46B8">
        <w:rPr>
          <w:rFonts w:ascii="Avenir Next" w:hAnsi="Avenir Next" w:cs="Arial"/>
          <w:color w:val="808080" w:themeColor="background1" w:themeShade="80"/>
          <w:sz w:val="22"/>
          <w:szCs w:val="22"/>
          <w:lang w:val="en-GB"/>
        </w:rPr>
        <w:t xml:space="preserve"> </w:t>
      </w:r>
      <w:r w:rsidR="0000769B">
        <w:rPr>
          <w:rFonts w:ascii="Avenir Next" w:hAnsi="Avenir Next" w:cs="Arial"/>
          <w:color w:val="808080" w:themeColor="background1" w:themeShade="80"/>
          <w:sz w:val="22"/>
          <w:szCs w:val="22"/>
          <w:lang w:val="en-GB"/>
        </w:rPr>
        <w:t xml:space="preserve"> Accordingly, the foreign representative should apply for recognition of the</w:t>
      </w:r>
      <w:r w:rsidR="00AD51AC">
        <w:rPr>
          <w:rFonts w:ascii="Avenir Next" w:hAnsi="Avenir Next" w:cs="Arial"/>
          <w:color w:val="808080" w:themeColor="background1" w:themeShade="80"/>
          <w:sz w:val="22"/>
          <w:szCs w:val="22"/>
          <w:lang w:val="en-GB"/>
        </w:rPr>
        <w:t xml:space="preserve"> Country A</w:t>
      </w:r>
      <w:r w:rsidR="0000769B">
        <w:rPr>
          <w:rFonts w:ascii="Avenir Next" w:hAnsi="Avenir Next" w:cs="Arial"/>
          <w:color w:val="808080" w:themeColor="background1" w:themeShade="80"/>
          <w:sz w:val="22"/>
          <w:szCs w:val="22"/>
          <w:lang w:val="en-GB"/>
        </w:rPr>
        <w:t xml:space="preserve"> proceedings as foreign non-main proceedings</w:t>
      </w:r>
      <w:r w:rsidR="001C5D5F">
        <w:rPr>
          <w:rFonts w:ascii="Avenir Next" w:hAnsi="Avenir Next" w:cs="Arial"/>
          <w:color w:val="808080" w:themeColor="background1" w:themeShade="80"/>
          <w:sz w:val="22"/>
          <w:szCs w:val="22"/>
          <w:lang w:val="en-GB"/>
        </w:rPr>
        <w:t xml:space="preserve"> and then seek appropriate relief under Article 21 of the Model Law </w:t>
      </w:r>
    </w:p>
    <w:p w14:paraId="47AF5E2F" w14:textId="2045F07A" w:rsidR="00CD6F47" w:rsidRDefault="00CD6F47" w:rsidP="00867A8F">
      <w:pPr>
        <w:ind w:left="720" w:hanging="720"/>
        <w:jc w:val="both"/>
        <w:rPr>
          <w:rFonts w:ascii="Avenir Next" w:hAnsi="Avenir Next" w:cs="Arial"/>
          <w:color w:val="808080" w:themeColor="background1" w:themeShade="80"/>
          <w:sz w:val="22"/>
          <w:szCs w:val="22"/>
          <w:lang w:val="en-GB"/>
        </w:rPr>
      </w:pPr>
    </w:p>
    <w:p w14:paraId="46F134D8" w14:textId="77777777" w:rsidR="00CD6F47" w:rsidRDefault="00CD6F47" w:rsidP="00867A8F">
      <w:pPr>
        <w:ind w:left="720" w:hanging="720"/>
        <w:jc w:val="both"/>
        <w:rPr>
          <w:rFonts w:ascii="Avenir Next" w:hAnsi="Avenir Next" w:cs="Arial"/>
          <w:color w:val="808080" w:themeColor="background1" w:themeShade="80"/>
          <w:sz w:val="22"/>
          <w:szCs w:val="22"/>
          <w:lang w:val="en-GB"/>
        </w:rPr>
      </w:pPr>
    </w:p>
    <w:p w14:paraId="55D111B1" w14:textId="3858AA81"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w:t>
      </w:r>
      <w:bookmarkStart w:id="4" w:name="_Hlk160023677"/>
      <w:r w:rsidRPr="00E61F6E">
        <w:rPr>
          <w:rFonts w:ascii="Avenir Next" w:hAnsi="Avenir Next"/>
          <w:sz w:val="22"/>
          <w:szCs w:val="28"/>
        </w:rPr>
        <w:t>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w:t>
      </w:r>
      <w:bookmarkEnd w:id="4"/>
      <w:r w:rsidRPr="00E61F6E">
        <w:rPr>
          <w:rFonts w:ascii="Avenir Next" w:hAnsi="Avenir Next"/>
          <w:sz w:val="22"/>
          <w:szCs w:val="28"/>
        </w:rPr>
        <w:t xml:space="preserve">(SEC). Around that time, Globe Holdings retained its Cayman Islands counsel Cedar and Woods, which </w:t>
      </w:r>
      <w:r w:rsidRPr="00E61F6E">
        <w:rPr>
          <w:rFonts w:ascii="Avenir Next" w:hAnsi="Avenir Next"/>
          <w:sz w:val="22"/>
          <w:szCs w:val="28"/>
        </w:rPr>
        <w:lastRenderedPageBreak/>
        <w:t>has regularly represented Globe Holdings for over a decade.</w:t>
      </w:r>
      <w:bookmarkStart w:id="5"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5"/>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bookmarkStart w:id="6" w:name="_Hlk160028386"/>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w:t>
      </w:r>
      <w:bookmarkEnd w:id="6"/>
      <w:r w:rsidRPr="00E61F6E">
        <w:rPr>
          <w:rFonts w:ascii="Avenir Next" w:hAnsi="Avenir Next"/>
          <w:sz w:val="22"/>
          <w:szCs w:val="28"/>
        </w:rPr>
        <w:t>.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7"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7"/>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 xml:space="preserve">ultimately determined that the most value accretive path for the Noteholders was to </w:t>
      </w:r>
      <w:r w:rsidRPr="006E47DA">
        <w:rPr>
          <w:rFonts w:ascii="Avenir Next" w:hAnsi="Avenir Next"/>
          <w:sz w:val="22"/>
          <w:szCs w:val="28"/>
        </w:rPr>
        <w:t>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bookmarkStart w:id="8" w:name="_Hlk160036312"/>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bookmarkEnd w:id="8"/>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B5C4035" w14:textId="6BE96F1C" w:rsidR="007B5FEB" w:rsidRDefault="007B5FEB" w:rsidP="009E3CA7">
      <w:pPr>
        <w:jc w:val="both"/>
        <w:rPr>
          <w:rFonts w:ascii="Avenir Next" w:hAnsi="Avenir Next"/>
          <w:color w:val="808080" w:themeColor="background1" w:themeShade="80"/>
          <w:sz w:val="22"/>
          <w:szCs w:val="28"/>
        </w:rPr>
      </w:pPr>
    </w:p>
    <w:p w14:paraId="22EC35AA" w14:textId="77777777" w:rsidR="007B5FEB" w:rsidRDefault="007B5FEB" w:rsidP="009E3CA7">
      <w:pPr>
        <w:jc w:val="both"/>
        <w:rPr>
          <w:rFonts w:ascii="Avenir Next" w:hAnsi="Avenir Next"/>
          <w:color w:val="808080" w:themeColor="background1" w:themeShade="80"/>
          <w:sz w:val="22"/>
          <w:szCs w:val="28"/>
        </w:rPr>
      </w:pPr>
    </w:p>
    <w:p w14:paraId="30D7E6F9" w14:textId="7D182910" w:rsidR="009E3CA7" w:rsidRPr="002A330B" w:rsidRDefault="008F28DA" w:rsidP="009E3CA7">
      <w:pPr>
        <w:jc w:val="both"/>
        <w:rPr>
          <w:rFonts w:ascii="Avenir Next" w:hAnsi="Avenir Next"/>
          <w:b/>
          <w:bCs/>
          <w:i/>
          <w:iCs/>
          <w:color w:val="808080" w:themeColor="background1" w:themeShade="80"/>
          <w:sz w:val="22"/>
          <w:szCs w:val="28"/>
        </w:rPr>
      </w:pPr>
      <w:r>
        <w:rPr>
          <w:rFonts w:ascii="Avenir Next" w:hAnsi="Avenir Next"/>
          <w:color w:val="808080" w:themeColor="background1" w:themeShade="80"/>
          <w:sz w:val="22"/>
          <w:szCs w:val="28"/>
        </w:rPr>
        <w:t xml:space="preserve">A. </w:t>
      </w:r>
      <w:r w:rsidR="00BF67A0" w:rsidRPr="002A330B">
        <w:rPr>
          <w:rFonts w:ascii="Avenir Next" w:hAnsi="Avenir Next"/>
          <w:b/>
          <w:bCs/>
          <w:i/>
          <w:iCs/>
          <w:color w:val="808080" w:themeColor="background1" w:themeShade="80"/>
          <w:sz w:val="22"/>
          <w:szCs w:val="28"/>
        </w:rPr>
        <w:t>COMI</w:t>
      </w:r>
      <w:r w:rsidR="00F612BC" w:rsidRPr="002A330B">
        <w:rPr>
          <w:rFonts w:ascii="Avenir Next" w:hAnsi="Avenir Next"/>
          <w:b/>
          <w:bCs/>
          <w:i/>
          <w:iCs/>
          <w:color w:val="808080" w:themeColor="background1" w:themeShade="80"/>
          <w:sz w:val="22"/>
          <w:szCs w:val="28"/>
        </w:rPr>
        <w:t>/Establishment Analysis</w:t>
      </w:r>
    </w:p>
    <w:p w14:paraId="56C22BDF" w14:textId="3DD4A534" w:rsidR="002A330B" w:rsidRPr="009315AD" w:rsidRDefault="002A330B" w:rsidP="009E3CA7">
      <w:pPr>
        <w:jc w:val="both"/>
        <w:rPr>
          <w:rFonts w:ascii="Avenir Next" w:hAnsi="Avenir Next" w:cs="Arial"/>
          <w:color w:val="808080" w:themeColor="background1" w:themeShade="80"/>
          <w:sz w:val="22"/>
          <w:szCs w:val="22"/>
          <w:u w:val="single"/>
          <w:lang w:val="en-GB"/>
        </w:rPr>
      </w:pPr>
      <w:r w:rsidRPr="009315AD">
        <w:rPr>
          <w:rFonts w:ascii="Avenir Next" w:hAnsi="Avenir Next" w:cs="Arial"/>
          <w:color w:val="808080" w:themeColor="background1" w:themeShade="80"/>
          <w:sz w:val="22"/>
          <w:szCs w:val="22"/>
          <w:u w:val="single"/>
          <w:lang w:val="en-GB"/>
        </w:rPr>
        <w:t>Globe Financial Holdings Inc</w:t>
      </w:r>
      <w:r w:rsidR="00FB575B">
        <w:rPr>
          <w:rFonts w:ascii="Avenir Next" w:hAnsi="Avenir Next" w:cs="Arial"/>
          <w:color w:val="808080" w:themeColor="background1" w:themeShade="80"/>
          <w:sz w:val="22"/>
          <w:szCs w:val="22"/>
          <w:u w:val="single"/>
          <w:lang w:val="en-GB"/>
        </w:rPr>
        <w:t xml:space="preserve"> (</w:t>
      </w:r>
      <w:r w:rsidR="00FB575B" w:rsidRPr="00FB575B">
        <w:rPr>
          <w:rFonts w:ascii="Avenir Next" w:hAnsi="Avenir Next" w:cs="Arial"/>
          <w:i/>
          <w:iCs/>
          <w:color w:val="808080" w:themeColor="background1" w:themeShade="80"/>
          <w:sz w:val="22"/>
          <w:szCs w:val="22"/>
          <w:u w:val="single"/>
          <w:lang w:val="en-GB"/>
        </w:rPr>
        <w:t>the Company</w:t>
      </w:r>
      <w:r w:rsidR="00FB575B">
        <w:rPr>
          <w:rFonts w:ascii="Avenir Next" w:hAnsi="Avenir Next" w:cs="Arial"/>
          <w:color w:val="808080" w:themeColor="background1" w:themeShade="80"/>
          <w:sz w:val="22"/>
          <w:szCs w:val="22"/>
          <w:u w:val="single"/>
          <w:lang w:val="en-GB"/>
        </w:rPr>
        <w:t>)</w:t>
      </w:r>
      <w:r w:rsidRPr="009315AD">
        <w:rPr>
          <w:rFonts w:ascii="Avenir Next" w:hAnsi="Avenir Next" w:cs="Arial"/>
          <w:color w:val="808080" w:themeColor="background1" w:themeShade="80"/>
          <w:sz w:val="22"/>
          <w:szCs w:val="22"/>
          <w:u w:val="single"/>
          <w:lang w:val="en-GB"/>
        </w:rPr>
        <w:t xml:space="preserve"> (Canada -&gt;</w:t>
      </w:r>
      <w:r w:rsidR="00AA03C5" w:rsidRPr="009315AD">
        <w:rPr>
          <w:rFonts w:ascii="Avenir Next" w:hAnsi="Avenir Next"/>
          <w:sz w:val="22"/>
          <w:szCs w:val="28"/>
          <w:u w:val="single"/>
        </w:rPr>
        <w:t xml:space="preserve"> </w:t>
      </w:r>
      <w:r w:rsidR="00AA03C5" w:rsidRPr="009315AD">
        <w:rPr>
          <w:rFonts w:ascii="Avenir Next" w:hAnsi="Avenir Next" w:cs="Arial"/>
          <w:color w:val="808080" w:themeColor="background1" w:themeShade="80"/>
          <w:sz w:val="22"/>
          <w:szCs w:val="22"/>
          <w:u w:val="single"/>
          <w:lang w:val="en-GB"/>
        </w:rPr>
        <w:t>the Cayman Islands</w:t>
      </w:r>
      <w:r w:rsidR="007301D1" w:rsidRPr="009315AD">
        <w:rPr>
          <w:rFonts w:ascii="Avenir Next" w:hAnsi="Avenir Next" w:cs="Arial"/>
          <w:color w:val="808080" w:themeColor="background1" w:themeShade="80"/>
          <w:sz w:val="22"/>
          <w:szCs w:val="22"/>
          <w:u w:val="single"/>
          <w:lang w:val="en-GB"/>
        </w:rPr>
        <w:t xml:space="preserve"> (from 2010)</w:t>
      </w:r>
      <w:r w:rsidR="00AA03C5" w:rsidRPr="009315AD">
        <w:rPr>
          <w:rFonts w:ascii="Avenir Next" w:hAnsi="Avenir Next" w:cs="Arial"/>
          <w:color w:val="808080" w:themeColor="background1" w:themeShade="80"/>
          <w:sz w:val="22"/>
          <w:szCs w:val="22"/>
          <w:u w:val="single"/>
          <w:lang w:val="en-GB"/>
        </w:rPr>
        <w:t>)</w:t>
      </w:r>
    </w:p>
    <w:p w14:paraId="55787BAC" w14:textId="77777777" w:rsidR="00AC37A7" w:rsidRPr="00FB575B" w:rsidRDefault="00AC37A7" w:rsidP="009E3CA7">
      <w:pPr>
        <w:jc w:val="both"/>
        <w:rPr>
          <w:rFonts w:ascii="Avenir Next" w:hAnsi="Avenir Next" w:cs="Arial"/>
          <w:i/>
          <w:iCs/>
          <w:color w:val="808080" w:themeColor="background1" w:themeShade="80"/>
          <w:sz w:val="22"/>
          <w:szCs w:val="22"/>
        </w:rPr>
      </w:pPr>
    </w:p>
    <w:p w14:paraId="5DC3CF76" w14:textId="3F1AFD75" w:rsidR="00AE6136" w:rsidRDefault="00FB575B" w:rsidP="009E3CA7">
      <w:pPr>
        <w:jc w:val="both"/>
        <w:rPr>
          <w:rFonts w:ascii="Avenir Next" w:hAnsi="Avenir Next" w:cs="Arial"/>
          <w:i/>
          <w:iCs/>
          <w:color w:val="808080" w:themeColor="background1" w:themeShade="80"/>
          <w:sz w:val="22"/>
          <w:szCs w:val="22"/>
          <w:lang w:val="en-GB"/>
        </w:rPr>
      </w:pPr>
      <w:r w:rsidRPr="00FB575B">
        <w:rPr>
          <w:rFonts w:ascii="Avenir Next" w:hAnsi="Avenir Next" w:cs="Arial"/>
          <w:i/>
          <w:iCs/>
          <w:color w:val="808080" w:themeColor="background1" w:themeShade="80"/>
          <w:sz w:val="22"/>
          <w:szCs w:val="22"/>
          <w:lang w:val="en-GB"/>
        </w:rPr>
        <w:t xml:space="preserve">Applicable Principles </w:t>
      </w:r>
    </w:p>
    <w:p w14:paraId="627FCE96" w14:textId="77777777" w:rsidR="00CC4698" w:rsidRDefault="00CC4698" w:rsidP="009E3CA7">
      <w:pPr>
        <w:jc w:val="both"/>
        <w:rPr>
          <w:rFonts w:ascii="Avenir Next" w:hAnsi="Avenir Next" w:cs="Arial"/>
          <w:i/>
          <w:iCs/>
          <w:color w:val="808080" w:themeColor="background1" w:themeShade="80"/>
          <w:sz w:val="22"/>
          <w:szCs w:val="22"/>
          <w:lang w:val="en-GB"/>
        </w:rPr>
      </w:pPr>
    </w:p>
    <w:p w14:paraId="1AB8BAD4" w14:textId="3A55AA0E" w:rsidR="00CC4698" w:rsidRDefault="00CC4698" w:rsidP="009E3CA7">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COMI</w:t>
      </w:r>
    </w:p>
    <w:p w14:paraId="09B07560" w14:textId="77777777" w:rsidR="00CC4698" w:rsidRPr="00FB575B" w:rsidRDefault="00CC4698" w:rsidP="009E3CA7">
      <w:pPr>
        <w:jc w:val="both"/>
        <w:rPr>
          <w:rFonts w:ascii="Avenir Next" w:hAnsi="Avenir Next" w:cs="Arial"/>
          <w:i/>
          <w:iCs/>
          <w:color w:val="808080" w:themeColor="background1" w:themeShade="80"/>
          <w:sz w:val="22"/>
          <w:szCs w:val="22"/>
          <w:lang w:val="en-GB"/>
        </w:rPr>
      </w:pPr>
    </w:p>
    <w:p w14:paraId="1A51B28F" w14:textId="6C5DD010" w:rsidR="002A330B" w:rsidRDefault="002A330B"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is not a defined term under the Model Law.  However, </w:t>
      </w:r>
      <w:r w:rsidR="009315AD">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UNCITRAL Guide to Enactment provides some guidance. The two key factors for determining COMI under the Model Law are: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location where the central administration of the debtor takes place; and (ii) which is readily ascertainable as such by creditors.  Additional factors that could be considered by a court to determine the debtor’s COMI include, for example,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location of the debtor’s books and records; (ii) the location where financing was organised or authorised; (ii) the location from where the cash management system was run</w:t>
      </w:r>
      <w:r w:rsidR="00FB575B">
        <w:rPr>
          <w:rFonts w:ascii="Avenir Next" w:hAnsi="Avenir Next" w:cs="Arial"/>
          <w:color w:val="808080" w:themeColor="background1" w:themeShade="80"/>
          <w:sz w:val="22"/>
          <w:szCs w:val="22"/>
          <w:lang w:val="en-GB"/>
        </w:rPr>
        <w:t>; (iv) the location of employees</w:t>
      </w:r>
      <w:r w:rsidR="004A0B22">
        <w:rPr>
          <w:rFonts w:ascii="Avenir Next" w:hAnsi="Avenir Next" w:cs="Arial"/>
          <w:color w:val="808080" w:themeColor="background1" w:themeShade="80"/>
          <w:sz w:val="22"/>
          <w:szCs w:val="22"/>
          <w:lang w:val="en-GB"/>
        </w:rPr>
        <w:t>; (v) the jurisdiction whole law would apply to most dispute; (v) the location from which reorganisation of the debtor being conducted</w:t>
      </w:r>
      <w:r w:rsidR="001E1651">
        <w:rPr>
          <w:rFonts w:ascii="Avenir Next" w:hAnsi="Avenir Next" w:cs="Arial"/>
          <w:color w:val="808080" w:themeColor="background1" w:themeShade="80"/>
          <w:sz w:val="22"/>
          <w:szCs w:val="22"/>
          <w:lang w:val="en-GB"/>
        </w:rPr>
        <w:t>; (vi) the location of the debtor’s primary bank</w:t>
      </w:r>
      <w:r w:rsidR="00D247D6">
        <w:rPr>
          <w:rFonts w:ascii="Avenir Next" w:hAnsi="Avenir Next" w:cs="Arial"/>
          <w:color w:val="808080" w:themeColor="background1" w:themeShade="80"/>
          <w:sz w:val="22"/>
          <w:szCs w:val="22"/>
          <w:lang w:val="en-GB"/>
        </w:rPr>
        <w:t xml:space="preserve">; (vii) the location in which the debtor’s principal assets and operations are found. </w:t>
      </w:r>
    </w:p>
    <w:p w14:paraId="140A54E6" w14:textId="77777777" w:rsidR="00FB575B" w:rsidRDefault="00FB575B" w:rsidP="009E3CA7">
      <w:pPr>
        <w:jc w:val="both"/>
        <w:rPr>
          <w:rFonts w:ascii="Avenir Next" w:hAnsi="Avenir Next"/>
          <w:color w:val="808080" w:themeColor="background1" w:themeShade="80"/>
          <w:sz w:val="22"/>
          <w:szCs w:val="28"/>
        </w:rPr>
      </w:pPr>
    </w:p>
    <w:p w14:paraId="18673FDB" w14:textId="4C0645A7" w:rsidR="00F612BC" w:rsidRDefault="008865D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US judgment Morning Mist Holdings ltd v </w:t>
      </w:r>
      <w:proofErr w:type="spellStart"/>
      <w:r>
        <w:rPr>
          <w:rFonts w:ascii="Avenir Next" w:hAnsi="Avenir Next"/>
          <w:color w:val="808080" w:themeColor="background1" w:themeShade="80"/>
          <w:sz w:val="22"/>
          <w:szCs w:val="28"/>
        </w:rPr>
        <w:t>Krys</w:t>
      </w:r>
      <w:proofErr w:type="spellEnd"/>
      <w:r>
        <w:rPr>
          <w:rFonts w:ascii="Avenir Next" w:hAnsi="Avenir Next"/>
          <w:color w:val="808080" w:themeColor="background1" w:themeShade="80"/>
          <w:sz w:val="22"/>
          <w:szCs w:val="28"/>
        </w:rPr>
        <w:t xml:space="preserve"> (Matter of Fairfield Sentry Ltd (2</w:t>
      </w:r>
      <w:r w:rsidRPr="008865D9">
        <w:rPr>
          <w:rFonts w:ascii="Avenir Next" w:hAnsi="Avenir Next"/>
          <w:color w:val="808080" w:themeColor="background1" w:themeShade="80"/>
          <w:sz w:val="22"/>
          <w:szCs w:val="28"/>
          <w:vertAlign w:val="superscript"/>
        </w:rPr>
        <w:t>nd</w:t>
      </w:r>
      <w:r>
        <w:rPr>
          <w:rFonts w:ascii="Avenir Next" w:hAnsi="Avenir Next"/>
          <w:color w:val="808080" w:themeColor="background1" w:themeShade="80"/>
          <w:sz w:val="22"/>
          <w:szCs w:val="28"/>
        </w:rPr>
        <w:t xml:space="preserve"> Cir Appeals Apr 16, 2013, the Court held that: “(…) </w:t>
      </w:r>
      <w:r w:rsidRPr="008865D9">
        <w:rPr>
          <w:rFonts w:ascii="Avenir Next" w:hAnsi="Avenir Next"/>
          <w:i/>
          <w:iCs/>
          <w:color w:val="808080" w:themeColor="background1" w:themeShade="80"/>
          <w:sz w:val="22"/>
          <w:szCs w:val="28"/>
        </w:rPr>
        <w:t>a debtor’s COMI should determined based on its activities at or around the time the Chapter 15 petition is filed, as the statutory text suggests. (…), a court may consider the period between the commencement of the foreign insolvency proceedings and the filing of the Chapter 15 petition to ensure that a debtor has not manipulated its COMI in bad faith</w:t>
      </w:r>
      <w:r>
        <w:rPr>
          <w:rFonts w:ascii="Avenir Next" w:hAnsi="Avenir Next"/>
          <w:color w:val="808080" w:themeColor="background1" w:themeShade="80"/>
          <w:sz w:val="22"/>
          <w:szCs w:val="28"/>
        </w:rPr>
        <w:t xml:space="preserve">.(…)” As far as COMI factors are concerned, the US court noted that: “(…) </w:t>
      </w:r>
      <w:r w:rsidRPr="008865D9">
        <w:rPr>
          <w:rFonts w:ascii="Avenir Next" w:hAnsi="Avenir Next"/>
          <w:i/>
          <w:iCs/>
          <w:color w:val="808080" w:themeColor="background1" w:themeShade="80"/>
          <w:sz w:val="22"/>
          <w:szCs w:val="28"/>
        </w:rPr>
        <w:t>any relevant activities and administrative functions, may be considered in the COMI analyses</w:t>
      </w:r>
      <w:r>
        <w:rPr>
          <w:rFonts w:ascii="Avenir Next" w:hAnsi="Avenir Next"/>
          <w:color w:val="808080" w:themeColor="background1" w:themeShade="80"/>
          <w:sz w:val="22"/>
          <w:szCs w:val="28"/>
        </w:rPr>
        <w:t>.”</w:t>
      </w:r>
      <w:r w:rsidR="00F612BC">
        <w:rPr>
          <w:rFonts w:ascii="Avenir Next" w:hAnsi="Avenir Next"/>
          <w:color w:val="808080" w:themeColor="background1" w:themeShade="80"/>
          <w:sz w:val="22"/>
          <w:szCs w:val="28"/>
        </w:rPr>
        <w:t xml:space="preserve"> </w:t>
      </w:r>
    </w:p>
    <w:p w14:paraId="7C418625" w14:textId="77777777" w:rsidR="00CC4698" w:rsidRDefault="00CC4698" w:rsidP="009E3CA7">
      <w:pPr>
        <w:jc w:val="both"/>
        <w:rPr>
          <w:rFonts w:ascii="Avenir Next" w:hAnsi="Avenir Next"/>
          <w:color w:val="808080" w:themeColor="background1" w:themeShade="80"/>
          <w:sz w:val="22"/>
          <w:szCs w:val="28"/>
        </w:rPr>
      </w:pPr>
    </w:p>
    <w:p w14:paraId="18D63848" w14:textId="222272DB" w:rsidR="00CC4698" w:rsidRPr="00CC4698" w:rsidRDefault="00CC4698" w:rsidP="009E3CA7">
      <w:pPr>
        <w:jc w:val="both"/>
        <w:rPr>
          <w:rFonts w:ascii="Avenir Next" w:hAnsi="Avenir Next"/>
          <w:i/>
          <w:iCs/>
          <w:color w:val="808080" w:themeColor="background1" w:themeShade="80"/>
          <w:sz w:val="22"/>
          <w:szCs w:val="28"/>
        </w:rPr>
      </w:pPr>
      <w:r w:rsidRPr="00CC4698">
        <w:rPr>
          <w:rFonts w:ascii="Avenir Next" w:hAnsi="Avenir Next"/>
          <w:i/>
          <w:iCs/>
          <w:color w:val="808080" w:themeColor="background1" w:themeShade="80"/>
          <w:sz w:val="22"/>
          <w:szCs w:val="28"/>
        </w:rPr>
        <w:t>Establishment</w:t>
      </w:r>
    </w:p>
    <w:p w14:paraId="26454941" w14:textId="77777777" w:rsidR="00CC4698" w:rsidRDefault="00CC4698" w:rsidP="00CC4698">
      <w:pPr>
        <w:jc w:val="both"/>
        <w:rPr>
          <w:rFonts w:ascii="Avenir Next" w:hAnsi="Avenir Next" w:cs="Arial"/>
          <w:color w:val="808080" w:themeColor="background1" w:themeShade="80"/>
          <w:sz w:val="22"/>
          <w:szCs w:val="22"/>
        </w:rPr>
      </w:pPr>
    </w:p>
    <w:p w14:paraId="1EE8F9BC" w14:textId="1720C321" w:rsidR="00CC4698" w:rsidRDefault="00CC4698" w:rsidP="00CC4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 (F) of the Model Law</w:t>
      </w:r>
      <w:r>
        <w:rPr>
          <w:rFonts w:ascii="Avenir Next" w:hAnsi="Avenir Next" w:cs="Arial"/>
          <w:color w:val="808080" w:themeColor="background1" w:themeShade="80"/>
          <w:sz w:val="22"/>
          <w:szCs w:val="22"/>
          <w:lang w:val="en-GB"/>
        </w:rPr>
        <w:t xml:space="preserve"> defines</w:t>
      </w:r>
      <w:r>
        <w:rPr>
          <w:rFonts w:ascii="Avenir Next" w:hAnsi="Avenir Next" w:cs="Arial"/>
          <w:color w:val="808080" w:themeColor="background1" w:themeShade="80"/>
          <w:sz w:val="22"/>
          <w:szCs w:val="22"/>
          <w:lang w:val="en-GB"/>
        </w:rPr>
        <w:t xml:space="preserve"> </w:t>
      </w:r>
      <w:r w:rsidR="00DB661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the establishment</w:t>
      </w:r>
      <w:r w:rsidR="00DB661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B6619">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w:t>
      </w:r>
      <w:r w:rsidRPr="003E4A69">
        <w:rPr>
          <w:rFonts w:ascii="Avenir Next" w:hAnsi="Avenir Next" w:cs="Arial"/>
          <w:i/>
          <w:iCs/>
          <w:color w:val="808080" w:themeColor="background1" w:themeShade="80"/>
          <w:sz w:val="22"/>
          <w:szCs w:val="22"/>
          <w:lang w:val="en-GB"/>
        </w:rPr>
        <w:t>any place of operations where the debtor carries out a non-transitory</w:t>
      </w:r>
      <w:r w:rsidRPr="003E4A69">
        <w:rPr>
          <w:i/>
          <w:iCs/>
        </w:rPr>
        <w:t xml:space="preserve"> </w:t>
      </w:r>
      <w:r w:rsidRPr="003E4A69">
        <w:rPr>
          <w:rFonts w:ascii="Avenir Next" w:hAnsi="Avenir Next" w:cs="Arial"/>
          <w:i/>
          <w:iCs/>
          <w:color w:val="808080" w:themeColor="background1" w:themeShade="80"/>
          <w:sz w:val="22"/>
          <w:szCs w:val="22"/>
          <w:lang w:val="en-GB"/>
        </w:rPr>
        <w:t>activity with human means and goods or services</w:t>
      </w:r>
      <w:r>
        <w:rPr>
          <w:rFonts w:ascii="Avenir Next" w:hAnsi="Avenir Next" w:cs="Arial"/>
          <w:color w:val="808080" w:themeColor="background1" w:themeShade="80"/>
          <w:sz w:val="22"/>
          <w:szCs w:val="22"/>
          <w:lang w:val="en-GB"/>
        </w:rPr>
        <w:t>”</w:t>
      </w:r>
    </w:p>
    <w:p w14:paraId="498A86B7" w14:textId="77777777" w:rsidR="00AC37A7" w:rsidRPr="00CC4698" w:rsidRDefault="00AC37A7" w:rsidP="009E3CA7">
      <w:pPr>
        <w:jc w:val="both"/>
        <w:rPr>
          <w:rFonts w:ascii="Avenir Next" w:hAnsi="Avenir Next"/>
          <w:color w:val="808080" w:themeColor="background1" w:themeShade="80"/>
          <w:sz w:val="22"/>
          <w:szCs w:val="28"/>
          <w:lang w:val="en-GB"/>
        </w:rPr>
      </w:pPr>
    </w:p>
    <w:p w14:paraId="28109320" w14:textId="77777777" w:rsidR="00CC4698" w:rsidRDefault="00CC4698" w:rsidP="009E3CA7">
      <w:pPr>
        <w:jc w:val="both"/>
        <w:rPr>
          <w:rFonts w:ascii="Avenir Next" w:hAnsi="Avenir Next"/>
          <w:color w:val="808080" w:themeColor="background1" w:themeShade="80"/>
          <w:sz w:val="22"/>
          <w:szCs w:val="28"/>
        </w:rPr>
      </w:pPr>
    </w:p>
    <w:p w14:paraId="709BD647" w14:textId="74C699CE" w:rsidR="00AC37A7" w:rsidRPr="00FB575B" w:rsidRDefault="00FB575B" w:rsidP="009E3CA7">
      <w:pPr>
        <w:jc w:val="both"/>
        <w:rPr>
          <w:rFonts w:ascii="Avenir Next" w:hAnsi="Avenir Next"/>
          <w:i/>
          <w:iCs/>
          <w:color w:val="808080" w:themeColor="background1" w:themeShade="80"/>
          <w:sz w:val="22"/>
          <w:szCs w:val="28"/>
          <w:u w:val="single"/>
        </w:rPr>
      </w:pPr>
      <w:r w:rsidRPr="00FB575B">
        <w:rPr>
          <w:rFonts w:ascii="Avenir Next" w:hAnsi="Avenir Next"/>
          <w:i/>
          <w:iCs/>
          <w:color w:val="808080" w:themeColor="background1" w:themeShade="80"/>
          <w:sz w:val="22"/>
          <w:szCs w:val="28"/>
          <w:u w:val="single"/>
        </w:rPr>
        <w:t>Factors relevant for the COMI/Establishment Analysis</w:t>
      </w:r>
    </w:p>
    <w:p w14:paraId="46E7CCD6" w14:textId="77777777" w:rsidR="00FB575B" w:rsidRDefault="00FB575B" w:rsidP="009E3CA7">
      <w:pPr>
        <w:jc w:val="both"/>
        <w:rPr>
          <w:rFonts w:ascii="Avenir Next" w:hAnsi="Avenir Next"/>
          <w:color w:val="808080" w:themeColor="background1" w:themeShade="80"/>
          <w:sz w:val="22"/>
          <w:szCs w:val="28"/>
        </w:rPr>
      </w:pPr>
    </w:p>
    <w:p w14:paraId="05C65FA8" w14:textId="2F053FD1" w:rsidR="00FB575B" w:rsidRPr="00FB575B" w:rsidRDefault="00FB575B" w:rsidP="00FB575B">
      <w:pPr>
        <w:pStyle w:val="ListParagraph"/>
        <w:numPr>
          <w:ilvl w:val="0"/>
          <w:numId w:val="31"/>
        </w:numPr>
        <w:jc w:val="both"/>
        <w:rPr>
          <w:rFonts w:ascii="Avenir Next" w:hAnsi="Avenir Next"/>
          <w:color w:val="808080" w:themeColor="background1" w:themeShade="80"/>
          <w:sz w:val="22"/>
          <w:szCs w:val="28"/>
        </w:rPr>
      </w:pPr>
      <w:r w:rsidRPr="00FB575B">
        <w:rPr>
          <w:rFonts w:ascii="Avenir Next" w:hAnsi="Avenir Next"/>
          <w:color w:val="808080" w:themeColor="background1" w:themeShade="80"/>
          <w:sz w:val="22"/>
          <w:szCs w:val="28"/>
        </w:rPr>
        <w:t xml:space="preserve">Re-domiciliation to Cayman. </w:t>
      </w:r>
    </w:p>
    <w:p w14:paraId="0187F5C9" w14:textId="77777777" w:rsidR="00FB575B" w:rsidRDefault="00FB575B" w:rsidP="009E3CA7">
      <w:pPr>
        <w:jc w:val="both"/>
        <w:rPr>
          <w:rFonts w:ascii="Avenir Next" w:hAnsi="Avenir Next"/>
          <w:color w:val="808080" w:themeColor="background1" w:themeShade="80"/>
          <w:sz w:val="22"/>
          <w:szCs w:val="28"/>
        </w:rPr>
      </w:pPr>
    </w:p>
    <w:p w14:paraId="429388BE" w14:textId="77777777" w:rsidR="006E47DA" w:rsidRPr="006E47DA" w:rsidRDefault="00FB575B" w:rsidP="006E47DA">
      <w:pPr>
        <w:pStyle w:val="ListParagraph"/>
        <w:numPr>
          <w:ilvl w:val="0"/>
          <w:numId w:val="32"/>
        </w:numPr>
        <w:jc w:val="both"/>
        <w:rPr>
          <w:rFonts w:ascii="Avenir Next" w:hAnsi="Avenir Next"/>
          <w:color w:val="808080" w:themeColor="background1" w:themeShade="80"/>
          <w:sz w:val="22"/>
          <w:szCs w:val="28"/>
        </w:rPr>
      </w:pPr>
      <w:r w:rsidRPr="006E47DA">
        <w:rPr>
          <w:rFonts w:ascii="Avenir Next" w:hAnsi="Avenir Next"/>
          <w:color w:val="808080" w:themeColor="background1" w:themeShade="80"/>
          <w:sz w:val="22"/>
          <w:szCs w:val="28"/>
        </w:rPr>
        <w:t>There appears to be no indication that this had been done in bad faith. Additionally, it was done in 2010, i.e. well before</w:t>
      </w:r>
      <w:r w:rsidR="006E47DA" w:rsidRPr="006E47DA">
        <w:rPr>
          <w:rFonts w:ascii="Avenir Next" w:hAnsi="Avenir Next"/>
          <w:color w:val="808080" w:themeColor="background1" w:themeShade="80"/>
          <w:sz w:val="22"/>
          <w:szCs w:val="28"/>
        </w:rPr>
        <w:t xml:space="preserve"> the Company became</w:t>
      </w:r>
      <w:r w:rsidRPr="006E47DA">
        <w:rPr>
          <w:rFonts w:ascii="Avenir Next" w:hAnsi="Avenir Next"/>
          <w:color w:val="808080" w:themeColor="background1" w:themeShade="80"/>
          <w:sz w:val="22"/>
          <w:szCs w:val="28"/>
        </w:rPr>
        <w:t xml:space="preserve"> </w:t>
      </w:r>
      <w:r w:rsidRPr="006E47DA">
        <w:rPr>
          <w:rFonts w:ascii="Avenir Next" w:hAnsi="Avenir Next"/>
          <w:color w:val="808080" w:themeColor="background1" w:themeShade="80"/>
          <w:sz w:val="22"/>
          <w:szCs w:val="28"/>
        </w:rPr>
        <w:t xml:space="preserve">both cash flow and balance sheet insolvent. </w:t>
      </w:r>
    </w:p>
    <w:p w14:paraId="720A7DDA" w14:textId="77777777" w:rsidR="006E47DA" w:rsidRDefault="006E47DA" w:rsidP="006E47DA">
      <w:pPr>
        <w:jc w:val="both"/>
        <w:rPr>
          <w:rFonts w:ascii="Avenir Next" w:hAnsi="Avenir Next"/>
          <w:color w:val="808080" w:themeColor="background1" w:themeShade="80"/>
          <w:sz w:val="22"/>
          <w:szCs w:val="28"/>
        </w:rPr>
      </w:pPr>
    </w:p>
    <w:p w14:paraId="33272490" w14:textId="029A7BEE" w:rsidR="00FB575B" w:rsidRDefault="006E47DA" w:rsidP="006E47DA">
      <w:pPr>
        <w:pStyle w:val="ListParagraph"/>
        <w:numPr>
          <w:ilvl w:val="0"/>
          <w:numId w:val="3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Is the central administration of the company  takes place in the Cayman Islands?</w:t>
      </w:r>
      <w:r w:rsidR="00FB4BE4">
        <w:rPr>
          <w:rFonts w:ascii="Avenir Next" w:hAnsi="Avenir Next"/>
          <w:color w:val="808080" w:themeColor="background1" w:themeShade="80"/>
          <w:sz w:val="22"/>
          <w:szCs w:val="28"/>
        </w:rPr>
        <w:t xml:space="preserve"> Is it readily ascertainable by creditors?</w:t>
      </w:r>
    </w:p>
    <w:p w14:paraId="0282347C" w14:textId="572D7BC4" w:rsidR="0001050D" w:rsidRDefault="0001050D" w:rsidP="0001050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p>
    <w:p w14:paraId="08B6274D" w14:textId="39AF8C31" w:rsidR="0001050D" w:rsidRPr="0001050D" w:rsidRDefault="0001050D" w:rsidP="0001050D">
      <w:pPr>
        <w:ind w:left="720" w:firstLine="72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2.1 </w:t>
      </w:r>
      <w:r w:rsidRPr="00985D51">
        <w:rPr>
          <w:rFonts w:ascii="Avenir Next" w:hAnsi="Avenir Next"/>
          <w:color w:val="808080" w:themeColor="background1" w:themeShade="80"/>
          <w:sz w:val="22"/>
          <w:szCs w:val="28"/>
          <w:u w:val="single"/>
        </w:rPr>
        <w:t>Factors Indicating that the Company has its COMI in the Cayman Islands</w:t>
      </w:r>
      <w:r w:rsidR="0074139A">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p>
    <w:p w14:paraId="16EC35C2" w14:textId="77777777" w:rsidR="006A7745" w:rsidRDefault="006A7745" w:rsidP="006A7745">
      <w:pPr>
        <w:pStyle w:val="ListParagraph"/>
        <w:jc w:val="both"/>
        <w:rPr>
          <w:rFonts w:ascii="Avenir Next" w:hAnsi="Avenir Next"/>
          <w:color w:val="808080" w:themeColor="background1" w:themeShade="80"/>
          <w:sz w:val="22"/>
          <w:szCs w:val="28"/>
        </w:rPr>
      </w:pPr>
    </w:p>
    <w:p w14:paraId="097E5D4C" w14:textId="7255F79E" w:rsidR="006E47DA" w:rsidRDefault="006E47DA"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Company </w:t>
      </w:r>
      <w:r w:rsidRPr="006E47DA">
        <w:rPr>
          <w:rFonts w:ascii="Avenir Next" w:hAnsi="Avenir Next"/>
          <w:color w:val="808080" w:themeColor="background1" w:themeShade="80"/>
          <w:sz w:val="22"/>
          <w:szCs w:val="28"/>
        </w:rPr>
        <w:t>has a bank account (opened just a few days ago) in the Cayman Islands from which it pays certain of its operating expenses</w:t>
      </w:r>
      <w:r>
        <w:rPr>
          <w:rFonts w:ascii="Avenir Next" w:hAnsi="Avenir Next"/>
          <w:color w:val="808080" w:themeColor="background1" w:themeShade="80"/>
          <w:sz w:val="22"/>
          <w:szCs w:val="28"/>
        </w:rPr>
        <w:t xml:space="preserve">. </w:t>
      </w:r>
      <w:r w:rsidR="00AE4E44">
        <w:rPr>
          <w:rFonts w:ascii="Avenir Next" w:hAnsi="Avenir Next"/>
          <w:color w:val="808080" w:themeColor="background1" w:themeShade="80"/>
          <w:sz w:val="22"/>
          <w:szCs w:val="28"/>
        </w:rPr>
        <w:t xml:space="preserve"> This however does not demonstrate that the bank is Cayman is the Company’s  primary bank.</w:t>
      </w:r>
    </w:p>
    <w:p w14:paraId="3FB7D464" w14:textId="68585858" w:rsidR="00653BA5" w:rsidRDefault="00653BA5"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Company maintains its books and records in the Cayman Islands. </w:t>
      </w:r>
    </w:p>
    <w:p w14:paraId="48B78D2F" w14:textId="47400327" w:rsidR="006E47DA" w:rsidRDefault="00FF27BF"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Company’s</w:t>
      </w:r>
      <w:r w:rsidRPr="00FF27BF">
        <w:rPr>
          <w:rFonts w:ascii="Avenir Next" w:hAnsi="Avenir Next"/>
          <w:color w:val="808080" w:themeColor="background1" w:themeShade="80"/>
          <w:sz w:val="22"/>
          <w:szCs w:val="28"/>
        </w:rPr>
        <w:t xml:space="preserve"> public filings with the SEC as well as the prospectus provided in connection with the issuance of the Notes disclosed that </w:t>
      </w:r>
      <w:r>
        <w:rPr>
          <w:rFonts w:ascii="Avenir Next" w:hAnsi="Avenir Next"/>
          <w:color w:val="808080" w:themeColor="background1" w:themeShade="80"/>
          <w:sz w:val="22"/>
          <w:szCs w:val="28"/>
        </w:rPr>
        <w:t xml:space="preserve">the Company </w:t>
      </w:r>
      <w:r w:rsidRPr="00FF27BF">
        <w:rPr>
          <w:rFonts w:ascii="Avenir Next" w:hAnsi="Avenir Next"/>
          <w:color w:val="808080" w:themeColor="background1" w:themeShade="80"/>
          <w:sz w:val="22"/>
          <w:szCs w:val="28"/>
        </w:rPr>
        <w:t>is a Cayman Islands company and explained the related indemnification and tax consequences resulting from Globe Holdings’ place of reformation.</w:t>
      </w:r>
    </w:p>
    <w:p w14:paraId="44D69F36" w14:textId="2E0CE8C4" w:rsidR="0001050D" w:rsidRDefault="0001050D"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Company has an established relationship with a local Cayman law firm. </w:t>
      </w:r>
    </w:p>
    <w:p w14:paraId="7C5B43EA" w14:textId="0D1F4342" w:rsidR="007B5FEB" w:rsidRDefault="007B5FEB"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Company’s restructuring takes places in the Cayman Islands.</w:t>
      </w:r>
    </w:p>
    <w:p w14:paraId="06811AB4" w14:textId="24C12740" w:rsidR="00794ABA" w:rsidRDefault="00794ABA" w:rsidP="006E47D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Virtual meetings are </w:t>
      </w:r>
      <w:proofErr w:type="spellStart"/>
      <w:r>
        <w:rPr>
          <w:rFonts w:ascii="Avenir Next" w:hAnsi="Avenir Next"/>
          <w:color w:val="808080" w:themeColor="background1" w:themeShade="80"/>
          <w:sz w:val="22"/>
          <w:szCs w:val="28"/>
        </w:rPr>
        <w:t>organised</w:t>
      </w:r>
      <w:proofErr w:type="spellEnd"/>
      <w:r>
        <w:rPr>
          <w:rFonts w:ascii="Avenir Next" w:hAnsi="Avenir Next"/>
          <w:color w:val="808080" w:themeColor="background1" w:themeShade="80"/>
          <w:sz w:val="22"/>
          <w:szCs w:val="28"/>
        </w:rPr>
        <w:t xml:space="preserve"> by the Cayman Counsel. </w:t>
      </w:r>
    </w:p>
    <w:p w14:paraId="76231264" w14:textId="40EB035A" w:rsidR="00CC4698" w:rsidRDefault="00274293" w:rsidP="00F00D3F">
      <w:pPr>
        <w:pStyle w:val="ListParagraph"/>
        <w:numPr>
          <w:ilvl w:val="0"/>
          <w:numId w:val="32"/>
        </w:numPr>
        <w:jc w:val="both"/>
        <w:rPr>
          <w:rFonts w:ascii="Avenir Next" w:hAnsi="Avenir Next"/>
          <w:color w:val="808080" w:themeColor="background1" w:themeShade="80"/>
          <w:sz w:val="22"/>
          <w:szCs w:val="28"/>
        </w:rPr>
      </w:pPr>
      <w:r w:rsidRPr="00274293">
        <w:rPr>
          <w:rFonts w:ascii="Avenir Next" w:hAnsi="Avenir Next"/>
          <w:color w:val="808080" w:themeColor="background1" w:themeShade="80"/>
          <w:sz w:val="22"/>
          <w:szCs w:val="28"/>
        </w:rPr>
        <w:t xml:space="preserve">The Restructuring Support Agreement is governed by the New York Law, however </w:t>
      </w:r>
      <w:r w:rsidR="00A1137F">
        <w:rPr>
          <w:rFonts w:ascii="Avenir Next" w:hAnsi="Avenir Next"/>
          <w:color w:val="808080" w:themeColor="background1" w:themeShade="80"/>
          <w:sz w:val="22"/>
          <w:szCs w:val="28"/>
        </w:rPr>
        <w:t xml:space="preserve">the document </w:t>
      </w:r>
      <w:r w:rsidRPr="00274293">
        <w:rPr>
          <w:rFonts w:ascii="Avenir Next" w:hAnsi="Avenir Next"/>
          <w:color w:val="808080" w:themeColor="background1" w:themeShade="80"/>
          <w:sz w:val="22"/>
          <w:szCs w:val="28"/>
        </w:rPr>
        <w:t xml:space="preserve">states that any restructuring would take place </w:t>
      </w:r>
      <w:r w:rsidRPr="00274293">
        <w:rPr>
          <w:rFonts w:ascii="Avenir Next" w:hAnsi="Avenir Next"/>
          <w:color w:val="808080" w:themeColor="background1" w:themeShade="80"/>
          <w:sz w:val="22"/>
          <w:szCs w:val="28"/>
        </w:rPr>
        <w:t>in the Cayman Islands</w:t>
      </w:r>
      <w:r>
        <w:rPr>
          <w:rFonts w:ascii="Avenir Next" w:hAnsi="Avenir Next"/>
          <w:color w:val="808080" w:themeColor="background1" w:themeShade="80"/>
          <w:sz w:val="22"/>
          <w:szCs w:val="28"/>
        </w:rPr>
        <w:t>.</w:t>
      </w:r>
    </w:p>
    <w:p w14:paraId="43A441E9" w14:textId="7A9B94C1" w:rsidR="00126E19" w:rsidRPr="00DB5685" w:rsidRDefault="00DB5685" w:rsidP="00210561">
      <w:pPr>
        <w:pStyle w:val="ListParagraph"/>
        <w:numPr>
          <w:ilvl w:val="0"/>
          <w:numId w:val="32"/>
        </w:numPr>
        <w:jc w:val="both"/>
        <w:rPr>
          <w:rFonts w:ascii="Avenir Next" w:hAnsi="Avenir Next"/>
          <w:color w:val="808080" w:themeColor="background1" w:themeShade="80"/>
          <w:sz w:val="22"/>
          <w:szCs w:val="28"/>
        </w:rPr>
      </w:pPr>
      <w:r w:rsidRPr="00DB5685">
        <w:rPr>
          <w:rFonts w:ascii="Avenir Next" w:hAnsi="Avenir Next"/>
          <w:color w:val="808080" w:themeColor="background1" w:themeShade="80"/>
          <w:sz w:val="22"/>
          <w:szCs w:val="28"/>
        </w:rPr>
        <w:t xml:space="preserve">The Company’s shares were delisted from Nasdaq </w:t>
      </w:r>
    </w:p>
    <w:p w14:paraId="3B6E4BB6" w14:textId="77777777" w:rsidR="00DB5685" w:rsidRPr="00DB5685" w:rsidRDefault="00DB5685" w:rsidP="00DB5685">
      <w:pPr>
        <w:pStyle w:val="ListParagraph"/>
        <w:ind w:left="1440"/>
        <w:jc w:val="both"/>
        <w:rPr>
          <w:rFonts w:ascii="Avenir Next" w:hAnsi="Avenir Next" w:cs="Arial"/>
          <w:sz w:val="22"/>
          <w:szCs w:val="22"/>
          <w:lang w:val="en-GB"/>
        </w:rPr>
      </w:pPr>
    </w:p>
    <w:bookmarkEnd w:id="2"/>
    <w:p w14:paraId="6D8F5E51" w14:textId="72E0EB4B" w:rsidR="0077498C" w:rsidRPr="0074139A" w:rsidRDefault="0074139A" w:rsidP="0074139A">
      <w:pPr>
        <w:ind w:left="720"/>
        <w:jc w:val="both"/>
        <w:rPr>
          <w:rFonts w:ascii="Avenir Next" w:hAnsi="Avenir Next"/>
          <w:color w:val="808080" w:themeColor="background1" w:themeShade="80"/>
          <w:sz w:val="22"/>
          <w:szCs w:val="28"/>
        </w:rPr>
      </w:pPr>
      <w:r w:rsidRPr="0074139A">
        <w:rPr>
          <w:rFonts w:ascii="Avenir Next" w:hAnsi="Avenir Next"/>
          <w:color w:val="808080" w:themeColor="background1" w:themeShade="80"/>
          <w:sz w:val="22"/>
          <w:szCs w:val="28"/>
        </w:rPr>
        <w:t xml:space="preserve">2.1 </w:t>
      </w:r>
      <w:r w:rsidR="0001050D" w:rsidRPr="00985D51">
        <w:rPr>
          <w:rFonts w:ascii="Avenir Next" w:hAnsi="Avenir Next"/>
          <w:color w:val="808080" w:themeColor="background1" w:themeShade="80"/>
          <w:sz w:val="22"/>
          <w:szCs w:val="28"/>
          <w:u w:val="single"/>
        </w:rPr>
        <w:t>Factors Indicating that the Company has an establishment in the Cayman Island, rather than the COMI</w:t>
      </w:r>
      <w:r w:rsidRPr="00985D51">
        <w:rPr>
          <w:rFonts w:ascii="Avenir Next" w:hAnsi="Avenir Next"/>
          <w:color w:val="808080" w:themeColor="background1" w:themeShade="80"/>
          <w:sz w:val="22"/>
          <w:szCs w:val="28"/>
          <w:u w:val="single"/>
        </w:rPr>
        <w:t>:</w:t>
      </w:r>
    </w:p>
    <w:p w14:paraId="633C657D" w14:textId="77777777" w:rsidR="0074139A" w:rsidRDefault="0074139A" w:rsidP="00707FC8">
      <w:pPr>
        <w:jc w:val="both"/>
        <w:rPr>
          <w:rFonts w:ascii="Avenir Next" w:hAnsi="Avenir Next" w:cs="Arial"/>
          <w:color w:val="000000" w:themeColor="text1"/>
          <w:sz w:val="22"/>
          <w:szCs w:val="22"/>
          <w:lang w:val="en-GB"/>
        </w:rPr>
      </w:pPr>
    </w:p>
    <w:p w14:paraId="044798CB" w14:textId="39ECEAF7" w:rsidR="0074139A" w:rsidRPr="0074139A" w:rsidRDefault="0074139A" w:rsidP="0074139A">
      <w:pPr>
        <w:pStyle w:val="ListParagraph"/>
        <w:numPr>
          <w:ilvl w:val="0"/>
          <w:numId w:val="32"/>
        </w:numPr>
        <w:jc w:val="both"/>
        <w:rPr>
          <w:rFonts w:ascii="Avenir Next" w:hAnsi="Avenir Next"/>
          <w:color w:val="808080" w:themeColor="background1" w:themeShade="80"/>
          <w:sz w:val="22"/>
          <w:szCs w:val="28"/>
        </w:rPr>
      </w:pPr>
      <w:r w:rsidRPr="0074139A">
        <w:rPr>
          <w:rFonts w:ascii="Avenir Next" w:hAnsi="Avenir Next"/>
          <w:color w:val="808080" w:themeColor="background1" w:themeShade="80"/>
          <w:sz w:val="22"/>
          <w:szCs w:val="28"/>
        </w:rPr>
        <w:t xml:space="preserve">The Company has </w:t>
      </w:r>
      <w:r w:rsidRPr="0074139A">
        <w:rPr>
          <w:rFonts w:ascii="Avenir Next" w:hAnsi="Avenir Next"/>
          <w:color w:val="808080" w:themeColor="background1" w:themeShade="80"/>
          <w:sz w:val="22"/>
          <w:szCs w:val="28"/>
        </w:rPr>
        <w:t>no business operations of its own. The business is carried out through its non-insurance company non-debtor subsidiaries that are all incorporated under the US laws and operating in the US</w:t>
      </w:r>
      <w:r w:rsidR="00985D51">
        <w:rPr>
          <w:rFonts w:ascii="Avenir Next" w:hAnsi="Avenir Next"/>
          <w:color w:val="808080" w:themeColor="background1" w:themeShade="80"/>
          <w:sz w:val="22"/>
          <w:szCs w:val="28"/>
        </w:rPr>
        <w:t>.</w:t>
      </w:r>
    </w:p>
    <w:p w14:paraId="332A1CD0" w14:textId="77777777" w:rsidR="0074139A" w:rsidRPr="0074139A" w:rsidRDefault="0074139A" w:rsidP="0074139A">
      <w:pPr>
        <w:pStyle w:val="ListParagraph"/>
        <w:numPr>
          <w:ilvl w:val="0"/>
          <w:numId w:val="32"/>
        </w:numPr>
        <w:jc w:val="both"/>
        <w:rPr>
          <w:rFonts w:ascii="Avenir Next" w:hAnsi="Avenir Next"/>
          <w:color w:val="808080" w:themeColor="background1" w:themeShade="80"/>
          <w:sz w:val="22"/>
          <w:szCs w:val="28"/>
        </w:rPr>
      </w:pPr>
      <w:r w:rsidRPr="0074139A">
        <w:rPr>
          <w:rFonts w:ascii="Avenir Next" w:hAnsi="Avenir Next"/>
          <w:color w:val="808080" w:themeColor="background1" w:themeShade="80"/>
          <w:sz w:val="22"/>
          <w:szCs w:val="28"/>
        </w:rPr>
        <w:t xml:space="preserve">All employees are in the US. </w:t>
      </w:r>
    </w:p>
    <w:p w14:paraId="5BF5F332" w14:textId="5DDAEFB0" w:rsidR="0074139A" w:rsidRDefault="0074139A" w:rsidP="0074139A">
      <w:pPr>
        <w:pStyle w:val="ListParagraph"/>
        <w:numPr>
          <w:ilvl w:val="0"/>
          <w:numId w:val="32"/>
        </w:numPr>
        <w:jc w:val="both"/>
        <w:rPr>
          <w:rFonts w:ascii="Avenir Next" w:hAnsi="Avenir Next"/>
          <w:color w:val="808080" w:themeColor="background1" w:themeShade="80"/>
          <w:sz w:val="22"/>
          <w:szCs w:val="28"/>
        </w:rPr>
      </w:pPr>
      <w:r w:rsidRPr="0074139A">
        <w:rPr>
          <w:rFonts w:ascii="Avenir Next" w:hAnsi="Avenir Next"/>
          <w:color w:val="808080" w:themeColor="background1" w:themeShade="80"/>
          <w:sz w:val="22"/>
          <w:szCs w:val="28"/>
        </w:rPr>
        <w:t>The headquarters are also in the US.</w:t>
      </w:r>
    </w:p>
    <w:p w14:paraId="5F566BB8" w14:textId="116F6CCE" w:rsidR="00A05562" w:rsidRPr="0074139A" w:rsidRDefault="00A05562" w:rsidP="0074139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Notes are governed by  New York Law.</w:t>
      </w:r>
    </w:p>
    <w:p w14:paraId="7357E902" w14:textId="77777777" w:rsidR="0074139A" w:rsidRDefault="0074139A" w:rsidP="0074139A">
      <w:pPr>
        <w:pStyle w:val="ListParagraph"/>
        <w:numPr>
          <w:ilvl w:val="0"/>
          <w:numId w:val="3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Company holds its board meeting virtually, and not physically in the Cayman Islands. </w:t>
      </w:r>
    </w:p>
    <w:p w14:paraId="16974334" w14:textId="77777777" w:rsidR="00274293" w:rsidRDefault="00274293" w:rsidP="00A1137F">
      <w:pPr>
        <w:pStyle w:val="ListParagraph"/>
        <w:ind w:left="1440"/>
        <w:jc w:val="both"/>
        <w:rPr>
          <w:rFonts w:ascii="Avenir Next" w:hAnsi="Avenir Next"/>
          <w:color w:val="808080" w:themeColor="background1" w:themeShade="80"/>
          <w:sz w:val="22"/>
          <w:szCs w:val="28"/>
        </w:rPr>
      </w:pPr>
    </w:p>
    <w:p w14:paraId="78FF649E" w14:textId="21EA58D3" w:rsidR="006230A6" w:rsidRDefault="006230A6" w:rsidP="00A05562">
      <w:pPr>
        <w:pStyle w:val="ListParagraph"/>
        <w:ind w:left="1440"/>
        <w:jc w:val="both"/>
        <w:rPr>
          <w:rFonts w:ascii="Avenir Next" w:hAnsi="Avenir Next"/>
          <w:color w:val="808080" w:themeColor="background1" w:themeShade="80"/>
          <w:sz w:val="22"/>
          <w:szCs w:val="28"/>
        </w:rPr>
      </w:pPr>
    </w:p>
    <w:p w14:paraId="46B0451B" w14:textId="2880F389" w:rsidR="0074139A" w:rsidRPr="00DB5685" w:rsidRDefault="009A5C59" w:rsidP="003246A5">
      <w:pPr>
        <w:jc w:val="both"/>
        <w:rPr>
          <w:rFonts w:ascii="Avenir Next" w:hAnsi="Avenir Next" w:cs="Arial"/>
          <w:color w:val="808080" w:themeColor="background1" w:themeShade="80"/>
          <w:sz w:val="22"/>
          <w:szCs w:val="22"/>
          <w:lang w:val="en-GB"/>
        </w:rPr>
      </w:pPr>
      <w:r w:rsidRPr="00DB5685">
        <w:rPr>
          <w:rFonts w:ascii="Avenir Next" w:hAnsi="Avenir Next" w:cs="Arial"/>
          <w:color w:val="808080" w:themeColor="background1" w:themeShade="80"/>
          <w:sz w:val="22"/>
          <w:szCs w:val="22"/>
          <w:lang w:val="en-GB"/>
        </w:rPr>
        <w:t>On the balance, it might be advisable to apply for recognition of both main and non-main proceedings</w:t>
      </w:r>
      <w:r w:rsidR="00F14447" w:rsidRPr="00DB5685">
        <w:rPr>
          <w:rFonts w:ascii="Avenir Next" w:hAnsi="Avenir Next" w:cs="Arial"/>
          <w:color w:val="808080" w:themeColor="background1" w:themeShade="80"/>
          <w:sz w:val="22"/>
          <w:szCs w:val="22"/>
          <w:lang w:val="en-GB"/>
        </w:rPr>
        <w:t xml:space="preserve">. However, it appears to be more likely, based on the factors outlined </w:t>
      </w:r>
      <w:r w:rsidR="00E15B0D">
        <w:rPr>
          <w:rFonts w:ascii="Avenir Next" w:hAnsi="Avenir Next" w:cs="Arial"/>
          <w:color w:val="808080" w:themeColor="background1" w:themeShade="80"/>
          <w:sz w:val="22"/>
          <w:szCs w:val="22"/>
          <w:lang w:val="en-GB"/>
        </w:rPr>
        <w:t>above</w:t>
      </w:r>
      <w:r w:rsidR="00F14447" w:rsidRPr="00DB5685">
        <w:rPr>
          <w:rFonts w:ascii="Avenir Next" w:hAnsi="Avenir Next" w:cs="Arial"/>
          <w:color w:val="808080" w:themeColor="background1" w:themeShade="80"/>
          <w:sz w:val="22"/>
          <w:szCs w:val="22"/>
          <w:lang w:val="en-GB"/>
        </w:rPr>
        <w:t xml:space="preserve">, that the US will recognise the proceedings as foreign non-main proceedings. </w:t>
      </w:r>
    </w:p>
    <w:p w14:paraId="4A409078" w14:textId="77777777" w:rsidR="0001050D" w:rsidRDefault="0001050D" w:rsidP="00707FC8">
      <w:pPr>
        <w:jc w:val="both"/>
        <w:rPr>
          <w:rFonts w:ascii="Avenir Next" w:hAnsi="Avenir Next" w:cs="Arial"/>
          <w:color w:val="000000" w:themeColor="text1"/>
          <w:sz w:val="22"/>
          <w:szCs w:val="22"/>
          <w:lang w:val="en-GB"/>
        </w:rPr>
      </w:pPr>
    </w:p>
    <w:p w14:paraId="6E85B54A" w14:textId="77777777" w:rsidR="0001050D" w:rsidRPr="00856B2E" w:rsidRDefault="0001050D" w:rsidP="00707FC8">
      <w:pPr>
        <w:jc w:val="both"/>
        <w:rPr>
          <w:rFonts w:ascii="Avenir Next" w:hAnsi="Avenir Next"/>
          <w:color w:val="808080" w:themeColor="background1" w:themeShade="80"/>
          <w:sz w:val="22"/>
          <w:szCs w:val="28"/>
          <w:u w:val="single"/>
        </w:rPr>
      </w:pPr>
    </w:p>
    <w:p w14:paraId="434CCF11" w14:textId="3B6D9F51" w:rsidR="00F612BC" w:rsidRDefault="00856B2E" w:rsidP="00F612BC">
      <w:pPr>
        <w:jc w:val="both"/>
        <w:rPr>
          <w:rFonts w:ascii="Avenir Next" w:hAnsi="Avenir Next"/>
          <w:color w:val="808080" w:themeColor="background1" w:themeShade="80"/>
          <w:sz w:val="22"/>
          <w:szCs w:val="28"/>
          <w:u w:val="single"/>
        </w:rPr>
      </w:pPr>
      <w:r w:rsidRPr="00856B2E">
        <w:rPr>
          <w:rFonts w:ascii="Avenir Next" w:hAnsi="Avenir Next"/>
          <w:color w:val="808080" w:themeColor="background1" w:themeShade="80"/>
          <w:sz w:val="22"/>
          <w:szCs w:val="28"/>
          <w:u w:val="single"/>
        </w:rPr>
        <w:t xml:space="preserve">B. </w:t>
      </w:r>
      <w:r w:rsidR="00860E5A" w:rsidRPr="00856B2E">
        <w:rPr>
          <w:rFonts w:ascii="Avenir Next" w:hAnsi="Avenir Next"/>
          <w:color w:val="808080" w:themeColor="background1" w:themeShade="80"/>
          <w:sz w:val="22"/>
          <w:szCs w:val="28"/>
          <w:u w:val="single"/>
        </w:rPr>
        <w:t>W</w:t>
      </w:r>
      <w:r w:rsidR="00F612BC" w:rsidRPr="00856B2E">
        <w:rPr>
          <w:rFonts w:ascii="Avenir Next" w:hAnsi="Avenir Next"/>
          <w:color w:val="808080" w:themeColor="background1" w:themeShade="80"/>
          <w:sz w:val="22"/>
          <w:szCs w:val="28"/>
          <w:u w:val="single"/>
        </w:rPr>
        <w:t xml:space="preserve">hat papers need to be submitted </w:t>
      </w:r>
    </w:p>
    <w:p w14:paraId="0F5915F5" w14:textId="77777777" w:rsidR="0009087C" w:rsidRPr="0009087C" w:rsidRDefault="0009087C" w:rsidP="00F612BC">
      <w:pPr>
        <w:jc w:val="both"/>
        <w:rPr>
          <w:rFonts w:ascii="Avenir Next" w:hAnsi="Avenir Next"/>
          <w:color w:val="808080" w:themeColor="background1" w:themeShade="80"/>
          <w:sz w:val="22"/>
          <w:szCs w:val="28"/>
        </w:rPr>
      </w:pPr>
    </w:p>
    <w:p w14:paraId="4EE517FC" w14:textId="1A3BA5A8" w:rsidR="0009087C" w:rsidRDefault="0009087C" w:rsidP="00F612BC">
      <w:pPr>
        <w:jc w:val="both"/>
        <w:rPr>
          <w:rFonts w:ascii="Avenir Next" w:hAnsi="Avenir Next"/>
          <w:color w:val="808080" w:themeColor="background1" w:themeShade="80"/>
          <w:sz w:val="22"/>
          <w:szCs w:val="28"/>
        </w:rPr>
      </w:pPr>
      <w:r w:rsidRPr="0009087C">
        <w:rPr>
          <w:rFonts w:ascii="Avenir Next" w:hAnsi="Avenir Next"/>
          <w:color w:val="808080" w:themeColor="background1" w:themeShade="80"/>
          <w:sz w:val="22"/>
          <w:szCs w:val="28"/>
        </w:rPr>
        <w:t xml:space="preserve">Pursuant to Article 15 of the Model Law, </w:t>
      </w:r>
      <w:r>
        <w:rPr>
          <w:rFonts w:ascii="Avenir Next" w:hAnsi="Avenir Next"/>
          <w:color w:val="808080" w:themeColor="background1" w:themeShade="80"/>
          <w:sz w:val="22"/>
          <w:szCs w:val="28"/>
        </w:rPr>
        <w:t xml:space="preserve">a foreign representative may apply to the court </w:t>
      </w:r>
      <w:r w:rsidR="00274293">
        <w:rPr>
          <w:rFonts w:ascii="Avenir Next" w:hAnsi="Avenir Next"/>
          <w:color w:val="808080" w:themeColor="background1" w:themeShade="80"/>
          <w:sz w:val="22"/>
          <w:szCs w:val="28"/>
        </w:rPr>
        <w:t xml:space="preserve">for recognition of the foreign proceedings to which the foreign representative has been appointed.  </w:t>
      </w:r>
    </w:p>
    <w:p w14:paraId="5793CE2F" w14:textId="77777777" w:rsidR="00274293" w:rsidRDefault="00274293" w:rsidP="00F612BC">
      <w:pPr>
        <w:jc w:val="both"/>
        <w:rPr>
          <w:rFonts w:ascii="Avenir Next" w:hAnsi="Avenir Next"/>
          <w:color w:val="808080" w:themeColor="background1" w:themeShade="80"/>
          <w:sz w:val="22"/>
          <w:szCs w:val="28"/>
        </w:rPr>
      </w:pPr>
    </w:p>
    <w:p w14:paraId="7D4CC7AC" w14:textId="4FA07BC7" w:rsidR="00274293" w:rsidRPr="0009087C" w:rsidRDefault="00274293" w:rsidP="00F612B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application for recognition shall be accompanied by: </w:t>
      </w:r>
    </w:p>
    <w:p w14:paraId="62F9ADAE" w14:textId="738336A8" w:rsidR="00856B2E" w:rsidRDefault="00274293" w:rsidP="00856B2E">
      <w:pPr>
        <w:pStyle w:val="ListParagraph"/>
        <w:numPr>
          <w:ilvl w:val="0"/>
          <w:numId w:val="3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w:t>
      </w:r>
      <w:r w:rsidR="00DB5685">
        <w:rPr>
          <w:rFonts w:ascii="Avenir Next" w:hAnsi="Avenir Next"/>
          <w:color w:val="808080" w:themeColor="background1" w:themeShade="80"/>
          <w:sz w:val="22"/>
          <w:szCs w:val="28"/>
        </w:rPr>
        <w:t xml:space="preserve">rtified copy of the Court’s </w:t>
      </w:r>
      <w:r w:rsidR="00856B2E" w:rsidRPr="00856B2E">
        <w:rPr>
          <w:rFonts w:ascii="Avenir Next" w:hAnsi="Avenir Next"/>
          <w:color w:val="808080" w:themeColor="background1" w:themeShade="80"/>
          <w:sz w:val="22"/>
          <w:szCs w:val="28"/>
        </w:rPr>
        <w:t>Sanction Order</w:t>
      </w:r>
    </w:p>
    <w:p w14:paraId="12C99418" w14:textId="355A5244" w:rsidR="00856B2E" w:rsidRDefault="00856B2E" w:rsidP="00856B2E">
      <w:pPr>
        <w:pStyle w:val="ListParagraph"/>
        <w:numPr>
          <w:ilvl w:val="0"/>
          <w:numId w:val="3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Documents confirming the authority </w:t>
      </w:r>
      <w:r w:rsidR="00DB5685">
        <w:rPr>
          <w:rFonts w:ascii="Avenir Next" w:hAnsi="Avenir Next"/>
          <w:color w:val="808080" w:themeColor="background1" w:themeShade="80"/>
          <w:sz w:val="22"/>
          <w:szCs w:val="28"/>
        </w:rPr>
        <w:t xml:space="preserve">and identity </w:t>
      </w:r>
      <w:r>
        <w:rPr>
          <w:rFonts w:ascii="Avenir Next" w:hAnsi="Avenir Next"/>
          <w:color w:val="808080" w:themeColor="background1" w:themeShade="80"/>
          <w:sz w:val="22"/>
          <w:szCs w:val="28"/>
        </w:rPr>
        <w:t xml:space="preserve">of </w:t>
      </w:r>
      <w:r w:rsidR="00096776">
        <w:rPr>
          <w:rFonts w:ascii="Avenir Next" w:hAnsi="Avenir Next"/>
          <w:color w:val="808080" w:themeColor="background1" w:themeShade="80"/>
          <w:sz w:val="22"/>
          <w:szCs w:val="28"/>
        </w:rPr>
        <w:t>the foreign representative</w:t>
      </w:r>
    </w:p>
    <w:p w14:paraId="546DFBC5" w14:textId="35168815" w:rsidR="00822301" w:rsidRPr="00822301" w:rsidRDefault="009E499C" w:rsidP="00822301">
      <w:pPr>
        <w:pStyle w:val="ListParagraph"/>
        <w:numPr>
          <w:ilvl w:val="0"/>
          <w:numId w:val="3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A statement identifying all foreign proceedings in respect of the debtor that are known to the foreign representative </w:t>
      </w:r>
    </w:p>
    <w:p w14:paraId="33AC19FE" w14:textId="77777777" w:rsidR="00F612BC" w:rsidRPr="00860E5A" w:rsidRDefault="00F612BC" w:rsidP="00F612BC">
      <w:pPr>
        <w:jc w:val="both"/>
        <w:rPr>
          <w:rFonts w:ascii="Avenir Next" w:hAnsi="Avenir Next"/>
          <w:color w:val="808080" w:themeColor="background1" w:themeShade="80"/>
          <w:sz w:val="22"/>
          <w:szCs w:val="28"/>
        </w:rPr>
      </w:pPr>
    </w:p>
    <w:p w14:paraId="4FDE6FDE" w14:textId="77777777" w:rsidR="00F612BC" w:rsidRPr="00860E5A" w:rsidRDefault="00F612BC" w:rsidP="00F612BC">
      <w:pPr>
        <w:jc w:val="both"/>
        <w:rPr>
          <w:rFonts w:ascii="Avenir Next" w:hAnsi="Avenir Next"/>
          <w:color w:val="808080" w:themeColor="background1" w:themeShade="80"/>
          <w:sz w:val="22"/>
          <w:szCs w:val="28"/>
        </w:rPr>
      </w:pPr>
    </w:p>
    <w:p w14:paraId="21569761" w14:textId="4790B32D" w:rsidR="00F612BC" w:rsidRPr="00AE1068" w:rsidRDefault="00860E5A" w:rsidP="00F612BC">
      <w:pPr>
        <w:jc w:val="both"/>
        <w:rPr>
          <w:rFonts w:ascii="Avenir Next" w:hAnsi="Avenir Next"/>
          <w:color w:val="808080" w:themeColor="background1" w:themeShade="80"/>
          <w:sz w:val="22"/>
          <w:szCs w:val="28"/>
          <w:u w:val="single"/>
        </w:rPr>
      </w:pPr>
      <w:r w:rsidRPr="00AE1068">
        <w:rPr>
          <w:rFonts w:ascii="Avenir Next" w:hAnsi="Avenir Next"/>
          <w:color w:val="808080" w:themeColor="background1" w:themeShade="80"/>
          <w:sz w:val="22"/>
          <w:szCs w:val="28"/>
          <w:u w:val="single"/>
        </w:rPr>
        <w:t>W</w:t>
      </w:r>
      <w:r w:rsidR="00F612BC" w:rsidRPr="00AE1068">
        <w:rPr>
          <w:rFonts w:ascii="Avenir Next" w:hAnsi="Avenir Next"/>
          <w:color w:val="808080" w:themeColor="background1" w:themeShade="80"/>
          <w:sz w:val="22"/>
          <w:szCs w:val="28"/>
          <w:u w:val="single"/>
        </w:rPr>
        <w:t>hat relief should be requested on day one of the filing.</w:t>
      </w:r>
    </w:p>
    <w:p w14:paraId="3DF45271" w14:textId="77777777" w:rsidR="00860E5A" w:rsidRDefault="00860E5A" w:rsidP="00F612BC">
      <w:pPr>
        <w:jc w:val="both"/>
        <w:rPr>
          <w:rFonts w:ascii="Avenir Next" w:hAnsi="Avenir Next"/>
          <w:color w:val="808080" w:themeColor="background1" w:themeShade="80"/>
          <w:sz w:val="22"/>
          <w:szCs w:val="28"/>
        </w:rPr>
      </w:pPr>
    </w:p>
    <w:p w14:paraId="7D1439D2" w14:textId="54E44A10" w:rsidR="00E73152" w:rsidRDefault="00E73152" w:rsidP="00F612B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scenario it is stated that </w:t>
      </w:r>
      <w:r w:rsidRPr="00250C15">
        <w:rPr>
          <w:rFonts w:ascii="Avenir Next" w:hAnsi="Avenir Next"/>
          <w:color w:val="808080" w:themeColor="background1" w:themeShade="80"/>
          <w:sz w:val="22"/>
          <w:szCs w:val="28"/>
        </w:rPr>
        <w:t>a class action litigation in the US was brewing but has been filed yet.</w:t>
      </w:r>
      <w:r>
        <w:rPr>
          <w:rFonts w:ascii="Avenir Next" w:hAnsi="Avenir Next"/>
          <w:color w:val="808080" w:themeColor="background1" w:themeShade="80"/>
          <w:sz w:val="22"/>
          <w:szCs w:val="28"/>
        </w:rPr>
        <w:t xml:space="preserve"> Additionally,</w:t>
      </w:r>
      <w:r w:rsidRPr="00250C15">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third parties started </w:t>
      </w:r>
      <w:r w:rsidRPr="00250C15">
        <w:rPr>
          <w:rFonts w:ascii="Avenir Next" w:hAnsi="Avenir Next"/>
          <w:color w:val="808080" w:themeColor="background1" w:themeShade="80"/>
          <w:sz w:val="22"/>
          <w:szCs w:val="28"/>
        </w:rPr>
        <w:t>marketing the sale of the corporate headquarters located in New York including the land, building, building improvements and contents including furniture and fixtures</w:t>
      </w:r>
      <w:r>
        <w:rPr>
          <w:rFonts w:ascii="Avenir Next" w:hAnsi="Avenir Next"/>
          <w:color w:val="808080" w:themeColor="background1" w:themeShade="80"/>
          <w:sz w:val="22"/>
          <w:szCs w:val="28"/>
        </w:rPr>
        <w:t>.</w:t>
      </w:r>
    </w:p>
    <w:p w14:paraId="3FAAF9E6" w14:textId="77777777" w:rsidR="00E73152" w:rsidRPr="00860E5A" w:rsidRDefault="00E73152" w:rsidP="00F612BC">
      <w:pPr>
        <w:jc w:val="both"/>
        <w:rPr>
          <w:rFonts w:ascii="Avenir Next" w:hAnsi="Avenir Next"/>
          <w:color w:val="808080" w:themeColor="background1" w:themeShade="80"/>
          <w:sz w:val="22"/>
          <w:szCs w:val="28"/>
        </w:rPr>
      </w:pPr>
    </w:p>
    <w:p w14:paraId="134B8F4C" w14:textId="130ADE2F" w:rsidR="00860E5A" w:rsidRDefault="00860E5A" w:rsidP="00F612BC">
      <w:pPr>
        <w:jc w:val="both"/>
        <w:rPr>
          <w:rFonts w:ascii="Avenir Next" w:hAnsi="Avenir Next"/>
          <w:color w:val="808080" w:themeColor="background1" w:themeShade="80"/>
          <w:sz w:val="22"/>
          <w:szCs w:val="28"/>
        </w:rPr>
      </w:pPr>
      <w:r w:rsidRPr="00860E5A">
        <w:rPr>
          <w:rFonts w:ascii="Avenir Next" w:hAnsi="Avenir Next"/>
          <w:color w:val="808080" w:themeColor="background1" w:themeShade="80"/>
          <w:sz w:val="22"/>
          <w:szCs w:val="28"/>
        </w:rPr>
        <w:t xml:space="preserve">If the </w:t>
      </w:r>
      <w:r w:rsidR="00F14447">
        <w:rPr>
          <w:rFonts w:ascii="Avenir Next" w:hAnsi="Avenir Next"/>
          <w:color w:val="808080" w:themeColor="background1" w:themeShade="80"/>
          <w:sz w:val="22"/>
          <w:szCs w:val="28"/>
        </w:rPr>
        <w:t xml:space="preserve">proceedings </w:t>
      </w:r>
      <w:r w:rsidR="00AE1068">
        <w:rPr>
          <w:rFonts w:ascii="Avenir Next" w:hAnsi="Avenir Next"/>
          <w:color w:val="808080" w:themeColor="background1" w:themeShade="80"/>
          <w:sz w:val="22"/>
          <w:szCs w:val="28"/>
        </w:rPr>
        <w:t xml:space="preserve">are </w:t>
      </w:r>
      <w:proofErr w:type="spellStart"/>
      <w:r w:rsidR="00AE1068">
        <w:rPr>
          <w:rFonts w:ascii="Avenir Next" w:hAnsi="Avenir Next"/>
          <w:color w:val="808080" w:themeColor="background1" w:themeShade="80"/>
          <w:sz w:val="22"/>
          <w:szCs w:val="28"/>
        </w:rPr>
        <w:t>recognised</w:t>
      </w:r>
      <w:proofErr w:type="spellEnd"/>
      <w:r w:rsidR="00AE1068">
        <w:rPr>
          <w:rFonts w:ascii="Avenir Next" w:hAnsi="Avenir Next"/>
          <w:color w:val="808080" w:themeColor="background1" w:themeShade="80"/>
          <w:sz w:val="22"/>
          <w:szCs w:val="28"/>
        </w:rPr>
        <w:t xml:space="preserve"> as foreign main proceedings that automatic relief under Article 20 of the Model law will be available upon recognition. </w:t>
      </w:r>
      <w:r w:rsidR="00895B8C">
        <w:rPr>
          <w:rFonts w:ascii="Avenir Next" w:hAnsi="Avenir Next"/>
          <w:color w:val="808080" w:themeColor="background1" w:themeShade="80"/>
          <w:sz w:val="22"/>
          <w:szCs w:val="28"/>
        </w:rPr>
        <w:t xml:space="preserve"> The automatic stay has the following three automatic effects:</w:t>
      </w:r>
    </w:p>
    <w:p w14:paraId="7AF326C3" w14:textId="77777777" w:rsidR="00895B8C" w:rsidRDefault="00895B8C" w:rsidP="00F612BC">
      <w:pPr>
        <w:jc w:val="both"/>
        <w:rPr>
          <w:rFonts w:ascii="Avenir Next" w:hAnsi="Avenir Next"/>
          <w:color w:val="808080" w:themeColor="background1" w:themeShade="80"/>
          <w:sz w:val="22"/>
          <w:szCs w:val="28"/>
        </w:rPr>
      </w:pPr>
    </w:p>
    <w:p w14:paraId="2322AAB5" w14:textId="4CA7C2CC" w:rsidR="00895B8C" w:rsidRDefault="00E73152" w:rsidP="00E73152">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stay of the commencement or continuation of individual actions or individual proceedings </w:t>
      </w:r>
    </w:p>
    <w:p w14:paraId="1B5FB00A" w14:textId="4613BC0C" w:rsidR="00E73152" w:rsidRDefault="00E73152" w:rsidP="00E73152">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stay of execution against the debtor’s assets; and </w:t>
      </w:r>
    </w:p>
    <w:p w14:paraId="78D3AEFF" w14:textId="58AE2F22" w:rsidR="00E73152" w:rsidRPr="00E73152" w:rsidRDefault="00E73152" w:rsidP="00E73152">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suspension of the right to transfer, encumber or otherwise dispose of any assets of the debtor.</w:t>
      </w:r>
    </w:p>
    <w:p w14:paraId="0C7F94C0" w14:textId="77777777" w:rsidR="00AE1068" w:rsidRDefault="00AE1068" w:rsidP="00F612BC">
      <w:pPr>
        <w:jc w:val="both"/>
        <w:rPr>
          <w:rFonts w:ascii="Avenir Next" w:hAnsi="Avenir Next"/>
          <w:color w:val="808080" w:themeColor="background1" w:themeShade="80"/>
          <w:sz w:val="22"/>
          <w:szCs w:val="28"/>
        </w:rPr>
      </w:pPr>
    </w:p>
    <w:p w14:paraId="605FE480" w14:textId="577A9A97" w:rsidR="00250C15" w:rsidRPr="00250C15" w:rsidRDefault="00AE1068" w:rsidP="00250C15">
      <w:pPr>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the proceedings are </w:t>
      </w:r>
      <w:proofErr w:type="spellStart"/>
      <w:r>
        <w:rPr>
          <w:rFonts w:ascii="Avenir Next" w:hAnsi="Avenir Next"/>
          <w:color w:val="808080" w:themeColor="background1" w:themeShade="80"/>
          <w:sz w:val="22"/>
          <w:szCs w:val="28"/>
        </w:rPr>
        <w:t>recogni</w:t>
      </w:r>
      <w:r w:rsidR="002E6D7F">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es</w:t>
      </w:r>
      <w:proofErr w:type="spellEnd"/>
      <w:r>
        <w:rPr>
          <w:rFonts w:ascii="Avenir Next" w:hAnsi="Avenir Next"/>
          <w:color w:val="808080" w:themeColor="background1" w:themeShade="80"/>
          <w:sz w:val="22"/>
          <w:szCs w:val="28"/>
        </w:rPr>
        <w:t xml:space="preserve"> as foreign non-main proceedings, it is advisable to apply for relief </w:t>
      </w:r>
      <w:r w:rsidR="002E6D7F">
        <w:rPr>
          <w:rFonts w:ascii="Avenir Next" w:hAnsi="Avenir Next"/>
          <w:color w:val="808080" w:themeColor="background1" w:themeShade="80"/>
          <w:sz w:val="22"/>
          <w:szCs w:val="28"/>
        </w:rPr>
        <w:t xml:space="preserve">on day one of the filing </w:t>
      </w:r>
      <w:r>
        <w:rPr>
          <w:rFonts w:ascii="Avenir Next" w:hAnsi="Avenir Next"/>
          <w:color w:val="808080" w:themeColor="background1" w:themeShade="80"/>
          <w:sz w:val="22"/>
          <w:szCs w:val="28"/>
        </w:rPr>
        <w:t>under Article 21 (1) (a) – that is, a stay on “the commencement or continuation of individual actions or individual proceedings”.</w:t>
      </w:r>
      <w:r w:rsidR="00250C15" w:rsidRPr="00250C15">
        <w:rPr>
          <w:rFonts w:ascii="Avenir Next" w:hAnsi="Avenir Next"/>
          <w:color w:val="808080" w:themeColor="background1" w:themeShade="80"/>
          <w:sz w:val="22"/>
          <w:szCs w:val="28"/>
        </w:rPr>
        <w:t xml:space="preserve">.  </w:t>
      </w:r>
    </w:p>
    <w:p w14:paraId="0DD94841" w14:textId="59CDFD4E" w:rsidR="00AE1068" w:rsidRPr="00860E5A" w:rsidRDefault="00AE1068" w:rsidP="00F612BC">
      <w:pPr>
        <w:jc w:val="both"/>
        <w:rPr>
          <w:rFonts w:ascii="Avenir Next" w:hAnsi="Avenir Next"/>
          <w:color w:val="808080" w:themeColor="background1" w:themeShade="80"/>
          <w:sz w:val="22"/>
          <w:szCs w:val="28"/>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947E" w14:textId="77777777" w:rsidR="004C7870" w:rsidRDefault="004C7870" w:rsidP="00241B44">
      <w:r>
        <w:separator/>
      </w:r>
    </w:p>
  </w:endnote>
  <w:endnote w:type="continuationSeparator" w:id="0">
    <w:p w14:paraId="44EF3253" w14:textId="77777777" w:rsidR="004C7870" w:rsidRDefault="004C78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299E81B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61F1">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8B2" w14:textId="77777777" w:rsidR="00B41F82" w:rsidRDefault="00B41F82" w:rsidP="000300E0">
    <w:pPr>
      <w:pStyle w:val="Footer"/>
      <w:ind w:right="360"/>
      <w:rPr>
        <w:rFonts w:ascii="Avenir Next" w:hAnsi="Avenir Next"/>
        <w:sz w:val="22"/>
        <w:szCs w:val="22"/>
      </w:rPr>
    </w:pPr>
  </w:p>
  <w:p w14:paraId="3D5E5745" w14:textId="6FB4942D" w:rsidR="000300E0" w:rsidRPr="00B46CE2" w:rsidRDefault="009761F1" w:rsidP="000300E0">
    <w:pPr>
      <w:pStyle w:val="Footer"/>
      <w:ind w:right="360"/>
      <w:rPr>
        <w:rFonts w:ascii="Avenir Next" w:hAnsi="Avenir Next"/>
        <w:sz w:val="22"/>
        <w:szCs w:val="22"/>
      </w:rPr>
    </w:pPr>
    <w:r>
      <w:rPr>
        <w:rFonts w:ascii="Avenir Next" w:hAnsi="Avenir Next"/>
        <w:sz w:val="22"/>
        <w:szCs w:val="22"/>
      </w:rPr>
      <w:t>202324-1331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F7C4" w14:textId="77777777" w:rsidR="004C7870" w:rsidRDefault="004C7870" w:rsidP="00241B44">
      <w:r>
        <w:separator/>
      </w:r>
    </w:p>
  </w:footnote>
  <w:footnote w:type="continuationSeparator" w:id="0">
    <w:p w14:paraId="3522C69B" w14:textId="77777777" w:rsidR="004C7870" w:rsidRDefault="004C78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B715BF"/>
    <w:multiLevelType w:val="hybridMultilevel"/>
    <w:tmpl w:val="DA941DD8"/>
    <w:lvl w:ilvl="0" w:tplc="08090017">
      <w:start w:val="1"/>
      <w:numFmt w:val="lowerLetter"/>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04D0E"/>
    <w:multiLevelType w:val="hybridMultilevel"/>
    <w:tmpl w:val="90860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2ED5"/>
    <w:multiLevelType w:val="hybridMultilevel"/>
    <w:tmpl w:val="B22A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074BD5"/>
    <w:multiLevelType w:val="hybridMultilevel"/>
    <w:tmpl w:val="6BCA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1063C7"/>
    <w:multiLevelType w:val="hybridMultilevel"/>
    <w:tmpl w:val="80108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7C03AE"/>
    <w:multiLevelType w:val="hybridMultilevel"/>
    <w:tmpl w:val="C6A2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ED0093"/>
    <w:multiLevelType w:val="hybridMultilevel"/>
    <w:tmpl w:val="65000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6D6710"/>
    <w:multiLevelType w:val="hybridMultilevel"/>
    <w:tmpl w:val="5A68B37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8721EE1"/>
    <w:multiLevelType w:val="hybridMultilevel"/>
    <w:tmpl w:val="C93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655DF0"/>
    <w:multiLevelType w:val="hybridMultilevel"/>
    <w:tmpl w:val="00B8F31A"/>
    <w:lvl w:ilvl="0" w:tplc="08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4E3B38"/>
    <w:multiLevelType w:val="hybridMultilevel"/>
    <w:tmpl w:val="213E9C7A"/>
    <w:lvl w:ilvl="0" w:tplc="ACD87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512E6"/>
    <w:multiLevelType w:val="hybridMultilevel"/>
    <w:tmpl w:val="5A9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EDF5AE4"/>
    <w:multiLevelType w:val="hybridMultilevel"/>
    <w:tmpl w:val="5378A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05A90"/>
    <w:multiLevelType w:val="hybridMultilevel"/>
    <w:tmpl w:val="79C87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83584"/>
    <w:multiLevelType w:val="hybridMultilevel"/>
    <w:tmpl w:val="ADC27D32"/>
    <w:lvl w:ilvl="0" w:tplc="3412F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70D60"/>
    <w:multiLevelType w:val="hybridMultilevel"/>
    <w:tmpl w:val="27625DD6"/>
    <w:lvl w:ilvl="0" w:tplc="4D02CB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71080B"/>
    <w:multiLevelType w:val="hybridMultilevel"/>
    <w:tmpl w:val="D680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E0615C"/>
    <w:multiLevelType w:val="hybridMultilevel"/>
    <w:tmpl w:val="CFB2767E"/>
    <w:lvl w:ilvl="0" w:tplc="ABF2D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24"/>
  </w:num>
  <w:num w:numId="2" w16cid:durableId="1164055646">
    <w:abstractNumId w:val="12"/>
  </w:num>
  <w:num w:numId="3" w16cid:durableId="970591766">
    <w:abstractNumId w:val="5"/>
  </w:num>
  <w:num w:numId="4" w16cid:durableId="1327175081">
    <w:abstractNumId w:val="34"/>
  </w:num>
  <w:num w:numId="5" w16cid:durableId="998270126">
    <w:abstractNumId w:val="33"/>
  </w:num>
  <w:num w:numId="6" w16cid:durableId="657656171">
    <w:abstractNumId w:val="30"/>
  </w:num>
  <w:num w:numId="7" w16cid:durableId="1116829249">
    <w:abstractNumId w:val="8"/>
  </w:num>
  <w:num w:numId="8" w16cid:durableId="1055274873">
    <w:abstractNumId w:val="10"/>
  </w:num>
  <w:num w:numId="9" w16cid:durableId="790785319">
    <w:abstractNumId w:val="21"/>
  </w:num>
  <w:num w:numId="10" w16cid:durableId="59720369">
    <w:abstractNumId w:val="19"/>
  </w:num>
  <w:num w:numId="11" w16cid:durableId="1379276728">
    <w:abstractNumId w:val="6"/>
  </w:num>
  <w:num w:numId="12" w16cid:durableId="921179279">
    <w:abstractNumId w:val="14"/>
  </w:num>
  <w:num w:numId="13" w16cid:durableId="1060514793">
    <w:abstractNumId w:val="16"/>
  </w:num>
  <w:num w:numId="14" w16cid:durableId="64230155">
    <w:abstractNumId w:val="2"/>
  </w:num>
  <w:num w:numId="15" w16cid:durableId="1681084025">
    <w:abstractNumId w:val="0"/>
  </w:num>
  <w:num w:numId="16" w16cid:durableId="1275090443">
    <w:abstractNumId w:val="13"/>
  </w:num>
  <w:num w:numId="17" w16cid:durableId="269969236">
    <w:abstractNumId w:val="25"/>
  </w:num>
  <w:num w:numId="18" w16cid:durableId="547570607">
    <w:abstractNumId w:val="9"/>
  </w:num>
  <w:num w:numId="19" w16cid:durableId="1261572459">
    <w:abstractNumId w:val="31"/>
  </w:num>
  <w:num w:numId="20" w16cid:durableId="1962370686">
    <w:abstractNumId w:val="27"/>
  </w:num>
  <w:num w:numId="21" w16cid:durableId="1824158251">
    <w:abstractNumId w:val="26"/>
  </w:num>
  <w:num w:numId="22" w16cid:durableId="640237206">
    <w:abstractNumId w:val="3"/>
  </w:num>
  <w:num w:numId="23" w16cid:durableId="141697608">
    <w:abstractNumId w:val="22"/>
  </w:num>
  <w:num w:numId="24" w16cid:durableId="1127551986">
    <w:abstractNumId w:val="4"/>
  </w:num>
  <w:num w:numId="25" w16cid:durableId="2004157045">
    <w:abstractNumId w:val="20"/>
  </w:num>
  <w:num w:numId="26" w16cid:durableId="1751343955">
    <w:abstractNumId w:val="17"/>
  </w:num>
  <w:num w:numId="27" w16cid:durableId="1910073708">
    <w:abstractNumId w:val="28"/>
  </w:num>
  <w:num w:numId="28" w16cid:durableId="1541741321">
    <w:abstractNumId w:val="32"/>
  </w:num>
  <w:num w:numId="29" w16cid:durableId="1740708676">
    <w:abstractNumId w:val="29"/>
  </w:num>
  <w:num w:numId="30" w16cid:durableId="35086292">
    <w:abstractNumId w:val="1"/>
  </w:num>
  <w:num w:numId="31" w16cid:durableId="162161458">
    <w:abstractNumId w:val="7"/>
  </w:num>
  <w:num w:numId="32" w16cid:durableId="994336619">
    <w:abstractNumId w:val="23"/>
  </w:num>
  <w:num w:numId="33" w16cid:durableId="716047157">
    <w:abstractNumId w:val="18"/>
  </w:num>
  <w:num w:numId="34" w16cid:durableId="1207257270">
    <w:abstractNumId w:val="15"/>
  </w:num>
  <w:num w:numId="35" w16cid:durableId="18585369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69B"/>
    <w:rsid w:val="000077DD"/>
    <w:rsid w:val="0001050D"/>
    <w:rsid w:val="00010BA0"/>
    <w:rsid w:val="00011778"/>
    <w:rsid w:val="0001365B"/>
    <w:rsid w:val="00020557"/>
    <w:rsid w:val="00021E01"/>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72C3"/>
    <w:rsid w:val="00060E02"/>
    <w:rsid w:val="00065166"/>
    <w:rsid w:val="0006596D"/>
    <w:rsid w:val="00067A88"/>
    <w:rsid w:val="00070B92"/>
    <w:rsid w:val="00073474"/>
    <w:rsid w:val="0007406F"/>
    <w:rsid w:val="000741A2"/>
    <w:rsid w:val="00077D49"/>
    <w:rsid w:val="00082609"/>
    <w:rsid w:val="000830F7"/>
    <w:rsid w:val="00083B38"/>
    <w:rsid w:val="000851CC"/>
    <w:rsid w:val="0009087C"/>
    <w:rsid w:val="00093BE8"/>
    <w:rsid w:val="00096776"/>
    <w:rsid w:val="000A4385"/>
    <w:rsid w:val="000A68ED"/>
    <w:rsid w:val="000B2B19"/>
    <w:rsid w:val="000B4FEB"/>
    <w:rsid w:val="000B5FF1"/>
    <w:rsid w:val="000B609F"/>
    <w:rsid w:val="000C147F"/>
    <w:rsid w:val="000C6BB9"/>
    <w:rsid w:val="000D0F75"/>
    <w:rsid w:val="000D32A9"/>
    <w:rsid w:val="000D4BB2"/>
    <w:rsid w:val="000D55A8"/>
    <w:rsid w:val="000D6DDE"/>
    <w:rsid w:val="000E4841"/>
    <w:rsid w:val="000E6325"/>
    <w:rsid w:val="000F1677"/>
    <w:rsid w:val="000F3D6C"/>
    <w:rsid w:val="000F501B"/>
    <w:rsid w:val="000F579C"/>
    <w:rsid w:val="001004CA"/>
    <w:rsid w:val="00100E8F"/>
    <w:rsid w:val="00101707"/>
    <w:rsid w:val="00101A9E"/>
    <w:rsid w:val="00107D18"/>
    <w:rsid w:val="00110438"/>
    <w:rsid w:val="00114082"/>
    <w:rsid w:val="0011473D"/>
    <w:rsid w:val="00115C85"/>
    <w:rsid w:val="00123855"/>
    <w:rsid w:val="00126A4D"/>
    <w:rsid w:val="00126E19"/>
    <w:rsid w:val="00130B85"/>
    <w:rsid w:val="001374D8"/>
    <w:rsid w:val="00140E0A"/>
    <w:rsid w:val="0014171F"/>
    <w:rsid w:val="00141CA2"/>
    <w:rsid w:val="0014622C"/>
    <w:rsid w:val="00151F58"/>
    <w:rsid w:val="00152348"/>
    <w:rsid w:val="00152845"/>
    <w:rsid w:val="0015456D"/>
    <w:rsid w:val="0015549B"/>
    <w:rsid w:val="001556A3"/>
    <w:rsid w:val="00155FA2"/>
    <w:rsid w:val="001564BC"/>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0FD7"/>
    <w:rsid w:val="001A24E7"/>
    <w:rsid w:val="001A2B78"/>
    <w:rsid w:val="001A7E9A"/>
    <w:rsid w:val="001B0F70"/>
    <w:rsid w:val="001B5016"/>
    <w:rsid w:val="001C0188"/>
    <w:rsid w:val="001C45FC"/>
    <w:rsid w:val="001C5D5F"/>
    <w:rsid w:val="001D02C5"/>
    <w:rsid w:val="001D4862"/>
    <w:rsid w:val="001E1651"/>
    <w:rsid w:val="001E21E7"/>
    <w:rsid w:val="001E25B9"/>
    <w:rsid w:val="001E49E0"/>
    <w:rsid w:val="001E60C3"/>
    <w:rsid w:val="001E7B5A"/>
    <w:rsid w:val="001F7412"/>
    <w:rsid w:val="00200FDD"/>
    <w:rsid w:val="00201874"/>
    <w:rsid w:val="00202133"/>
    <w:rsid w:val="0020264E"/>
    <w:rsid w:val="0020725B"/>
    <w:rsid w:val="002175BA"/>
    <w:rsid w:val="0022599E"/>
    <w:rsid w:val="00227411"/>
    <w:rsid w:val="00227C5E"/>
    <w:rsid w:val="002305E8"/>
    <w:rsid w:val="0023198D"/>
    <w:rsid w:val="0023317E"/>
    <w:rsid w:val="00234F2C"/>
    <w:rsid w:val="00235AB0"/>
    <w:rsid w:val="00240B0E"/>
    <w:rsid w:val="0024116D"/>
    <w:rsid w:val="00241B44"/>
    <w:rsid w:val="00245EFB"/>
    <w:rsid w:val="00250C15"/>
    <w:rsid w:val="00250E19"/>
    <w:rsid w:val="0025386E"/>
    <w:rsid w:val="002539D7"/>
    <w:rsid w:val="00257437"/>
    <w:rsid w:val="002638B0"/>
    <w:rsid w:val="00264FFF"/>
    <w:rsid w:val="002650D7"/>
    <w:rsid w:val="002654E8"/>
    <w:rsid w:val="0026647A"/>
    <w:rsid w:val="002668D3"/>
    <w:rsid w:val="00266EA6"/>
    <w:rsid w:val="002675BE"/>
    <w:rsid w:val="0027299F"/>
    <w:rsid w:val="00274261"/>
    <w:rsid w:val="00274293"/>
    <w:rsid w:val="002760C1"/>
    <w:rsid w:val="00276913"/>
    <w:rsid w:val="002809F3"/>
    <w:rsid w:val="0028135B"/>
    <w:rsid w:val="002823B8"/>
    <w:rsid w:val="00282480"/>
    <w:rsid w:val="00284EBE"/>
    <w:rsid w:val="0029433F"/>
    <w:rsid w:val="00294829"/>
    <w:rsid w:val="00294F3B"/>
    <w:rsid w:val="0029690F"/>
    <w:rsid w:val="002A1EEC"/>
    <w:rsid w:val="002A29FB"/>
    <w:rsid w:val="002A2A60"/>
    <w:rsid w:val="002A2AE0"/>
    <w:rsid w:val="002A330B"/>
    <w:rsid w:val="002B1C45"/>
    <w:rsid w:val="002C13C8"/>
    <w:rsid w:val="002C1AA5"/>
    <w:rsid w:val="002C3547"/>
    <w:rsid w:val="002D0021"/>
    <w:rsid w:val="002D3473"/>
    <w:rsid w:val="002D5C95"/>
    <w:rsid w:val="002E00F8"/>
    <w:rsid w:val="002E0BF2"/>
    <w:rsid w:val="002E1BB5"/>
    <w:rsid w:val="002E2322"/>
    <w:rsid w:val="002E38E2"/>
    <w:rsid w:val="002E6D7F"/>
    <w:rsid w:val="002F1956"/>
    <w:rsid w:val="002F3440"/>
    <w:rsid w:val="002F4EC0"/>
    <w:rsid w:val="002F64F3"/>
    <w:rsid w:val="002F71BE"/>
    <w:rsid w:val="002F75A3"/>
    <w:rsid w:val="002F78CA"/>
    <w:rsid w:val="00303C2F"/>
    <w:rsid w:val="00310A93"/>
    <w:rsid w:val="00312911"/>
    <w:rsid w:val="003144EF"/>
    <w:rsid w:val="003148CA"/>
    <w:rsid w:val="00315506"/>
    <w:rsid w:val="00316029"/>
    <w:rsid w:val="0031656E"/>
    <w:rsid w:val="003167A3"/>
    <w:rsid w:val="003220BA"/>
    <w:rsid w:val="00322F3B"/>
    <w:rsid w:val="00323940"/>
    <w:rsid w:val="003246A5"/>
    <w:rsid w:val="00326292"/>
    <w:rsid w:val="00326415"/>
    <w:rsid w:val="00330937"/>
    <w:rsid w:val="00330F31"/>
    <w:rsid w:val="00331097"/>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2905"/>
    <w:rsid w:val="00393D95"/>
    <w:rsid w:val="003948D5"/>
    <w:rsid w:val="00395931"/>
    <w:rsid w:val="003963D4"/>
    <w:rsid w:val="00396821"/>
    <w:rsid w:val="00397D3A"/>
    <w:rsid w:val="003A051E"/>
    <w:rsid w:val="003A2FEE"/>
    <w:rsid w:val="003B1310"/>
    <w:rsid w:val="003B170F"/>
    <w:rsid w:val="003B3C5F"/>
    <w:rsid w:val="003C089D"/>
    <w:rsid w:val="003C4471"/>
    <w:rsid w:val="003C66B1"/>
    <w:rsid w:val="003D0A6D"/>
    <w:rsid w:val="003E0B16"/>
    <w:rsid w:val="003E49B5"/>
    <w:rsid w:val="003E4A69"/>
    <w:rsid w:val="003E67D1"/>
    <w:rsid w:val="003F3436"/>
    <w:rsid w:val="003F7D4E"/>
    <w:rsid w:val="00405DC1"/>
    <w:rsid w:val="00406802"/>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138F"/>
    <w:rsid w:val="00452628"/>
    <w:rsid w:val="004534C2"/>
    <w:rsid w:val="0045446F"/>
    <w:rsid w:val="004561FD"/>
    <w:rsid w:val="0045683E"/>
    <w:rsid w:val="0047025B"/>
    <w:rsid w:val="00491675"/>
    <w:rsid w:val="00493855"/>
    <w:rsid w:val="0049508F"/>
    <w:rsid w:val="004958C1"/>
    <w:rsid w:val="004A0B22"/>
    <w:rsid w:val="004A171E"/>
    <w:rsid w:val="004A57DD"/>
    <w:rsid w:val="004A7B51"/>
    <w:rsid w:val="004A7D71"/>
    <w:rsid w:val="004A7EF3"/>
    <w:rsid w:val="004B11FD"/>
    <w:rsid w:val="004B23A2"/>
    <w:rsid w:val="004C01D6"/>
    <w:rsid w:val="004C4E97"/>
    <w:rsid w:val="004C7870"/>
    <w:rsid w:val="004D030C"/>
    <w:rsid w:val="004D1A5A"/>
    <w:rsid w:val="004D2FFF"/>
    <w:rsid w:val="004D3721"/>
    <w:rsid w:val="004D50EE"/>
    <w:rsid w:val="004D5F40"/>
    <w:rsid w:val="004D64F9"/>
    <w:rsid w:val="004E0549"/>
    <w:rsid w:val="004E1674"/>
    <w:rsid w:val="004E2E92"/>
    <w:rsid w:val="004E30B0"/>
    <w:rsid w:val="004E5D76"/>
    <w:rsid w:val="004E622C"/>
    <w:rsid w:val="004F5FDF"/>
    <w:rsid w:val="0050157D"/>
    <w:rsid w:val="00501AEA"/>
    <w:rsid w:val="00506803"/>
    <w:rsid w:val="0050682B"/>
    <w:rsid w:val="00507AAC"/>
    <w:rsid w:val="005177FE"/>
    <w:rsid w:val="00517B64"/>
    <w:rsid w:val="00520DCC"/>
    <w:rsid w:val="0052153D"/>
    <w:rsid w:val="0052263B"/>
    <w:rsid w:val="00524728"/>
    <w:rsid w:val="00530003"/>
    <w:rsid w:val="00530E4D"/>
    <w:rsid w:val="00530E88"/>
    <w:rsid w:val="005330DA"/>
    <w:rsid w:val="005331CA"/>
    <w:rsid w:val="0053353F"/>
    <w:rsid w:val="00533739"/>
    <w:rsid w:val="00536A4E"/>
    <w:rsid w:val="00537970"/>
    <w:rsid w:val="00540B44"/>
    <w:rsid w:val="00540E3A"/>
    <w:rsid w:val="00544127"/>
    <w:rsid w:val="00544273"/>
    <w:rsid w:val="00546292"/>
    <w:rsid w:val="005463A9"/>
    <w:rsid w:val="00547993"/>
    <w:rsid w:val="00552237"/>
    <w:rsid w:val="00553EB2"/>
    <w:rsid w:val="005549F1"/>
    <w:rsid w:val="0055615F"/>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3139"/>
    <w:rsid w:val="005A0CCA"/>
    <w:rsid w:val="005A2A11"/>
    <w:rsid w:val="005A407E"/>
    <w:rsid w:val="005A726D"/>
    <w:rsid w:val="005B04CE"/>
    <w:rsid w:val="005B41DC"/>
    <w:rsid w:val="005B67AC"/>
    <w:rsid w:val="005B7614"/>
    <w:rsid w:val="005C2C94"/>
    <w:rsid w:val="005C36BC"/>
    <w:rsid w:val="005C4865"/>
    <w:rsid w:val="005D43E0"/>
    <w:rsid w:val="005D58A3"/>
    <w:rsid w:val="005D6AF5"/>
    <w:rsid w:val="005E1B79"/>
    <w:rsid w:val="005E5C28"/>
    <w:rsid w:val="005F026D"/>
    <w:rsid w:val="005F1A5D"/>
    <w:rsid w:val="005F21F4"/>
    <w:rsid w:val="005F2D0B"/>
    <w:rsid w:val="005F4B31"/>
    <w:rsid w:val="00610388"/>
    <w:rsid w:val="00611763"/>
    <w:rsid w:val="00612CA5"/>
    <w:rsid w:val="006153EC"/>
    <w:rsid w:val="00616C5D"/>
    <w:rsid w:val="00620800"/>
    <w:rsid w:val="00621A17"/>
    <w:rsid w:val="00621D3D"/>
    <w:rsid w:val="00622586"/>
    <w:rsid w:val="00622C2B"/>
    <w:rsid w:val="00622DCB"/>
    <w:rsid w:val="006230A6"/>
    <w:rsid w:val="00627CC9"/>
    <w:rsid w:val="00627E7B"/>
    <w:rsid w:val="00630542"/>
    <w:rsid w:val="0063213E"/>
    <w:rsid w:val="00632E44"/>
    <w:rsid w:val="006338BF"/>
    <w:rsid w:val="00634622"/>
    <w:rsid w:val="0063633B"/>
    <w:rsid w:val="00636808"/>
    <w:rsid w:val="00636BCA"/>
    <w:rsid w:val="00641002"/>
    <w:rsid w:val="00641515"/>
    <w:rsid w:val="00646BF1"/>
    <w:rsid w:val="00651AE3"/>
    <w:rsid w:val="00653BA5"/>
    <w:rsid w:val="00654C2F"/>
    <w:rsid w:val="00657087"/>
    <w:rsid w:val="0066252C"/>
    <w:rsid w:val="006661EF"/>
    <w:rsid w:val="0067294B"/>
    <w:rsid w:val="00677736"/>
    <w:rsid w:val="0067785F"/>
    <w:rsid w:val="00677AEB"/>
    <w:rsid w:val="00680EF2"/>
    <w:rsid w:val="00683055"/>
    <w:rsid w:val="006839C2"/>
    <w:rsid w:val="00685099"/>
    <w:rsid w:val="00687A1D"/>
    <w:rsid w:val="006920CC"/>
    <w:rsid w:val="00692AB2"/>
    <w:rsid w:val="00694FF9"/>
    <w:rsid w:val="0069647C"/>
    <w:rsid w:val="0069666E"/>
    <w:rsid w:val="006979B1"/>
    <w:rsid w:val="00697EA1"/>
    <w:rsid w:val="006A1850"/>
    <w:rsid w:val="006A2646"/>
    <w:rsid w:val="006A3DF0"/>
    <w:rsid w:val="006A6530"/>
    <w:rsid w:val="006A7745"/>
    <w:rsid w:val="006B435A"/>
    <w:rsid w:val="006B4C64"/>
    <w:rsid w:val="006B4FFC"/>
    <w:rsid w:val="006C74D9"/>
    <w:rsid w:val="006D0E6E"/>
    <w:rsid w:val="006D6BD5"/>
    <w:rsid w:val="006E47DA"/>
    <w:rsid w:val="006E481A"/>
    <w:rsid w:val="006E5298"/>
    <w:rsid w:val="006F2CE3"/>
    <w:rsid w:val="006F588C"/>
    <w:rsid w:val="006F71C2"/>
    <w:rsid w:val="006F734A"/>
    <w:rsid w:val="00700D83"/>
    <w:rsid w:val="007025A6"/>
    <w:rsid w:val="00703819"/>
    <w:rsid w:val="00704852"/>
    <w:rsid w:val="00706297"/>
    <w:rsid w:val="00706AD5"/>
    <w:rsid w:val="007074E9"/>
    <w:rsid w:val="00707FC8"/>
    <w:rsid w:val="00713DA4"/>
    <w:rsid w:val="00714BF1"/>
    <w:rsid w:val="00721383"/>
    <w:rsid w:val="0072554C"/>
    <w:rsid w:val="00725911"/>
    <w:rsid w:val="007301D1"/>
    <w:rsid w:val="00731DBD"/>
    <w:rsid w:val="007333CC"/>
    <w:rsid w:val="0073399A"/>
    <w:rsid w:val="0074139A"/>
    <w:rsid w:val="007517DC"/>
    <w:rsid w:val="00751F66"/>
    <w:rsid w:val="007603F5"/>
    <w:rsid w:val="00764DB0"/>
    <w:rsid w:val="00766F8A"/>
    <w:rsid w:val="0076764D"/>
    <w:rsid w:val="0077498C"/>
    <w:rsid w:val="00777183"/>
    <w:rsid w:val="00784128"/>
    <w:rsid w:val="00784B4B"/>
    <w:rsid w:val="007854ED"/>
    <w:rsid w:val="0078737B"/>
    <w:rsid w:val="00793173"/>
    <w:rsid w:val="00794ABA"/>
    <w:rsid w:val="007B3AC7"/>
    <w:rsid w:val="007B497A"/>
    <w:rsid w:val="007B4AA1"/>
    <w:rsid w:val="007B5FEB"/>
    <w:rsid w:val="007C1FCC"/>
    <w:rsid w:val="007C32A8"/>
    <w:rsid w:val="007C3FE5"/>
    <w:rsid w:val="007C524B"/>
    <w:rsid w:val="007C5527"/>
    <w:rsid w:val="007C6201"/>
    <w:rsid w:val="007C6988"/>
    <w:rsid w:val="007C6FA9"/>
    <w:rsid w:val="007D28A1"/>
    <w:rsid w:val="007D4F8C"/>
    <w:rsid w:val="007D5B56"/>
    <w:rsid w:val="007D7C92"/>
    <w:rsid w:val="007E1154"/>
    <w:rsid w:val="007E51ED"/>
    <w:rsid w:val="007E6BA4"/>
    <w:rsid w:val="007E7678"/>
    <w:rsid w:val="007F41F8"/>
    <w:rsid w:val="007F5C75"/>
    <w:rsid w:val="007F60D0"/>
    <w:rsid w:val="0080454E"/>
    <w:rsid w:val="00804C32"/>
    <w:rsid w:val="00806302"/>
    <w:rsid w:val="00807119"/>
    <w:rsid w:val="00812AFE"/>
    <w:rsid w:val="00817D57"/>
    <w:rsid w:val="00822301"/>
    <w:rsid w:val="00822587"/>
    <w:rsid w:val="00822764"/>
    <w:rsid w:val="008241C4"/>
    <w:rsid w:val="0082483F"/>
    <w:rsid w:val="008264CB"/>
    <w:rsid w:val="008279C0"/>
    <w:rsid w:val="0083181D"/>
    <w:rsid w:val="00835FD1"/>
    <w:rsid w:val="0084683C"/>
    <w:rsid w:val="008512FA"/>
    <w:rsid w:val="00853A74"/>
    <w:rsid w:val="00853CE0"/>
    <w:rsid w:val="0085661D"/>
    <w:rsid w:val="00856B2E"/>
    <w:rsid w:val="00857763"/>
    <w:rsid w:val="00860E5A"/>
    <w:rsid w:val="00860E61"/>
    <w:rsid w:val="00862002"/>
    <w:rsid w:val="00867A8F"/>
    <w:rsid w:val="008723F3"/>
    <w:rsid w:val="00881DE6"/>
    <w:rsid w:val="008837A6"/>
    <w:rsid w:val="00884005"/>
    <w:rsid w:val="0088652F"/>
    <w:rsid w:val="008865D9"/>
    <w:rsid w:val="0089145D"/>
    <w:rsid w:val="00893A03"/>
    <w:rsid w:val="00895B8C"/>
    <w:rsid w:val="008A0C6E"/>
    <w:rsid w:val="008A46CF"/>
    <w:rsid w:val="008A4DF2"/>
    <w:rsid w:val="008A6CFE"/>
    <w:rsid w:val="008A7470"/>
    <w:rsid w:val="008B1A08"/>
    <w:rsid w:val="008B2DE3"/>
    <w:rsid w:val="008B5333"/>
    <w:rsid w:val="008B6223"/>
    <w:rsid w:val="008B76F5"/>
    <w:rsid w:val="008C66E0"/>
    <w:rsid w:val="008E2DFA"/>
    <w:rsid w:val="008E3339"/>
    <w:rsid w:val="008E421D"/>
    <w:rsid w:val="008E549B"/>
    <w:rsid w:val="008F18EF"/>
    <w:rsid w:val="008F20FC"/>
    <w:rsid w:val="008F28DA"/>
    <w:rsid w:val="008F2B24"/>
    <w:rsid w:val="008F4752"/>
    <w:rsid w:val="008F5FFE"/>
    <w:rsid w:val="008F6C0E"/>
    <w:rsid w:val="0090421A"/>
    <w:rsid w:val="009045EA"/>
    <w:rsid w:val="00905A43"/>
    <w:rsid w:val="009079DB"/>
    <w:rsid w:val="00907DC2"/>
    <w:rsid w:val="00912C79"/>
    <w:rsid w:val="009260A2"/>
    <w:rsid w:val="009315AD"/>
    <w:rsid w:val="009344C1"/>
    <w:rsid w:val="00942123"/>
    <w:rsid w:val="00945BD0"/>
    <w:rsid w:val="00951031"/>
    <w:rsid w:val="0095207B"/>
    <w:rsid w:val="00954461"/>
    <w:rsid w:val="00956085"/>
    <w:rsid w:val="00956953"/>
    <w:rsid w:val="00956E13"/>
    <w:rsid w:val="00957951"/>
    <w:rsid w:val="00962045"/>
    <w:rsid w:val="00967EDA"/>
    <w:rsid w:val="00970897"/>
    <w:rsid w:val="0097337E"/>
    <w:rsid w:val="009761F1"/>
    <w:rsid w:val="00980314"/>
    <w:rsid w:val="009816D0"/>
    <w:rsid w:val="00985D51"/>
    <w:rsid w:val="00991428"/>
    <w:rsid w:val="00992676"/>
    <w:rsid w:val="00996691"/>
    <w:rsid w:val="009974EC"/>
    <w:rsid w:val="009A4880"/>
    <w:rsid w:val="009A58D1"/>
    <w:rsid w:val="009A5C59"/>
    <w:rsid w:val="009A7865"/>
    <w:rsid w:val="009B0723"/>
    <w:rsid w:val="009B07AD"/>
    <w:rsid w:val="009B0883"/>
    <w:rsid w:val="009B15E2"/>
    <w:rsid w:val="009B5832"/>
    <w:rsid w:val="009B6312"/>
    <w:rsid w:val="009B640D"/>
    <w:rsid w:val="009C0850"/>
    <w:rsid w:val="009C0B8E"/>
    <w:rsid w:val="009C1BC8"/>
    <w:rsid w:val="009C2065"/>
    <w:rsid w:val="009C2442"/>
    <w:rsid w:val="009D0811"/>
    <w:rsid w:val="009D0EE1"/>
    <w:rsid w:val="009D30BB"/>
    <w:rsid w:val="009E263D"/>
    <w:rsid w:val="009E2AEB"/>
    <w:rsid w:val="009E2E27"/>
    <w:rsid w:val="009E2EB3"/>
    <w:rsid w:val="009E3CA7"/>
    <w:rsid w:val="009E499C"/>
    <w:rsid w:val="009E4DE3"/>
    <w:rsid w:val="00A01124"/>
    <w:rsid w:val="00A047EE"/>
    <w:rsid w:val="00A05562"/>
    <w:rsid w:val="00A11353"/>
    <w:rsid w:val="00A1137F"/>
    <w:rsid w:val="00A114EA"/>
    <w:rsid w:val="00A153F7"/>
    <w:rsid w:val="00A2274A"/>
    <w:rsid w:val="00A235B7"/>
    <w:rsid w:val="00A27A7A"/>
    <w:rsid w:val="00A27F55"/>
    <w:rsid w:val="00A363E2"/>
    <w:rsid w:val="00A407EF"/>
    <w:rsid w:val="00A41FD2"/>
    <w:rsid w:val="00A46B4C"/>
    <w:rsid w:val="00A5117B"/>
    <w:rsid w:val="00A53A0B"/>
    <w:rsid w:val="00A54000"/>
    <w:rsid w:val="00A54689"/>
    <w:rsid w:val="00A60074"/>
    <w:rsid w:val="00A6627C"/>
    <w:rsid w:val="00A6649C"/>
    <w:rsid w:val="00A70BBC"/>
    <w:rsid w:val="00A71019"/>
    <w:rsid w:val="00A77785"/>
    <w:rsid w:val="00A81029"/>
    <w:rsid w:val="00A83CB5"/>
    <w:rsid w:val="00A865A7"/>
    <w:rsid w:val="00A916F3"/>
    <w:rsid w:val="00A96489"/>
    <w:rsid w:val="00AA03C5"/>
    <w:rsid w:val="00AA3A42"/>
    <w:rsid w:val="00AA5311"/>
    <w:rsid w:val="00AA7BAA"/>
    <w:rsid w:val="00AB08DB"/>
    <w:rsid w:val="00AB46B8"/>
    <w:rsid w:val="00AB685C"/>
    <w:rsid w:val="00AB6C2D"/>
    <w:rsid w:val="00AC08F7"/>
    <w:rsid w:val="00AC37A7"/>
    <w:rsid w:val="00AC3839"/>
    <w:rsid w:val="00AC7082"/>
    <w:rsid w:val="00AD0E59"/>
    <w:rsid w:val="00AD3FEA"/>
    <w:rsid w:val="00AD51AC"/>
    <w:rsid w:val="00AD7BBD"/>
    <w:rsid w:val="00AE1068"/>
    <w:rsid w:val="00AE3761"/>
    <w:rsid w:val="00AE4E44"/>
    <w:rsid w:val="00AE6136"/>
    <w:rsid w:val="00AF228E"/>
    <w:rsid w:val="00AF302B"/>
    <w:rsid w:val="00B02B96"/>
    <w:rsid w:val="00B04137"/>
    <w:rsid w:val="00B10AA3"/>
    <w:rsid w:val="00B1112C"/>
    <w:rsid w:val="00B11D19"/>
    <w:rsid w:val="00B12936"/>
    <w:rsid w:val="00B12C2D"/>
    <w:rsid w:val="00B12E80"/>
    <w:rsid w:val="00B13232"/>
    <w:rsid w:val="00B14819"/>
    <w:rsid w:val="00B15031"/>
    <w:rsid w:val="00B17AA9"/>
    <w:rsid w:val="00B23992"/>
    <w:rsid w:val="00B263D0"/>
    <w:rsid w:val="00B27AD3"/>
    <w:rsid w:val="00B32DE4"/>
    <w:rsid w:val="00B33578"/>
    <w:rsid w:val="00B370C3"/>
    <w:rsid w:val="00B411AE"/>
    <w:rsid w:val="00B413F5"/>
    <w:rsid w:val="00B41F82"/>
    <w:rsid w:val="00B457BF"/>
    <w:rsid w:val="00B46CE2"/>
    <w:rsid w:val="00B60190"/>
    <w:rsid w:val="00B61419"/>
    <w:rsid w:val="00B66441"/>
    <w:rsid w:val="00B72F5F"/>
    <w:rsid w:val="00B736DF"/>
    <w:rsid w:val="00B74FBD"/>
    <w:rsid w:val="00B77352"/>
    <w:rsid w:val="00B82586"/>
    <w:rsid w:val="00B829A3"/>
    <w:rsid w:val="00B82A81"/>
    <w:rsid w:val="00B86DB1"/>
    <w:rsid w:val="00B87869"/>
    <w:rsid w:val="00B93722"/>
    <w:rsid w:val="00B93B64"/>
    <w:rsid w:val="00B953BD"/>
    <w:rsid w:val="00BA0E44"/>
    <w:rsid w:val="00BA47C5"/>
    <w:rsid w:val="00BB0F2B"/>
    <w:rsid w:val="00BB5EE3"/>
    <w:rsid w:val="00BC7FB9"/>
    <w:rsid w:val="00BD0D57"/>
    <w:rsid w:val="00BE1A50"/>
    <w:rsid w:val="00BE1E08"/>
    <w:rsid w:val="00BF16BE"/>
    <w:rsid w:val="00BF50F7"/>
    <w:rsid w:val="00BF67A0"/>
    <w:rsid w:val="00BF6FC3"/>
    <w:rsid w:val="00C00111"/>
    <w:rsid w:val="00C015E7"/>
    <w:rsid w:val="00C02F29"/>
    <w:rsid w:val="00C040AE"/>
    <w:rsid w:val="00C04242"/>
    <w:rsid w:val="00C10C13"/>
    <w:rsid w:val="00C17111"/>
    <w:rsid w:val="00C20747"/>
    <w:rsid w:val="00C20AFE"/>
    <w:rsid w:val="00C22A25"/>
    <w:rsid w:val="00C23B79"/>
    <w:rsid w:val="00C2628B"/>
    <w:rsid w:val="00C318FB"/>
    <w:rsid w:val="00C31F49"/>
    <w:rsid w:val="00C32867"/>
    <w:rsid w:val="00C33D50"/>
    <w:rsid w:val="00C35671"/>
    <w:rsid w:val="00C35B77"/>
    <w:rsid w:val="00C370D3"/>
    <w:rsid w:val="00C376EB"/>
    <w:rsid w:val="00C4003A"/>
    <w:rsid w:val="00C43834"/>
    <w:rsid w:val="00C44BEB"/>
    <w:rsid w:val="00C4510C"/>
    <w:rsid w:val="00C46EC1"/>
    <w:rsid w:val="00C504E5"/>
    <w:rsid w:val="00C50ACC"/>
    <w:rsid w:val="00C53E2C"/>
    <w:rsid w:val="00C550C8"/>
    <w:rsid w:val="00C56B61"/>
    <w:rsid w:val="00C606C3"/>
    <w:rsid w:val="00C620F4"/>
    <w:rsid w:val="00C668B6"/>
    <w:rsid w:val="00C67ECE"/>
    <w:rsid w:val="00C7161B"/>
    <w:rsid w:val="00C72848"/>
    <w:rsid w:val="00C72B7B"/>
    <w:rsid w:val="00C7736C"/>
    <w:rsid w:val="00C82D87"/>
    <w:rsid w:val="00C841ED"/>
    <w:rsid w:val="00C85CE1"/>
    <w:rsid w:val="00C85F17"/>
    <w:rsid w:val="00C86FA3"/>
    <w:rsid w:val="00C8712A"/>
    <w:rsid w:val="00C91324"/>
    <w:rsid w:val="00C914F7"/>
    <w:rsid w:val="00C963D3"/>
    <w:rsid w:val="00C967D7"/>
    <w:rsid w:val="00CA6E0D"/>
    <w:rsid w:val="00CB2CBB"/>
    <w:rsid w:val="00CB56CE"/>
    <w:rsid w:val="00CB7CAC"/>
    <w:rsid w:val="00CC0EA0"/>
    <w:rsid w:val="00CC4698"/>
    <w:rsid w:val="00CC5335"/>
    <w:rsid w:val="00CC54B5"/>
    <w:rsid w:val="00CC5BA4"/>
    <w:rsid w:val="00CC5C5C"/>
    <w:rsid w:val="00CC70BB"/>
    <w:rsid w:val="00CD3181"/>
    <w:rsid w:val="00CD3420"/>
    <w:rsid w:val="00CD458C"/>
    <w:rsid w:val="00CD4998"/>
    <w:rsid w:val="00CD6F47"/>
    <w:rsid w:val="00CE1035"/>
    <w:rsid w:val="00CE2A6A"/>
    <w:rsid w:val="00CE6612"/>
    <w:rsid w:val="00CF2819"/>
    <w:rsid w:val="00CF4F9D"/>
    <w:rsid w:val="00CF6DFB"/>
    <w:rsid w:val="00CF70DC"/>
    <w:rsid w:val="00CF7C2F"/>
    <w:rsid w:val="00D0063B"/>
    <w:rsid w:val="00D03646"/>
    <w:rsid w:val="00D13704"/>
    <w:rsid w:val="00D13B0C"/>
    <w:rsid w:val="00D148DC"/>
    <w:rsid w:val="00D17FDC"/>
    <w:rsid w:val="00D247D6"/>
    <w:rsid w:val="00D25193"/>
    <w:rsid w:val="00D32A13"/>
    <w:rsid w:val="00D42D8D"/>
    <w:rsid w:val="00D444C5"/>
    <w:rsid w:val="00D45AEA"/>
    <w:rsid w:val="00D5244F"/>
    <w:rsid w:val="00D52E4F"/>
    <w:rsid w:val="00D56A37"/>
    <w:rsid w:val="00D57202"/>
    <w:rsid w:val="00D6386E"/>
    <w:rsid w:val="00D63EFD"/>
    <w:rsid w:val="00D64826"/>
    <w:rsid w:val="00D7080A"/>
    <w:rsid w:val="00D74CE2"/>
    <w:rsid w:val="00D80DF2"/>
    <w:rsid w:val="00D84150"/>
    <w:rsid w:val="00D84752"/>
    <w:rsid w:val="00D85AB0"/>
    <w:rsid w:val="00D86B3B"/>
    <w:rsid w:val="00D8748A"/>
    <w:rsid w:val="00D93196"/>
    <w:rsid w:val="00D94A4D"/>
    <w:rsid w:val="00D97A93"/>
    <w:rsid w:val="00DA1083"/>
    <w:rsid w:val="00DA26C8"/>
    <w:rsid w:val="00DA768D"/>
    <w:rsid w:val="00DB243C"/>
    <w:rsid w:val="00DB45DD"/>
    <w:rsid w:val="00DB482A"/>
    <w:rsid w:val="00DB5685"/>
    <w:rsid w:val="00DB56F2"/>
    <w:rsid w:val="00DB6619"/>
    <w:rsid w:val="00DB6EF5"/>
    <w:rsid w:val="00DC3089"/>
    <w:rsid w:val="00DC4420"/>
    <w:rsid w:val="00DC501A"/>
    <w:rsid w:val="00DD0802"/>
    <w:rsid w:val="00DD0A50"/>
    <w:rsid w:val="00DD2E11"/>
    <w:rsid w:val="00DE03AF"/>
    <w:rsid w:val="00DE121C"/>
    <w:rsid w:val="00DE2A27"/>
    <w:rsid w:val="00DE3705"/>
    <w:rsid w:val="00DE6633"/>
    <w:rsid w:val="00DF076C"/>
    <w:rsid w:val="00DF75F8"/>
    <w:rsid w:val="00DF7A3A"/>
    <w:rsid w:val="00E009F5"/>
    <w:rsid w:val="00E00C00"/>
    <w:rsid w:val="00E04A7C"/>
    <w:rsid w:val="00E059FB"/>
    <w:rsid w:val="00E069C4"/>
    <w:rsid w:val="00E07275"/>
    <w:rsid w:val="00E07866"/>
    <w:rsid w:val="00E07C5A"/>
    <w:rsid w:val="00E15B0D"/>
    <w:rsid w:val="00E15BA9"/>
    <w:rsid w:val="00E16F21"/>
    <w:rsid w:val="00E203D4"/>
    <w:rsid w:val="00E25B22"/>
    <w:rsid w:val="00E2622D"/>
    <w:rsid w:val="00E26E19"/>
    <w:rsid w:val="00E27E3C"/>
    <w:rsid w:val="00E31DF3"/>
    <w:rsid w:val="00E32814"/>
    <w:rsid w:val="00E33448"/>
    <w:rsid w:val="00E33486"/>
    <w:rsid w:val="00E33730"/>
    <w:rsid w:val="00E34181"/>
    <w:rsid w:val="00E34554"/>
    <w:rsid w:val="00E450A4"/>
    <w:rsid w:val="00E506BE"/>
    <w:rsid w:val="00E5125F"/>
    <w:rsid w:val="00E55547"/>
    <w:rsid w:val="00E57410"/>
    <w:rsid w:val="00E61C42"/>
    <w:rsid w:val="00E6302B"/>
    <w:rsid w:val="00E6371C"/>
    <w:rsid w:val="00E6452F"/>
    <w:rsid w:val="00E64619"/>
    <w:rsid w:val="00E64F45"/>
    <w:rsid w:val="00E6742D"/>
    <w:rsid w:val="00E71CB0"/>
    <w:rsid w:val="00E73152"/>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4B6"/>
    <w:rsid w:val="00EE4971"/>
    <w:rsid w:val="00EF090E"/>
    <w:rsid w:val="00EF2D57"/>
    <w:rsid w:val="00F033DA"/>
    <w:rsid w:val="00F11AAB"/>
    <w:rsid w:val="00F13FB1"/>
    <w:rsid w:val="00F14447"/>
    <w:rsid w:val="00F17BC1"/>
    <w:rsid w:val="00F17C87"/>
    <w:rsid w:val="00F20272"/>
    <w:rsid w:val="00F20314"/>
    <w:rsid w:val="00F21204"/>
    <w:rsid w:val="00F223E7"/>
    <w:rsid w:val="00F2288D"/>
    <w:rsid w:val="00F22B36"/>
    <w:rsid w:val="00F25779"/>
    <w:rsid w:val="00F2750A"/>
    <w:rsid w:val="00F27CD8"/>
    <w:rsid w:val="00F30351"/>
    <w:rsid w:val="00F31EE9"/>
    <w:rsid w:val="00F3323E"/>
    <w:rsid w:val="00F341F4"/>
    <w:rsid w:val="00F34F9D"/>
    <w:rsid w:val="00F35CCE"/>
    <w:rsid w:val="00F51EE5"/>
    <w:rsid w:val="00F55241"/>
    <w:rsid w:val="00F5524B"/>
    <w:rsid w:val="00F60538"/>
    <w:rsid w:val="00F612BC"/>
    <w:rsid w:val="00F61DD2"/>
    <w:rsid w:val="00F6523A"/>
    <w:rsid w:val="00F66AFF"/>
    <w:rsid w:val="00F71433"/>
    <w:rsid w:val="00F7241A"/>
    <w:rsid w:val="00F823B5"/>
    <w:rsid w:val="00F83E76"/>
    <w:rsid w:val="00F84ABD"/>
    <w:rsid w:val="00F87BEA"/>
    <w:rsid w:val="00F90A57"/>
    <w:rsid w:val="00F97C5B"/>
    <w:rsid w:val="00F97E17"/>
    <w:rsid w:val="00FA05D2"/>
    <w:rsid w:val="00FA359A"/>
    <w:rsid w:val="00FA3D50"/>
    <w:rsid w:val="00FB009F"/>
    <w:rsid w:val="00FB25B0"/>
    <w:rsid w:val="00FB4BE4"/>
    <w:rsid w:val="00FB575B"/>
    <w:rsid w:val="00FB6136"/>
    <w:rsid w:val="00FC374A"/>
    <w:rsid w:val="00FC7B47"/>
    <w:rsid w:val="00FD035C"/>
    <w:rsid w:val="00FD1A35"/>
    <w:rsid w:val="00FD1FE6"/>
    <w:rsid w:val="00FD36C5"/>
    <w:rsid w:val="00FD428C"/>
    <w:rsid w:val="00FD6310"/>
    <w:rsid w:val="00FD6CDC"/>
    <w:rsid w:val="00FD7C7B"/>
    <w:rsid w:val="00FD7FD0"/>
    <w:rsid w:val="00FE1D12"/>
    <w:rsid w:val="00FE2122"/>
    <w:rsid w:val="00FE25D6"/>
    <w:rsid w:val="00FE2A86"/>
    <w:rsid w:val="00FF14AE"/>
    <w:rsid w:val="00FF1832"/>
    <w:rsid w:val="00FF27B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Iarmukhametova, Julia</cp:lastModifiedBy>
  <cp:revision>23</cp:revision>
  <cp:lastPrinted>2019-08-27T05:42:00Z</cp:lastPrinted>
  <dcterms:created xsi:type="dcterms:W3CDTF">2024-02-28T18:43:00Z</dcterms:created>
  <dcterms:modified xsi:type="dcterms:W3CDTF">2024-02-28T19:17:00Z</dcterms:modified>
</cp:coreProperties>
</file>