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in order to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BF3835" w:rsidRDefault="00AE5B6F" w:rsidP="00B04033">
      <w:pPr>
        <w:pStyle w:val="ListParagraph"/>
        <w:numPr>
          <w:ilvl w:val="0"/>
          <w:numId w:val="1"/>
        </w:numPr>
        <w:ind w:left="426"/>
        <w:jc w:val="both"/>
        <w:rPr>
          <w:rFonts w:ascii="Avenir Next" w:hAnsi="Avenir Next" w:cs="Arial"/>
          <w:sz w:val="22"/>
          <w:szCs w:val="22"/>
          <w:highlight w:val="yellow"/>
          <w:lang w:val="en-GB"/>
        </w:rPr>
      </w:pPr>
      <w:r w:rsidRPr="00BF3835">
        <w:rPr>
          <w:rFonts w:ascii="Avenir Next" w:hAnsi="Avenir Next" w:cs="Arial"/>
          <w:sz w:val="22"/>
          <w:szCs w:val="22"/>
          <w:highlight w:val="yellow"/>
          <w:lang w:val="en-GB"/>
        </w:rPr>
        <w:t>w</w:t>
      </w:r>
      <w:r w:rsidR="00C91062" w:rsidRPr="00BF3835">
        <w:rPr>
          <w:rFonts w:ascii="Avenir Next" w:hAnsi="Avenir Next" w:cs="Arial"/>
          <w:sz w:val="22"/>
          <w:szCs w:val="22"/>
          <w:highlight w:val="yellow"/>
          <w:lang w:val="en-GB"/>
        </w:rPr>
        <w:t xml:space="preserve">ithin </w:t>
      </w:r>
      <w:r w:rsidR="00733A34" w:rsidRPr="00BF3835">
        <w:rPr>
          <w:rFonts w:ascii="Avenir Next" w:hAnsi="Avenir Next" w:cs="Arial"/>
          <w:sz w:val="22"/>
          <w:szCs w:val="22"/>
          <w:highlight w:val="yellow"/>
          <w:lang w:val="en-GB"/>
        </w:rPr>
        <w:t>eight</w:t>
      </w:r>
      <w:r w:rsidR="00C91062" w:rsidRPr="00BF3835">
        <w:rPr>
          <w:rFonts w:ascii="Avenir Next" w:hAnsi="Avenir Next" w:cs="Arial"/>
          <w:sz w:val="22"/>
          <w:szCs w:val="22"/>
          <w:highlight w:val="yellow"/>
          <w:lang w:val="en-GB"/>
        </w:rPr>
        <w:t xml:space="preserve"> weeks of the commencement of the administration</w:t>
      </w:r>
      <w:r w:rsidR="00763348" w:rsidRPr="00BF3835">
        <w:rPr>
          <w:rFonts w:ascii="Avenir Next" w:hAnsi="Avenir Next" w:cs="Arial"/>
          <w:sz w:val="22"/>
          <w:szCs w:val="22"/>
          <w:highlight w:val="yellow"/>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o</w:t>
      </w:r>
      <w:r w:rsidR="00C91062" w:rsidRPr="00197F24">
        <w:rPr>
          <w:rFonts w:ascii="Avenir Next" w:hAnsi="Avenir Next" w:cs="Arial"/>
          <w:sz w:val="22"/>
          <w:szCs w:val="22"/>
          <w:lang w:val="en-GB"/>
        </w:rPr>
        <w:t>n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40 business days</w:t>
      </w:r>
      <w:r w:rsidR="00763348" w:rsidRPr="00197F24">
        <w:rPr>
          <w:rFonts w:ascii="Avenir Next" w:hAnsi="Avenir Next" w:cs="Arial"/>
          <w:sz w:val="22"/>
          <w:szCs w:val="22"/>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BF3835" w:rsidRDefault="00E443D7" w:rsidP="00B04033">
      <w:pPr>
        <w:pStyle w:val="ListParagraph"/>
        <w:numPr>
          <w:ilvl w:val="0"/>
          <w:numId w:val="2"/>
        </w:numPr>
        <w:ind w:left="426"/>
        <w:jc w:val="both"/>
        <w:rPr>
          <w:rFonts w:ascii="Avenir Next" w:hAnsi="Avenir Next" w:cs="Arial"/>
          <w:sz w:val="22"/>
          <w:szCs w:val="22"/>
          <w:highlight w:val="yellow"/>
          <w:lang w:val="en-GB"/>
        </w:rPr>
      </w:pPr>
      <w:r w:rsidRPr="00BF3835">
        <w:rPr>
          <w:rFonts w:ascii="Avenir Next" w:hAnsi="Avenir Next" w:cs="Arial"/>
          <w:sz w:val="22"/>
          <w:szCs w:val="22"/>
          <w:highlight w:val="yellow"/>
          <w:lang w:val="en-GB"/>
        </w:rPr>
        <w:t>One year and 20 business days</w:t>
      </w:r>
      <w:r w:rsidR="00763348" w:rsidRPr="00BF3835">
        <w:rPr>
          <w:rFonts w:ascii="Avenir Next" w:hAnsi="Avenir Next" w:cs="Arial"/>
          <w:sz w:val="22"/>
          <w:szCs w:val="22"/>
          <w:highlight w:val="yellow"/>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197F24" w:rsidRDefault="00E443D7" w:rsidP="00C55824">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w:t>
      </w:r>
      <w:r w:rsidR="00763348" w:rsidRPr="00197F24">
        <w:rPr>
          <w:rFonts w:ascii="Avenir Next" w:hAnsi="Avenir Next" w:cs="Arial"/>
          <w:sz w:val="22"/>
          <w:szCs w:val="22"/>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enter into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BF3835" w:rsidRDefault="00AE5B6F" w:rsidP="00B04033">
      <w:pPr>
        <w:pStyle w:val="ListParagraph"/>
        <w:numPr>
          <w:ilvl w:val="0"/>
          <w:numId w:val="3"/>
        </w:numPr>
        <w:ind w:left="426"/>
        <w:jc w:val="both"/>
        <w:rPr>
          <w:rFonts w:ascii="Avenir Next" w:hAnsi="Avenir Next" w:cs="Arial"/>
          <w:sz w:val="22"/>
          <w:szCs w:val="22"/>
          <w:highlight w:val="yellow"/>
          <w:lang w:val="en-GB"/>
        </w:rPr>
      </w:pPr>
      <w:r w:rsidRPr="00BF3835">
        <w:rPr>
          <w:rFonts w:ascii="Avenir Next" w:hAnsi="Avenir Next" w:cs="Arial"/>
          <w:sz w:val="22"/>
          <w:szCs w:val="22"/>
          <w:highlight w:val="yellow"/>
          <w:lang w:val="en-GB"/>
        </w:rPr>
        <w:t>T</w:t>
      </w:r>
      <w:r w:rsidR="008D1616" w:rsidRPr="00BF3835">
        <w:rPr>
          <w:rFonts w:ascii="Avenir Next" w:hAnsi="Avenir Next" w:cs="Arial"/>
          <w:sz w:val="22"/>
          <w:szCs w:val="22"/>
          <w:highlight w:val="yellow"/>
          <w:lang w:val="en-GB"/>
        </w:rPr>
        <w:t>he company is, or is likely to become, unable to pay their debts, as defined under s</w:t>
      </w:r>
      <w:r w:rsidR="00E833F4" w:rsidRPr="00BF3835">
        <w:rPr>
          <w:rFonts w:ascii="Avenir Next" w:hAnsi="Avenir Next" w:cs="Arial"/>
          <w:sz w:val="22"/>
          <w:szCs w:val="22"/>
          <w:highlight w:val="yellow"/>
          <w:lang w:val="en-GB"/>
        </w:rPr>
        <w:t>ection</w:t>
      </w:r>
      <w:r w:rsidR="008D1616" w:rsidRPr="00BF3835">
        <w:rPr>
          <w:rFonts w:ascii="Avenir Next" w:hAnsi="Avenir Next" w:cs="Arial"/>
          <w:sz w:val="22"/>
          <w:szCs w:val="22"/>
          <w:highlight w:val="yellow"/>
          <w:lang w:val="en-GB"/>
        </w:rPr>
        <w:t xml:space="preserve"> 123 of the Insolvency Act 1986</w:t>
      </w:r>
      <w:r w:rsidR="00763348" w:rsidRPr="00BF3835">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administrator</w:t>
      </w:r>
      <w:r w:rsidR="00763348" w:rsidRPr="00197F24">
        <w:rPr>
          <w:rFonts w:ascii="Avenir Next" w:hAnsi="Avenir Next" w:cs="Arial"/>
          <w:sz w:val="22"/>
          <w:szCs w:val="22"/>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BF3835" w:rsidRDefault="00C91062" w:rsidP="00B04033">
      <w:pPr>
        <w:pStyle w:val="ListParagraph"/>
        <w:numPr>
          <w:ilvl w:val="0"/>
          <w:numId w:val="4"/>
        </w:numPr>
        <w:ind w:left="426"/>
        <w:jc w:val="both"/>
        <w:rPr>
          <w:rFonts w:ascii="Avenir Next" w:hAnsi="Avenir Next" w:cs="Arial"/>
          <w:sz w:val="22"/>
          <w:szCs w:val="22"/>
          <w:highlight w:val="yellow"/>
          <w:lang w:val="en-GB"/>
        </w:rPr>
      </w:pPr>
      <w:r w:rsidRPr="00BF3835">
        <w:rPr>
          <w:rFonts w:ascii="Avenir Next" w:hAnsi="Avenir Next" w:cs="Arial"/>
          <w:sz w:val="22"/>
          <w:szCs w:val="22"/>
          <w:highlight w:val="yellow"/>
          <w:lang w:val="en-GB"/>
        </w:rPr>
        <w:t>The purchaser</w:t>
      </w:r>
      <w:r w:rsidR="00763348" w:rsidRPr="00BF3835">
        <w:rPr>
          <w:rFonts w:ascii="Avenir Next" w:hAnsi="Avenir Next" w:cs="Arial"/>
          <w:sz w:val="22"/>
          <w:szCs w:val="22"/>
          <w:highlight w:val="yellow"/>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BF3835" w:rsidRDefault="00BA1CFD" w:rsidP="00B04033">
      <w:pPr>
        <w:pStyle w:val="ListParagraph"/>
        <w:numPr>
          <w:ilvl w:val="0"/>
          <w:numId w:val="5"/>
        </w:numPr>
        <w:ind w:left="426"/>
        <w:jc w:val="both"/>
        <w:rPr>
          <w:rFonts w:ascii="Avenir Next" w:hAnsi="Avenir Next" w:cs="Arial"/>
          <w:sz w:val="22"/>
          <w:szCs w:val="22"/>
          <w:highlight w:val="yellow"/>
          <w:lang w:val="en-GB"/>
        </w:rPr>
      </w:pPr>
      <w:r w:rsidRPr="00BF3835">
        <w:rPr>
          <w:rFonts w:ascii="Avenir Next" w:hAnsi="Avenir Next" w:cs="Arial"/>
          <w:sz w:val="22"/>
          <w:szCs w:val="22"/>
          <w:highlight w:val="yellow"/>
          <w:lang w:val="en-GB"/>
        </w:rPr>
        <w:t>Administration</w:t>
      </w:r>
      <w:r w:rsidR="00763348" w:rsidRPr="00BF3835">
        <w:rPr>
          <w:rFonts w:ascii="Avenir Next" w:hAnsi="Avenir Next" w:cs="Arial"/>
          <w:sz w:val="22"/>
          <w:szCs w:val="22"/>
          <w:highlight w:val="yellow"/>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Company Voluntary Arrangement</w:t>
      </w:r>
      <w:r w:rsidR="00763348" w:rsidRPr="00197F24">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provide assistance to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BF3835" w:rsidRDefault="00221444" w:rsidP="00221444">
      <w:pPr>
        <w:pStyle w:val="ListParagraph"/>
        <w:numPr>
          <w:ilvl w:val="0"/>
          <w:numId w:val="6"/>
        </w:numPr>
        <w:ind w:left="426"/>
        <w:jc w:val="both"/>
        <w:rPr>
          <w:rFonts w:ascii="Avenir Next" w:hAnsi="Avenir Next" w:cs="Arial"/>
          <w:sz w:val="22"/>
          <w:szCs w:val="22"/>
          <w:highlight w:val="yellow"/>
          <w:lang w:val="en-GB"/>
        </w:rPr>
      </w:pPr>
      <w:r w:rsidRPr="00BF3835">
        <w:rPr>
          <w:rFonts w:ascii="Avenir Next" w:hAnsi="Avenir Next" w:cs="Arial"/>
          <w:sz w:val="22"/>
          <w:szCs w:val="22"/>
          <w:highlight w:val="yellow"/>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lastRenderedPageBreak/>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in itself, a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Wrongful trading</w:t>
      </w:r>
      <w:r w:rsidR="00763348" w:rsidRPr="00197F24">
        <w:rPr>
          <w:rFonts w:ascii="Avenir Next" w:hAnsi="Avenir Next" w:cs="Arial"/>
          <w:sz w:val="22"/>
          <w:szCs w:val="22"/>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BF3835" w:rsidRDefault="00BA1CFD" w:rsidP="00B04033">
      <w:pPr>
        <w:pStyle w:val="ListParagraph"/>
        <w:numPr>
          <w:ilvl w:val="0"/>
          <w:numId w:val="7"/>
        </w:numPr>
        <w:ind w:left="426"/>
        <w:jc w:val="both"/>
        <w:rPr>
          <w:rFonts w:ascii="Avenir Next" w:hAnsi="Avenir Next" w:cs="Arial"/>
          <w:sz w:val="22"/>
          <w:szCs w:val="22"/>
          <w:highlight w:val="yellow"/>
          <w:lang w:val="en-GB"/>
        </w:rPr>
      </w:pPr>
      <w:r w:rsidRPr="00BF3835">
        <w:rPr>
          <w:rFonts w:ascii="Avenir Next" w:hAnsi="Avenir Next" w:cs="Arial"/>
          <w:sz w:val="22"/>
          <w:szCs w:val="22"/>
          <w:highlight w:val="yellow"/>
          <w:lang w:val="en-GB"/>
        </w:rPr>
        <w:t>Breach of fiduciary duty</w:t>
      </w:r>
      <w:r w:rsidR="00763348" w:rsidRPr="00BF3835">
        <w:rPr>
          <w:rFonts w:ascii="Avenir Next" w:hAnsi="Avenir Next" w:cs="Arial"/>
          <w:sz w:val="22"/>
          <w:szCs w:val="22"/>
          <w:highlight w:val="yellow"/>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overseas</w:t>
      </w:r>
      <w:r w:rsidR="00763348" w:rsidRPr="00197F24">
        <w:rPr>
          <w:rFonts w:ascii="Avenir Next" w:hAnsi="Avenir Next" w:cs="Arial"/>
          <w:sz w:val="22"/>
          <w:szCs w:val="22"/>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BF3835" w:rsidRDefault="00450393" w:rsidP="00450393">
      <w:pPr>
        <w:pStyle w:val="ListParagraph"/>
        <w:numPr>
          <w:ilvl w:val="0"/>
          <w:numId w:val="8"/>
        </w:numPr>
        <w:ind w:left="426"/>
        <w:jc w:val="both"/>
        <w:rPr>
          <w:rFonts w:ascii="Avenir Next" w:hAnsi="Avenir Next" w:cs="Arial"/>
          <w:sz w:val="22"/>
          <w:szCs w:val="22"/>
          <w:highlight w:val="yellow"/>
          <w:lang w:val="en-GB"/>
        </w:rPr>
      </w:pPr>
      <w:r w:rsidRPr="00BF3835">
        <w:rPr>
          <w:rFonts w:ascii="Avenir Next" w:hAnsi="Avenir Next" w:cs="Arial"/>
          <w:sz w:val="22"/>
          <w:szCs w:val="22"/>
          <w:highlight w:val="yellow"/>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197F24" w:rsidRDefault="00E833F4" w:rsidP="00B04033">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0D10C6" w:rsidRPr="00197F24">
        <w:rPr>
          <w:rFonts w:ascii="Avenir Next" w:hAnsi="Avenir Next" w:cs="Arial"/>
          <w:sz w:val="22"/>
          <w:szCs w:val="22"/>
          <w:lang w:val="en-GB"/>
        </w:rPr>
        <w:t>n insolvency officeholder from an EU Member State will be automatically recognised by the courts in the UK whether the officeholder was appointed before or after Brexit.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18CB27BC" w:rsidR="000D10C6"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BF3835" w:rsidRDefault="000D10C6" w:rsidP="00AE5B6F">
      <w:pPr>
        <w:pStyle w:val="ListParagraph"/>
        <w:numPr>
          <w:ilvl w:val="0"/>
          <w:numId w:val="9"/>
        </w:numPr>
        <w:ind w:left="426"/>
        <w:jc w:val="both"/>
        <w:rPr>
          <w:rFonts w:ascii="Avenir Next" w:hAnsi="Avenir Next" w:cs="Arial"/>
          <w:sz w:val="22"/>
          <w:szCs w:val="22"/>
          <w:highlight w:val="yellow"/>
          <w:lang w:val="en-GB"/>
        </w:rPr>
      </w:pPr>
      <w:r w:rsidRPr="00BF3835">
        <w:rPr>
          <w:rFonts w:ascii="Avenir Next" w:hAnsi="Avenir Next" w:cs="Arial"/>
          <w:sz w:val="22"/>
          <w:szCs w:val="22"/>
          <w:highlight w:val="yellow"/>
          <w:lang w:val="en-GB"/>
        </w:rPr>
        <w:t xml:space="preserve">An insolvency officeholder from an EU Member State </w:t>
      </w:r>
      <w:r w:rsidR="00AC317D" w:rsidRPr="00BF3835">
        <w:rPr>
          <w:rFonts w:ascii="Avenir Next" w:hAnsi="Avenir Next" w:cs="Arial"/>
          <w:sz w:val="22"/>
          <w:szCs w:val="22"/>
          <w:highlight w:val="yellow"/>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197F24" w:rsidRDefault="00AC317D"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lastRenderedPageBreak/>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BF3835" w:rsidRDefault="000D4CFA" w:rsidP="004C7A8F">
      <w:pPr>
        <w:pStyle w:val="ListParagraph"/>
        <w:numPr>
          <w:ilvl w:val="0"/>
          <w:numId w:val="10"/>
        </w:numPr>
        <w:ind w:left="426"/>
        <w:jc w:val="both"/>
        <w:rPr>
          <w:rFonts w:ascii="Avenir Next" w:hAnsi="Avenir Next" w:cs="Arial"/>
          <w:sz w:val="22"/>
          <w:szCs w:val="22"/>
          <w:highlight w:val="yellow"/>
          <w:lang w:val="en-GB"/>
        </w:rPr>
      </w:pPr>
      <w:r w:rsidRPr="00BF3835">
        <w:rPr>
          <w:rFonts w:ascii="Avenir Next" w:hAnsi="Avenir Next" w:cs="Arial"/>
          <w:sz w:val="22"/>
          <w:szCs w:val="22"/>
          <w:highlight w:val="yellow"/>
          <w:lang w:val="en-GB"/>
        </w:rPr>
        <w:t>Twelve</w:t>
      </w:r>
      <w:r w:rsidR="004C7A8F" w:rsidRPr="00BF3835">
        <w:rPr>
          <w:rFonts w:ascii="Avenir Next" w:hAnsi="Avenir Next" w:cs="Arial"/>
          <w:sz w:val="22"/>
          <w:szCs w:val="22"/>
          <w:highlight w:val="yellow"/>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xml:space="preserve">)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section 127 of the Insolvency Act 1986</w:t>
      </w:r>
      <w:r w:rsidRPr="006925C1">
        <w:rPr>
          <w:rFonts w:ascii="Avenir Next" w:hAnsi="Avenir Next" w:cs="Arial"/>
          <w:sz w:val="22"/>
          <w:szCs w:val="22"/>
          <w:lang w:val="en-GB"/>
        </w:rPr>
        <w:t>?</w:t>
      </w:r>
    </w:p>
    <w:p w14:paraId="3BBFAC96" w14:textId="77777777" w:rsidR="0020090A" w:rsidRPr="00197F24" w:rsidRDefault="0020090A" w:rsidP="002A37BB">
      <w:pPr>
        <w:ind w:left="720" w:hanging="720"/>
        <w:jc w:val="both"/>
        <w:rPr>
          <w:rFonts w:ascii="Avenir Next" w:hAnsi="Avenir Next" w:cs="Arial"/>
          <w:sz w:val="22"/>
          <w:szCs w:val="22"/>
          <w:lang w:val="en-GB"/>
        </w:rPr>
      </w:pPr>
    </w:p>
    <w:p w14:paraId="22C610C9" w14:textId="65617C42" w:rsidR="00DE03AF" w:rsidRDefault="00BF3835"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relevant persons are: </w:t>
      </w:r>
    </w:p>
    <w:p w14:paraId="6D980EC9" w14:textId="77777777" w:rsidR="00BF3835" w:rsidRDefault="00BF3835" w:rsidP="002A37BB">
      <w:pPr>
        <w:jc w:val="both"/>
        <w:rPr>
          <w:rFonts w:ascii="Avenir Next" w:hAnsi="Avenir Next" w:cs="Arial"/>
          <w:color w:val="7B7B7B" w:themeColor="accent3" w:themeShade="BF"/>
          <w:sz w:val="22"/>
          <w:szCs w:val="22"/>
          <w:lang w:val="en-GB"/>
        </w:rPr>
      </w:pPr>
    </w:p>
    <w:p w14:paraId="20E77F52" w14:textId="0ACF6ECD" w:rsidR="00BF3835" w:rsidRDefault="00BF3835" w:rsidP="00BF3835">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liquidator or administrator, supervisor under voluntary arrangement and/or a person who is entitled to present a winding up petition; </w:t>
      </w:r>
    </w:p>
    <w:p w14:paraId="1D208DA5" w14:textId="3B0FF837" w:rsidR="00BF3835" w:rsidRDefault="00BF3835" w:rsidP="00BF3835">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Secretary of State; </w:t>
      </w:r>
    </w:p>
    <w:p w14:paraId="4158F9A9" w14:textId="74AE3860" w:rsidR="00BF3835" w:rsidRDefault="00BF3835" w:rsidP="00BF3835">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HRMC, the Secretary of State and/or the liquidator, administrator or receiver (as the case may be)</w:t>
      </w:r>
    </w:p>
    <w:p w14:paraId="08248809" w14:textId="2F88314F" w:rsidR="00BF3835" w:rsidRPr="00BF3835" w:rsidRDefault="00BF3835" w:rsidP="00BF3835">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liquidator or administrator, </w:t>
      </w:r>
      <w:r>
        <w:rPr>
          <w:rFonts w:ascii="Avenir Next" w:hAnsi="Avenir Next" w:cs="Arial"/>
          <w:color w:val="7B7B7B" w:themeColor="accent3" w:themeShade="BF"/>
          <w:sz w:val="22"/>
          <w:szCs w:val="22"/>
          <w:lang w:val="en-GB"/>
        </w:rPr>
        <w:t>supervisor under voluntary arrangement and/or a person who is entitled to present a winding up petition</w:t>
      </w:r>
    </w:p>
    <w:p w14:paraId="6DCADDE1" w14:textId="77777777" w:rsidR="00197F24" w:rsidRPr="007E6BD0" w:rsidRDefault="00197F24" w:rsidP="002A37BB">
      <w:pPr>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74FF5947" w14:textId="191A12A0" w:rsidR="00197F24" w:rsidRDefault="00BF3835" w:rsidP="00BF3835">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Debts owed to employees such as wages, or salaries</w:t>
      </w:r>
    </w:p>
    <w:p w14:paraId="4F8756D8" w14:textId="7E9976A9" w:rsidR="00BF3835" w:rsidRDefault="00BF3835" w:rsidP="00BF3835">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Financial services debts or other liabilities</w:t>
      </w:r>
    </w:p>
    <w:p w14:paraId="64373553" w14:textId="09123683" w:rsidR="00BF3835" w:rsidRDefault="00BF3835" w:rsidP="00BF3835">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Payments for good or services supplied during the moratorium period (such as rent)</w:t>
      </w:r>
    </w:p>
    <w:p w14:paraId="1B5D7E75" w14:textId="217B5E14" w:rsidR="00BF3835" w:rsidRDefault="00BF3835" w:rsidP="00BF3835">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Redundancy payments </w:t>
      </w:r>
    </w:p>
    <w:p w14:paraId="485756FC" w14:textId="54EC7693" w:rsidR="00BF3835" w:rsidRPr="00BF3835" w:rsidRDefault="00BF3835" w:rsidP="00BF3835">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Monitor’s remuneration or expenses</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70BECF44" w14:textId="77777777" w:rsidR="0063381C" w:rsidRDefault="0063381C" w:rsidP="002A37BB">
      <w:pPr>
        <w:jc w:val="both"/>
        <w:rPr>
          <w:rFonts w:ascii="Avenir Next" w:hAnsi="Avenir Next" w:cs="Arial"/>
          <w:color w:val="7B7B7B" w:themeColor="accent3" w:themeShade="BF"/>
          <w:sz w:val="22"/>
          <w:szCs w:val="22"/>
          <w:lang w:val="en-GB"/>
        </w:rPr>
      </w:pPr>
    </w:p>
    <w:p w14:paraId="0E39BFEF" w14:textId="7C480DD5" w:rsidR="00BF3835" w:rsidRDefault="00BF3835"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Yes it can. </w:t>
      </w:r>
      <w:r>
        <w:rPr>
          <w:rFonts w:ascii="Avenir Next" w:hAnsi="Avenir Next" w:cs="Arial"/>
          <w:color w:val="7B7B7B" w:themeColor="accent3" w:themeShade="BF"/>
          <w:sz w:val="22"/>
          <w:szCs w:val="22"/>
          <w:lang w:val="en-GB"/>
        </w:rPr>
        <w:t xml:space="preserve">The appointment of an administrator does not automatically terminate a company’s </w:t>
      </w:r>
      <w:r>
        <w:rPr>
          <w:rFonts w:ascii="Avenir Next" w:hAnsi="Avenir Next" w:cs="Arial"/>
          <w:color w:val="7B7B7B" w:themeColor="accent3" w:themeShade="BF"/>
          <w:sz w:val="22"/>
          <w:szCs w:val="22"/>
          <w:lang w:val="en-GB"/>
        </w:rPr>
        <w:t xml:space="preserve">contracts with its suppliers, where the contract does not provide for any automatic termination in the event of administration. Even if such clauses exist in the contract, such clauses may be deemed void for example under section 233B of the 2020 Act. </w:t>
      </w:r>
    </w:p>
    <w:p w14:paraId="547CFF73" w14:textId="77777777" w:rsidR="00BF3835" w:rsidRDefault="00BF3835" w:rsidP="002A37BB">
      <w:pPr>
        <w:jc w:val="both"/>
        <w:rPr>
          <w:rFonts w:ascii="Avenir Next" w:hAnsi="Avenir Next" w:cs="Arial"/>
          <w:color w:val="7B7B7B" w:themeColor="accent3" w:themeShade="BF"/>
          <w:sz w:val="22"/>
          <w:szCs w:val="22"/>
          <w:lang w:val="en-GB"/>
        </w:rPr>
      </w:pPr>
    </w:p>
    <w:p w14:paraId="2922D83C" w14:textId="38CE4B71" w:rsidR="00BF3835" w:rsidRDefault="00BF3835"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However, this is subject to the suppliers making an application to the court and/or the company making an application to the court for such contracts for the supply of goods and services to be terminated, and where the Court grants such termination on the basis that the continuation of the contract would cause the supplier hardship. </w:t>
      </w:r>
    </w:p>
    <w:p w14:paraId="3AD240FA" w14:textId="77777777" w:rsidR="00BF3835" w:rsidRDefault="00BF3835" w:rsidP="002A37BB">
      <w:pPr>
        <w:jc w:val="both"/>
        <w:rPr>
          <w:rFonts w:ascii="Avenir Next" w:hAnsi="Avenir Next" w:cs="Arial"/>
          <w:color w:val="7B7B7B" w:themeColor="accent3" w:themeShade="BF"/>
          <w:sz w:val="22"/>
          <w:szCs w:val="22"/>
          <w:lang w:val="en-GB"/>
        </w:rPr>
      </w:pPr>
    </w:p>
    <w:p w14:paraId="1D7ECB1C" w14:textId="10595F76" w:rsidR="00BF3835" w:rsidRPr="00BF3835" w:rsidRDefault="00BF3835"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The administrator must also be prepared that the suppliers may require, and can require, that the administer </w:t>
      </w:r>
      <w:r>
        <w:rPr>
          <w:rFonts w:ascii="Avenir Next" w:hAnsi="Avenir Next" w:cs="Arial"/>
          <w:i/>
          <w:iCs/>
          <w:color w:val="7B7B7B" w:themeColor="accent3" w:themeShade="BF"/>
          <w:sz w:val="22"/>
          <w:szCs w:val="22"/>
          <w:lang w:val="en-GB"/>
        </w:rPr>
        <w:t>personally guarantee</w:t>
      </w:r>
      <w:r>
        <w:rPr>
          <w:rFonts w:ascii="Avenir Next" w:hAnsi="Avenir Next" w:cs="Arial"/>
          <w:color w:val="7B7B7B" w:themeColor="accent3" w:themeShade="BF"/>
          <w:sz w:val="22"/>
          <w:szCs w:val="22"/>
          <w:lang w:val="en-GB"/>
        </w:rPr>
        <w:t xml:space="preserve"> the payment of their fees for continued supply of goods and services. </w:t>
      </w:r>
    </w:p>
    <w:p w14:paraId="47E01346" w14:textId="77777777" w:rsidR="00BF3835" w:rsidRDefault="00BF3835" w:rsidP="002A37BB">
      <w:pPr>
        <w:jc w:val="both"/>
        <w:rPr>
          <w:rFonts w:ascii="Avenir Next" w:hAnsi="Avenir Next" w:cs="Arial"/>
          <w:color w:val="7B7B7B" w:themeColor="accent3" w:themeShade="BF"/>
          <w:sz w:val="22"/>
          <w:szCs w:val="22"/>
          <w:lang w:val="en-GB"/>
        </w:rPr>
      </w:pPr>
    </w:p>
    <w:p w14:paraId="73662F41" w14:textId="77777777" w:rsidR="00BF3835" w:rsidRPr="006925C1" w:rsidRDefault="00BF3835"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2D76528D" w14:textId="7014B2C5" w:rsidR="00197F24" w:rsidRDefault="00BF3835"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Holders of fixed charges have priority of payment, followed by the expenses of the liquidation such as the office-holder’s remuneration, followed by preferential creditors and unsecured creditors. </w:t>
      </w:r>
    </w:p>
    <w:p w14:paraId="5F9703CA" w14:textId="77777777" w:rsidR="00BF3835" w:rsidRDefault="00BF3835" w:rsidP="00197F24">
      <w:pPr>
        <w:jc w:val="both"/>
        <w:rPr>
          <w:rFonts w:ascii="Avenir Next" w:hAnsi="Avenir Next" w:cs="Arial"/>
          <w:color w:val="7B7B7B" w:themeColor="accent3" w:themeShade="BF"/>
          <w:sz w:val="22"/>
          <w:szCs w:val="22"/>
          <w:lang w:val="en-GB"/>
        </w:rPr>
      </w:pPr>
    </w:p>
    <w:p w14:paraId="2D26E092" w14:textId="0DE0BFAC" w:rsidR="00BF3835" w:rsidRDefault="00BF3835"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shareholders will be paid last, only if there is any surplus left after paying the above creditors. </w:t>
      </w:r>
    </w:p>
    <w:p w14:paraId="04D675CC" w14:textId="77777777" w:rsidR="00BF3835" w:rsidRDefault="00BF3835" w:rsidP="00197F24">
      <w:pPr>
        <w:jc w:val="both"/>
        <w:rPr>
          <w:rFonts w:ascii="Avenir Next" w:hAnsi="Avenir Next" w:cs="Arial"/>
          <w:color w:val="7B7B7B" w:themeColor="accent3" w:themeShade="BF"/>
          <w:sz w:val="22"/>
          <w:szCs w:val="22"/>
          <w:lang w:val="en-GB"/>
        </w:rPr>
      </w:pPr>
    </w:p>
    <w:p w14:paraId="52270DCB" w14:textId="5C59E007" w:rsidR="00BF3835" w:rsidRDefault="00BF3835"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the company had been subject to a moratorium, then the priority of payment would be: </w:t>
      </w:r>
    </w:p>
    <w:p w14:paraId="0113D78A" w14:textId="5EF6DFA4" w:rsidR="00BF3835" w:rsidRDefault="00BF3835" w:rsidP="00BF3835">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First, to the creditors who were owed debts falling outside of the payment holiday, such as employees who are owed remuneration, and financial service providers;</w:t>
      </w:r>
    </w:p>
    <w:p w14:paraId="3A8C3CD6" w14:textId="41690214" w:rsidR="00BF3835" w:rsidRDefault="00BF3835" w:rsidP="00BF3835">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Second, the office-holder’s fees and expenses; </w:t>
      </w:r>
    </w:p>
    <w:p w14:paraId="2B5C9451" w14:textId="4EA65EF9" w:rsidR="00BF3835" w:rsidRPr="00BF3835" w:rsidRDefault="00BF3835" w:rsidP="00BF3835">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Lastly the shareholders. </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6925C1" w:rsidRDefault="00880059" w:rsidP="00880059">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in order to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Limited (the Company), granted a debenture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 The debenture contained a floating charge over the whole of the Company’s undertaking.</w:t>
      </w:r>
    </w:p>
    <w:p w14:paraId="7ACCFAD5"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r w:rsidRPr="006925C1">
        <w:rPr>
          <w:rFonts w:ascii="Avenir Next" w:hAnsi="Avenir Next" w:cs="Arial"/>
          <w:sz w:val="22"/>
          <w:szCs w:val="22"/>
        </w:rPr>
        <w:t>.</w:t>
      </w:r>
    </w:p>
    <w:p w14:paraId="697A1EA7"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r w:rsidR="0002443E">
        <w:rPr>
          <w:rFonts w:ascii="Avenir Next" w:hAnsi="Avenir Next" w:cs="Arial"/>
          <w:sz w:val="22"/>
          <w:szCs w:val="22"/>
        </w:rPr>
        <w:t xml:space="preserve">laser </w:t>
      </w:r>
      <w:r w:rsidR="0002443E" w:rsidRPr="006925C1">
        <w:rPr>
          <w:rFonts w:ascii="Avenir Next" w:hAnsi="Avenir Next" w:cs="Arial"/>
          <w:sz w:val="22"/>
          <w:szCs w:val="22"/>
        </w:rPr>
        <w:t>cutting</w:t>
      </w:r>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had been bought for </w:t>
      </w:r>
      <w:r>
        <w:rPr>
          <w:rFonts w:ascii="Avenir Next" w:hAnsi="Avenir Next" w:cs="Arial"/>
          <w:sz w:val="22"/>
          <w:szCs w:val="22"/>
        </w:rPr>
        <w:t>GBP 100</w:t>
      </w:r>
      <w:r w:rsidRPr="006925C1">
        <w:rPr>
          <w:rFonts w:ascii="Avenir Next" w:hAnsi="Avenir Next" w:cs="Arial"/>
          <w:sz w:val="22"/>
          <w:szCs w:val="22"/>
        </w:rPr>
        <w:t>,000 a year before.</w:t>
      </w:r>
    </w:p>
    <w:p w14:paraId="73BF88A9"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 xml:space="preserve">Aluminium </w:t>
      </w:r>
      <w:proofErr w:type="spellStart"/>
      <w:r>
        <w:rPr>
          <w:rFonts w:ascii="Avenir Next" w:hAnsi="Avenir Next" w:cs="Arial"/>
          <w:sz w:val="22"/>
          <w:szCs w:val="22"/>
          <w:lang w:val="en-GB"/>
        </w:rPr>
        <w:t>Alumini</w:t>
      </w:r>
      <w:proofErr w:type="spellEnd"/>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lastRenderedPageBreak/>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sidR="00A14496">
        <w:rPr>
          <w:rFonts w:ascii="Avenir Next" w:hAnsi="Avenir Next" w:cs="Arial"/>
          <w:sz w:val="22"/>
          <w:szCs w:val="22"/>
        </w:rPr>
        <w:t>Ambitus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275346FA" w14:textId="359C6B0C" w:rsidR="00BF3835" w:rsidRDefault="00BF3835" w:rsidP="00BF383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liquidator </w:t>
      </w:r>
      <w:r>
        <w:rPr>
          <w:rFonts w:ascii="Avenir Next" w:hAnsi="Avenir Next" w:cs="Arial"/>
          <w:color w:val="7B7B7B" w:themeColor="accent3" w:themeShade="BF"/>
          <w:sz w:val="22"/>
          <w:szCs w:val="22"/>
          <w:lang w:val="en-GB"/>
        </w:rPr>
        <w:t>can</w:t>
      </w:r>
      <w:r>
        <w:rPr>
          <w:rFonts w:ascii="Avenir Next" w:hAnsi="Avenir Next" w:cs="Arial"/>
          <w:color w:val="7B7B7B" w:themeColor="accent3" w:themeShade="BF"/>
          <w:sz w:val="22"/>
          <w:szCs w:val="22"/>
          <w:lang w:val="en-GB"/>
        </w:rPr>
        <w:t xml:space="preserve"> challenge the validity of the above floating charge</w:t>
      </w:r>
      <w:r>
        <w:rPr>
          <w:rFonts w:ascii="Avenir Next" w:hAnsi="Avenir Next" w:cs="Arial"/>
          <w:color w:val="7B7B7B" w:themeColor="accent3" w:themeShade="BF"/>
          <w:sz w:val="22"/>
          <w:szCs w:val="22"/>
          <w:lang w:val="en-GB"/>
        </w:rPr>
        <w:t xml:space="preserve"> pursuant to</w:t>
      </w:r>
      <w:r>
        <w:rPr>
          <w:rFonts w:ascii="Avenir Next" w:hAnsi="Avenir Next" w:cs="Arial"/>
          <w:color w:val="7B7B7B" w:themeColor="accent3" w:themeShade="BF"/>
          <w:sz w:val="22"/>
          <w:szCs w:val="22"/>
          <w:lang w:val="en-GB"/>
        </w:rPr>
        <w:t xml:space="preserve"> Section 245 of the Insolvency Act 1986</w:t>
      </w:r>
      <w:r>
        <w:rPr>
          <w:rFonts w:ascii="Avenir Next" w:hAnsi="Avenir Next" w:cs="Arial"/>
          <w:color w:val="7B7B7B" w:themeColor="accent3" w:themeShade="BF"/>
          <w:sz w:val="22"/>
          <w:szCs w:val="22"/>
          <w:lang w:val="en-GB"/>
        </w:rPr>
        <w:t xml:space="preserve"> which provides that </w:t>
      </w:r>
      <w:r>
        <w:rPr>
          <w:rFonts w:ascii="Avenir Next" w:hAnsi="Avenir Next" w:cs="Arial"/>
          <w:color w:val="7B7B7B" w:themeColor="accent3" w:themeShade="BF"/>
          <w:sz w:val="22"/>
          <w:szCs w:val="22"/>
          <w:lang w:val="en-GB"/>
        </w:rPr>
        <w:t xml:space="preserve">floating charges given by a company at a relevant time (being either 12 months </w:t>
      </w:r>
      <w:r>
        <w:rPr>
          <w:rFonts w:ascii="Avenir Next" w:hAnsi="Avenir Next" w:cs="Arial"/>
          <w:color w:val="7B7B7B" w:themeColor="accent3" w:themeShade="BF"/>
          <w:sz w:val="22"/>
          <w:szCs w:val="22"/>
          <w:lang w:val="en-GB"/>
        </w:rPr>
        <w:t xml:space="preserve">(for unconnected persons) </w:t>
      </w:r>
      <w:r>
        <w:rPr>
          <w:rFonts w:ascii="Avenir Next" w:hAnsi="Avenir Next" w:cs="Arial"/>
          <w:color w:val="7B7B7B" w:themeColor="accent3" w:themeShade="BF"/>
          <w:sz w:val="22"/>
          <w:szCs w:val="22"/>
          <w:lang w:val="en-GB"/>
        </w:rPr>
        <w:t xml:space="preserve">or 2 years </w:t>
      </w:r>
      <w:r>
        <w:rPr>
          <w:rFonts w:ascii="Avenir Next" w:hAnsi="Avenir Next" w:cs="Arial"/>
          <w:color w:val="7B7B7B" w:themeColor="accent3" w:themeShade="BF"/>
          <w:sz w:val="22"/>
          <w:szCs w:val="22"/>
          <w:lang w:val="en-GB"/>
        </w:rPr>
        <w:t xml:space="preserve">(for connected persons) </w:t>
      </w:r>
      <w:r>
        <w:rPr>
          <w:rFonts w:ascii="Avenir Next" w:hAnsi="Avenir Next" w:cs="Arial"/>
          <w:color w:val="7B7B7B" w:themeColor="accent3" w:themeShade="BF"/>
          <w:sz w:val="22"/>
          <w:szCs w:val="22"/>
          <w:lang w:val="en-GB"/>
        </w:rPr>
        <w:t xml:space="preserve">prior to </w:t>
      </w:r>
      <w:r>
        <w:rPr>
          <w:rFonts w:ascii="Avenir Next" w:hAnsi="Avenir Next" w:cs="Arial"/>
          <w:color w:val="7B7B7B" w:themeColor="accent3" w:themeShade="BF"/>
          <w:sz w:val="22"/>
          <w:szCs w:val="22"/>
          <w:lang w:val="en-GB"/>
        </w:rPr>
        <w:t>insolvency is invalid</w:t>
      </w:r>
      <w:r>
        <w:rPr>
          <w:rFonts w:ascii="Avenir Next" w:hAnsi="Avenir Next" w:cs="Arial"/>
          <w:color w:val="7B7B7B" w:themeColor="accent3" w:themeShade="BF"/>
          <w:sz w:val="22"/>
          <w:szCs w:val="22"/>
          <w:lang w:val="en-GB"/>
        </w:rPr>
        <w:t xml:space="preserve">. </w:t>
      </w:r>
    </w:p>
    <w:p w14:paraId="40D6B8D1" w14:textId="77777777" w:rsidR="00BF3835" w:rsidRDefault="00BF3835" w:rsidP="00BF3835">
      <w:pPr>
        <w:jc w:val="both"/>
        <w:rPr>
          <w:rFonts w:ascii="Avenir Next" w:hAnsi="Avenir Next" w:cs="Arial"/>
          <w:color w:val="7B7B7B" w:themeColor="accent3" w:themeShade="BF"/>
          <w:sz w:val="22"/>
          <w:szCs w:val="22"/>
          <w:lang w:val="en-GB"/>
        </w:rPr>
      </w:pPr>
    </w:p>
    <w:p w14:paraId="01C31F42" w14:textId="0242479D" w:rsidR="00BF3835" w:rsidRDefault="00BF3835" w:rsidP="00BF383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bank would be considered an unconnected person, which means that the 12-month period applies. </w:t>
      </w:r>
    </w:p>
    <w:p w14:paraId="792ACF59" w14:textId="77777777" w:rsidR="00BF3835" w:rsidRDefault="00BF3835" w:rsidP="00BF3835">
      <w:pPr>
        <w:jc w:val="both"/>
        <w:rPr>
          <w:rFonts w:ascii="Avenir Next" w:hAnsi="Avenir Next" w:cs="Arial"/>
          <w:color w:val="7B7B7B" w:themeColor="accent3" w:themeShade="BF"/>
          <w:sz w:val="22"/>
          <w:szCs w:val="22"/>
          <w:lang w:val="en-GB"/>
        </w:rPr>
      </w:pPr>
    </w:p>
    <w:p w14:paraId="087CF528" w14:textId="0F71C42B" w:rsidR="00BF3835" w:rsidRDefault="00BF3835" w:rsidP="00BF383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floating charge falls within that 12-month period as the company was insolvent (within the meaning of s 123 of the Act) arguably from January 2023 as it already was facing cash flow problems. At the latest, it was insolvent by June 2023 as it faced demands from banks for repayment of its loans. </w:t>
      </w:r>
      <w:r>
        <w:rPr>
          <w:rFonts w:ascii="Avenir Next" w:hAnsi="Avenir Next" w:cs="Arial"/>
          <w:color w:val="7B7B7B" w:themeColor="accent3" w:themeShade="BF"/>
          <w:sz w:val="22"/>
          <w:szCs w:val="22"/>
          <w:lang w:val="en-GB"/>
        </w:rPr>
        <w:t xml:space="preserve"> </w:t>
      </w:r>
    </w:p>
    <w:p w14:paraId="3CD5C118" w14:textId="77777777" w:rsidR="00BF3835" w:rsidRDefault="00BF3835" w:rsidP="00BF3835">
      <w:pPr>
        <w:jc w:val="both"/>
        <w:rPr>
          <w:rFonts w:ascii="Avenir Next" w:hAnsi="Avenir Next" w:cs="Arial"/>
          <w:color w:val="7B7B7B" w:themeColor="accent3" w:themeShade="BF"/>
          <w:sz w:val="22"/>
          <w:szCs w:val="22"/>
          <w:lang w:val="en-GB"/>
        </w:rPr>
      </w:pP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2048FCA2" w14:textId="7570C3D8" w:rsidR="00197F24" w:rsidRDefault="00C51940"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liquidator may seek to set aside the sale of the laser cutting machines as an undervalue transaction within s 238 of the Insolvency Act 1986.</w:t>
      </w:r>
    </w:p>
    <w:p w14:paraId="0CAD6DF2" w14:textId="77777777" w:rsidR="00C51940" w:rsidRDefault="00C51940" w:rsidP="00197F24">
      <w:pPr>
        <w:jc w:val="both"/>
        <w:rPr>
          <w:rFonts w:ascii="Avenir Next" w:hAnsi="Avenir Next" w:cs="Arial"/>
          <w:color w:val="7B7B7B" w:themeColor="accent3" w:themeShade="BF"/>
          <w:sz w:val="22"/>
          <w:szCs w:val="22"/>
          <w:lang w:val="en-GB"/>
        </w:rPr>
      </w:pPr>
    </w:p>
    <w:p w14:paraId="107286AB" w14:textId="7981A12F" w:rsidR="00C51940" w:rsidRDefault="00C51940"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First, there is a presumption that the company is insolvent where the transaction is to a connected person such as a director of a company. </w:t>
      </w:r>
    </w:p>
    <w:p w14:paraId="21B1DF7B" w14:textId="77777777" w:rsidR="00C51940" w:rsidRDefault="00C51940" w:rsidP="00197F24">
      <w:pPr>
        <w:jc w:val="both"/>
        <w:rPr>
          <w:rFonts w:ascii="Avenir Next" w:hAnsi="Avenir Next" w:cs="Arial"/>
          <w:color w:val="7B7B7B" w:themeColor="accent3" w:themeShade="BF"/>
          <w:sz w:val="22"/>
          <w:szCs w:val="22"/>
          <w:lang w:val="en-GB"/>
        </w:rPr>
      </w:pPr>
    </w:p>
    <w:p w14:paraId="63625317" w14:textId="35718E0E" w:rsidR="00C51940" w:rsidRDefault="00C51940"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Second, it can show that the transaction was at an undervalue as it was sold at less than 50% of its initial purchase price, when the machines had only been bought one year prior (which would unlikely cause a more than 50% depreciation), and that it was sold less than two years prior to the commencement of the liquidation. </w:t>
      </w:r>
    </w:p>
    <w:p w14:paraId="16F09390" w14:textId="77777777" w:rsidR="00C51940" w:rsidRDefault="00C51940" w:rsidP="00197F24">
      <w:pPr>
        <w:jc w:val="both"/>
        <w:rPr>
          <w:rFonts w:ascii="Avenir Next" w:hAnsi="Avenir Next" w:cs="Arial"/>
          <w:color w:val="7B7B7B" w:themeColor="accent3" w:themeShade="BF"/>
          <w:sz w:val="22"/>
          <w:szCs w:val="22"/>
          <w:lang w:val="en-GB"/>
        </w:rPr>
      </w:pPr>
    </w:p>
    <w:p w14:paraId="55D88824" w14:textId="5F5C23F9" w:rsidR="00C51940" w:rsidRPr="00197F24" w:rsidRDefault="00C51940"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However, if the director can show that the transaction was entered into in good faith and for the purposes of carrying on the company’s businesses so as to benefit the company, then the Court may exercise its discretion not to set aside the transaction.</w:t>
      </w:r>
    </w:p>
    <w:p w14:paraId="070ABF9B" w14:textId="2883A4C1" w:rsidR="007E2919" w:rsidRPr="006925C1" w:rsidRDefault="007E2919" w:rsidP="007E2919">
      <w:pPr>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proofErr w:type="spellStart"/>
      <w:r w:rsidR="00BF6641">
        <w:rPr>
          <w:rFonts w:ascii="Avenir Next" w:hAnsi="Avenir Next" w:cs="Arial"/>
          <w:sz w:val="22"/>
          <w:szCs w:val="22"/>
        </w:rPr>
        <w:t>Aluminium</w:t>
      </w:r>
      <w:proofErr w:type="spellEnd"/>
      <w:r w:rsidR="00BF6641">
        <w:rPr>
          <w:rFonts w:ascii="Avenir Next" w:hAnsi="Avenir Next" w:cs="Arial"/>
          <w:sz w:val="22"/>
          <w:szCs w:val="22"/>
        </w:rPr>
        <w:t xml:space="preserve"> </w:t>
      </w:r>
      <w:proofErr w:type="spellStart"/>
      <w:r w:rsidR="00BF6641">
        <w:rPr>
          <w:rFonts w:ascii="Avenir Next" w:hAnsi="Avenir Next" w:cs="Arial"/>
          <w:sz w:val="22"/>
          <w:szCs w:val="22"/>
        </w:rPr>
        <w:t>Alumini</w:t>
      </w:r>
      <w:proofErr w:type="spellEnd"/>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5AB3225B" w14:textId="42765341" w:rsidR="00CF3708" w:rsidRDefault="00C51940"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liquidator may clawback the payments to Aluminium Alumni (“AA”) under section 239 of the Insolvency Act 1986 on the basis that they were preferential payments. </w:t>
      </w:r>
    </w:p>
    <w:p w14:paraId="5E57479F" w14:textId="77777777" w:rsidR="00C51940" w:rsidRDefault="00C51940" w:rsidP="00CF3708">
      <w:pPr>
        <w:jc w:val="both"/>
        <w:rPr>
          <w:rFonts w:ascii="Avenir Next" w:hAnsi="Avenir Next" w:cs="Arial"/>
          <w:color w:val="7B7B7B" w:themeColor="accent3" w:themeShade="BF"/>
          <w:sz w:val="22"/>
          <w:szCs w:val="22"/>
          <w:lang w:val="en-GB"/>
        </w:rPr>
      </w:pPr>
    </w:p>
    <w:p w14:paraId="63E87FAF" w14:textId="6BBBC113" w:rsidR="00C51940" w:rsidRDefault="00C51940"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reason is that the payments were made at a time when the company was facing clear cash flow problems, and was made within the 6 month period prior to liquidation.</w:t>
      </w:r>
    </w:p>
    <w:p w14:paraId="1638A60D" w14:textId="77777777" w:rsidR="00C51940" w:rsidRDefault="00C51940" w:rsidP="00CF3708">
      <w:pPr>
        <w:jc w:val="both"/>
        <w:rPr>
          <w:rFonts w:ascii="Avenir Next" w:hAnsi="Avenir Next" w:cs="Arial"/>
          <w:color w:val="7B7B7B" w:themeColor="accent3" w:themeShade="BF"/>
          <w:sz w:val="22"/>
          <w:szCs w:val="22"/>
          <w:lang w:val="en-GB"/>
        </w:rPr>
      </w:pPr>
    </w:p>
    <w:p w14:paraId="3B3598A6" w14:textId="2460A977" w:rsidR="00C51940" w:rsidRDefault="00C51940"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taking this approach, the liquidator must first show that the payments to AA had the effect of putting AA in a better position than it would have been had the payments not been made, in the event that the company went into liquidation. As AA was an unsecured creditor, in the event of a liquidation, it would have been paid only </w:t>
      </w:r>
      <w:r>
        <w:rPr>
          <w:rFonts w:ascii="Avenir Next" w:hAnsi="Avenir Next" w:cs="Arial"/>
          <w:i/>
          <w:iCs/>
          <w:color w:val="7B7B7B" w:themeColor="accent3" w:themeShade="BF"/>
          <w:sz w:val="22"/>
          <w:szCs w:val="22"/>
          <w:lang w:val="en-GB"/>
        </w:rPr>
        <w:t>after</w:t>
      </w:r>
      <w:r>
        <w:rPr>
          <w:rFonts w:ascii="Avenir Next" w:hAnsi="Avenir Next" w:cs="Arial"/>
          <w:color w:val="7B7B7B" w:themeColor="accent3" w:themeShade="BF"/>
          <w:sz w:val="22"/>
          <w:szCs w:val="22"/>
          <w:lang w:val="en-GB"/>
        </w:rPr>
        <w:t xml:space="preserve"> secured creditors had been paid. There are therefore good grounds for the liquidator to prove this. </w:t>
      </w:r>
    </w:p>
    <w:p w14:paraId="01577D4B" w14:textId="77777777" w:rsidR="00C51940" w:rsidRDefault="00C51940" w:rsidP="00CF3708">
      <w:pPr>
        <w:jc w:val="both"/>
        <w:rPr>
          <w:rFonts w:ascii="Avenir Next" w:hAnsi="Avenir Next" w:cs="Arial"/>
          <w:color w:val="7B7B7B" w:themeColor="accent3" w:themeShade="BF"/>
          <w:sz w:val="22"/>
          <w:szCs w:val="22"/>
          <w:lang w:val="en-GB"/>
        </w:rPr>
      </w:pPr>
    </w:p>
    <w:p w14:paraId="67106FEA" w14:textId="7B804C1B" w:rsidR="00C51940" w:rsidRDefault="00C51940"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Second, the liquidator must show that the company, in making the payments was influenced by a desire to prefer AA, i.e. place AA in a better position than it would have been in the event of liquidation. </w:t>
      </w:r>
    </w:p>
    <w:p w14:paraId="5B687236" w14:textId="77777777" w:rsidR="00C51940" w:rsidRDefault="00C51940" w:rsidP="00CF3708">
      <w:pPr>
        <w:jc w:val="both"/>
        <w:rPr>
          <w:rFonts w:ascii="Avenir Next" w:hAnsi="Avenir Next" w:cs="Arial"/>
          <w:color w:val="7B7B7B" w:themeColor="accent3" w:themeShade="BF"/>
          <w:sz w:val="22"/>
          <w:szCs w:val="22"/>
          <w:lang w:val="en-GB"/>
        </w:rPr>
      </w:pPr>
    </w:p>
    <w:p w14:paraId="0103D721" w14:textId="6CEB85D7" w:rsidR="00C51940" w:rsidRPr="003D35F4" w:rsidRDefault="00C51940"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 AA is not a “connected” person, there is no presumption of a desire to prefer. The burden is therefore on the liquidator to prove this desire to prefer. The liquidator must show that </w:t>
      </w:r>
      <w:r w:rsidR="003D35F4">
        <w:rPr>
          <w:rFonts w:ascii="Avenir Next" w:hAnsi="Avenir Next" w:cs="Arial"/>
          <w:color w:val="7B7B7B" w:themeColor="accent3" w:themeShade="BF"/>
          <w:sz w:val="22"/>
          <w:szCs w:val="22"/>
          <w:lang w:val="en-GB"/>
        </w:rPr>
        <w:t xml:space="preserve">it was the primary reason for the payment, which may be difficult as the company/its directors may show that its primary reason was that it was influenced by legitimate commercial reasons, i.e. that AA was a key supplier and it was necessary to pay AA to ensure the company’s continued viability and/or operations, such as the arguments made in the case of </w:t>
      </w:r>
      <w:r w:rsidR="003D35F4">
        <w:rPr>
          <w:rFonts w:ascii="Avenir Next" w:hAnsi="Avenir Next" w:cs="Arial"/>
          <w:i/>
          <w:iCs/>
          <w:color w:val="7B7B7B" w:themeColor="accent3" w:themeShade="BF"/>
          <w:sz w:val="22"/>
          <w:szCs w:val="22"/>
          <w:lang w:val="en-GB"/>
        </w:rPr>
        <w:t>Re MC Bacon Ltd</w:t>
      </w:r>
      <w:r w:rsidR="003D35F4">
        <w:rPr>
          <w:rFonts w:ascii="Avenir Next" w:hAnsi="Avenir Next" w:cs="Arial"/>
          <w:color w:val="7B7B7B" w:themeColor="accent3" w:themeShade="BF"/>
          <w:sz w:val="22"/>
          <w:szCs w:val="22"/>
          <w:lang w:val="en-GB"/>
        </w:rPr>
        <w:t xml:space="preserve">. </w:t>
      </w:r>
    </w:p>
    <w:p w14:paraId="1B5E2F08" w14:textId="43AA2127" w:rsidR="002D3473" w:rsidRPr="006925C1" w:rsidRDefault="002D3473" w:rsidP="00087F21">
      <w:pPr>
        <w:autoSpaceDE w:val="0"/>
        <w:autoSpaceDN w:val="0"/>
        <w:adjustRightInd w:val="0"/>
        <w:jc w:val="both"/>
        <w:rPr>
          <w:rFonts w:ascii="Avenir Next" w:hAnsi="Avenir Next" w:cs="Arial"/>
          <w:sz w:val="22"/>
          <w:szCs w:val="22"/>
          <w:lang w:val="en-GB"/>
        </w:rPr>
      </w:pP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E7D27" w14:textId="77777777" w:rsidR="002C4A85" w:rsidRDefault="002C4A85" w:rsidP="00241B44">
      <w:r>
        <w:separator/>
      </w:r>
    </w:p>
  </w:endnote>
  <w:endnote w:type="continuationSeparator" w:id="0">
    <w:p w14:paraId="7C6C5C36" w14:textId="77777777" w:rsidR="002C4A85" w:rsidRDefault="002C4A8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24DD54E4" w:rsidR="00241FA3" w:rsidRPr="00A84235" w:rsidRDefault="00BF3835" w:rsidP="009B4976">
    <w:pPr>
      <w:pStyle w:val="Footer"/>
      <w:ind w:right="360"/>
      <w:rPr>
        <w:rFonts w:ascii="Avenir Next" w:hAnsi="Avenir Next" w:cs="Arial"/>
        <w:sz w:val="22"/>
        <w:szCs w:val="22"/>
        <w:lang w:val="en-GB"/>
      </w:rPr>
    </w:pPr>
    <w:r>
      <w:t>FC202324-1458</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7F2A3" w14:textId="77777777" w:rsidR="002C4A85" w:rsidRDefault="002C4A85" w:rsidP="00241B44">
      <w:r>
        <w:separator/>
      </w:r>
    </w:p>
  </w:footnote>
  <w:footnote w:type="continuationSeparator" w:id="0">
    <w:p w14:paraId="322AA2F4" w14:textId="77777777" w:rsidR="002C4A85" w:rsidRDefault="002C4A8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8408E8"/>
    <w:multiLevelType w:val="hybridMultilevel"/>
    <w:tmpl w:val="2438C63A"/>
    <w:lvl w:ilvl="0" w:tplc="63B6B16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B3644D"/>
    <w:multiLevelType w:val="hybridMultilevel"/>
    <w:tmpl w:val="1ADE298C"/>
    <w:lvl w:ilvl="0" w:tplc="7608808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5"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6F40B0"/>
    <w:multiLevelType w:val="hybridMultilevel"/>
    <w:tmpl w:val="0F86D9BC"/>
    <w:lvl w:ilvl="0" w:tplc="35B26B5C">
      <w:start w:val="1"/>
      <w:numFmt w:val="bullet"/>
      <w:lvlText w:val="-"/>
      <w:lvlJc w:val="left"/>
      <w:pPr>
        <w:ind w:left="720" w:hanging="360"/>
      </w:pPr>
      <w:rPr>
        <w:rFonts w:ascii="Avenir Next" w:eastAsia="Times New Roman" w:hAnsi="Avenir Next"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8630697">
    <w:abstractNumId w:val="4"/>
  </w:num>
  <w:num w:numId="2" w16cid:durableId="1279876417">
    <w:abstractNumId w:val="1"/>
  </w:num>
  <w:num w:numId="3" w16cid:durableId="100541089">
    <w:abstractNumId w:val="0"/>
  </w:num>
  <w:num w:numId="4" w16cid:durableId="14042412">
    <w:abstractNumId w:val="9"/>
  </w:num>
  <w:num w:numId="5" w16cid:durableId="1338728706">
    <w:abstractNumId w:val="12"/>
  </w:num>
  <w:num w:numId="6" w16cid:durableId="376245857">
    <w:abstractNumId w:val="2"/>
  </w:num>
  <w:num w:numId="7" w16cid:durableId="1396392877">
    <w:abstractNumId w:val="13"/>
  </w:num>
  <w:num w:numId="8" w16cid:durableId="1599950421">
    <w:abstractNumId w:val="18"/>
  </w:num>
  <w:num w:numId="9" w16cid:durableId="858857530">
    <w:abstractNumId w:val="10"/>
  </w:num>
  <w:num w:numId="10" w16cid:durableId="619802517">
    <w:abstractNumId w:val="19"/>
  </w:num>
  <w:num w:numId="11" w16cid:durableId="1831171333">
    <w:abstractNumId w:val="7"/>
  </w:num>
  <w:num w:numId="12" w16cid:durableId="84155222">
    <w:abstractNumId w:val="15"/>
  </w:num>
  <w:num w:numId="13" w16cid:durableId="1163352382">
    <w:abstractNumId w:val="11"/>
  </w:num>
  <w:num w:numId="14" w16cid:durableId="19356955">
    <w:abstractNumId w:val="5"/>
  </w:num>
  <w:num w:numId="15" w16cid:durableId="439304345">
    <w:abstractNumId w:val="14"/>
  </w:num>
  <w:num w:numId="16" w16cid:durableId="1126969584">
    <w:abstractNumId w:val="17"/>
  </w:num>
  <w:num w:numId="17" w16cid:durableId="1710716489">
    <w:abstractNumId w:val="8"/>
  </w:num>
  <w:num w:numId="18" w16cid:durableId="1107315941">
    <w:abstractNumId w:val="6"/>
  </w:num>
  <w:num w:numId="19" w16cid:durableId="1103380354">
    <w:abstractNumId w:val="3"/>
  </w:num>
  <w:num w:numId="20" w16cid:durableId="1451583235">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443E"/>
    <w:rsid w:val="000250C7"/>
    <w:rsid w:val="00026F16"/>
    <w:rsid w:val="00037621"/>
    <w:rsid w:val="0004444C"/>
    <w:rsid w:val="00044D46"/>
    <w:rsid w:val="00045088"/>
    <w:rsid w:val="00045904"/>
    <w:rsid w:val="000502FD"/>
    <w:rsid w:val="00065166"/>
    <w:rsid w:val="00082609"/>
    <w:rsid w:val="000851CC"/>
    <w:rsid w:val="00086C55"/>
    <w:rsid w:val="00087F21"/>
    <w:rsid w:val="00093BE8"/>
    <w:rsid w:val="000A407B"/>
    <w:rsid w:val="000A68ED"/>
    <w:rsid w:val="000B5FF1"/>
    <w:rsid w:val="000B609F"/>
    <w:rsid w:val="000D10C6"/>
    <w:rsid w:val="000D4CFA"/>
    <w:rsid w:val="000D55A8"/>
    <w:rsid w:val="000E4841"/>
    <w:rsid w:val="000F1677"/>
    <w:rsid w:val="000F3D6C"/>
    <w:rsid w:val="00101694"/>
    <w:rsid w:val="00101707"/>
    <w:rsid w:val="00102CC9"/>
    <w:rsid w:val="0010593A"/>
    <w:rsid w:val="0011473D"/>
    <w:rsid w:val="00115C85"/>
    <w:rsid w:val="00115FCB"/>
    <w:rsid w:val="00123855"/>
    <w:rsid w:val="00126A4D"/>
    <w:rsid w:val="0014171F"/>
    <w:rsid w:val="0014622C"/>
    <w:rsid w:val="00152348"/>
    <w:rsid w:val="0015456D"/>
    <w:rsid w:val="00155FA2"/>
    <w:rsid w:val="00161F1B"/>
    <w:rsid w:val="00162829"/>
    <w:rsid w:val="00174DB5"/>
    <w:rsid w:val="00180548"/>
    <w:rsid w:val="00180AC4"/>
    <w:rsid w:val="00180CCE"/>
    <w:rsid w:val="0018267A"/>
    <w:rsid w:val="00182779"/>
    <w:rsid w:val="00182788"/>
    <w:rsid w:val="001830DF"/>
    <w:rsid w:val="001966D9"/>
    <w:rsid w:val="00197F24"/>
    <w:rsid w:val="001A007A"/>
    <w:rsid w:val="001A7E9A"/>
    <w:rsid w:val="001B0F70"/>
    <w:rsid w:val="001B5016"/>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21444"/>
    <w:rsid w:val="002356EA"/>
    <w:rsid w:val="00237A00"/>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C4A85"/>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C5F"/>
    <w:rsid w:val="003C4471"/>
    <w:rsid w:val="003D0A6D"/>
    <w:rsid w:val="003D35F4"/>
    <w:rsid w:val="003E0B16"/>
    <w:rsid w:val="003E1BBF"/>
    <w:rsid w:val="003E67D1"/>
    <w:rsid w:val="00404329"/>
    <w:rsid w:val="00405DC1"/>
    <w:rsid w:val="00415F1F"/>
    <w:rsid w:val="0042108F"/>
    <w:rsid w:val="00430FED"/>
    <w:rsid w:val="00434A8C"/>
    <w:rsid w:val="00435114"/>
    <w:rsid w:val="00437297"/>
    <w:rsid w:val="00444284"/>
    <w:rsid w:val="00445CE6"/>
    <w:rsid w:val="00450393"/>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C7A8F"/>
    <w:rsid w:val="004D1A5A"/>
    <w:rsid w:val="004D1DDC"/>
    <w:rsid w:val="004D2FFF"/>
    <w:rsid w:val="004D3721"/>
    <w:rsid w:val="004D64F9"/>
    <w:rsid w:val="004E3A6B"/>
    <w:rsid w:val="004E622C"/>
    <w:rsid w:val="004F5FDF"/>
    <w:rsid w:val="005038A9"/>
    <w:rsid w:val="005177FE"/>
    <w:rsid w:val="00520242"/>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2C9"/>
    <w:rsid w:val="005846F3"/>
    <w:rsid w:val="0058622F"/>
    <w:rsid w:val="005925B5"/>
    <w:rsid w:val="00592F82"/>
    <w:rsid w:val="005A0CCA"/>
    <w:rsid w:val="005A1083"/>
    <w:rsid w:val="005A6FF2"/>
    <w:rsid w:val="005A726D"/>
    <w:rsid w:val="005B67AC"/>
    <w:rsid w:val="005B79F4"/>
    <w:rsid w:val="005D09BD"/>
    <w:rsid w:val="005D16DD"/>
    <w:rsid w:val="005D3615"/>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57F61"/>
    <w:rsid w:val="006624AB"/>
    <w:rsid w:val="006639DB"/>
    <w:rsid w:val="006661EF"/>
    <w:rsid w:val="00677AEB"/>
    <w:rsid w:val="00680EF2"/>
    <w:rsid w:val="00687A1D"/>
    <w:rsid w:val="006925C1"/>
    <w:rsid w:val="00697EA1"/>
    <w:rsid w:val="006A2646"/>
    <w:rsid w:val="006A6530"/>
    <w:rsid w:val="006B31CE"/>
    <w:rsid w:val="006B435A"/>
    <w:rsid w:val="006B4C64"/>
    <w:rsid w:val="006D282B"/>
    <w:rsid w:val="006D65FD"/>
    <w:rsid w:val="006D6BD5"/>
    <w:rsid w:val="006E0D3B"/>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33A34"/>
    <w:rsid w:val="00740DAD"/>
    <w:rsid w:val="00741E85"/>
    <w:rsid w:val="00742AF3"/>
    <w:rsid w:val="007603F5"/>
    <w:rsid w:val="00763348"/>
    <w:rsid w:val="00764DB0"/>
    <w:rsid w:val="00766D86"/>
    <w:rsid w:val="0076764D"/>
    <w:rsid w:val="0077498C"/>
    <w:rsid w:val="00774AD3"/>
    <w:rsid w:val="007809BC"/>
    <w:rsid w:val="00784128"/>
    <w:rsid w:val="00787BCC"/>
    <w:rsid w:val="00793173"/>
    <w:rsid w:val="007A2A33"/>
    <w:rsid w:val="007A5171"/>
    <w:rsid w:val="007B5C89"/>
    <w:rsid w:val="007C1FCC"/>
    <w:rsid w:val="007C6201"/>
    <w:rsid w:val="007D7C92"/>
    <w:rsid w:val="007E1154"/>
    <w:rsid w:val="007E2919"/>
    <w:rsid w:val="007E46A8"/>
    <w:rsid w:val="007E6BA4"/>
    <w:rsid w:val="007E6BD0"/>
    <w:rsid w:val="007F41F8"/>
    <w:rsid w:val="007F659B"/>
    <w:rsid w:val="0080441E"/>
    <w:rsid w:val="0080454E"/>
    <w:rsid w:val="00804C32"/>
    <w:rsid w:val="00806302"/>
    <w:rsid w:val="00807119"/>
    <w:rsid w:val="0082483F"/>
    <w:rsid w:val="008279C0"/>
    <w:rsid w:val="00831550"/>
    <w:rsid w:val="008605A7"/>
    <w:rsid w:val="00867701"/>
    <w:rsid w:val="00871C74"/>
    <w:rsid w:val="008723F3"/>
    <w:rsid w:val="00876F56"/>
    <w:rsid w:val="00880059"/>
    <w:rsid w:val="00881DE6"/>
    <w:rsid w:val="008837A6"/>
    <w:rsid w:val="0089145D"/>
    <w:rsid w:val="00891690"/>
    <w:rsid w:val="008A4DF2"/>
    <w:rsid w:val="008A6CFE"/>
    <w:rsid w:val="008B5333"/>
    <w:rsid w:val="008B58D5"/>
    <w:rsid w:val="008B6223"/>
    <w:rsid w:val="008B72B8"/>
    <w:rsid w:val="008C66E0"/>
    <w:rsid w:val="008D1616"/>
    <w:rsid w:val="008E3339"/>
    <w:rsid w:val="008F20FC"/>
    <w:rsid w:val="008F5FFE"/>
    <w:rsid w:val="00905A43"/>
    <w:rsid w:val="00912C79"/>
    <w:rsid w:val="00921B8C"/>
    <w:rsid w:val="00924DAF"/>
    <w:rsid w:val="00931D14"/>
    <w:rsid w:val="00942123"/>
    <w:rsid w:val="00951AA8"/>
    <w:rsid w:val="0095207B"/>
    <w:rsid w:val="00962045"/>
    <w:rsid w:val="00980E61"/>
    <w:rsid w:val="00991428"/>
    <w:rsid w:val="00992676"/>
    <w:rsid w:val="009954B2"/>
    <w:rsid w:val="00996691"/>
    <w:rsid w:val="009A3AB7"/>
    <w:rsid w:val="009A652D"/>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A047EE"/>
    <w:rsid w:val="00A14496"/>
    <w:rsid w:val="00A2274A"/>
    <w:rsid w:val="00A235B7"/>
    <w:rsid w:val="00A27A7A"/>
    <w:rsid w:val="00A34ABE"/>
    <w:rsid w:val="00A407EF"/>
    <w:rsid w:val="00A46B4C"/>
    <w:rsid w:val="00A5117B"/>
    <w:rsid w:val="00A56D34"/>
    <w:rsid w:val="00A60074"/>
    <w:rsid w:val="00A6627C"/>
    <w:rsid w:val="00A71019"/>
    <w:rsid w:val="00A81029"/>
    <w:rsid w:val="00A84235"/>
    <w:rsid w:val="00A845F5"/>
    <w:rsid w:val="00A96489"/>
    <w:rsid w:val="00AA2435"/>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455E5"/>
    <w:rsid w:val="00B51B95"/>
    <w:rsid w:val="00B56103"/>
    <w:rsid w:val="00B64929"/>
    <w:rsid w:val="00B736DF"/>
    <w:rsid w:val="00B743D6"/>
    <w:rsid w:val="00B74FBD"/>
    <w:rsid w:val="00B77F46"/>
    <w:rsid w:val="00B82586"/>
    <w:rsid w:val="00B829A3"/>
    <w:rsid w:val="00B82CB8"/>
    <w:rsid w:val="00B86DB1"/>
    <w:rsid w:val="00B87869"/>
    <w:rsid w:val="00B9639B"/>
    <w:rsid w:val="00BA1CFD"/>
    <w:rsid w:val="00BB0F2B"/>
    <w:rsid w:val="00BC231B"/>
    <w:rsid w:val="00BE4FF3"/>
    <w:rsid w:val="00BF2C93"/>
    <w:rsid w:val="00BF3835"/>
    <w:rsid w:val="00BF3C3A"/>
    <w:rsid w:val="00BF50F7"/>
    <w:rsid w:val="00BF6641"/>
    <w:rsid w:val="00C02F29"/>
    <w:rsid w:val="00C17718"/>
    <w:rsid w:val="00C20AFE"/>
    <w:rsid w:val="00C22A25"/>
    <w:rsid w:val="00C305F5"/>
    <w:rsid w:val="00C35671"/>
    <w:rsid w:val="00C35B77"/>
    <w:rsid w:val="00C376EB"/>
    <w:rsid w:val="00C46A92"/>
    <w:rsid w:val="00C46EC1"/>
    <w:rsid w:val="00C51940"/>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09F0"/>
    <w:rsid w:val="00CB1983"/>
    <w:rsid w:val="00CB2CBB"/>
    <w:rsid w:val="00CB7CAC"/>
    <w:rsid w:val="00CC5335"/>
    <w:rsid w:val="00CC5BA4"/>
    <w:rsid w:val="00CD4998"/>
    <w:rsid w:val="00CE1035"/>
    <w:rsid w:val="00CE6E50"/>
    <w:rsid w:val="00CF2819"/>
    <w:rsid w:val="00CF3708"/>
    <w:rsid w:val="00CF4F9D"/>
    <w:rsid w:val="00CF70DC"/>
    <w:rsid w:val="00D01697"/>
    <w:rsid w:val="00D148DC"/>
    <w:rsid w:val="00D17FDC"/>
    <w:rsid w:val="00D21D8C"/>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1AF2"/>
    <w:rsid w:val="00E55547"/>
    <w:rsid w:val="00E56312"/>
    <w:rsid w:val="00E6302B"/>
    <w:rsid w:val="00E6452F"/>
    <w:rsid w:val="00E64F45"/>
    <w:rsid w:val="00E6742D"/>
    <w:rsid w:val="00E71CB0"/>
    <w:rsid w:val="00E76DCE"/>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17F23"/>
    <w:rsid w:val="00F27CD8"/>
    <w:rsid w:val="00F30351"/>
    <w:rsid w:val="00F3323E"/>
    <w:rsid w:val="00F341F4"/>
    <w:rsid w:val="00F34F9D"/>
    <w:rsid w:val="00F35CCE"/>
    <w:rsid w:val="00F41146"/>
    <w:rsid w:val="00F422E3"/>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2.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4.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2852</Words>
  <Characters>14232</Characters>
  <Application>Microsoft Office Word</Application>
  <DocSecurity>0</DocSecurity>
  <Lines>347</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Ayana Ki Su Jin</cp:lastModifiedBy>
  <cp:revision>3</cp:revision>
  <cp:lastPrinted>2019-08-27T05:42:00Z</cp:lastPrinted>
  <dcterms:created xsi:type="dcterms:W3CDTF">2024-02-28T17:32:00Z</dcterms:created>
  <dcterms:modified xsi:type="dcterms:W3CDTF">2024-02-28T18:04:00Z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