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64525"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06452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03A42"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03A42">
        <w:rPr>
          <w:rFonts w:ascii="Avenir Next" w:hAnsi="Avenir Next" w:cs="Arial"/>
          <w:sz w:val="22"/>
          <w:szCs w:val="22"/>
          <w:highlight w:val="yellow"/>
          <w:lang w:val="en-GB"/>
        </w:rPr>
        <w:t>Options (</w:t>
      </w:r>
      <w:proofErr w:type="spellStart"/>
      <w:r w:rsidRPr="00C03A42">
        <w:rPr>
          <w:rFonts w:ascii="Avenir Next" w:hAnsi="Avenir Next" w:cs="Arial"/>
          <w:sz w:val="22"/>
          <w:szCs w:val="22"/>
          <w:highlight w:val="yellow"/>
          <w:lang w:val="en-GB"/>
        </w:rPr>
        <w:t>i</w:t>
      </w:r>
      <w:proofErr w:type="spellEnd"/>
      <w:r w:rsidRPr="00C03A42">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03A42"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03A42">
        <w:rPr>
          <w:rFonts w:ascii="Avenir Next" w:hAnsi="Avenir Next" w:cs="Arial"/>
          <w:sz w:val="22"/>
          <w:szCs w:val="22"/>
          <w:highlight w:val="yellow"/>
          <w:lang w:val="en-GB"/>
        </w:rPr>
        <w:t>Options (</w:t>
      </w:r>
      <w:proofErr w:type="spellStart"/>
      <w:r w:rsidRPr="00C03A42">
        <w:rPr>
          <w:rFonts w:ascii="Avenir Next" w:hAnsi="Avenir Next" w:cs="Arial"/>
          <w:sz w:val="22"/>
          <w:szCs w:val="22"/>
          <w:highlight w:val="yellow"/>
          <w:lang w:val="en-GB"/>
        </w:rPr>
        <w:t>i</w:t>
      </w:r>
      <w:proofErr w:type="spellEnd"/>
      <w:r w:rsidRPr="00C03A42">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C03A42"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C03A42">
        <w:rPr>
          <w:rFonts w:ascii="Avenir Next" w:hAnsi="Avenir Next" w:cs="Arial"/>
          <w:sz w:val="22"/>
          <w:szCs w:val="22"/>
          <w:highlight w:val="yellow"/>
          <w:lang w:val="en-GB"/>
        </w:rPr>
        <w:t>Options (</w:t>
      </w:r>
      <w:proofErr w:type="spellStart"/>
      <w:r w:rsidRPr="00C03A42">
        <w:rPr>
          <w:rFonts w:ascii="Avenir Next" w:hAnsi="Avenir Next" w:cs="Arial"/>
          <w:sz w:val="22"/>
          <w:szCs w:val="22"/>
          <w:highlight w:val="yellow"/>
          <w:lang w:val="en-GB"/>
        </w:rPr>
        <w:t>i</w:t>
      </w:r>
      <w:proofErr w:type="spellEnd"/>
      <w:r w:rsidRPr="00C03A42">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514834"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514834">
        <w:rPr>
          <w:rFonts w:ascii="Avenir Next" w:hAnsi="Avenir Next" w:cs="Arial"/>
          <w:sz w:val="22"/>
          <w:szCs w:val="22"/>
          <w:highlight w:val="yellow"/>
          <w:lang w:val="en-GB"/>
        </w:rPr>
        <w:t>Options (</w:t>
      </w:r>
      <w:proofErr w:type="spellStart"/>
      <w:r w:rsidRPr="00514834">
        <w:rPr>
          <w:rFonts w:ascii="Avenir Next" w:hAnsi="Avenir Next" w:cs="Arial"/>
          <w:sz w:val="22"/>
          <w:szCs w:val="22"/>
          <w:highlight w:val="yellow"/>
          <w:lang w:val="en-GB"/>
        </w:rPr>
        <w:t>i</w:t>
      </w:r>
      <w:proofErr w:type="spellEnd"/>
      <w:r w:rsidRPr="00514834">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C03A42"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C03A42">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E6045"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5E6045">
        <w:rPr>
          <w:rFonts w:ascii="Avenir Next" w:hAnsi="Avenir Next" w:cs="Arial"/>
          <w:sz w:val="22"/>
          <w:szCs w:val="22"/>
          <w:highlight w:val="yellow"/>
          <w:lang w:val="en-GB"/>
        </w:rPr>
        <w:t>Options (</w:t>
      </w:r>
      <w:proofErr w:type="spellStart"/>
      <w:r w:rsidRPr="005E6045">
        <w:rPr>
          <w:rFonts w:ascii="Avenir Next" w:hAnsi="Avenir Next" w:cs="Arial"/>
          <w:sz w:val="22"/>
          <w:szCs w:val="22"/>
          <w:highlight w:val="yellow"/>
          <w:lang w:val="en-GB"/>
        </w:rPr>
        <w:t>i</w:t>
      </w:r>
      <w:proofErr w:type="spellEnd"/>
      <w:r w:rsidRPr="005E604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6F2B2D"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6F2B2D">
        <w:rPr>
          <w:rFonts w:ascii="Avenir Next" w:hAnsi="Avenir Next" w:cs="Arial"/>
          <w:sz w:val="22"/>
          <w:szCs w:val="22"/>
          <w:highlight w:val="yellow"/>
          <w:lang w:val="en-GB"/>
        </w:rPr>
        <w:t>All of</w:t>
      </w:r>
      <w:proofErr w:type="gramEnd"/>
      <w:r w:rsidRPr="006F2B2D">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6F2B2D"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6F2B2D">
        <w:rPr>
          <w:rFonts w:ascii="Avenir Next" w:hAnsi="Avenir Next" w:cs="Arial"/>
          <w:sz w:val="22"/>
          <w:szCs w:val="22"/>
          <w:highlight w:val="yellow"/>
          <w:lang w:val="en-GB"/>
        </w:rPr>
        <w:t>Options (iii), (</w:t>
      </w:r>
      <w:proofErr w:type="spellStart"/>
      <w:r w:rsidRPr="006F2B2D">
        <w:rPr>
          <w:rFonts w:ascii="Avenir Next" w:hAnsi="Avenir Next" w:cs="Arial"/>
          <w:sz w:val="22"/>
          <w:szCs w:val="22"/>
          <w:highlight w:val="yellow"/>
          <w:lang w:val="en-GB"/>
        </w:rPr>
        <w:t>i</w:t>
      </w:r>
      <w:proofErr w:type="spellEnd"/>
      <w:r w:rsidRPr="006F2B2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3B0569"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3B0569">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2732C00D" w:rsidR="00CB56CE"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Regulation on Insolvency Proceedings is a treaty which is binding on signatories, while the MLCBI is only a </w:t>
      </w:r>
      <w:r>
        <w:rPr>
          <w:rFonts w:ascii="Avenir Next" w:hAnsi="Avenir Next" w:cs="Arial"/>
          <w:i/>
          <w:iCs/>
          <w:color w:val="808080" w:themeColor="background1" w:themeShade="80"/>
          <w:sz w:val="22"/>
          <w:szCs w:val="22"/>
          <w:lang w:val="en-GB"/>
        </w:rPr>
        <w:t xml:space="preserve">recommendation </w:t>
      </w:r>
      <w:r>
        <w:rPr>
          <w:rFonts w:ascii="Avenir Next" w:hAnsi="Avenir Next" w:cs="Arial"/>
          <w:color w:val="808080" w:themeColor="background1" w:themeShade="80"/>
          <w:sz w:val="22"/>
          <w:szCs w:val="22"/>
          <w:lang w:val="en-GB"/>
        </w:rPr>
        <w:t>to states to govern their national law and is not binding. Therefore, in its application, the EU Regulation must be strictly adhered to whereas there is nothing to compel states to abide by and/or apply the MLCBI.</w:t>
      </w:r>
    </w:p>
    <w:p w14:paraId="1C9D78F1" w14:textId="77777777" w:rsidR="00C03A42" w:rsidRDefault="00C03A42" w:rsidP="00707FC8">
      <w:pPr>
        <w:ind w:left="720" w:hanging="720"/>
        <w:jc w:val="both"/>
        <w:rPr>
          <w:rFonts w:ascii="Avenir Next" w:hAnsi="Avenir Next" w:cs="Arial"/>
          <w:color w:val="808080" w:themeColor="background1" w:themeShade="80"/>
          <w:sz w:val="22"/>
          <w:szCs w:val="22"/>
          <w:lang w:val="en-GB"/>
        </w:rPr>
      </w:pPr>
    </w:p>
    <w:p w14:paraId="7EB44490" w14:textId="35CE60FB" w:rsidR="00C03A42" w:rsidRDefault="00C03A42" w:rsidP="00707FC8">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EU Regulation</w:t>
      </w:r>
    </w:p>
    <w:p w14:paraId="349D625F" w14:textId="77777777" w:rsidR="00C03A42" w:rsidRDefault="00C03A42" w:rsidP="00707FC8">
      <w:pPr>
        <w:ind w:left="720" w:hanging="720"/>
        <w:jc w:val="both"/>
        <w:rPr>
          <w:rFonts w:ascii="Avenir Next" w:hAnsi="Avenir Next" w:cs="Arial"/>
          <w:color w:val="808080" w:themeColor="background1" w:themeShade="80"/>
          <w:sz w:val="22"/>
          <w:szCs w:val="22"/>
          <w:u w:val="single"/>
          <w:lang w:val="en-GB"/>
        </w:rPr>
      </w:pPr>
    </w:p>
    <w:p w14:paraId="176F0663" w14:textId="6F080171"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to the EU Regulation is that due to its binding effect on signatories, it allows for the achievement of uniformity and harmony between laws of the participating states, and thus achieves the goal of such global insolvency regimes. The disadvantage however is that it is undeniable that reaching a common consensus between all states as to what standard laws should bind </w:t>
      </w:r>
      <w:proofErr w:type="gramStart"/>
      <w:r>
        <w:rPr>
          <w:rFonts w:ascii="Avenir Next" w:hAnsi="Avenir Next" w:cs="Arial"/>
          <w:color w:val="808080" w:themeColor="background1" w:themeShade="80"/>
          <w:sz w:val="22"/>
          <w:szCs w:val="22"/>
          <w:lang w:val="en-GB"/>
        </w:rPr>
        <w:t>each and every</w:t>
      </w:r>
      <w:proofErr w:type="gramEnd"/>
      <w:r>
        <w:rPr>
          <w:rFonts w:ascii="Avenir Next" w:hAnsi="Avenir Next" w:cs="Arial"/>
          <w:color w:val="808080" w:themeColor="background1" w:themeShade="80"/>
          <w:sz w:val="22"/>
          <w:szCs w:val="22"/>
          <w:lang w:val="en-GB"/>
        </w:rPr>
        <w:t xml:space="preserve"> one of them is difficult, as each state will necessarily have independent priorities. </w:t>
      </w:r>
    </w:p>
    <w:p w14:paraId="392EA58A" w14:textId="77777777" w:rsidR="00C03A42" w:rsidRDefault="00C03A42" w:rsidP="00707FC8">
      <w:pPr>
        <w:ind w:left="720" w:hanging="720"/>
        <w:jc w:val="both"/>
        <w:rPr>
          <w:rFonts w:ascii="Avenir Next" w:hAnsi="Avenir Next" w:cs="Arial"/>
          <w:color w:val="808080" w:themeColor="background1" w:themeShade="80"/>
          <w:sz w:val="22"/>
          <w:szCs w:val="22"/>
          <w:lang w:val="en-GB"/>
        </w:rPr>
      </w:pPr>
    </w:p>
    <w:p w14:paraId="5FACE7B5" w14:textId="3B2C5858" w:rsidR="00C03A42" w:rsidRDefault="00C03A42" w:rsidP="00707FC8">
      <w:pPr>
        <w:ind w:left="720"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MLCBI</w:t>
      </w:r>
    </w:p>
    <w:p w14:paraId="2C10B040" w14:textId="77777777" w:rsidR="00C03A42" w:rsidRDefault="00C03A42" w:rsidP="00707FC8">
      <w:pPr>
        <w:ind w:left="720" w:hanging="720"/>
        <w:jc w:val="both"/>
        <w:rPr>
          <w:rFonts w:ascii="Avenir Next" w:hAnsi="Avenir Next" w:cs="Arial"/>
          <w:color w:val="808080" w:themeColor="background1" w:themeShade="80"/>
          <w:sz w:val="22"/>
          <w:szCs w:val="22"/>
          <w:u w:val="single"/>
          <w:lang w:val="en-GB"/>
        </w:rPr>
      </w:pPr>
    </w:p>
    <w:p w14:paraId="01EAC253" w14:textId="7B2292C7" w:rsidR="00C03A42" w:rsidRP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advantage to the MLCBI is that it is a far less intrusive </w:t>
      </w:r>
      <w:proofErr w:type="gramStart"/>
      <w:r>
        <w:rPr>
          <w:rFonts w:ascii="Avenir Next" w:hAnsi="Avenir Next" w:cs="Arial"/>
          <w:color w:val="808080" w:themeColor="background1" w:themeShade="80"/>
          <w:sz w:val="22"/>
          <w:szCs w:val="22"/>
          <w:lang w:val="en-GB"/>
        </w:rPr>
        <w:t>approach, and</w:t>
      </w:r>
      <w:proofErr w:type="gramEnd"/>
      <w:r>
        <w:rPr>
          <w:rFonts w:ascii="Avenir Next" w:hAnsi="Avenir Next" w:cs="Arial"/>
          <w:color w:val="808080" w:themeColor="background1" w:themeShade="80"/>
          <w:sz w:val="22"/>
          <w:szCs w:val="22"/>
          <w:lang w:val="en-GB"/>
        </w:rPr>
        <w:t xml:space="preserve"> allows for states to organically and perhaps over time, achieve a uniformity in their insolvency laws. It also facilitates cooperation as more and more states may at their own time, adopt the approaches of various national laws into their own as they are more widely adopted. However, the key disadvantage to that is also </w:t>
      </w:r>
      <w:r>
        <w:rPr>
          <w:rFonts w:ascii="Avenir Next" w:hAnsi="Avenir Next" w:cs="Arial"/>
          <w:color w:val="808080" w:themeColor="background1" w:themeShade="80"/>
          <w:sz w:val="22"/>
          <w:szCs w:val="22"/>
          <w:lang w:val="en-GB"/>
        </w:rPr>
        <w:lastRenderedPageBreak/>
        <w:t xml:space="preserve">that the effects of the MLCBI will be far less immediate, and there may ultimately still be slight differences in the laws of each state given its non-binding nature.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19703B0B" w14:textId="7B9461CD" w:rsidR="00183513" w:rsidRDefault="00183513" w:rsidP="001835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primarily consider whether the interests of the local creditors in the enacting State are adequately protected, pursuant to paragraph 2 of Article 21 of the MLCBI, or, in the case of granting relief to a foreign representative of a foreign non-main proceeding, the court must consider whether the relief relates to assets that, based on the law of the enacting State, should be administered in the foreign non-main proceeding, or concerns information required in that proceeding. </w:t>
      </w:r>
    </w:p>
    <w:p w14:paraId="661D31AC" w14:textId="77777777" w:rsidR="00183513" w:rsidRDefault="00183513" w:rsidP="00183513">
      <w:pPr>
        <w:jc w:val="both"/>
        <w:rPr>
          <w:rFonts w:ascii="Avenir Next" w:hAnsi="Avenir Next" w:cs="Arial"/>
          <w:color w:val="808080" w:themeColor="background1" w:themeShade="80"/>
          <w:sz w:val="22"/>
          <w:szCs w:val="22"/>
          <w:lang w:val="en-GB"/>
        </w:rPr>
      </w:pPr>
    </w:p>
    <w:p w14:paraId="7DDCF09B" w14:textId="147D3892" w:rsidR="00183513" w:rsidRPr="00B77352" w:rsidRDefault="00183513" w:rsidP="001835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short, such relief should not interfere with the administration of another insolvency proceeding, in particular the main proceeding.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9A2810F" w:rsidR="00867A8F" w:rsidRDefault="00183513" w:rsidP="001835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of the MLCBI protects creditors by granting them the same rights as creditors domiciled in the enacting State, including those regarding the commencement of, and participation in, local proceedings regarding the debtor under the insolvency law of the enacting State, without affecting the ranking of claims in the enacting State.</w:t>
      </w:r>
    </w:p>
    <w:p w14:paraId="2685CD5D" w14:textId="7B08734A" w:rsidR="00183513" w:rsidRDefault="00183513" w:rsidP="00183513">
      <w:pPr>
        <w:jc w:val="both"/>
        <w:rPr>
          <w:rFonts w:ascii="Avenir Next" w:hAnsi="Avenir Next" w:cs="Arial"/>
          <w:color w:val="808080" w:themeColor="background1" w:themeShade="80"/>
          <w:sz w:val="22"/>
          <w:szCs w:val="22"/>
          <w:lang w:val="en-GB"/>
        </w:rPr>
      </w:pPr>
    </w:p>
    <w:p w14:paraId="2A36CA1B" w14:textId="71D17D01" w:rsidR="00183513" w:rsidRPr="00B77352" w:rsidRDefault="00183513" w:rsidP="001835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claim of a foreign creditor shall not be given a lower priority than that of general unsecured claims solely because the holder of such claim is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3B4BDF1" w:rsidR="00867A8F" w:rsidRDefault="00183513"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foreign main proceeding, Article 20 of the MLCBI provides for </w:t>
      </w:r>
      <w:r>
        <w:rPr>
          <w:rFonts w:ascii="Avenir Next" w:hAnsi="Avenir Next" w:cs="Arial"/>
          <w:i/>
          <w:iCs/>
          <w:color w:val="808080" w:themeColor="background1" w:themeShade="80"/>
          <w:sz w:val="22"/>
          <w:szCs w:val="22"/>
          <w:lang w:val="en-GB"/>
        </w:rPr>
        <w:t xml:space="preserve">automatic </w:t>
      </w:r>
      <w:r>
        <w:rPr>
          <w:rFonts w:ascii="Avenir Next" w:hAnsi="Avenir Next" w:cs="Arial"/>
          <w:color w:val="808080" w:themeColor="background1" w:themeShade="80"/>
          <w:sz w:val="22"/>
          <w:szCs w:val="22"/>
          <w:lang w:val="en-GB"/>
        </w:rPr>
        <w:t>reliefs</w:t>
      </w:r>
      <w:r w:rsidR="00E62A15">
        <w:rPr>
          <w:rFonts w:ascii="Avenir Next" w:hAnsi="Avenir Next" w:cs="Arial"/>
          <w:color w:val="808080" w:themeColor="background1" w:themeShade="80"/>
          <w:sz w:val="22"/>
          <w:szCs w:val="22"/>
          <w:lang w:val="en-GB"/>
        </w:rPr>
        <w:t xml:space="preserve"> as of right</w:t>
      </w:r>
      <w:r>
        <w:rPr>
          <w:rFonts w:ascii="Avenir Next" w:hAnsi="Avenir Next" w:cs="Arial"/>
          <w:color w:val="808080" w:themeColor="background1" w:themeShade="80"/>
          <w:sz w:val="22"/>
          <w:szCs w:val="22"/>
          <w:lang w:val="en-GB"/>
        </w:rPr>
        <w:t xml:space="preserve">, including that: </w:t>
      </w:r>
    </w:p>
    <w:p w14:paraId="2D05C5CE" w14:textId="77777777" w:rsidR="00E62A15" w:rsidRDefault="00E62A15" w:rsidP="00100E8F">
      <w:pPr>
        <w:ind w:left="720" w:hanging="720"/>
        <w:jc w:val="both"/>
        <w:rPr>
          <w:rFonts w:ascii="Avenir Next" w:hAnsi="Avenir Next" w:cs="Arial"/>
          <w:color w:val="808080" w:themeColor="background1" w:themeShade="80"/>
          <w:sz w:val="22"/>
          <w:szCs w:val="22"/>
          <w:lang w:val="en-GB"/>
        </w:rPr>
      </w:pPr>
    </w:p>
    <w:p w14:paraId="43BCA4C6" w14:textId="2C7ED5B5" w:rsidR="00183513" w:rsidRDefault="00183513" w:rsidP="00183513">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commencement or continuation of individual actions or individual proceedings concerning the debtor’s assets, rights, obligations or liabilities </w:t>
      </w:r>
      <w:r w:rsidR="00E62A15">
        <w:rPr>
          <w:rFonts w:ascii="Avenir Next" w:hAnsi="Avenir Next" w:cs="Arial"/>
          <w:color w:val="808080" w:themeColor="background1" w:themeShade="80"/>
          <w:sz w:val="22"/>
          <w:szCs w:val="22"/>
          <w:lang w:val="en-GB"/>
        </w:rPr>
        <w:t xml:space="preserve">is </w:t>
      </w:r>
      <w:proofErr w:type="gramStart"/>
      <w:r>
        <w:rPr>
          <w:rFonts w:ascii="Avenir Next" w:hAnsi="Avenir Next" w:cs="Arial"/>
          <w:color w:val="808080" w:themeColor="background1" w:themeShade="80"/>
          <w:sz w:val="22"/>
          <w:szCs w:val="22"/>
          <w:lang w:val="en-GB"/>
        </w:rPr>
        <w:t>stayed;</w:t>
      </w:r>
      <w:proofErr w:type="gramEnd"/>
      <w:r>
        <w:rPr>
          <w:rFonts w:ascii="Avenir Next" w:hAnsi="Avenir Next" w:cs="Arial"/>
          <w:color w:val="808080" w:themeColor="background1" w:themeShade="80"/>
          <w:sz w:val="22"/>
          <w:szCs w:val="22"/>
          <w:lang w:val="en-GB"/>
        </w:rPr>
        <w:t xml:space="preserve"> </w:t>
      </w:r>
    </w:p>
    <w:p w14:paraId="4FB7BEE1" w14:textId="71B36175" w:rsidR="00183513" w:rsidRDefault="00E62A15" w:rsidP="00183513">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execution against the debtor’s assets is stayed; and </w:t>
      </w:r>
    </w:p>
    <w:p w14:paraId="0E206251" w14:textId="7FF9BF9E" w:rsidR="00E62A15" w:rsidRDefault="00E62A15" w:rsidP="00183513">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right to transfer, encumber or otherwise dispose of any assets of the debtor is suspended. </w:t>
      </w:r>
    </w:p>
    <w:p w14:paraId="46A93C6B" w14:textId="77777777" w:rsidR="00E62A15" w:rsidRDefault="00E62A15" w:rsidP="00E62A15">
      <w:pPr>
        <w:jc w:val="both"/>
        <w:rPr>
          <w:rFonts w:ascii="Avenir Next" w:hAnsi="Avenir Next" w:cs="Arial"/>
          <w:color w:val="808080" w:themeColor="background1" w:themeShade="80"/>
          <w:sz w:val="22"/>
          <w:szCs w:val="22"/>
          <w:lang w:val="en-GB"/>
        </w:rPr>
      </w:pPr>
    </w:p>
    <w:p w14:paraId="06B0E475" w14:textId="1C9E45A5" w:rsidR="00E62A15" w:rsidRDefault="00E62A15" w:rsidP="00E62A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in foreign non-main proceedings, such reliefs </w:t>
      </w:r>
      <w:r>
        <w:rPr>
          <w:rFonts w:ascii="Avenir Next" w:hAnsi="Avenir Next" w:cs="Arial"/>
          <w:i/>
          <w:iCs/>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be granted subject to the Court’s discretion and upon application by the foreign representative, pursuant to Article 21 of the MLCBI. Such discretionary reliefs available in foreign non-main proceedings include: </w:t>
      </w:r>
    </w:p>
    <w:p w14:paraId="3355D14C" w14:textId="77777777" w:rsidR="00E62A15" w:rsidRPr="00E62A15" w:rsidRDefault="00E62A15" w:rsidP="00E62A15">
      <w:pPr>
        <w:jc w:val="both"/>
        <w:rPr>
          <w:rFonts w:ascii="Avenir Next" w:hAnsi="Avenir Next" w:cs="Arial"/>
          <w:color w:val="808080" w:themeColor="background1" w:themeShade="80"/>
          <w:sz w:val="22"/>
          <w:szCs w:val="22"/>
          <w:lang w:val="en-GB"/>
        </w:rPr>
      </w:pP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16360A37" w:rsidR="00867A8F"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must have been filed in Germany as Germany is the debtor’s COMI, while the foreign non-main proceedings must have been filed in Bermuda. </w:t>
      </w:r>
    </w:p>
    <w:p w14:paraId="624C2B3B" w14:textId="77777777" w:rsidR="00C03A42" w:rsidRDefault="00C03A42" w:rsidP="00C03A42">
      <w:pPr>
        <w:jc w:val="both"/>
        <w:rPr>
          <w:rFonts w:ascii="Avenir Next" w:hAnsi="Avenir Next" w:cs="Arial"/>
          <w:color w:val="808080" w:themeColor="background1" w:themeShade="80"/>
          <w:sz w:val="22"/>
          <w:szCs w:val="22"/>
          <w:lang w:val="en-GB"/>
        </w:rPr>
      </w:pPr>
    </w:p>
    <w:p w14:paraId="764CC01A" w14:textId="614DC5B5"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result of the recognition proceedings in the US depends on </w:t>
      </w:r>
      <w:r>
        <w:rPr>
          <w:rFonts w:ascii="Avenir Next" w:hAnsi="Avenir Next" w:cs="Arial"/>
          <w:i/>
          <w:iCs/>
          <w:color w:val="808080" w:themeColor="background1" w:themeShade="80"/>
          <w:sz w:val="22"/>
          <w:szCs w:val="22"/>
          <w:lang w:val="en-GB"/>
        </w:rPr>
        <w:t xml:space="preserve">when </w:t>
      </w:r>
      <w:r>
        <w:rPr>
          <w:rFonts w:ascii="Avenir Next" w:hAnsi="Avenir Next" w:cs="Arial"/>
          <w:color w:val="808080" w:themeColor="background1" w:themeShade="80"/>
          <w:sz w:val="22"/>
          <w:szCs w:val="22"/>
          <w:lang w:val="en-GB"/>
        </w:rPr>
        <w:t xml:space="preserve">the foreign main and foreign non-main proceedings were opened, and when they were decided.  </w:t>
      </w:r>
    </w:p>
    <w:p w14:paraId="7E2EEA63" w14:textId="77777777" w:rsidR="00C03A42" w:rsidRDefault="00C03A42" w:rsidP="00C03A42">
      <w:pPr>
        <w:jc w:val="both"/>
        <w:rPr>
          <w:rFonts w:ascii="Avenir Next" w:hAnsi="Avenir Next" w:cs="Arial"/>
          <w:color w:val="808080" w:themeColor="background1" w:themeShade="80"/>
          <w:sz w:val="22"/>
          <w:szCs w:val="22"/>
          <w:lang w:val="en-GB"/>
        </w:rPr>
      </w:pPr>
    </w:p>
    <w:p w14:paraId="5E4D00D1" w14:textId="00B79F8E"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foreign main proceedings </w:t>
      </w:r>
      <w:proofErr w:type="gramStart"/>
      <w:r>
        <w:rPr>
          <w:rFonts w:ascii="Avenir Next" w:hAnsi="Avenir Next" w:cs="Arial"/>
          <w:color w:val="808080" w:themeColor="background1" w:themeShade="80"/>
          <w:sz w:val="22"/>
          <w:szCs w:val="22"/>
          <w:lang w:val="en-GB"/>
        </w:rPr>
        <w:t>was</w:t>
      </w:r>
      <w:proofErr w:type="gramEnd"/>
      <w:r>
        <w:rPr>
          <w:rFonts w:ascii="Avenir Next" w:hAnsi="Avenir Next" w:cs="Arial"/>
          <w:color w:val="808080" w:themeColor="background1" w:themeShade="80"/>
          <w:sz w:val="22"/>
          <w:szCs w:val="22"/>
          <w:lang w:val="en-GB"/>
        </w:rPr>
        <w:t xml:space="preserve"> opened first, and the US courts decided to recognise it, then the US courts will ensure that any relief that it grants in relation to the foreign non-main proceedings is consistent with the foreign main proceedings. </w:t>
      </w:r>
    </w:p>
    <w:p w14:paraId="40E53842" w14:textId="77777777" w:rsidR="00C03A42" w:rsidRDefault="00C03A42" w:rsidP="00C03A42">
      <w:pPr>
        <w:jc w:val="both"/>
        <w:rPr>
          <w:rFonts w:ascii="Avenir Next" w:hAnsi="Avenir Next" w:cs="Arial"/>
          <w:color w:val="808080" w:themeColor="background1" w:themeShade="80"/>
          <w:sz w:val="22"/>
          <w:szCs w:val="22"/>
          <w:lang w:val="en-GB"/>
        </w:rPr>
      </w:pPr>
    </w:p>
    <w:p w14:paraId="4611D40D" w14:textId="19E37982"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if the foreign non-main proceedings </w:t>
      </w:r>
      <w:proofErr w:type="gramStart"/>
      <w:r>
        <w:rPr>
          <w:rFonts w:ascii="Avenir Next" w:hAnsi="Avenir Next" w:cs="Arial"/>
          <w:color w:val="808080" w:themeColor="background1" w:themeShade="80"/>
          <w:sz w:val="22"/>
          <w:szCs w:val="22"/>
          <w:lang w:val="en-GB"/>
        </w:rPr>
        <w:t>was</w:t>
      </w:r>
      <w:proofErr w:type="gramEnd"/>
      <w:r>
        <w:rPr>
          <w:rFonts w:ascii="Avenir Next" w:hAnsi="Avenir Next" w:cs="Arial"/>
          <w:color w:val="808080" w:themeColor="background1" w:themeShade="80"/>
          <w:sz w:val="22"/>
          <w:szCs w:val="22"/>
          <w:lang w:val="en-GB"/>
        </w:rPr>
        <w:t xml:space="preserve"> recognised first, then any relief granted must be reviewed by the court, and may be modified or terminated, if it is later found to be inconsistent with the reliefs under the foreign main proceedings. </w:t>
      </w:r>
    </w:p>
    <w:p w14:paraId="3DCB835D" w14:textId="77777777" w:rsidR="00C03A42" w:rsidRPr="00C03A42" w:rsidRDefault="00C03A42" w:rsidP="00C03A42">
      <w:pPr>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w:t>
      </w:r>
      <w:r w:rsidRPr="00E15B53">
        <w:rPr>
          <w:rFonts w:ascii="Avenir Next" w:hAnsi="Avenir Next" w:cs="Arial"/>
          <w:sz w:val="22"/>
          <w:szCs w:val="28"/>
          <w:highlight w:val="yellow"/>
        </w:rPr>
        <w:t>alleged tortious interference with contract rights</w:t>
      </w:r>
      <w:r w:rsidRPr="00785854">
        <w:rPr>
          <w:rFonts w:ascii="Avenir Next" w:hAnsi="Avenir Next" w:cs="Arial"/>
          <w:sz w:val="22"/>
          <w:szCs w:val="28"/>
        </w:rPr>
        <w:t xml:space="preserve">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05D1C875" w14:textId="4A925FEC" w:rsidR="00AF0B1C" w:rsidRDefault="00AF0B1C" w:rsidP="00E15B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liquidators will likely apply under Art 19 of the MLCBI for urgent provisional relief to protect the assets of the debtor/ the interests of the creditors.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FC612D4" w14:textId="77777777"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Pr>
          <w:rFonts w:ascii="Avenir Next" w:hAnsi="Avenir Next" w:cs="Arial"/>
          <w:color w:val="808080" w:themeColor="background1" w:themeShade="80"/>
          <w:sz w:val="22"/>
          <w:szCs w:val="22"/>
          <w:lang w:val="en-GB"/>
        </w:rPr>
        <w:t>should</w:t>
      </w:r>
      <w:r>
        <w:rPr>
          <w:rFonts w:ascii="Avenir Next" w:hAnsi="Avenir Next" w:cs="Arial"/>
          <w:color w:val="808080" w:themeColor="background1" w:themeShade="80"/>
          <w:sz w:val="22"/>
          <w:szCs w:val="22"/>
          <w:lang w:val="en-GB"/>
        </w:rPr>
        <w:t xml:space="preserve"> seek provisional relief </w:t>
      </w:r>
      <w:r>
        <w:rPr>
          <w:rFonts w:ascii="Avenir Next" w:hAnsi="Avenir Next" w:cs="Arial"/>
          <w:color w:val="808080" w:themeColor="background1" w:themeShade="80"/>
          <w:sz w:val="22"/>
          <w:szCs w:val="22"/>
          <w:lang w:val="en-GB"/>
        </w:rPr>
        <w:t>immediately after</w:t>
      </w:r>
      <w:r>
        <w:rPr>
          <w:rFonts w:ascii="Avenir Next" w:hAnsi="Avenir Next" w:cs="Arial"/>
          <w:color w:val="808080" w:themeColor="background1" w:themeShade="80"/>
          <w:sz w:val="22"/>
          <w:szCs w:val="22"/>
          <w:lang w:val="en-GB"/>
        </w:rPr>
        <w:t xml:space="preserve"> filing of the recognition application in the US</w:t>
      </w:r>
      <w:r>
        <w:rPr>
          <w:rFonts w:ascii="Avenir Next" w:hAnsi="Avenir Next" w:cs="Arial"/>
          <w:color w:val="808080" w:themeColor="background1" w:themeShade="80"/>
          <w:sz w:val="22"/>
          <w:szCs w:val="22"/>
          <w:lang w:val="en-GB"/>
        </w:rPr>
        <w:t xml:space="preserve">, pending the determination of that recognition application. </w:t>
      </w:r>
    </w:p>
    <w:p w14:paraId="5599ABBF" w14:textId="77777777" w:rsidR="00C03A42" w:rsidRDefault="00C03A42" w:rsidP="00C03A42">
      <w:pPr>
        <w:jc w:val="both"/>
        <w:rPr>
          <w:rFonts w:ascii="Avenir Next" w:hAnsi="Avenir Next" w:cs="Arial"/>
          <w:color w:val="808080" w:themeColor="background1" w:themeShade="80"/>
          <w:sz w:val="22"/>
          <w:szCs w:val="22"/>
          <w:lang w:val="en-GB"/>
        </w:rPr>
      </w:pPr>
    </w:p>
    <w:p w14:paraId="1FBE43A6" w14:textId="05758D80" w:rsidR="00C03A4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Specifically, it should seek </w:t>
      </w:r>
      <w:r>
        <w:rPr>
          <w:rFonts w:ascii="Avenir Next" w:hAnsi="Avenir Next" w:cs="Arial"/>
          <w:color w:val="808080" w:themeColor="background1" w:themeShade="80"/>
          <w:sz w:val="22"/>
          <w:szCs w:val="22"/>
          <w:lang w:val="en-GB"/>
        </w:rPr>
        <w:t>a stay of execution against the debtor’s assets, entrusting the administration or realisation thereof located in the enacting State to the foreign representative or a Court-designated person, to protect and preserve the assets which are by their nature or by the circumstances susceptible to devaluation</w:t>
      </w:r>
      <w:r>
        <w:rPr>
          <w:rFonts w:ascii="Avenir Next" w:hAnsi="Avenir Next" w:cs="Arial"/>
          <w:color w:val="808080" w:themeColor="background1" w:themeShade="80"/>
          <w:sz w:val="22"/>
          <w:szCs w:val="22"/>
          <w:lang w:val="en-GB"/>
        </w:rPr>
        <w:t xml:space="preserve"> or dissipation</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seek </w:t>
      </w:r>
      <w:r>
        <w:rPr>
          <w:rFonts w:ascii="Avenir Next" w:hAnsi="Avenir Next" w:cs="Arial"/>
          <w:color w:val="808080" w:themeColor="background1" w:themeShade="80"/>
          <w:sz w:val="22"/>
          <w:szCs w:val="22"/>
          <w:lang w:val="en-GB"/>
        </w:rPr>
        <w:t>the reliefs</w:t>
      </w:r>
      <w:r>
        <w:rPr>
          <w:rFonts w:ascii="Avenir Next" w:hAnsi="Avenir Next" w:cs="Arial"/>
          <w:color w:val="808080" w:themeColor="background1" w:themeShade="80"/>
          <w:sz w:val="22"/>
          <w:szCs w:val="22"/>
          <w:lang w:val="en-GB"/>
        </w:rPr>
        <w:t xml:space="preserve"> in Article 21 of the Model Law</w:t>
      </w:r>
      <w:r>
        <w:rPr>
          <w:rFonts w:ascii="Avenir Next" w:hAnsi="Avenir Next" w:cs="Arial"/>
          <w:color w:val="808080" w:themeColor="background1" w:themeShade="80"/>
          <w:sz w:val="22"/>
          <w:szCs w:val="22"/>
          <w:lang w:val="en-GB"/>
        </w:rPr>
        <w:t>.</w:t>
      </w:r>
    </w:p>
    <w:p w14:paraId="762A3F25" w14:textId="77777777" w:rsidR="00C03A42" w:rsidRDefault="00C03A42" w:rsidP="00C03A42">
      <w:pPr>
        <w:jc w:val="both"/>
        <w:rPr>
          <w:rFonts w:ascii="Avenir Next" w:hAnsi="Avenir Next" w:cs="Arial"/>
          <w:color w:val="808080" w:themeColor="background1" w:themeShade="80"/>
          <w:sz w:val="22"/>
          <w:szCs w:val="22"/>
          <w:lang w:val="en-GB"/>
        </w:rPr>
      </w:pPr>
    </w:p>
    <w:p w14:paraId="295DCB43" w14:textId="1F70269A" w:rsidR="00C03A42" w:rsidRPr="00C83D6F"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will ensure that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debtor’s assets are adequately preserved in the interim period.</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1FAABB86" w:rsidR="00867A8F"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apply in Country B to seek recognition of the proceeding that is pending in Country A as a foreign non-main proceeding.</w:t>
      </w:r>
    </w:p>
    <w:p w14:paraId="44342F45" w14:textId="77777777" w:rsidR="00C03A42" w:rsidRDefault="00C03A42" w:rsidP="00C03A42">
      <w:pPr>
        <w:jc w:val="both"/>
        <w:rPr>
          <w:rFonts w:ascii="Avenir Next" w:hAnsi="Avenir Next" w:cs="Arial"/>
          <w:color w:val="808080" w:themeColor="background1" w:themeShade="80"/>
          <w:sz w:val="22"/>
          <w:szCs w:val="22"/>
          <w:lang w:val="en-GB"/>
        </w:rPr>
      </w:pPr>
    </w:p>
    <w:p w14:paraId="07317AED" w14:textId="1BA81A1B" w:rsidR="00C03A42" w:rsidRPr="00B77352" w:rsidRDefault="00C03A42" w:rsidP="00C03A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could have been avoided if from the outset, the foreign representative had considered that Country B was in fact the COMI and had commenced the main proceedings there first. The reason is that the mere fact that the debtor has its registered office in Country A and not much more does not ipso facto make Country A the COMI. It should have considered the place of the operations where the debtor carries out its economic activities, for example.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C03B65B" w14:textId="74FB1B5B" w:rsidR="00C03A42" w:rsidRDefault="00C03A42" w:rsidP="00C03A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To ensure a successful restructuring, Globe Holding should file for a recognition of a main proceeding in the Cayman Islands, </w:t>
      </w:r>
      <w:proofErr w:type="gramStart"/>
      <w:r>
        <w:rPr>
          <w:rFonts w:ascii="Avenir Next" w:hAnsi="Avenir Next"/>
          <w:color w:val="808080" w:themeColor="background1" w:themeShade="80"/>
          <w:sz w:val="22"/>
          <w:szCs w:val="28"/>
        </w:rPr>
        <w:t xml:space="preserve">and </w:t>
      </w:r>
      <w:r>
        <w:rPr>
          <w:rFonts w:ascii="Avenir Next" w:hAnsi="Avenir Next"/>
          <w:i/>
          <w:iCs/>
          <w:color w:val="808080" w:themeColor="background1" w:themeShade="80"/>
          <w:sz w:val="22"/>
          <w:szCs w:val="28"/>
        </w:rPr>
        <w:t>also</w:t>
      </w:r>
      <w:proofErr w:type="gramEnd"/>
      <w:r>
        <w:rPr>
          <w:rFonts w:ascii="Avenir Next" w:hAnsi="Avenir Next"/>
          <w:i/>
          <w:iCs/>
          <w:color w:val="808080" w:themeColor="background1" w:themeShade="80"/>
          <w:sz w:val="22"/>
          <w:szCs w:val="28"/>
        </w:rPr>
        <w:t xml:space="preserve"> apply </w:t>
      </w:r>
      <w:r>
        <w:rPr>
          <w:rFonts w:ascii="Avenir Next" w:hAnsi="Avenir Next"/>
          <w:color w:val="808080" w:themeColor="background1" w:themeShade="80"/>
          <w:sz w:val="22"/>
          <w:szCs w:val="28"/>
        </w:rPr>
        <w:t xml:space="preserve">for recognition of a non-main proceeding in the US. </w:t>
      </w:r>
    </w:p>
    <w:p w14:paraId="46F69E24" w14:textId="77777777" w:rsidR="00C03A42" w:rsidRDefault="00C03A42" w:rsidP="00C03A42">
      <w:pPr>
        <w:jc w:val="both"/>
        <w:rPr>
          <w:rFonts w:ascii="Avenir Next" w:hAnsi="Avenir Next"/>
          <w:color w:val="808080" w:themeColor="background1" w:themeShade="80"/>
          <w:sz w:val="22"/>
          <w:szCs w:val="28"/>
        </w:rPr>
      </w:pPr>
    </w:p>
    <w:p w14:paraId="5329F316" w14:textId="71D86693" w:rsidR="00C03A42" w:rsidRDefault="00C03A42" w:rsidP="00C03A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First, it should file for recognition of main proceedings in the Cayman Islands as it is Globe Holding’s COMI, given that: </w:t>
      </w:r>
    </w:p>
    <w:p w14:paraId="6937B766" w14:textId="77777777" w:rsidR="00C03A42" w:rsidRDefault="00C03A42" w:rsidP="00C03A42">
      <w:pPr>
        <w:jc w:val="both"/>
        <w:rPr>
          <w:rFonts w:ascii="Avenir Next" w:hAnsi="Avenir Next"/>
          <w:color w:val="808080" w:themeColor="background1" w:themeShade="80"/>
          <w:sz w:val="22"/>
          <w:szCs w:val="28"/>
        </w:rPr>
      </w:pPr>
    </w:p>
    <w:p w14:paraId="6DB1194B" w14:textId="6C62CE68" w:rsidR="00C03A42" w:rsidRDefault="00C03A42" w:rsidP="00C03A42">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registered in the Cayman </w:t>
      </w:r>
      <w:proofErr w:type="gramStart"/>
      <w:r>
        <w:rPr>
          <w:rFonts w:ascii="Avenir Next" w:hAnsi="Avenir Next"/>
          <w:color w:val="808080" w:themeColor="background1" w:themeShade="80"/>
          <w:sz w:val="22"/>
          <w:szCs w:val="28"/>
        </w:rPr>
        <w:t>Islands;</w:t>
      </w:r>
      <w:proofErr w:type="gramEnd"/>
      <w:r>
        <w:rPr>
          <w:rFonts w:ascii="Avenir Next" w:hAnsi="Avenir Next"/>
          <w:color w:val="808080" w:themeColor="background1" w:themeShade="80"/>
          <w:sz w:val="22"/>
          <w:szCs w:val="28"/>
        </w:rPr>
        <w:t xml:space="preserve"> </w:t>
      </w:r>
    </w:p>
    <w:p w14:paraId="6ECA0666" w14:textId="03317566" w:rsidR="00C03A42" w:rsidRDefault="00C03A42" w:rsidP="00C03A42">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books and records are maintained in the Cayman </w:t>
      </w:r>
      <w:proofErr w:type="gramStart"/>
      <w:r>
        <w:rPr>
          <w:rFonts w:ascii="Avenir Next" w:hAnsi="Avenir Next"/>
          <w:color w:val="808080" w:themeColor="background1" w:themeShade="80"/>
          <w:sz w:val="22"/>
          <w:szCs w:val="28"/>
        </w:rPr>
        <w:t>Islands;</w:t>
      </w:r>
      <w:proofErr w:type="gramEnd"/>
      <w:r>
        <w:rPr>
          <w:rFonts w:ascii="Avenir Next" w:hAnsi="Avenir Next"/>
          <w:color w:val="808080" w:themeColor="background1" w:themeShade="80"/>
          <w:sz w:val="22"/>
          <w:szCs w:val="28"/>
        </w:rPr>
        <w:t xml:space="preserve"> </w:t>
      </w:r>
    </w:p>
    <w:p w14:paraId="6D902911" w14:textId="733BEE01" w:rsidR="00C03A42" w:rsidRDefault="00C03A42" w:rsidP="00C03A42">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engaged regularly with counsel in the Cayman Islands; and </w:t>
      </w:r>
    </w:p>
    <w:p w14:paraId="2B4EAF80" w14:textId="0F6F6D78" w:rsidR="00C03A42" w:rsidRPr="00C03A42" w:rsidRDefault="00C03A42" w:rsidP="00C03A42">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operated a bank account in the </w:t>
      </w:r>
      <w:proofErr w:type="gramStart"/>
      <w:r>
        <w:rPr>
          <w:rFonts w:ascii="Avenir Next" w:hAnsi="Avenir Next"/>
          <w:color w:val="808080" w:themeColor="background1" w:themeShade="80"/>
          <w:sz w:val="22"/>
          <w:szCs w:val="28"/>
        </w:rPr>
        <w:t>Cayman islands</w:t>
      </w:r>
      <w:proofErr w:type="gramEnd"/>
      <w:r>
        <w:rPr>
          <w:rFonts w:ascii="Avenir Next" w:hAnsi="Avenir Next"/>
          <w:color w:val="808080" w:themeColor="background1" w:themeShade="80"/>
          <w:sz w:val="22"/>
          <w:szCs w:val="28"/>
        </w:rPr>
        <w:t xml:space="preserve"> </w:t>
      </w:r>
    </w:p>
    <w:p w14:paraId="58A773D6" w14:textId="77777777" w:rsidR="00C03A42" w:rsidRDefault="00C03A42" w:rsidP="00C03A42">
      <w:pPr>
        <w:jc w:val="both"/>
        <w:rPr>
          <w:rFonts w:ascii="Avenir Next" w:hAnsi="Avenir Next"/>
          <w:color w:val="808080" w:themeColor="background1" w:themeShade="80"/>
          <w:sz w:val="22"/>
          <w:szCs w:val="28"/>
        </w:rPr>
      </w:pPr>
    </w:p>
    <w:p w14:paraId="76B2575D" w14:textId="64A1A230" w:rsidR="00C03A42" w:rsidRDefault="00C03A42" w:rsidP="00C03A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Second, the foreign non-main proceedings should be filed in the US given that Globe Holdings has significant assets and creditors in the US, such that Globe Holdings has an “</w:t>
      </w:r>
      <w:r>
        <w:rPr>
          <w:rFonts w:ascii="Avenir Next" w:hAnsi="Avenir Next"/>
          <w:i/>
          <w:iCs/>
          <w:color w:val="808080" w:themeColor="background1" w:themeShade="80"/>
          <w:sz w:val="22"/>
          <w:szCs w:val="28"/>
        </w:rPr>
        <w:t>establishment</w:t>
      </w:r>
      <w:r>
        <w:rPr>
          <w:rFonts w:ascii="Avenir Next" w:hAnsi="Avenir Next"/>
          <w:color w:val="808080" w:themeColor="background1" w:themeShade="80"/>
          <w:sz w:val="22"/>
          <w:szCs w:val="28"/>
        </w:rPr>
        <w:t xml:space="preserve">” in the US. </w:t>
      </w:r>
    </w:p>
    <w:p w14:paraId="2540AFE4" w14:textId="77777777" w:rsidR="00C03A42" w:rsidRDefault="00C03A42" w:rsidP="00C03A42">
      <w:pPr>
        <w:jc w:val="both"/>
        <w:rPr>
          <w:rFonts w:ascii="Avenir Next" w:hAnsi="Avenir Next"/>
          <w:color w:val="808080" w:themeColor="background1" w:themeShade="80"/>
          <w:sz w:val="22"/>
          <w:szCs w:val="28"/>
        </w:rPr>
      </w:pPr>
    </w:p>
    <w:p w14:paraId="2B13BE16" w14:textId="087D2FCA" w:rsidR="00C03A42" w:rsidRPr="00C03A42" w:rsidRDefault="00C03A42" w:rsidP="00C03A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part of the application in the </w:t>
      </w:r>
      <w:proofErr w:type="gramStart"/>
      <w:r>
        <w:rPr>
          <w:rFonts w:ascii="Avenir Next" w:hAnsi="Avenir Next"/>
          <w:color w:val="808080" w:themeColor="background1" w:themeShade="80"/>
          <w:sz w:val="22"/>
          <w:szCs w:val="28"/>
        </w:rPr>
        <w:t>Cayman islands</w:t>
      </w:r>
      <w:proofErr w:type="gramEnd"/>
      <w:r>
        <w:rPr>
          <w:rFonts w:ascii="Avenir Next" w:hAnsi="Avenir Next"/>
          <w:color w:val="808080" w:themeColor="background1" w:themeShade="80"/>
          <w:sz w:val="22"/>
          <w:szCs w:val="28"/>
        </w:rPr>
        <w:t>, we will be required to submit evidence of Globe Holding</w:t>
      </w:r>
      <w:r>
        <w:rPr>
          <w:rFonts w:ascii="Avenir Next" w:hAnsi="Avenir Next"/>
          <w:color w:val="808080" w:themeColor="background1" w:themeShade="80"/>
          <w:sz w:val="22"/>
          <w:szCs w:val="28"/>
          <w:lang w:val="en-SG"/>
        </w:rPr>
        <w:t>’s</w:t>
      </w:r>
      <w:r w:rsidRPr="00511D75">
        <w:rPr>
          <w:rFonts w:ascii="Avenir Next" w:hAnsi="Avenir Next"/>
          <w:color w:val="808080" w:themeColor="background1" w:themeShade="80"/>
          <w:sz w:val="22"/>
          <w:szCs w:val="28"/>
          <w:lang w:val="en-SG"/>
        </w:rPr>
        <w:t xml:space="preserve"> incorporation and registration in </w:t>
      </w:r>
      <w:r>
        <w:rPr>
          <w:rFonts w:ascii="Avenir Next" w:hAnsi="Avenir Next"/>
          <w:color w:val="808080" w:themeColor="background1" w:themeShade="80"/>
          <w:sz w:val="22"/>
          <w:szCs w:val="28"/>
          <w:lang w:val="en-SG"/>
        </w:rPr>
        <w:t>Cayman</w:t>
      </w:r>
      <w:r>
        <w:rPr>
          <w:rFonts w:ascii="Avenir Next" w:hAnsi="Avenir Next"/>
          <w:color w:val="808080" w:themeColor="background1" w:themeShade="80"/>
          <w:sz w:val="22"/>
          <w:szCs w:val="28"/>
          <w:lang w:val="en-SG"/>
        </w:rPr>
        <w:t xml:space="preserve"> such as official company registration records</w:t>
      </w:r>
      <w:r>
        <w:rPr>
          <w:rFonts w:ascii="Avenir Next" w:hAnsi="Avenir Next"/>
          <w:color w:val="808080" w:themeColor="background1" w:themeShade="80"/>
          <w:sz w:val="22"/>
          <w:szCs w:val="28"/>
          <w:lang w:val="en-SG"/>
        </w:rPr>
        <w:t xml:space="preserve">, </w:t>
      </w:r>
      <w:r>
        <w:rPr>
          <w:rFonts w:ascii="Avenir Next" w:hAnsi="Avenir Next"/>
          <w:color w:val="808080" w:themeColor="background1" w:themeShade="80"/>
          <w:sz w:val="22"/>
          <w:szCs w:val="28"/>
          <w:lang w:val="en-SG"/>
        </w:rPr>
        <w:t xml:space="preserve">its banking records </w:t>
      </w:r>
      <w:r>
        <w:rPr>
          <w:rFonts w:ascii="Avenir Next" w:hAnsi="Avenir Next"/>
          <w:color w:val="808080" w:themeColor="background1" w:themeShade="80"/>
          <w:sz w:val="22"/>
          <w:szCs w:val="28"/>
          <w:lang w:val="en-SG"/>
        </w:rPr>
        <w:t xml:space="preserve">and </w:t>
      </w:r>
      <w:r>
        <w:rPr>
          <w:rFonts w:ascii="Avenir Next" w:hAnsi="Avenir Next"/>
          <w:color w:val="808080" w:themeColor="background1" w:themeShade="80"/>
          <w:sz w:val="22"/>
          <w:szCs w:val="28"/>
          <w:lang w:val="en-SG"/>
        </w:rPr>
        <w:t>its financial records such as audited financial statements</w:t>
      </w:r>
      <w:r>
        <w:rPr>
          <w:rFonts w:ascii="Avenir Next" w:hAnsi="Avenir Next"/>
          <w:color w:val="808080" w:themeColor="background1" w:themeShade="80"/>
          <w:sz w:val="22"/>
          <w:szCs w:val="28"/>
          <w:lang w:val="en-SG"/>
        </w:rPr>
        <w:t>.</w:t>
      </w:r>
    </w:p>
    <w:p w14:paraId="2F701774" w14:textId="77777777" w:rsidR="00C03A42" w:rsidRDefault="00C03A42" w:rsidP="00C03A42">
      <w:pPr>
        <w:jc w:val="both"/>
        <w:rPr>
          <w:rFonts w:ascii="Avenir Next" w:hAnsi="Avenir Next"/>
          <w:color w:val="808080" w:themeColor="background1" w:themeShade="80"/>
          <w:sz w:val="22"/>
          <w:szCs w:val="28"/>
          <w:lang w:val="en-SG"/>
        </w:rPr>
      </w:pPr>
    </w:p>
    <w:p w14:paraId="7A407F39" w14:textId="5F5F22DC" w:rsidR="00C03A42" w:rsidRDefault="00C03A42" w:rsidP="00C03A42">
      <w:pPr>
        <w:jc w:val="both"/>
        <w:rPr>
          <w:rFonts w:ascii="Avenir Next" w:hAnsi="Avenir Next"/>
          <w:color w:val="808080" w:themeColor="background1" w:themeShade="80"/>
          <w:sz w:val="22"/>
          <w:szCs w:val="28"/>
          <w:lang w:val="en-SG"/>
        </w:rPr>
      </w:pPr>
      <w:r>
        <w:rPr>
          <w:rFonts w:ascii="Avenir Next" w:hAnsi="Avenir Next"/>
          <w:color w:val="808080" w:themeColor="background1" w:themeShade="80"/>
          <w:sz w:val="22"/>
          <w:szCs w:val="28"/>
          <w:lang w:val="en-SG"/>
        </w:rPr>
        <w:t>As part of the application in the US, we will be required to submit evidence of Globe Holding’s assets and liabilities in the US, including any lists of creditors, the relevant contracts, and any restructuring efforts Globe Holdings has taken with US creditors</w:t>
      </w:r>
      <w:r>
        <w:rPr>
          <w:rFonts w:ascii="Avenir Next" w:hAnsi="Avenir Next"/>
          <w:color w:val="808080" w:themeColor="background1" w:themeShade="80"/>
          <w:sz w:val="22"/>
          <w:szCs w:val="28"/>
          <w:lang w:val="en-SG"/>
        </w:rPr>
        <w:t>.</w:t>
      </w:r>
    </w:p>
    <w:p w14:paraId="4424FA91" w14:textId="77777777" w:rsidR="00C03A42" w:rsidRDefault="00C03A42" w:rsidP="00C03A42">
      <w:pPr>
        <w:jc w:val="both"/>
        <w:rPr>
          <w:rFonts w:ascii="Avenir Next" w:hAnsi="Avenir Next"/>
          <w:color w:val="808080" w:themeColor="background1" w:themeShade="80"/>
          <w:sz w:val="22"/>
          <w:szCs w:val="28"/>
          <w:lang w:val="en-SG"/>
        </w:rPr>
      </w:pPr>
    </w:p>
    <w:p w14:paraId="011647B0" w14:textId="093DFA22" w:rsidR="00C03A42" w:rsidRPr="00FB718A" w:rsidRDefault="00C03A42" w:rsidP="00C03A42">
      <w:pPr>
        <w:jc w:val="both"/>
        <w:rPr>
          <w:rFonts w:ascii="Avenir Next" w:hAnsi="Avenir Next"/>
          <w:color w:val="808080" w:themeColor="background1" w:themeShade="80"/>
          <w:sz w:val="22"/>
          <w:szCs w:val="28"/>
          <w:lang w:val="en-SG"/>
        </w:rPr>
      </w:pPr>
      <w:r>
        <w:rPr>
          <w:rFonts w:ascii="Avenir Next" w:hAnsi="Avenir Next"/>
          <w:color w:val="808080" w:themeColor="background1" w:themeShade="80"/>
          <w:sz w:val="22"/>
          <w:szCs w:val="28"/>
          <w:lang w:val="en-SG"/>
        </w:rPr>
        <w:t xml:space="preserve">On the day of the filing, GH should request in the US recognition of the </w:t>
      </w:r>
      <w:proofErr w:type="gramStart"/>
      <w:r>
        <w:rPr>
          <w:rFonts w:ascii="Avenir Next" w:hAnsi="Avenir Next"/>
          <w:color w:val="808080" w:themeColor="background1" w:themeShade="80"/>
          <w:sz w:val="22"/>
          <w:szCs w:val="28"/>
          <w:lang w:val="en-SG"/>
        </w:rPr>
        <w:t>Cayman islands</w:t>
      </w:r>
      <w:proofErr w:type="gramEnd"/>
      <w:r>
        <w:rPr>
          <w:rFonts w:ascii="Avenir Next" w:hAnsi="Avenir Next"/>
          <w:color w:val="808080" w:themeColor="background1" w:themeShade="80"/>
          <w:sz w:val="22"/>
          <w:szCs w:val="28"/>
          <w:lang w:val="en-SG"/>
        </w:rPr>
        <w:t xml:space="preserve"> proceedings as the main proceedings, so that any reliefs in the US will be consistent with the reliefs granted in the Cayman Islands. It should also request provisional relief to </w:t>
      </w:r>
      <w:r>
        <w:rPr>
          <w:rFonts w:ascii="Avenir Next" w:hAnsi="Avenir Next"/>
          <w:color w:val="808080" w:themeColor="background1" w:themeShade="80"/>
          <w:sz w:val="22"/>
          <w:szCs w:val="28"/>
          <w:lang w:val="en-SG"/>
        </w:rPr>
        <w:t xml:space="preserve">stay </w:t>
      </w:r>
      <w:r>
        <w:rPr>
          <w:rFonts w:ascii="Avenir Next" w:hAnsi="Avenir Next"/>
          <w:color w:val="808080" w:themeColor="background1" w:themeShade="80"/>
          <w:sz w:val="22"/>
          <w:szCs w:val="28"/>
          <w:lang w:val="en-SG"/>
        </w:rPr>
        <w:t>the</w:t>
      </w:r>
      <w:r>
        <w:rPr>
          <w:rFonts w:ascii="Avenir Next" w:hAnsi="Avenir Next"/>
          <w:color w:val="808080" w:themeColor="background1" w:themeShade="80"/>
          <w:sz w:val="22"/>
          <w:szCs w:val="28"/>
          <w:lang w:val="en-SG"/>
        </w:rPr>
        <w:t xml:space="preserve"> imminent litigation in the US, </w:t>
      </w:r>
      <w:r>
        <w:rPr>
          <w:rFonts w:ascii="Avenir Next" w:hAnsi="Avenir Next"/>
          <w:color w:val="808080" w:themeColor="background1" w:themeShade="80"/>
          <w:sz w:val="22"/>
          <w:szCs w:val="28"/>
          <w:lang w:val="en-SG"/>
        </w:rPr>
        <w:t xml:space="preserve">specifically </w:t>
      </w:r>
      <w:proofErr w:type="gramStart"/>
      <w:r>
        <w:rPr>
          <w:rFonts w:ascii="Avenir Next" w:hAnsi="Avenir Next"/>
          <w:color w:val="808080" w:themeColor="background1" w:themeShade="80"/>
          <w:sz w:val="22"/>
          <w:szCs w:val="28"/>
          <w:lang w:val="en-SG"/>
        </w:rPr>
        <w:t>in light of</w:t>
      </w:r>
      <w:proofErr w:type="gramEnd"/>
      <w:r>
        <w:rPr>
          <w:rFonts w:ascii="Avenir Next" w:hAnsi="Avenir Next"/>
          <w:color w:val="808080" w:themeColor="background1" w:themeShade="80"/>
          <w:sz w:val="22"/>
          <w:szCs w:val="28"/>
          <w:lang w:val="en-SG"/>
        </w:rPr>
        <w:t xml:space="preserve"> the pending class action suit. This will ensure that all of GH’s assets are preserved in the interim. </w:t>
      </w:r>
      <w:r>
        <w:rPr>
          <w:rFonts w:ascii="Avenir Next" w:hAnsi="Avenir Next"/>
          <w:color w:val="808080" w:themeColor="background1" w:themeShade="80"/>
          <w:sz w:val="22"/>
          <w:szCs w:val="28"/>
          <w:lang w:val="en-SG"/>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BEA1" w14:textId="77777777" w:rsidR="00F153F7" w:rsidRDefault="00F153F7" w:rsidP="00241B44">
      <w:r>
        <w:separator/>
      </w:r>
    </w:p>
  </w:endnote>
  <w:endnote w:type="continuationSeparator" w:id="0">
    <w:p w14:paraId="2F9238CE" w14:textId="77777777" w:rsidR="00F153F7" w:rsidRDefault="00F153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19F4ABA" w:rsidR="000300E0" w:rsidRPr="00B46CE2" w:rsidRDefault="00C03A42" w:rsidP="000300E0">
    <w:pPr>
      <w:pStyle w:val="Footer"/>
      <w:ind w:right="360"/>
      <w:rPr>
        <w:rFonts w:ascii="Avenir Next" w:hAnsi="Avenir Next"/>
        <w:sz w:val="22"/>
        <w:szCs w:val="22"/>
      </w:rPr>
    </w:pPr>
    <w:r>
      <w:t>FC202324-1458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E96A" w14:textId="77777777" w:rsidR="00F153F7" w:rsidRDefault="00F153F7" w:rsidP="00241B44">
      <w:r>
        <w:separator/>
      </w:r>
    </w:p>
  </w:footnote>
  <w:footnote w:type="continuationSeparator" w:id="0">
    <w:p w14:paraId="1505EDDC" w14:textId="77777777" w:rsidR="00F153F7" w:rsidRDefault="00F153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736EE6"/>
    <w:multiLevelType w:val="hybridMultilevel"/>
    <w:tmpl w:val="CB5C368E"/>
    <w:lvl w:ilvl="0" w:tplc="E9DE6652">
      <w:start w:val="2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543747"/>
    <w:multiLevelType w:val="hybridMultilevel"/>
    <w:tmpl w:val="F9DE4356"/>
    <w:lvl w:ilvl="0" w:tplc="ABEE6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767F3609"/>
    <w:multiLevelType w:val="hybridMultilevel"/>
    <w:tmpl w:val="9074531E"/>
    <w:lvl w:ilvl="0" w:tplc="491C277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9"/>
  </w:num>
  <w:num w:numId="3" w16cid:durableId="1837500537">
    <w:abstractNumId w:val="42"/>
  </w:num>
  <w:num w:numId="4" w16cid:durableId="577205504">
    <w:abstractNumId w:val="52"/>
  </w:num>
  <w:num w:numId="5" w16cid:durableId="587693970">
    <w:abstractNumId w:val="9"/>
  </w:num>
  <w:num w:numId="6" w16cid:durableId="937175523">
    <w:abstractNumId w:val="50"/>
  </w:num>
  <w:num w:numId="7" w16cid:durableId="1654067440">
    <w:abstractNumId w:val="24"/>
  </w:num>
  <w:num w:numId="8" w16cid:durableId="1105736194">
    <w:abstractNumId w:val="44"/>
  </w:num>
  <w:num w:numId="9" w16cid:durableId="337470287">
    <w:abstractNumId w:val="27"/>
  </w:num>
  <w:num w:numId="10" w16cid:durableId="409736686">
    <w:abstractNumId w:val="16"/>
  </w:num>
  <w:num w:numId="11" w16cid:durableId="2113239495">
    <w:abstractNumId w:val="31"/>
  </w:num>
  <w:num w:numId="12" w16cid:durableId="277688465">
    <w:abstractNumId w:val="48"/>
  </w:num>
  <w:num w:numId="13" w16cid:durableId="2058502388">
    <w:abstractNumId w:val="7"/>
  </w:num>
  <w:num w:numId="14" w16cid:durableId="1848598104">
    <w:abstractNumId w:val="38"/>
  </w:num>
  <w:num w:numId="15" w16cid:durableId="634214434">
    <w:abstractNumId w:val="17"/>
  </w:num>
  <w:num w:numId="16" w16cid:durableId="1164055646">
    <w:abstractNumId w:val="18"/>
  </w:num>
  <w:num w:numId="17" w16cid:durableId="4065661">
    <w:abstractNumId w:val="33"/>
  </w:num>
  <w:num w:numId="18" w16cid:durableId="970591766">
    <w:abstractNumId w:val="8"/>
  </w:num>
  <w:num w:numId="19" w16cid:durableId="1299339140">
    <w:abstractNumId w:val="32"/>
  </w:num>
  <w:num w:numId="20" w16cid:durableId="1327175081">
    <w:abstractNumId w:val="58"/>
  </w:num>
  <w:num w:numId="21" w16cid:durableId="2089498112">
    <w:abstractNumId w:val="22"/>
  </w:num>
  <w:num w:numId="22" w16cid:durableId="221064104">
    <w:abstractNumId w:val="47"/>
  </w:num>
  <w:num w:numId="23" w16cid:durableId="860243873">
    <w:abstractNumId w:val="56"/>
  </w:num>
  <w:num w:numId="24" w16cid:durableId="1555506834">
    <w:abstractNumId w:val="46"/>
  </w:num>
  <w:num w:numId="25" w16cid:durableId="1954677308">
    <w:abstractNumId w:val="37"/>
  </w:num>
  <w:num w:numId="26" w16cid:durableId="998270126">
    <w:abstractNumId w:val="57"/>
  </w:num>
  <w:num w:numId="27" w16cid:durableId="657656171">
    <w:abstractNumId w:val="51"/>
  </w:num>
  <w:num w:numId="28" w16cid:durableId="1116829249">
    <w:abstractNumId w:val="12"/>
  </w:num>
  <w:num w:numId="29" w16cid:durableId="1055274873">
    <w:abstractNumId w:val="13"/>
  </w:num>
  <w:num w:numId="30" w16cid:durableId="790785319">
    <w:abstractNumId w:val="34"/>
  </w:num>
  <w:num w:numId="31" w16cid:durableId="781922295">
    <w:abstractNumId w:val="4"/>
  </w:num>
  <w:num w:numId="32" w16cid:durableId="268047206">
    <w:abstractNumId w:val="36"/>
  </w:num>
  <w:num w:numId="33" w16cid:durableId="198930779">
    <w:abstractNumId w:val="0"/>
  </w:num>
  <w:num w:numId="34" w16cid:durableId="480577945">
    <w:abstractNumId w:val="43"/>
  </w:num>
  <w:num w:numId="35" w16cid:durableId="984242224">
    <w:abstractNumId w:val="26"/>
  </w:num>
  <w:num w:numId="36" w16cid:durableId="485898662">
    <w:abstractNumId w:val="45"/>
  </w:num>
  <w:num w:numId="37" w16cid:durableId="1147433143">
    <w:abstractNumId w:val="29"/>
  </w:num>
  <w:num w:numId="38" w16cid:durableId="827285019">
    <w:abstractNumId w:val="40"/>
  </w:num>
  <w:num w:numId="39" w16cid:durableId="128666775">
    <w:abstractNumId w:val="5"/>
  </w:num>
  <w:num w:numId="40" w16cid:durableId="1339426664">
    <w:abstractNumId w:val="25"/>
  </w:num>
  <w:num w:numId="41" w16cid:durableId="1969971734">
    <w:abstractNumId w:val="49"/>
  </w:num>
  <w:num w:numId="42" w16cid:durableId="368453801">
    <w:abstractNumId w:val="21"/>
  </w:num>
  <w:num w:numId="43" w16cid:durableId="51392340">
    <w:abstractNumId w:val="35"/>
  </w:num>
  <w:num w:numId="44" w16cid:durableId="1531332188">
    <w:abstractNumId w:val="15"/>
  </w:num>
  <w:num w:numId="45" w16cid:durableId="8337133">
    <w:abstractNumId w:val="14"/>
  </w:num>
  <w:num w:numId="46" w16cid:durableId="1612931796">
    <w:abstractNumId w:val="39"/>
  </w:num>
  <w:num w:numId="47" w16cid:durableId="89930162">
    <w:abstractNumId w:val="23"/>
  </w:num>
  <w:num w:numId="48" w16cid:durableId="1477838578">
    <w:abstractNumId w:val="10"/>
  </w:num>
  <w:num w:numId="49" w16cid:durableId="2073384460">
    <w:abstractNumId w:val="53"/>
  </w:num>
  <w:num w:numId="50" w16cid:durableId="59720369">
    <w:abstractNumId w:val="30"/>
  </w:num>
  <w:num w:numId="51" w16cid:durableId="1379276728">
    <w:abstractNumId w:val="11"/>
  </w:num>
  <w:num w:numId="52" w16cid:durableId="921179279">
    <w:abstractNumId w:val="20"/>
  </w:num>
  <w:num w:numId="53" w16cid:durableId="1060514793">
    <w:abstractNumId w:val="28"/>
  </w:num>
  <w:num w:numId="54" w16cid:durableId="64230155">
    <w:abstractNumId w:val="3"/>
  </w:num>
  <w:num w:numId="55" w16cid:durableId="1681084025">
    <w:abstractNumId w:val="2"/>
  </w:num>
  <w:num w:numId="56" w16cid:durableId="1275090443">
    <w:abstractNumId w:val="19"/>
  </w:num>
  <w:num w:numId="57" w16cid:durableId="269969236">
    <w:abstractNumId w:val="41"/>
  </w:num>
  <w:num w:numId="58" w16cid:durableId="1632323746">
    <w:abstractNumId w:val="55"/>
  </w:num>
  <w:num w:numId="59" w16cid:durableId="1143933899">
    <w:abstractNumId w:val="6"/>
  </w:num>
  <w:num w:numId="60" w16cid:durableId="789859171">
    <w:abstractNumId w:val="5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4525"/>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3513"/>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0569"/>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4834"/>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E6045"/>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B2D"/>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0B1C"/>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03A42"/>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3A01"/>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53"/>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2A15"/>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53F7"/>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4353</Words>
  <Characters>21726</Characters>
  <Application>Microsoft Office Word</Application>
  <DocSecurity>0</DocSecurity>
  <Lines>529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Ayana Ki Su Jin</cp:lastModifiedBy>
  <cp:revision>2</cp:revision>
  <cp:lastPrinted>2019-08-27T05:42:00Z</cp:lastPrinted>
  <dcterms:created xsi:type="dcterms:W3CDTF">2024-02-28T17:31:00Z</dcterms:created>
  <dcterms:modified xsi:type="dcterms:W3CDTF">2024-02-28T17:31:00Z</dcterms:modified>
</cp:coreProperties>
</file>