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D97261" w:rsidRDefault="00F746D8" w:rsidP="00F746D8">
      <w:pPr>
        <w:pStyle w:val="ListParagraph"/>
        <w:numPr>
          <w:ilvl w:val="0"/>
          <w:numId w:val="26"/>
        </w:numPr>
        <w:ind w:left="426"/>
        <w:jc w:val="both"/>
        <w:rPr>
          <w:rFonts w:ascii="Avenir Next" w:hAnsi="Avenir Next" w:cs="Arial"/>
          <w:sz w:val="22"/>
          <w:szCs w:val="22"/>
          <w:highlight w:val="yellow"/>
          <w:lang w:val="en-GB"/>
        </w:rPr>
      </w:pPr>
      <w:r w:rsidRPr="00D97261">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256A7A"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256A7A">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D97261" w:rsidRDefault="00F746D8" w:rsidP="00F746D8">
      <w:pPr>
        <w:pStyle w:val="ListParagraph"/>
        <w:numPr>
          <w:ilvl w:val="0"/>
          <w:numId w:val="27"/>
        </w:numPr>
        <w:ind w:left="426"/>
        <w:jc w:val="both"/>
        <w:rPr>
          <w:rFonts w:ascii="Avenir Next" w:hAnsi="Avenir Next"/>
          <w:sz w:val="22"/>
          <w:highlight w:val="yellow"/>
          <w:lang w:val="en-GB"/>
        </w:rPr>
      </w:pPr>
      <w:r w:rsidRPr="00D97261">
        <w:rPr>
          <w:rFonts w:ascii="Avenir Next" w:hAnsi="Avenir Next"/>
          <w:sz w:val="22"/>
          <w:highlight w:val="yellow"/>
          <w:lang w:val="en-GB"/>
        </w:rPr>
        <w:t xml:space="preserve">The EIR 2000 </w:t>
      </w:r>
      <w:r w:rsidRPr="00D97261">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D97261">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D172F6" w:rsidRDefault="00F746D8" w:rsidP="00F746D8">
      <w:pPr>
        <w:pStyle w:val="ListParagraph"/>
        <w:numPr>
          <w:ilvl w:val="0"/>
          <w:numId w:val="5"/>
        </w:numPr>
        <w:ind w:left="426"/>
        <w:jc w:val="both"/>
        <w:rPr>
          <w:rFonts w:ascii="Avenir Next" w:hAnsi="Avenir Next" w:cs="Arial"/>
          <w:sz w:val="22"/>
          <w:szCs w:val="22"/>
          <w:highlight w:val="yellow"/>
          <w:lang w:val="en-GB"/>
        </w:rPr>
      </w:pPr>
      <w:r w:rsidRPr="00D172F6">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3B6873" w:rsidRDefault="00F746D8" w:rsidP="00F746D8">
      <w:pPr>
        <w:pStyle w:val="ListParagraph"/>
        <w:numPr>
          <w:ilvl w:val="0"/>
          <w:numId w:val="28"/>
        </w:numPr>
        <w:ind w:left="426"/>
        <w:jc w:val="both"/>
        <w:rPr>
          <w:rFonts w:ascii="Avenir Next" w:hAnsi="Avenir Next" w:cs="Arial"/>
          <w:sz w:val="22"/>
          <w:szCs w:val="22"/>
          <w:highlight w:val="yellow"/>
          <w:lang w:val="en-GB"/>
        </w:rPr>
      </w:pPr>
      <w:r w:rsidRPr="003B6873">
        <w:rPr>
          <w:rFonts w:ascii="Avenir Next" w:hAnsi="Avenir Next" w:cs="Arial"/>
          <w:sz w:val="22"/>
          <w:szCs w:val="22"/>
          <w:highlight w:val="yellow"/>
          <w:lang w:val="en-GB"/>
        </w:rPr>
        <w:t>Article 3 states that the courts of the Member State within the territory of which the debtor has its centre of main</w:t>
      </w:r>
      <w:r w:rsidR="003E1D56" w:rsidRPr="003B6873">
        <w:rPr>
          <w:rFonts w:ascii="Avenir Next" w:hAnsi="Avenir Next" w:cs="Arial"/>
          <w:sz w:val="22"/>
          <w:szCs w:val="22"/>
          <w:highlight w:val="yellow"/>
          <w:lang w:val="en-GB"/>
        </w:rPr>
        <w:t xml:space="preserve"> interest</w:t>
      </w:r>
      <w:r w:rsidRPr="003B6873">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CD21E5" w:rsidRDefault="00F746D8" w:rsidP="00F746D8">
      <w:pPr>
        <w:pStyle w:val="ListParagraph"/>
        <w:numPr>
          <w:ilvl w:val="0"/>
          <w:numId w:val="7"/>
        </w:numPr>
        <w:ind w:left="426"/>
        <w:jc w:val="both"/>
        <w:rPr>
          <w:rFonts w:ascii="Avenir Next" w:hAnsi="Avenir Next" w:cs="Arial"/>
          <w:sz w:val="22"/>
          <w:szCs w:val="22"/>
          <w:highlight w:val="yellow"/>
          <w:lang w:val="en-GB"/>
        </w:rPr>
      </w:pPr>
      <w:r w:rsidRPr="00CD21E5">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685F1E" w:rsidRDefault="00F746D8" w:rsidP="00F746D8">
      <w:pPr>
        <w:pStyle w:val="ListParagraph"/>
        <w:numPr>
          <w:ilvl w:val="0"/>
          <w:numId w:val="31"/>
        </w:numPr>
        <w:ind w:left="426"/>
        <w:jc w:val="both"/>
        <w:rPr>
          <w:rFonts w:ascii="Avenir Next" w:hAnsi="Avenir Next" w:cs="Arial"/>
          <w:sz w:val="22"/>
          <w:szCs w:val="22"/>
          <w:highlight w:val="yellow"/>
          <w:lang w:val="en-GB"/>
        </w:rPr>
      </w:pPr>
      <w:r w:rsidRPr="00685F1E">
        <w:rPr>
          <w:rFonts w:ascii="Avenir Next" w:hAnsi="Avenir Next" w:cs="Arial"/>
          <w:sz w:val="22"/>
          <w:szCs w:val="22"/>
          <w:highlight w:val="yellow"/>
          <w:lang w:val="en-GB"/>
        </w:rPr>
        <w:t>Article 31 EIR Recast (entitled “</w:t>
      </w:r>
      <w:r w:rsidRPr="00685F1E">
        <w:rPr>
          <w:rFonts w:ascii="Avenir Next" w:hAnsi="Avenir Next" w:cs="Arial"/>
          <w:bCs/>
          <w:sz w:val="22"/>
          <w:szCs w:val="22"/>
          <w:highlight w:val="yellow"/>
          <w:lang w:val="en-GB"/>
        </w:rPr>
        <w:t>Honouring of an obligation to a debtor”</w:t>
      </w:r>
      <w:r w:rsidRPr="00685F1E">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5B19EE" w:rsidRDefault="00F746D8" w:rsidP="00F746D8">
      <w:pPr>
        <w:pStyle w:val="ListParagraph"/>
        <w:numPr>
          <w:ilvl w:val="0"/>
          <w:numId w:val="8"/>
        </w:numPr>
        <w:ind w:left="426"/>
        <w:jc w:val="both"/>
        <w:rPr>
          <w:rFonts w:ascii="Avenir Next" w:hAnsi="Avenir Next" w:cs="Arial"/>
          <w:sz w:val="22"/>
          <w:szCs w:val="22"/>
          <w:highlight w:val="yellow"/>
          <w:lang w:val="en-GB"/>
        </w:rPr>
      </w:pPr>
      <w:r w:rsidRPr="005B19EE">
        <w:rPr>
          <w:rFonts w:ascii="Avenir Next" w:hAnsi="Avenir Next"/>
          <w:sz w:val="22"/>
          <w:highlight w:val="yellow"/>
          <w:lang w:val="en-GB"/>
        </w:rPr>
        <w:t xml:space="preserve">The </w:t>
      </w:r>
      <w:r w:rsidRPr="005B19EE">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1691A" w:rsidRDefault="00F746D8" w:rsidP="00F746D8">
      <w:pPr>
        <w:pStyle w:val="ListParagraph"/>
        <w:numPr>
          <w:ilvl w:val="0"/>
          <w:numId w:val="32"/>
        </w:numPr>
        <w:ind w:left="426"/>
        <w:jc w:val="both"/>
        <w:rPr>
          <w:rFonts w:ascii="Avenir Next" w:hAnsi="Avenir Next" w:cs="Arial"/>
          <w:sz w:val="22"/>
          <w:szCs w:val="22"/>
          <w:highlight w:val="yellow"/>
          <w:lang w:val="en-GB"/>
        </w:rPr>
      </w:pPr>
      <w:r w:rsidRPr="00A1691A">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FE1DAF" w:rsidRDefault="00F746D8" w:rsidP="00F746D8">
      <w:pPr>
        <w:pStyle w:val="ListParagraph"/>
        <w:numPr>
          <w:ilvl w:val="0"/>
          <w:numId w:val="9"/>
        </w:numPr>
        <w:ind w:left="426"/>
        <w:jc w:val="both"/>
        <w:rPr>
          <w:rFonts w:ascii="Avenir Next" w:hAnsi="Avenir Next" w:cs="Arial"/>
          <w:sz w:val="22"/>
          <w:szCs w:val="22"/>
          <w:highlight w:val="yellow"/>
          <w:lang w:val="en-GB"/>
        </w:rPr>
      </w:pPr>
      <w:r w:rsidRPr="00FE1DAF">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2984EAC3" w:rsidR="006C3FB7" w:rsidRDefault="001A073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Statement 1:</w:t>
      </w:r>
      <w:r w:rsidR="001366F1">
        <w:rPr>
          <w:rFonts w:ascii="Avenir Next" w:hAnsi="Avenir Next" w:cs="Arial"/>
          <w:color w:val="7B7B7B" w:themeColor="accent3" w:themeShade="BF"/>
          <w:sz w:val="22"/>
          <w:szCs w:val="22"/>
        </w:rPr>
        <w:t xml:space="preserve"> Article 41 EIR Recast</w:t>
      </w:r>
      <w:r w:rsidR="00CC0502">
        <w:rPr>
          <w:rFonts w:ascii="Avenir Next" w:hAnsi="Avenir Next" w:cs="Arial"/>
          <w:color w:val="7B7B7B" w:themeColor="accent3" w:themeShade="BF"/>
          <w:sz w:val="22"/>
          <w:szCs w:val="22"/>
        </w:rPr>
        <w:t xml:space="preserve"> </w:t>
      </w:r>
      <w:r w:rsidR="00D95DBC">
        <w:rPr>
          <w:rFonts w:ascii="Avenir Next" w:hAnsi="Avenir Next" w:cs="Arial"/>
          <w:color w:val="7B7B7B" w:themeColor="accent3" w:themeShade="BF"/>
          <w:sz w:val="22"/>
          <w:szCs w:val="22"/>
        </w:rPr>
        <w:t>titled “</w:t>
      </w:r>
      <w:r w:rsidR="00D95DBC" w:rsidRPr="00D95DBC">
        <w:rPr>
          <w:rFonts w:ascii="Avenir Next" w:hAnsi="Avenir Next" w:cs="Arial"/>
          <w:color w:val="7B7B7B" w:themeColor="accent3" w:themeShade="BF"/>
          <w:sz w:val="22"/>
          <w:szCs w:val="22"/>
        </w:rPr>
        <w:t>Cooperation and communication between insolvency practitioners</w:t>
      </w:r>
      <w:r w:rsidR="00277021">
        <w:rPr>
          <w:rFonts w:ascii="Avenir Next" w:hAnsi="Avenir Next" w:cs="Arial"/>
          <w:color w:val="7B7B7B" w:themeColor="accent3" w:themeShade="BF"/>
          <w:sz w:val="22"/>
          <w:szCs w:val="22"/>
        </w:rPr>
        <w:t>”</w:t>
      </w:r>
      <w:r w:rsidR="00D95DBC" w:rsidRPr="00D95DBC">
        <w:rPr>
          <w:rFonts w:ascii="Avenir Next" w:hAnsi="Avenir Next" w:cs="Arial"/>
          <w:color w:val="7B7B7B" w:themeColor="accent3" w:themeShade="BF"/>
          <w:sz w:val="22"/>
          <w:szCs w:val="22"/>
        </w:rPr>
        <w:t xml:space="preserve"> </w:t>
      </w:r>
      <w:r w:rsidR="00CC0502">
        <w:rPr>
          <w:rFonts w:ascii="Avenir Next" w:hAnsi="Avenir Next" w:cs="Arial"/>
          <w:color w:val="7B7B7B" w:themeColor="accent3" w:themeShade="BF"/>
          <w:sz w:val="22"/>
          <w:szCs w:val="22"/>
        </w:rPr>
        <w:t xml:space="preserve">promotes communication between insolvency practitioners of main and secondary proceedings </w:t>
      </w:r>
      <w:r w:rsidR="00045BFC">
        <w:rPr>
          <w:rFonts w:ascii="Avenir Next" w:hAnsi="Avenir Next" w:cs="Arial"/>
          <w:color w:val="7B7B7B" w:themeColor="accent3" w:themeShade="BF"/>
          <w:sz w:val="22"/>
          <w:szCs w:val="22"/>
        </w:rPr>
        <w:t xml:space="preserve">to ensure agreement of a restructuring plan at the early stages. </w:t>
      </w:r>
    </w:p>
    <w:p w14:paraId="76A5836C" w14:textId="77777777" w:rsidR="00C91AEE" w:rsidRDefault="00C91AEE" w:rsidP="000A3278">
      <w:pPr>
        <w:jc w:val="both"/>
        <w:rPr>
          <w:rFonts w:ascii="Avenir Next" w:hAnsi="Avenir Next" w:cs="Arial"/>
          <w:color w:val="7B7B7B" w:themeColor="accent3" w:themeShade="BF"/>
          <w:sz w:val="22"/>
          <w:szCs w:val="22"/>
        </w:rPr>
      </w:pPr>
    </w:p>
    <w:p w14:paraId="5F11F73B" w14:textId="2779BA78" w:rsidR="00C91AEE" w:rsidRDefault="00C91AE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2:</w:t>
      </w:r>
      <w:r w:rsidR="00E93D66">
        <w:rPr>
          <w:rFonts w:ascii="Avenir Next" w:hAnsi="Avenir Next" w:cs="Arial"/>
          <w:color w:val="7B7B7B" w:themeColor="accent3" w:themeShade="BF"/>
          <w:sz w:val="22"/>
          <w:szCs w:val="22"/>
        </w:rPr>
        <w:t xml:space="preserve"> Article 18</w:t>
      </w:r>
      <w:r w:rsidR="00433642">
        <w:rPr>
          <w:rFonts w:ascii="Avenir Next" w:hAnsi="Avenir Next" w:cs="Arial"/>
          <w:color w:val="7B7B7B" w:themeColor="accent3" w:themeShade="BF"/>
          <w:sz w:val="22"/>
          <w:szCs w:val="22"/>
        </w:rPr>
        <w:t xml:space="preserve"> EIR Recast </w:t>
      </w:r>
      <w:r w:rsidR="00BF4867">
        <w:rPr>
          <w:rFonts w:ascii="Avenir Next" w:hAnsi="Avenir Next" w:cs="Arial"/>
          <w:color w:val="7B7B7B" w:themeColor="accent3" w:themeShade="BF"/>
          <w:sz w:val="22"/>
          <w:szCs w:val="22"/>
        </w:rPr>
        <w:t>titled “</w:t>
      </w:r>
      <w:r w:rsidR="00BF4867" w:rsidRPr="00BF4867">
        <w:rPr>
          <w:rFonts w:ascii="Avenir Next" w:hAnsi="Avenir Next" w:cs="Arial"/>
          <w:color w:val="7B7B7B" w:themeColor="accent3" w:themeShade="BF"/>
          <w:sz w:val="22"/>
          <w:szCs w:val="22"/>
        </w:rPr>
        <w:t>Effects of insolvency proceedings on pending lawsuits or arbitral proceedings</w:t>
      </w:r>
      <w:r w:rsidR="00BF4867">
        <w:rPr>
          <w:rFonts w:ascii="Avenir Next" w:hAnsi="Avenir Next" w:cs="Arial"/>
          <w:color w:val="7B7B7B" w:themeColor="accent3" w:themeShade="BF"/>
          <w:sz w:val="22"/>
          <w:szCs w:val="22"/>
        </w:rPr>
        <w:t xml:space="preserve">” </w:t>
      </w:r>
      <w:r w:rsidR="0016459F">
        <w:rPr>
          <w:rFonts w:ascii="Avenir Next" w:hAnsi="Avenir Next" w:cs="Arial"/>
          <w:color w:val="7B7B7B" w:themeColor="accent3" w:themeShade="BF"/>
          <w:sz w:val="22"/>
          <w:szCs w:val="22"/>
        </w:rPr>
        <w:t xml:space="preserve">states that the effects </w:t>
      </w:r>
      <w:r w:rsidR="00FA0E19">
        <w:rPr>
          <w:rFonts w:ascii="Avenir Next" w:hAnsi="Avenir Next" w:cs="Arial"/>
          <w:color w:val="7B7B7B" w:themeColor="accent3" w:themeShade="BF"/>
          <w:sz w:val="22"/>
          <w:szCs w:val="22"/>
        </w:rPr>
        <w:t>insolvency on a pending lawsuit is subject to the law of the Member State</w:t>
      </w:r>
      <w:r w:rsidR="00C463A4">
        <w:rPr>
          <w:rFonts w:ascii="Avenir Next" w:hAnsi="Avenir Next" w:cs="Arial"/>
          <w:color w:val="7B7B7B" w:themeColor="accent3" w:themeShade="BF"/>
          <w:sz w:val="22"/>
          <w:szCs w:val="22"/>
        </w:rPr>
        <w:t xml:space="preserve"> (lex fori processus)</w:t>
      </w:r>
      <w:r w:rsidR="008F099A">
        <w:rPr>
          <w:rFonts w:ascii="Avenir Next" w:hAnsi="Avenir Next" w:cs="Arial"/>
          <w:color w:val="7B7B7B" w:themeColor="accent3" w:themeShade="BF"/>
          <w:sz w:val="22"/>
          <w:szCs w:val="22"/>
        </w:rPr>
        <w:t xml:space="preserv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1D213C63" w:rsidR="000A3278" w:rsidRDefault="005B4ED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 of the EIR Recast</w:t>
      </w:r>
      <w:r w:rsidR="0046309F">
        <w:rPr>
          <w:rFonts w:ascii="Avenir Next" w:hAnsi="Avenir Next" w:cs="Arial"/>
          <w:color w:val="7B7B7B" w:themeColor="accent3" w:themeShade="BF"/>
          <w:sz w:val="22"/>
          <w:szCs w:val="22"/>
        </w:rPr>
        <w:t xml:space="preserve">, specifically Recital 23, states that </w:t>
      </w:r>
      <w:r w:rsidR="004E67F5">
        <w:rPr>
          <w:rFonts w:ascii="Avenir Next" w:hAnsi="Avenir Next" w:cs="Arial"/>
          <w:color w:val="7B7B7B" w:themeColor="accent3" w:themeShade="BF"/>
          <w:sz w:val="22"/>
          <w:szCs w:val="22"/>
        </w:rPr>
        <w:t xml:space="preserve">secondary proceedings may be opened where a debtor has an establishment. Secondary proceedings are territorial in nature </w:t>
      </w:r>
      <w:r w:rsidR="002A19CC">
        <w:rPr>
          <w:rFonts w:ascii="Avenir Next" w:hAnsi="Avenir Next" w:cs="Arial"/>
          <w:color w:val="7B7B7B" w:themeColor="accent3" w:themeShade="BF"/>
          <w:sz w:val="22"/>
          <w:szCs w:val="22"/>
        </w:rPr>
        <w:t xml:space="preserve">as they relate to specific assets in the jurisdiction of the establishment which subsequently limits the scope of the main proceedings and departs from a universal approach. </w:t>
      </w:r>
    </w:p>
    <w:p w14:paraId="77126623" w14:textId="77777777" w:rsidR="002A19CC" w:rsidRDefault="002A19CC" w:rsidP="000A3278">
      <w:pPr>
        <w:jc w:val="both"/>
        <w:rPr>
          <w:rFonts w:ascii="Avenir Next" w:hAnsi="Avenir Next" w:cs="Arial"/>
          <w:color w:val="7B7B7B" w:themeColor="accent3" w:themeShade="BF"/>
          <w:sz w:val="22"/>
          <w:szCs w:val="22"/>
        </w:rPr>
      </w:pPr>
    </w:p>
    <w:p w14:paraId="4F214F05" w14:textId="380CA8C8" w:rsidR="002A19CC" w:rsidRDefault="0078253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19 of the EIR Recast </w:t>
      </w:r>
      <w:r w:rsidR="00631B5D">
        <w:rPr>
          <w:rFonts w:ascii="Avenir Next" w:hAnsi="Avenir Next" w:cs="Arial"/>
          <w:color w:val="7B7B7B" w:themeColor="accent3" w:themeShade="BF"/>
          <w:sz w:val="22"/>
          <w:szCs w:val="22"/>
        </w:rPr>
        <w:t>states that recognition of main proceedings does not prevent the opening of secondary (territorial) proceedings</w:t>
      </w:r>
      <w:r w:rsidR="002913DD">
        <w:rPr>
          <w:rFonts w:ascii="Avenir Next" w:hAnsi="Avenir Next" w:cs="Arial"/>
          <w:color w:val="7B7B7B" w:themeColor="accent3" w:themeShade="BF"/>
          <w:sz w:val="22"/>
          <w:szCs w:val="22"/>
        </w:rPr>
        <w:t xml:space="preserve"> thus departing from the concept of universalism. </w:t>
      </w:r>
    </w:p>
    <w:p w14:paraId="04EC41AB" w14:textId="77777777" w:rsidR="002913DD" w:rsidRDefault="002913DD" w:rsidP="000A3278">
      <w:pPr>
        <w:jc w:val="both"/>
        <w:rPr>
          <w:rFonts w:ascii="Avenir Next" w:hAnsi="Avenir Next" w:cs="Arial"/>
          <w:color w:val="7B7B7B" w:themeColor="accent3" w:themeShade="BF"/>
          <w:sz w:val="22"/>
          <w:szCs w:val="22"/>
        </w:rPr>
      </w:pPr>
    </w:p>
    <w:p w14:paraId="71AFC5CF" w14:textId="61BA5DC1" w:rsidR="002913DD" w:rsidRDefault="00A7759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EIR Recast does not include clear rules related to geographical jurisdiction</w:t>
      </w:r>
      <w:r w:rsidR="00A32BFD">
        <w:rPr>
          <w:rFonts w:ascii="Avenir Next" w:hAnsi="Avenir Next" w:cs="Arial"/>
          <w:color w:val="7B7B7B" w:themeColor="accent3" w:themeShade="BF"/>
          <w:sz w:val="22"/>
          <w:szCs w:val="22"/>
        </w:rPr>
        <w:t xml:space="preserve">. Where secondary proceedings are outside of the EU, national conflict of laws </w:t>
      </w:r>
      <w:r w:rsidR="00105842">
        <w:rPr>
          <w:rFonts w:ascii="Avenir Next" w:hAnsi="Avenir Next" w:cs="Arial"/>
          <w:color w:val="7B7B7B" w:themeColor="accent3" w:themeShade="BF"/>
          <w:sz w:val="22"/>
          <w:szCs w:val="22"/>
        </w:rPr>
        <w:t>rules should be applied to determine the outcome</w:t>
      </w:r>
      <w:r w:rsidR="00D62A27">
        <w:rPr>
          <w:rFonts w:ascii="Avenir Next" w:hAnsi="Avenir Next" w:cs="Arial"/>
          <w:color w:val="7B7B7B" w:themeColor="accent3" w:themeShade="BF"/>
          <w:sz w:val="22"/>
          <w:szCs w:val="22"/>
        </w:rPr>
        <w:t xml:space="preserve">. In certain scenarios, national insolvency laws prevail and this </w:t>
      </w:r>
      <w:r w:rsidR="00B31B7B">
        <w:rPr>
          <w:rFonts w:ascii="Avenir Next" w:hAnsi="Avenir Next" w:cs="Arial"/>
          <w:color w:val="7B7B7B" w:themeColor="accent3" w:themeShade="BF"/>
          <w:sz w:val="22"/>
          <w:szCs w:val="22"/>
        </w:rPr>
        <w:t xml:space="preserve">departs from the universalistic approach of the EIR Recast.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6D86E71B" w:rsidR="000A3278" w:rsidRDefault="00EA403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of the EIR Recast titled “Scope” </w:t>
      </w:r>
      <w:r w:rsidR="00F301B7">
        <w:rPr>
          <w:rFonts w:ascii="Avenir Next" w:hAnsi="Avenir Next" w:cs="Arial"/>
          <w:color w:val="7B7B7B" w:themeColor="accent3" w:themeShade="BF"/>
          <w:sz w:val="22"/>
          <w:szCs w:val="22"/>
        </w:rPr>
        <w:t>states that the EIR Recast applies to public collective proceedings, which are based on laws relating to insolvency</w:t>
      </w:r>
      <w:r w:rsidR="006769D5">
        <w:rPr>
          <w:rFonts w:ascii="Avenir Next" w:hAnsi="Avenir Next" w:cs="Arial"/>
          <w:color w:val="7B7B7B" w:themeColor="accent3" w:themeShade="BF"/>
          <w:sz w:val="22"/>
          <w:szCs w:val="22"/>
        </w:rPr>
        <w:t xml:space="preserve"> for the purpose of rescue, adjustment of debt, reorganisation or liquidation. </w:t>
      </w:r>
    </w:p>
    <w:p w14:paraId="639D77F6" w14:textId="77777777" w:rsidR="006769D5" w:rsidRDefault="006769D5" w:rsidP="000A3278">
      <w:pPr>
        <w:jc w:val="both"/>
        <w:rPr>
          <w:rFonts w:ascii="Avenir Next" w:hAnsi="Avenir Next" w:cs="Arial"/>
          <w:color w:val="7B7B7B" w:themeColor="accent3" w:themeShade="BF"/>
          <w:sz w:val="22"/>
          <w:szCs w:val="22"/>
        </w:rPr>
      </w:pPr>
    </w:p>
    <w:p w14:paraId="225AB86C" w14:textId="18489106" w:rsidR="006769D5" w:rsidRDefault="003119A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Articles 41, 42 and 43 of the EIR Recast </w:t>
      </w:r>
      <w:r w:rsidR="00EA6E1E">
        <w:rPr>
          <w:rFonts w:ascii="Avenir Next" w:hAnsi="Avenir Next" w:cs="Arial"/>
          <w:color w:val="7B7B7B" w:themeColor="accent3" w:themeShade="BF"/>
          <w:sz w:val="22"/>
          <w:szCs w:val="22"/>
        </w:rPr>
        <w:t xml:space="preserve">provide a framework for communication between insolvency practitioners, courts and courts/insolvency practitioners respectively. This helps to govern </w:t>
      </w:r>
      <w:r w:rsidR="00CF4256">
        <w:rPr>
          <w:rFonts w:ascii="Avenir Next" w:hAnsi="Avenir Next" w:cs="Arial"/>
          <w:color w:val="7B7B7B" w:themeColor="accent3" w:themeShade="BF"/>
          <w:sz w:val="22"/>
          <w:szCs w:val="22"/>
        </w:rPr>
        <w:t>and regulate national insolvency proceedings in Member States as cross-border communication and co-operation</w:t>
      </w:r>
      <w:r w:rsidR="00E7785A">
        <w:rPr>
          <w:rFonts w:ascii="Avenir Next" w:hAnsi="Avenir Next" w:cs="Arial"/>
          <w:color w:val="7B7B7B" w:themeColor="accent3" w:themeShade="BF"/>
          <w:sz w:val="22"/>
          <w:szCs w:val="22"/>
        </w:rPr>
        <w:t xml:space="preserve"> is more effective and efficient. </w:t>
      </w:r>
    </w:p>
    <w:p w14:paraId="490F72F8" w14:textId="77777777" w:rsidR="00E7785A" w:rsidRDefault="00E7785A" w:rsidP="000A3278">
      <w:pPr>
        <w:jc w:val="both"/>
        <w:rPr>
          <w:rFonts w:ascii="Avenir Next" w:hAnsi="Avenir Next" w:cs="Arial"/>
          <w:color w:val="7B7B7B" w:themeColor="accent3" w:themeShade="BF"/>
          <w:sz w:val="22"/>
          <w:szCs w:val="22"/>
        </w:rPr>
      </w:pPr>
    </w:p>
    <w:p w14:paraId="38DC353C" w14:textId="3E943222" w:rsidR="00E7785A" w:rsidRDefault="00E7785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24 of the EIR Recast </w:t>
      </w:r>
      <w:r w:rsidR="00113647">
        <w:rPr>
          <w:rFonts w:ascii="Avenir Next" w:hAnsi="Avenir Next" w:cs="Arial"/>
          <w:color w:val="7B7B7B" w:themeColor="accent3" w:themeShade="BF"/>
          <w:sz w:val="22"/>
          <w:szCs w:val="22"/>
        </w:rPr>
        <w:t xml:space="preserve">states that Member States must maintain insolvency registers which contain specific information regarding the insolvency proceedings in that Member State. This </w:t>
      </w:r>
      <w:r w:rsidR="00E17E0B">
        <w:rPr>
          <w:rFonts w:ascii="Avenir Next" w:hAnsi="Avenir Next" w:cs="Arial"/>
          <w:color w:val="7B7B7B" w:themeColor="accent3" w:themeShade="BF"/>
          <w:sz w:val="22"/>
          <w:szCs w:val="22"/>
        </w:rPr>
        <w:t xml:space="preserve">provides a publicly available source of information regarding insolvent debtors </w:t>
      </w:r>
      <w:r w:rsidR="00A71441">
        <w:rPr>
          <w:rFonts w:ascii="Avenir Next" w:hAnsi="Avenir Next" w:cs="Arial"/>
          <w:color w:val="7B7B7B" w:themeColor="accent3" w:themeShade="BF"/>
          <w:sz w:val="22"/>
          <w:szCs w:val="22"/>
        </w:rPr>
        <w:t xml:space="preserve">for creditors enabling them to </w:t>
      </w:r>
      <w:r w:rsidR="00A43FEA">
        <w:rPr>
          <w:rFonts w:ascii="Avenir Next" w:hAnsi="Avenir Next" w:cs="Arial"/>
          <w:color w:val="7B7B7B" w:themeColor="accent3" w:themeShade="BF"/>
          <w:sz w:val="22"/>
          <w:szCs w:val="22"/>
        </w:rPr>
        <w:t xml:space="preserve">lodge claims by deadlines that may be applicable. </w:t>
      </w:r>
    </w:p>
    <w:p w14:paraId="7476CDB6" w14:textId="77777777" w:rsidR="00A43FEA" w:rsidRDefault="00A43FEA" w:rsidP="000A3278">
      <w:pPr>
        <w:jc w:val="both"/>
        <w:rPr>
          <w:rFonts w:ascii="Avenir Next" w:hAnsi="Avenir Next" w:cs="Arial"/>
          <w:color w:val="7B7B7B" w:themeColor="accent3" w:themeShade="BF"/>
          <w:sz w:val="22"/>
          <w:szCs w:val="22"/>
        </w:rPr>
      </w:pPr>
    </w:p>
    <w:p w14:paraId="572227E7" w14:textId="71D3A24A" w:rsidR="0045683E" w:rsidRDefault="00A43FEA"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72 of the EIR Recast </w:t>
      </w:r>
      <w:r w:rsidR="00A5547D">
        <w:rPr>
          <w:rFonts w:ascii="Avenir Next" w:hAnsi="Avenir Next" w:cs="Arial"/>
          <w:color w:val="7B7B7B" w:themeColor="accent3" w:themeShade="BF"/>
          <w:sz w:val="22"/>
          <w:szCs w:val="22"/>
        </w:rPr>
        <w:t xml:space="preserve">states that </w:t>
      </w:r>
      <w:r w:rsidR="00E016E6">
        <w:rPr>
          <w:rFonts w:ascii="Avenir Next" w:hAnsi="Avenir Next" w:cs="Arial"/>
          <w:color w:val="7B7B7B" w:themeColor="accent3" w:themeShade="BF"/>
          <w:sz w:val="22"/>
          <w:szCs w:val="22"/>
        </w:rPr>
        <w:t xml:space="preserve">in the insolvency of a group, a group co-ordination plan has to be produced. This </w:t>
      </w:r>
      <w:r w:rsidR="009D75F4">
        <w:rPr>
          <w:rFonts w:ascii="Avenir Next" w:hAnsi="Avenir Next" w:cs="Arial"/>
          <w:color w:val="7B7B7B" w:themeColor="accent3" w:themeShade="BF"/>
          <w:sz w:val="22"/>
          <w:szCs w:val="22"/>
        </w:rPr>
        <w:t>relates to the reorgani</w:t>
      </w:r>
      <w:r w:rsidR="00770F9F">
        <w:rPr>
          <w:rFonts w:ascii="Avenir Next" w:hAnsi="Avenir Next" w:cs="Arial"/>
          <w:color w:val="7B7B7B" w:themeColor="accent3" w:themeShade="BF"/>
          <w:sz w:val="22"/>
          <w:szCs w:val="22"/>
        </w:rPr>
        <w:t>s</w:t>
      </w:r>
      <w:r w:rsidR="009D75F4">
        <w:rPr>
          <w:rFonts w:ascii="Avenir Next" w:hAnsi="Avenir Next" w:cs="Arial"/>
          <w:color w:val="7B7B7B" w:themeColor="accent3" w:themeShade="BF"/>
          <w:sz w:val="22"/>
          <w:szCs w:val="22"/>
        </w:rPr>
        <w:t xml:space="preserve">ation of the group and helps to rescue viable parts of the group thus </w:t>
      </w:r>
      <w:r w:rsidR="00770F9F">
        <w:rPr>
          <w:rFonts w:ascii="Avenir Next" w:hAnsi="Avenir Next" w:cs="Arial"/>
          <w:color w:val="7B7B7B" w:themeColor="accent3" w:themeShade="BF"/>
          <w:sz w:val="22"/>
          <w:szCs w:val="22"/>
        </w:rPr>
        <w:t xml:space="preserve">relating to the rescue/reorganisation scope of the EIR Recast. </w:t>
      </w:r>
    </w:p>
    <w:p w14:paraId="51553687" w14:textId="77777777" w:rsidR="00770F9F" w:rsidRPr="008E3C96" w:rsidRDefault="00770F9F"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6B27DAEC" w:rsidR="000A3278" w:rsidRDefault="00A10CD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41 of the EIR Recast provides for the co-operation between insolvency practitioners (of main and secondary proceedings)</w:t>
      </w:r>
      <w:r w:rsidR="00E2232E">
        <w:rPr>
          <w:rFonts w:ascii="Avenir Next" w:hAnsi="Avenir Next" w:cs="Arial"/>
          <w:color w:val="7B7B7B" w:themeColor="accent3" w:themeShade="BF"/>
          <w:sz w:val="22"/>
          <w:szCs w:val="22"/>
        </w:rPr>
        <w:t xml:space="preserve">. The EIR Recast states that the co-operation can take any form, such as agreements or protocols, </w:t>
      </w:r>
      <w:r w:rsidR="00603E96">
        <w:rPr>
          <w:rFonts w:ascii="Avenir Next" w:hAnsi="Avenir Next" w:cs="Arial"/>
          <w:color w:val="7B7B7B" w:themeColor="accent3" w:themeShade="BF"/>
          <w:sz w:val="22"/>
          <w:szCs w:val="22"/>
        </w:rPr>
        <w:t>requiring</w:t>
      </w:r>
      <w:r w:rsidR="009241D1">
        <w:rPr>
          <w:rFonts w:ascii="Avenir Next" w:hAnsi="Avenir Next" w:cs="Arial"/>
          <w:color w:val="7B7B7B" w:themeColor="accent3" w:themeShade="BF"/>
          <w:sz w:val="22"/>
          <w:szCs w:val="22"/>
        </w:rPr>
        <w:t xml:space="preserve"> negotiation between the insolvency practitioners </w:t>
      </w:r>
      <w:r w:rsidR="00603E96">
        <w:rPr>
          <w:rFonts w:ascii="Avenir Next" w:hAnsi="Avenir Next" w:cs="Arial"/>
          <w:color w:val="7B7B7B" w:themeColor="accent3" w:themeShade="BF"/>
          <w:sz w:val="22"/>
          <w:szCs w:val="22"/>
        </w:rPr>
        <w:t xml:space="preserve">and therefore the insolvency practitioner of the main proceeding has </w:t>
      </w:r>
      <w:r w:rsidR="00C62B35">
        <w:rPr>
          <w:rFonts w:ascii="Avenir Next" w:hAnsi="Avenir Next" w:cs="Arial"/>
          <w:color w:val="7B7B7B" w:themeColor="accent3" w:themeShade="BF"/>
          <w:sz w:val="22"/>
          <w:szCs w:val="22"/>
        </w:rPr>
        <w:t xml:space="preserve">the ability to control the conduct of the secondary proceedings. </w:t>
      </w:r>
    </w:p>
    <w:p w14:paraId="5D3462DD" w14:textId="77777777" w:rsidR="00C62B35" w:rsidRDefault="00C62B35" w:rsidP="000A3278">
      <w:pPr>
        <w:jc w:val="both"/>
        <w:rPr>
          <w:rFonts w:ascii="Avenir Next" w:hAnsi="Avenir Next" w:cs="Arial"/>
          <w:color w:val="7B7B7B" w:themeColor="accent3" w:themeShade="BF"/>
          <w:sz w:val="22"/>
          <w:szCs w:val="22"/>
        </w:rPr>
      </w:pPr>
    </w:p>
    <w:p w14:paraId="4654A431" w14:textId="312C8E90" w:rsidR="00C62B35" w:rsidRDefault="00CC628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36 of the EIR Recast allows for the insolvency practitioner to provide an undertaking </w:t>
      </w:r>
      <w:r w:rsidR="005B5294">
        <w:rPr>
          <w:rFonts w:ascii="Avenir Next" w:hAnsi="Avenir Next" w:cs="Arial"/>
          <w:color w:val="7B7B7B" w:themeColor="accent3" w:themeShade="BF"/>
          <w:sz w:val="22"/>
          <w:szCs w:val="22"/>
        </w:rPr>
        <w:t>in respect of local assets in other jurisdictions</w:t>
      </w:r>
      <w:r w:rsidR="00300000">
        <w:rPr>
          <w:rFonts w:ascii="Avenir Next" w:hAnsi="Avenir Next" w:cs="Arial"/>
          <w:color w:val="7B7B7B" w:themeColor="accent3" w:themeShade="BF"/>
          <w:sz w:val="22"/>
          <w:szCs w:val="22"/>
        </w:rPr>
        <w:t xml:space="preserve"> (providing certain assumptions are met). </w:t>
      </w:r>
      <w:r w:rsidR="00CE0158">
        <w:rPr>
          <w:rFonts w:ascii="Avenir Next" w:hAnsi="Avenir Next" w:cs="Arial"/>
          <w:color w:val="7B7B7B" w:themeColor="accent3" w:themeShade="BF"/>
          <w:sz w:val="22"/>
          <w:szCs w:val="22"/>
        </w:rPr>
        <w:t xml:space="preserve">Providing the undertaking </w:t>
      </w:r>
      <w:r w:rsidR="0085668F">
        <w:rPr>
          <w:rFonts w:ascii="Avenir Next" w:hAnsi="Avenir Next" w:cs="Arial"/>
          <w:color w:val="7B7B7B" w:themeColor="accent3" w:themeShade="BF"/>
          <w:sz w:val="22"/>
          <w:szCs w:val="22"/>
        </w:rPr>
        <w:t xml:space="preserve">adequately protects the interests of local creditors, the insolvency practitioner of the main proceeding may request </w:t>
      </w:r>
      <w:r w:rsidR="00FF3CBA">
        <w:rPr>
          <w:rFonts w:ascii="Avenir Next" w:hAnsi="Avenir Next" w:cs="Arial"/>
          <w:color w:val="7B7B7B" w:themeColor="accent3" w:themeShade="BF"/>
          <w:sz w:val="22"/>
          <w:szCs w:val="22"/>
        </w:rPr>
        <w:t xml:space="preserve">the court to not open secondary proceedings. This is known as “synthetic proceedings”. </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54FAE890" w:rsidR="000A3278" w:rsidRDefault="009D2F2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After 15 years of existence, the European Commission presented a report outlining the fact that the EIR 2000 needed revising. The EIR Recast incorporated adjustments to </w:t>
      </w:r>
      <w:r w:rsidR="00F56815">
        <w:rPr>
          <w:rFonts w:ascii="Avenir Next" w:hAnsi="Avenir Next" w:cs="Arial"/>
          <w:color w:val="7B7B7B" w:themeColor="accent3" w:themeShade="BF"/>
          <w:sz w:val="22"/>
          <w:szCs w:val="22"/>
        </w:rPr>
        <w:t xml:space="preserve">provisions as well as entirely new rules. </w:t>
      </w:r>
    </w:p>
    <w:p w14:paraId="210E4965" w14:textId="77777777" w:rsidR="00F56815" w:rsidRDefault="00F56815" w:rsidP="000A3278">
      <w:pPr>
        <w:jc w:val="both"/>
        <w:rPr>
          <w:rFonts w:ascii="Avenir Next" w:hAnsi="Avenir Next" w:cs="Arial"/>
          <w:color w:val="7B7B7B" w:themeColor="accent3" w:themeShade="BF"/>
          <w:sz w:val="22"/>
          <w:szCs w:val="22"/>
        </w:rPr>
      </w:pPr>
    </w:p>
    <w:p w14:paraId="0EA87FEF" w14:textId="4E6DF90E" w:rsidR="00F56815" w:rsidRDefault="00F5681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element which was identified by the European Commission as requiring revision was determining the Centre of Main Interests (COMI). The EIR Recast made COMI more predictable by introducing presumptions regarding the location of COMI rather than making the definition stricter. The main presumption was that the COMI was the registered office for a company or legal person (providing the registered office had not moved in the three months’ prior). </w:t>
      </w:r>
    </w:p>
    <w:p w14:paraId="1B7D41A4" w14:textId="77777777" w:rsidR="00F56815" w:rsidRDefault="00F56815" w:rsidP="000A3278">
      <w:pPr>
        <w:jc w:val="both"/>
        <w:rPr>
          <w:rFonts w:ascii="Avenir Next" w:hAnsi="Avenir Next" w:cs="Arial"/>
          <w:color w:val="7B7B7B" w:themeColor="accent3" w:themeShade="BF"/>
          <w:sz w:val="22"/>
          <w:szCs w:val="22"/>
        </w:rPr>
      </w:pPr>
    </w:p>
    <w:p w14:paraId="750BE6F1" w14:textId="77777777" w:rsidR="003F5BA7" w:rsidRDefault="00F5681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addition to this, another element that was identified as needing provision was the accessibility and </w:t>
      </w:r>
      <w:r w:rsidR="003F5BA7">
        <w:rPr>
          <w:rFonts w:ascii="Avenir Next" w:hAnsi="Avenir Next" w:cs="Arial"/>
          <w:color w:val="7B7B7B" w:themeColor="accent3" w:themeShade="BF"/>
          <w:sz w:val="22"/>
          <w:szCs w:val="22"/>
        </w:rPr>
        <w:t xml:space="preserve">availability of debtor information for creditors. The EIR Recast requires Member States to establish and maintain insolvency registerers which contain information regarding insolvency proceedings. The EIR Recast also includes the minimum amount of information which must be included in the registers and states that information must be published as soon as possible after the commencement of proceedings. </w:t>
      </w:r>
    </w:p>
    <w:p w14:paraId="0D66D475" w14:textId="77777777" w:rsidR="003F5BA7" w:rsidRDefault="003F5BA7" w:rsidP="000A3278">
      <w:pPr>
        <w:jc w:val="both"/>
        <w:rPr>
          <w:rFonts w:ascii="Avenir Next" w:hAnsi="Avenir Next" w:cs="Arial"/>
          <w:color w:val="7B7B7B" w:themeColor="accent3" w:themeShade="BF"/>
          <w:sz w:val="22"/>
          <w:szCs w:val="22"/>
        </w:rPr>
      </w:pPr>
    </w:p>
    <w:p w14:paraId="597F7A6A" w14:textId="77777777" w:rsidR="003F5BA7" w:rsidRDefault="003F5BA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Furthermore, it was identified that secondary proceedings were limited to liquidation proceedings under the EIR 2000. Whereas, the EIR Recast is aimed at restricting the opening of secondary proceedings by introducing the concept of “synthetic secondary proceedings” through the provision of an undertaking by the insolvency practitioner of the main proceedings. This reduced the </w:t>
      </w:r>
      <w:r>
        <w:rPr>
          <w:rFonts w:ascii="Avenir Next" w:hAnsi="Avenir Next" w:cs="Arial"/>
          <w:color w:val="7B7B7B" w:themeColor="accent3" w:themeShade="BF"/>
          <w:sz w:val="22"/>
          <w:szCs w:val="22"/>
        </w:rPr>
        <w:lastRenderedPageBreak/>
        <w:t xml:space="preserve">administrative burden of opening secondary proceedings and lack of co-operation between concurrent proceedings. </w:t>
      </w:r>
    </w:p>
    <w:p w14:paraId="244733B7" w14:textId="77777777" w:rsidR="003F5BA7" w:rsidRDefault="003F5BA7" w:rsidP="000A3278">
      <w:pPr>
        <w:jc w:val="both"/>
        <w:rPr>
          <w:rFonts w:ascii="Avenir Next" w:hAnsi="Avenir Next" w:cs="Arial"/>
          <w:color w:val="7B7B7B" w:themeColor="accent3" w:themeShade="BF"/>
          <w:sz w:val="22"/>
          <w:szCs w:val="22"/>
        </w:rPr>
      </w:pPr>
    </w:p>
    <w:p w14:paraId="32421195" w14:textId="01837981" w:rsidR="00F56815" w:rsidRDefault="003F5BA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When secondary proceedings are opened, the insolvency practitioners and courts in cross-border jurisdictions must co-operate. The EIR Recast introduced a entirely new framework for co-operation and coordination of group and concurrent proceedings</w:t>
      </w:r>
      <w:r w:rsidR="00806EC9">
        <w:rPr>
          <w:rFonts w:ascii="Avenir Next" w:hAnsi="Avenir Next" w:cs="Arial"/>
          <w:color w:val="7B7B7B" w:themeColor="accent3" w:themeShade="BF"/>
          <w:sz w:val="22"/>
          <w:szCs w:val="22"/>
        </w:rPr>
        <w:t xml:space="preserve"> as it was identified that the EIR 2000 did not sufficiently provide guidance to insolvency practitioners and courts for co-operation during proceedings.</w:t>
      </w:r>
    </w:p>
    <w:p w14:paraId="3EC960C9" w14:textId="77777777" w:rsidR="00806EC9" w:rsidRDefault="00806EC9" w:rsidP="000A3278">
      <w:pPr>
        <w:jc w:val="both"/>
        <w:rPr>
          <w:rFonts w:ascii="Avenir Next" w:hAnsi="Avenir Next" w:cs="Arial"/>
          <w:color w:val="7B7B7B" w:themeColor="accent3" w:themeShade="BF"/>
          <w:sz w:val="22"/>
          <w:szCs w:val="22"/>
        </w:rPr>
      </w:pPr>
    </w:p>
    <w:p w14:paraId="10A35A4B" w14:textId="21F0103B" w:rsidR="00F56815" w:rsidRDefault="00626A9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Finally, it was identified that the EIR 2000 was limited in its scope of application and the EIR Recast extended the material scope. This included the inclusion of restructuring proceedings where there is a likelihood of insolvency. </w:t>
      </w:r>
    </w:p>
    <w:p w14:paraId="337EC042" w14:textId="77777777" w:rsidR="009D2F21" w:rsidRDefault="009D2F21"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05F3BA87" w:rsidR="000A3278" w:rsidRDefault="00E2659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European Commission has praised the use of centre of main interests (COMI) concept as it is thought that the debtor has a genuine connection with the jurisdiction in which it has its centre of main interests. Therefore, this ensures that the applicable legal framework to the insolvency matches the law applicable to creditors of the debtor. This enables creditors to foresee legal risks as they are familiar with the legal system as they are likely to be located and reside in the same jurisdiction as the COMI. </w:t>
      </w:r>
    </w:p>
    <w:p w14:paraId="61D988B4" w14:textId="77777777" w:rsidR="00E26590" w:rsidRDefault="00E26590" w:rsidP="000A3278">
      <w:pPr>
        <w:jc w:val="both"/>
        <w:rPr>
          <w:rFonts w:ascii="Avenir Next" w:hAnsi="Avenir Next" w:cs="Arial"/>
          <w:color w:val="7B7B7B" w:themeColor="accent3" w:themeShade="BF"/>
          <w:sz w:val="22"/>
          <w:szCs w:val="22"/>
        </w:rPr>
      </w:pPr>
    </w:p>
    <w:p w14:paraId="4C209DE9" w14:textId="2E2D7703" w:rsidR="00E26590" w:rsidRDefault="00E2659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some EU institutions believe that the concept of COMI can be vague and difficult to determine as there is limited guidance available which provides a practical test to assert the COMI. Further to this, a debtor’s COMI is also at risk of manipulation as it can be changed to be perceived as an alternative jurisdiction.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0DC67BF8" w:rsidR="000A3278" w:rsidRDefault="000A165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Directive on Preventive Restructuring (Directive) which came into effect in 2019 was aimed at harmonizing national insolvency laws on preventive restructuring of EU member states whereas the European Insolvency Regulation (EIR) was focused at harmonizing the core national insolvency laws of EU member states. The Directive was introduced to provide debtors with access to tools to identify the warning signs of insolvency and apply preventive restructuring measures to promote the rescue of viable businesses.</w:t>
      </w:r>
    </w:p>
    <w:p w14:paraId="198CE7E2" w14:textId="77777777" w:rsidR="000A165E" w:rsidRDefault="000A165E" w:rsidP="000A3278">
      <w:pPr>
        <w:jc w:val="both"/>
        <w:rPr>
          <w:rFonts w:ascii="Avenir Next" w:hAnsi="Avenir Next" w:cs="Arial"/>
          <w:color w:val="7B7B7B" w:themeColor="accent3" w:themeShade="BF"/>
          <w:sz w:val="22"/>
          <w:szCs w:val="22"/>
        </w:rPr>
      </w:pPr>
    </w:p>
    <w:p w14:paraId="58017A6C" w14:textId="4830C6F1" w:rsidR="000A165E" w:rsidRDefault="000A165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Directive set common objective, in the form of principles or targeted rules, which were aimed at </w:t>
      </w:r>
      <w:r w:rsidR="00A8761C">
        <w:rPr>
          <w:rFonts w:ascii="Avenir Next" w:hAnsi="Avenir Next" w:cs="Arial"/>
          <w:color w:val="7B7B7B" w:themeColor="accent3" w:themeShade="BF"/>
          <w:sz w:val="22"/>
          <w:szCs w:val="22"/>
        </w:rPr>
        <w:t xml:space="preserve">achieving coherence between EU insolvency frameworks. The principles would be applied in the relevant contexts and gave EU member states flexibility on their application. Whereas, the EIR was a </w:t>
      </w:r>
      <w:r w:rsidR="00A8761C">
        <w:rPr>
          <w:rFonts w:ascii="Avenir Next" w:hAnsi="Avenir Next" w:cs="Arial"/>
          <w:color w:val="7B7B7B" w:themeColor="accent3" w:themeShade="BF"/>
          <w:sz w:val="22"/>
          <w:szCs w:val="22"/>
        </w:rPr>
        <w:lastRenderedPageBreak/>
        <w:t xml:space="preserve">set of unified rules on international insolvency applicable to certain aspects of cross-border restructuring to ensure efficiency and effectiveness of insolvency proceedings.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7F865DF5" w14:textId="3094DEDC" w:rsidR="003748EA" w:rsidRDefault="003748EA" w:rsidP="000A252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EIR 2000 has jurisdiction over insolvency proceedings opened in France as France is an EU member state</w:t>
      </w:r>
      <w:r w:rsidR="00CA438A">
        <w:rPr>
          <w:rFonts w:ascii="Avenir Next" w:hAnsi="Avenir Next" w:cs="Arial"/>
          <w:color w:val="7B7B7B" w:themeColor="accent3" w:themeShade="BF"/>
          <w:sz w:val="22"/>
          <w:szCs w:val="22"/>
        </w:rPr>
        <w:t xml:space="preserve">. </w:t>
      </w:r>
      <w:r w:rsidR="00CA438A" w:rsidRPr="00CA438A">
        <w:rPr>
          <w:rFonts w:ascii="Avenir Next" w:hAnsi="Avenir Next" w:cs="Arial"/>
          <w:color w:val="7B7B7B" w:themeColor="accent3" w:themeShade="BF"/>
          <w:sz w:val="22"/>
          <w:szCs w:val="22"/>
        </w:rPr>
        <w:t>Dinosaurus SARL</w:t>
      </w:r>
      <w:r w:rsidR="00CA438A">
        <w:rPr>
          <w:rFonts w:ascii="Avenir Next" w:hAnsi="Avenir Next" w:cs="Arial"/>
          <w:color w:val="7B7B7B" w:themeColor="accent3" w:themeShade="BF"/>
          <w:sz w:val="22"/>
          <w:szCs w:val="22"/>
        </w:rPr>
        <w:t xml:space="preserve"> also carries out its business throughout the EU so any insolvency proceedings would have cross-border issues. Where the EIR 2000 applies, a main proceeding would have universal scope of the debtor’s assets throughout the EU.</w:t>
      </w:r>
    </w:p>
    <w:p w14:paraId="14117C05" w14:textId="77777777" w:rsidR="003748EA" w:rsidRDefault="003748EA" w:rsidP="000A2528">
      <w:pPr>
        <w:jc w:val="both"/>
        <w:rPr>
          <w:rFonts w:ascii="Avenir Next" w:hAnsi="Avenir Next" w:cs="Arial"/>
          <w:color w:val="7B7B7B" w:themeColor="accent3" w:themeShade="BF"/>
          <w:sz w:val="22"/>
          <w:szCs w:val="22"/>
        </w:rPr>
      </w:pPr>
    </w:p>
    <w:p w14:paraId="2CFB1665" w14:textId="7355EB46" w:rsidR="000A2528" w:rsidRDefault="000A2528" w:rsidP="000A252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EIR 2000 only applie</w:t>
      </w:r>
      <w:r w:rsidR="00CA438A">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to proceedings where there was a total or partial divestment of a debtor and the appointment of a liquidator (Article 1 of the EIR 2000). Safeguard proceedings allow companies that are experiencing financial difficulty, but not yet in a state of cessation of payments, to obtain a stay on payments and the suspension of judicial proceedings.</w:t>
      </w:r>
    </w:p>
    <w:p w14:paraId="0BA586BF" w14:textId="3796FEE1" w:rsidR="000A3278" w:rsidRDefault="000A3278" w:rsidP="000A3278">
      <w:pPr>
        <w:jc w:val="both"/>
        <w:rPr>
          <w:rFonts w:ascii="Avenir Next" w:hAnsi="Avenir Next" w:cs="Arial"/>
          <w:color w:val="7B7B7B" w:themeColor="accent3" w:themeShade="BF"/>
          <w:sz w:val="22"/>
          <w:szCs w:val="22"/>
        </w:rPr>
      </w:pPr>
    </w:p>
    <w:p w14:paraId="01C1A751" w14:textId="036C2451" w:rsidR="000A2528" w:rsidRDefault="000A252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commencement of safeguard proceedings does not involve the appointment of a liquidator and is aimed at rescuing an economically viable business where there is a likelihood of insolvency.  </w:t>
      </w:r>
    </w:p>
    <w:p w14:paraId="2DAF8632" w14:textId="77777777" w:rsidR="000A2528" w:rsidRDefault="000A2528" w:rsidP="000A3278">
      <w:pPr>
        <w:jc w:val="both"/>
        <w:rPr>
          <w:rFonts w:ascii="Avenir Next" w:hAnsi="Avenir Next" w:cs="Arial"/>
          <w:color w:val="7B7B7B" w:themeColor="accent3" w:themeShade="BF"/>
          <w:sz w:val="22"/>
          <w:szCs w:val="22"/>
        </w:rPr>
      </w:pPr>
    </w:p>
    <w:p w14:paraId="64285294" w14:textId="5031D287" w:rsidR="000A2528" w:rsidRDefault="000A252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Therefore, the EIR 2000 will not apply to the safeguard proceedings as they are not a “traditional” insolvency proceeding</w:t>
      </w:r>
      <w:r w:rsidR="00CA438A">
        <w:rPr>
          <w:rFonts w:ascii="Avenir Next" w:hAnsi="Avenir Next" w:cs="Arial"/>
          <w:color w:val="7B7B7B" w:themeColor="accent3" w:themeShade="BF"/>
          <w:sz w:val="22"/>
          <w:szCs w:val="22"/>
        </w:rPr>
        <w:t>; do not involve the appointment of a liquidator;</w:t>
      </w:r>
      <w:r>
        <w:rPr>
          <w:rFonts w:ascii="Avenir Next" w:hAnsi="Avenir Next" w:cs="Arial"/>
          <w:color w:val="7B7B7B" w:themeColor="accent3" w:themeShade="BF"/>
          <w:sz w:val="22"/>
          <w:szCs w:val="22"/>
        </w:rPr>
        <w:t xml:space="preserve"> and instead are a preventive restructuring measure which does not fall under the scope of the EIR 2000.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0274269E" w:rsidR="000A3278" w:rsidRDefault="0065198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scope of the EIR Recast applies to “public collective proceedings which are based on laws relating to insolvency for the purpose of rescue, adjustment of debt, reorganization or liquidation.”</w:t>
      </w:r>
    </w:p>
    <w:p w14:paraId="63FF2365" w14:textId="77777777" w:rsidR="00651985" w:rsidRDefault="00651985" w:rsidP="000A3278">
      <w:pPr>
        <w:jc w:val="both"/>
        <w:rPr>
          <w:rFonts w:ascii="Avenir Next" w:hAnsi="Avenir Next" w:cs="Arial"/>
          <w:color w:val="7B7B7B" w:themeColor="accent3" w:themeShade="BF"/>
          <w:sz w:val="22"/>
          <w:szCs w:val="22"/>
        </w:rPr>
      </w:pPr>
    </w:p>
    <w:p w14:paraId="19E88E0E" w14:textId="1F31F770" w:rsidR="00651985" w:rsidRDefault="0065198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Safeguard proceedings allow companies that are experiencing financial difficulty, but not yet in a state of cessation of payments, to obtain a stay on payments and the suspension of judicial proceedings.</w:t>
      </w:r>
    </w:p>
    <w:p w14:paraId="03E3289A" w14:textId="77777777" w:rsidR="00651985" w:rsidRDefault="00651985" w:rsidP="000A3278">
      <w:pPr>
        <w:jc w:val="both"/>
        <w:rPr>
          <w:rFonts w:ascii="Avenir Next" w:hAnsi="Avenir Next" w:cs="Arial"/>
          <w:color w:val="7B7B7B" w:themeColor="accent3" w:themeShade="BF"/>
          <w:sz w:val="22"/>
          <w:szCs w:val="22"/>
        </w:rPr>
      </w:pPr>
    </w:p>
    <w:p w14:paraId="5EA5C9A2" w14:textId="44FF6597" w:rsidR="00651985" w:rsidRDefault="0065198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Therefore, the proceedings that have been opened by the French High Court fall under the scope of the EIR Recast. Article 1 states that qualifying insolvency proceedings may involve “a temporary stay of individual enforcement proceedings that is granted by the court or by operation of law” and the safeguard proceedings would fall into this category. </w:t>
      </w:r>
    </w:p>
    <w:p w14:paraId="39399B33" w14:textId="77777777" w:rsidR="00EE3E56" w:rsidRDefault="00EE3E56" w:rsidP="000A3278">
      <w:pPr>
        <w:jc w:val="both"/>
        <w:rPr>
          <w:rFonts w:ascii="Avenir Next" w:hAnsi="Avenir Next" w:cs="Arial"/>
          <w:color w:val="7B7B7B" w:themeColor="accent3" w:themeShade="BF"/>
          <w:sz w:val="22"/>
          <w:szCs w:val="22"/>
        </w:rPr>
      </w:pPr>
    </w:p>
    <w:p w14:paraId="18AACCA6" w14:textId="7A9E0417" w:rsidR="00EE3E56" w:rsidRDefault="00EE3E5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Furthermore, France is an EU member state so therefore the EIR Recast would apply to qualifying proceedings opened in the jurisdiction. </w:t>
      </w:r>
    </w:p>
    <w:p w14:paraId="488BF60C" w14:textId="77777777" w:rsidR="00EE3E56" w:rsidRDefault="00EE3E56" w:rsidP="000A3278">
      <w:pPr>
        <w:jc w:val="both"/>
        <w:rPr>
          <w:rFonts w:ascii="Avenir Next" w:hAnsi="Avenir Next" w:cs="Arial"/>
          <w:color w:val="7B7B7B" w:themeColor="accent3" w:themeShade="BF"/>
          <w:sz w:val="22"/>
          <w:szCs w:val="22"/>
        </w:rPr>
      </w:pPr>
    </w:p>
    <w:p w14:paraId="6EBE1F05" w14:textId="0F456D52" w:rsidR="00EE3E56" w:rsidRDefault="00EE3E5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extends to proceedings which are aimed at rescuing economically financial businesses which are experiencing financial distress. It is clear that </w:t>
      </w:r>
      <w:r w:rsidRPr="00EE3E56">
        <w:rPr>
          <w:rFonts w:ascii="Avenir Next" w:hAnsi="Avenir Next" w:cs="Arial"/>
          <w:color w:val="7B7B7B" w:themeColor="accent3" w:themeShade="BF"/>
          <w:sz w:val="22"/>
          <w:szCs w:val="22"/>
        </w:rPr>
        <w:t>Dinosaurus SARL</w:t>
      </w:r>
      <w:r>
        <w:rPr>
          <w:rFonts w:ascii="Avenir Next" w:hAnsi="Avenir Next" w:cs="Arial"/>
          <w:color w:val="7B7B7B" w:themeColor="accent3" w:themeShade="BF"/>
          <w:sz w:val="22"/>
          <w:szCs w:val="22"/>
        </w:rPr>
        <w:t xml:space="preserve"> is experiencing financial </w:t>
      </w:r>
      <w:r w:rsidR="00CA438A">
        <w:rPr>
          <w:rFonts w:ascii="Avenir Next" w:hAnsi="Avenir Next" w:cs="Arial"/>
          <w:color w:val="7B7B7B" w:themeColor="accent3" w:themeShade="BF"/>
          <w:sz w:val="22"/>
          <w:szCs w:val="22"/>
        </w:rPr>
        <w:t>distress,</w:t>
      </w:r>
      <w:r>
        <w:rPr>
          <w:rFonts w:ascii="Avenir Next" w:hAnsi="Avenir Next" w:cs="Arial"/>
          <w:color w:val="7B7B7B" w:themeColor="accent3" w:themeShade="BF"/>
          <w:sz w:val="22"/>
          <w:szCs w:val="22"/>
        </w:rPr>
        <w:t xml:space="preserve"> and the opening of safeguard proceedings will allow them to negotiate with creditors regarding outstanding debts without the risk of insolvency proceedings or other arbitration being brough against them. The proceedings are aimed at restructuring where there is a likelihood of insolvency which the EIR Recast notes its application to under Article 1, Recital 10. </w:t>
      </w:r>
    </w:p>
    <w:p w14:paraId="02B81126" w14:textId="77777777" w:rsidR="000A2528" w:rsidRDefault="000A2528" w:rsidP="000A3278">
      <w:pPr>
        <w:jc w:val="both"/>
        <w:rPr>
          <w:rFonts w:ascii="Avenir Next" w:hAnsi="Avenir Next" w:cs="Arial"/>
          <w:color w:val="7B7B7B" w:themeColor="accent3" w:themeShade="BF"/>
          <w:sz w:val="22"/>
          <w:szCs w:val="22"/>
        </w:rPr>
      </w:pPr>
    </w:p>
    <w:p w14:paraId="62FBD8A3" w14:textId="7B397C8B" w:rsidR="000A2528" w:rsidRDefault="000A252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Additionally, the EIR Recast applied to proceedings which commenced after 26 June 2017. All proceedings which fall under the scope of the EIR Recast are listed in Annex A of the framework.</w:t>
      </w:r>
    </w:p>
    <w:p w14:paraId="2CCB9455" w14:textId="77777777" w:rsidR="00EE3E56" w:rsidRDefault="00EE3E56" w:rsidP="000A3278">
      <w:pPr>
        <w:jc w:val="both"/>
        <w:rPr>
          <w:rFonts w:ascii="Avenir Next" w:hAnsi="Avenir Next" w:cs="Arial"/>
          <w:color w:val="7B7B7B" w:themeColor="accent3" w:themeShade="BF"/>
          <w:sz w:val="22"/>
          <w:szCs w:val="22"/>
        </w:rPr>
      </w:pPr>
    </w:p>
    <w:p w14:paraId="1F440B06" w14:textId="68C185FE" w:rsidR="00EE3E56" w:rsidRDefault="00EE3E5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summary, the EIR Recast would apply to the safeguard proceedings opened by the French High Court on 23 June 2023. </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78AEAE30" w:rsidR="000A3278" w:rsidRDefault="0051160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accordance with Article 2 (10) of the EIR Recast, secondary insolvency proceedings can be opened in an EU Member State where a debtor has an </w:t>
      </w:r>
      <w:r w:rsidR="00F92149">
        <w:rPr>
          <w:rFonts w:ascii="Avenir Next" w:hAnsi="Avenir Next" w:cs="Arial"/>
          <w:color w:val="7B7B7B" w:themeColor="accent3" w:themeShade="BF"/>
          <w:sz w:val="22"/>
          <w:szCs w:val="22"/>
        </w:rPr>
        <w:t xml:space="preserve">establishment. Under the EIR Recast, an establishment is defined as a “place of operations where a debtor carries out or has carried out non-transitory economic activity with human means and assets.” The establishment must also have been opened for longer than three months prior to the petition being filed. </w:t>
      </w:r>
    </w:p>
    <w:p w14:paraId="5BC51B1B" w14:textId="77777777" w:rsidR="00F92149" w:rsidRDefault="00F92149" w:rsidP="000A3278">
      <w:pPr>
        <w:jc w:val="both"/>
        <w:rPr>
          <w:rFonts w:ascii="Avenir Next" w:hAnsi="Avenir Next" w:cs="Arial"/>
          <w:color w:val="7B7B7B" w:themeColor="accent3" w:themeShade="BF"/>
          <w:sz w:val="22"/>
          <w:szCs w:val="22"/>
        </w:rPr>
      </w:pPr>
    </w:p>
    <w:p w14:paraId="2C53BAD2" w14:textId="02472956" w:rsidR="00F92149" w:rsidRDefault="00F92149" w:rsidP="000A3278">
      <w:pPr>
        <w:jc w:val="both"/>
        <w:rPr>
          <w:rFonts w:ascii="Avenir Next" w:hAnsi="Avenir Next" w:cs="Arial"/>
          <w:color w:val="7B7B7B" w:themeColor="accent3" w:themeShade="BF"/>
          <w:sz w:val="22"/>
          <w:szCs w:val="22"/>
        </w:rPr>
      </w:pPr>
      <w:r w:rsidRPr="00F92149">
        <w:rPr>
          <w:rFonts w:ascii="Avenir Next" w:hAnsi="Avenir Next" w:cs="Arial"/>
          <w:color w:val="7B7B7B" w:themeColor="accent3" w:themeShade="BF"/>
          <w:sz w:val="22"/>
          <w:szCs w:val="22"/>
        </w:rPr>
        <w:lastRenderedPageBreak/>
        <w:t>Dinosaurus SARL</w:t>
      </w:r>
      <w:r>
        <w:rPr>
          <w:rFonts w:ascii="Avenir Next" w:hAnsi="Avenir Next" w:cs="Arial"/>
          <w:color w:val="7B7B7B" w:themeColor="accent3" w:themeShade="BF"/>
          <w:sz w:val="22"/>
          <w:szCs w:val="22"/>
        </w:rPr>
        <w:t xml:space="preserve"> has its main warehouse in Spain which for the purposes of opening secondary insolvency proceedings would meet the criteria of an establishment. This is because the warehouse was opened longer than three months prior to the petition and there are human means at the warehouse. </w:t>
      </w:r>
    </w:p>
    <w:p w14:paraId="27834E8D" w14:textId="77777777" w:rsidR="00F92149" w:rsidRDefault="00F92149" w:rsidP="000A3278">
      <w:pPr>
        <w:jc w:val="both"/>
        <w:rPr>
          <w:rFonts w:ascii="Avenir Next" w:hAnsi="Avenir Next" w:cs="Arial"/>
          <w:color w:val="7B7B7B" w:themeColor="accent3" w:themeShade="BF"/>
          <w:sz w:val="22"/>
          <w:szCs w:val="22"/>
        </w:rPr>
      </w:pPr>
    </w:p>
    <w:p w14:paraId="24D1641D" w14:textId="0D4BED1F" w:rsidR="00F92149" w:rsidRDefault="00F9214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Therefore, secondary proceedings can be opened in Spain. The secondary proceedings in Spain would be limited to the assets located in Spain and therefore do not take a universal approach like the main proceedings would. The secondary proceedings would protect the interests of local creditors in Spain and create a second insolvency estate to enhance the handling of dealing with the complex insolvency of </w:t>
      </w:r>
      <w:r w:rsidRPr="00F92149">
        <w:rPr>
          <w:rFonts w:ascii="Avenir Next" w:hAnsi="Avenir Next" w:cs="Arial"/>
          <w:color w:val="7B7B7B" w:themeColor="accent3" w:themeShade="BF"/>
          <w:sz w:val="22"/>
          <w:szCs w:val="22"/>
        </w:rPr>
        <w:t>Dinosaurus SARL</w:t>
      </w:r>
      <w:r>
        <w:rPr>
          <w:rFonts w:ascii="Avenir Next" w:hAnsi="Avenir Next" w:cs="Arial"/>
          <w:color w:val="7B7B7B" w:themeColor="accent3" w:themeShade="BF"/>
          <w:sz w:val="22"/>
          <w:szCs w:val="22"/>
        </w:rPr>
        <w:t xml:space="preserve"> by supporting the main proceeding. </w:t>
      </w:r>
    </w:p>
    <w:p w14:paraId="23EA4F32" w14:textId="77777777" w:rsidR="00F92149" w:rsidRDefault="00F92149" w:rsidP="000A3278">
      <w:pPr>
        <w:jc w:val="both"/>
        <w:rPr>
          <w:rFonts w:ascii="Avenir Next" w:hAnsi="Avenir Next" w:cs="Arial"/>
          <w:color w:val="7B7B7B" w:themeColor="accent3" w:themeShade="BF"/>
          <w:sz w:val="22"/>
          <w:szCs w:val="22"/>
        </w:rPr>
      </w:pPr>
    </w:p>
    <w:p w14:paraId="146D7253" w14:textId="395845EC" w:rsidR="00F92149" w:rsidRDefault="00F9214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Ordinarily, secondary proceedings would be opened after main proceedings as they offer a supportive function however pursuant to Article 3 (4) of the EIR Recast it can be permissible in some scenarios for secondary proceedings to be opened prior to main proceedings. </w:t>
      </w:r>
    </w:p>
    <w:p w14:paraId="54AF01BF" w14:textId="77777777" w:rsidR="00F92149" w:rsidRDefault="00F92149" w:rsidP="000A3278">
      <w:pPr>
        <w:jc w:val="both"/>
        <w:rPr>
          <w:rFonts w:ascii="Avenir Next" w:hAnsi="Avenir Next" w:cs="Arial"/>
          <w:color w:val="7B7B7B" w:themeColor="accent3" w:themeShade="BF"/>
          <w:sz w:val="22"/>
          <w:szCs w:val="22"/>
        </w:rPr>
      </w:pPr>
    </w:p>
    <w:p w14:paraId="13DAB2D8" w14:textId="207683B4" w:rsidR="00F92149" w:rsidRDefault="00F9214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If a petition to open insolvency proceedings is filed in </w:t>
      </w:r>
      <w:r w:rsidRPr="00F92149">
        <w:rPr>
          <w:rFonts w:ascii="Avenir Next" w:hAnsi="Avenir Next" w:cs="Arial"/>
          <w:color w:val="7B7B7B" w:themeColor="accent3" w:themeShade="BF"/>
          <w:sz w:val="22"/>
          <w:szCs w:val="22"/>
        </w:rPr>
        <w:t>Dinosaurus SARL</w:t>
      </w:r>
      <w:r>
        <w:rPr>
          <w:rFonts w:ascii="Avenir Next" w:hAnsi="Avenir Next" w:cs="Arial"/>
          <w:color w:val="7B7B7B" w:themeColor="accent3" w:themeShade="BF"/>
          <w:sz w:val="22"/>
          <w:szCs w:val="22"/>
        </w:rPr>
        <w:t>’s COMI (France) then the insolvency practitioner of the main proceedings can provide an undertaking in accordance with Article 38 (2) of the EIR Recast to the creditors situated in Spain to prevent the opening of secondary proceedings, there. This is known as “synthetic proceedings”.</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1FA9" w14:textId="77777777" w:rsidR="00A55DB2" w:rsidRDefault="00A55DB2" w:rsidP="00241B44">
      <w:r>
        <w:separator/>
      </w:r>
    </w:p>
  </w:endnote>
  <w:endnote w:type="continuationSeparator" w:id="0">
    <w:p w14:paraId="295075FD" w14:textId="77777777" w:rsidR="00A55DB2" w:rsidRDefault="00A55D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5CC16C75" w:rsidR="00D509A5" w:rsidRPr="005418A0" w:rsidRDefault="00186C42" w:rsidP="009B4976">
    <w:pPr>
      <w:pStyle w:val="Footer"/>
      <w:ind w:right="360"/>
      <w:rPr>
        <w:rFonts w:ascii="Avenir Next" w:hAnsi="Avenir Next" w:cs="Arial"/>
        <w:sz w:val="22"/>
        <w:szCs w:val="22"/>
        <w:lang w:val="en-GB"/>
      </w:rPr>
    </w:pPr>
    <w:r w:rsidRPr="00186C42">
      <w:rPr>
        <w:rFonts w:ascii="Avenir Next" w:hAnsi="Avenir Next" w:cs="Arial"/>
        <w:sz w:val="22"/>
        <w:szCs w:val="22"/>
        <w:lang w:val="en-GB"/>
      </w:rPr>
      <w:t>202324-1410</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B255" w14:textId="77777777" w:rsidR="00A55DB2" w:rsidRDefault="00A55DB2" w:rsidP="00241B44">
      <w:r>
        <w:separator/>
      </w:r>
    </w:p>
  </w:footnote>
  <w:footnote w:type="continuationSeparator" w:id="0">
    <w:p w14:paraId="5FC7A59B" w14:textId="77777777" w:rsidR="00A55DB2" w:rsidRDefault="00A55D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45BFC"/>
    <w:rsid w:val="00054E15"/>
    <w:rsid w:val="00065166"/>
    <w:rsid w:val="000756D2"/>
    <w:rsid w:val="00082609"/>
    <w:rsid w:val="000851CC"/>
    <w:rsid w:val="00086936"/>
    <w:rsid w:val="00087CD6"/>
    <w:rsid w:val="00093BE8"/>
    <w:rsid w:val="000A165E"/>
    <w:rsid w:val="000A2528"/>
    <w:rsid w:val="000A3278"/>
    <w:rsid w:val="000A373F"/>
    <w:rsid w:val="000A68ED"/>
    <w:rsid w:val="000A7BF9"/>
    <w:rsid w:val="000B5FF1"/>
    <w:rsid w:val="000B609F"/>
    <w:rsid w:val="000C6BB5"/>
    <w:rsid w:val="000D55A8"/>
    <w:rsid w:val="000E4841"/>
    <w:rsid w:val="000F1677"/>
    <w:rsid w:val="000F3D6C"/>
    <w:rsid w:val="000F4A14"/>
    <w:rsid w:val="00101707"/>
    <w:rsid w:val="00105842"/>
    <w:rsid w:val="00113647"/>
    <w:rsid w:val="00113E29"/>
    <w:rsid w:val="0011473D"/>
    <w:rsid w:val="0011548B"/>
    <w:rsid w:val="00115C85"/>
    <w:rsid w:val="001169B5"/>
    <w:rsid w:val="00123855"/>
    <w:rsid w:val="00126A4D"/>
    <w:rsid w:val="001366F1"/>
    <w:rsid w:val="0014171F"/>
    <w:rsid w:val="0014622C"/>
    <w:rsid w:val="00152348"/>
    <w:rsid w:val="0015456D"/>
    <w:rsid w:val="00155FA2"/>
    <w:rsid w:val="00161F1B"/>
    <w:rsid w:val="00162829"/>
    <w:rsid w:val="0016459F"/>
    <w:rsid w:val="00174DC4"/>
    <w:rsid w:val="00175A7D"/>
    <w:rsid w:val="00180548"/>
    <w:rsid w:val="00180AC4"/>
    <w:rsid w:val="00180CCE"/>
    <w:rsid w:val="0018267A"/>
    <w:rsid w:val="00182779"/>
    <w:rsid w:val="001830DF"/>
    <w:rsid w:val="00183ED8"/>
    <w:rsid w:val="00184331"/>
    <w:rsid w:val="00186C42"/>
    <w:rsid w:val="00187A34"/>
    <w:rsid w:val="001966D9"/>
    <w:rsid w:val="001A0739"/>
    <w:rsid w:val="001A68CC"/>
    <w:rsid w:val="001A7E9A"/>
    <w:rsid w:val="001B0F70"/>
    <w:rsid w:val="001B5016"/>
    <w:rsid w:val="001B6DDC"/>
    <w:rsid w:val="001C45FC"/>
    <w:rsid w:val="001D0469"/>
    <w:rsid w:val="001D4862"/>
    <w:rsid w:val="001D6E1C"/>
    <w:rsid w:val="001E25B9"/>
    <w:rsid w:val="001E49E0"/>
    <w:rsid w:val="001E5509"/>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56A7A"/>
    <w:rsid w:val="002638B0"/>
    <w:rsid w:val="0026647A"/>
    <w:rsid w:val="002668D3"/>
    <w:rsid w:val="0027299F"/>
    <w:rsid w:val="002729AB"/>
    <w:rsid w:val="00277021"/>
    <w:rsid w:val="00284EBE"/>
    <w:rsid w:val="002913DD"/>
    <w:rsid w:val="0029433F"/>
    <w:rsid w:val="00294829"/>
    <w:rsid w:val="0029690F"/>
    <w:rsid w:val="00297C8A"/>
    <w:rsid w:val="002A19CC"/>
    <w:rsid w:val="002A2A60"/>
    <w:rsid w:val="002A37BB"/>
    <w:rsid w:val="002B1C45"/>
    <w:rsid w:val="002C13C8"/>
    <w:rsid w:val="002C3547"/>
    <w:rsid w:val="002D0021"/>
    <w:rsid w:val="002D3473"/>
    <w:rsid w:val="002E4CF1"/>
    <w:rsid w:val="002F1956"/>
    <w:rsid w:val="002F3440"/>
    <w:rsid w:val="002F55D2"/>
    <w:rsid w:val="002F70C6"/>
    <w:rsid w:val="002F75A3"/>
    <w:rsid w:val="00300000"/>
    <w:rsid w:val="00302D76"/>
    <w:rsid w:val="00303C2F"/>
    <w:rsid w:val="003119A1"/>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48EA"/>
    <w:rsid w:val="00375D11"/>
    <w:rsid w:val="00382C98"/>
    <w:rsid w:val="0038533C"/>
    <w:rsid w:val="00386568"/>
    <w:rsid w:val="00390B57"/>
    <w:rsid w:val="003948D5"/>
    <w:rsid w:val="00396821"/>
    <w:rsid w:val="00397D3A"/>
    <w:rsid w:val="003A051E"/>
    <w:rsid w:val="003A5DF3"/>
    <w:rsid w:val="003B0A27"/>
    <w:rsid w:val="003B170F"/>
    <w:rsid w:val="003B3C5F"/>
    <w:rsid w:val="003B6873"/>
    <w:rsid w:val="003C4342"/>
    <w:rsid w:val="003C4471"/>
    <w:rsid w:val="003C4BCB"/>
    <w:rsid w:val="003D0A6D"/>
    <w:rsid w:val="003D17A2"/>
    <w:rsid w:val="003D1974"/>
    <w:rsid w:val="003D4A79"/>
    <w:rsid w:val="003E0B16"/>
    <w:rsid w:val="003E1D56"/>
    <w:rsid w:val="003E2475"/>
    <w:rsid w:val="003E4DB0"/>
    <w:rsid w:val="003E67D1"/>
    <w:rsid w:val="003F5BA7"/>
    <w:rsid w:val="00404329"/>
    <w:rsid w:val="00405DC1"/>
    <w:rsid w:val="00415F1F"/>
    <w:rsid w:val="004202D2"/>
    <w:rsid w:val="0042108F"/>
    <w:rsid w:val="00425094"/>
    <w:rsid w:val="00430FED"/>
    <w:rsid w:val="00433642"/>
    <w:rsid w:val="00434072"/>
    <w:rsid w:val="00434A8C"/>
    <w:rsid w:val="00437297"/>
    <w:rsid w:val="00444284"/>
    <w:rsid w:val="0044574C"/>
    <w:rsid w:val="00445CE6"/>
    <w:rsid w:val="004534C2"/>
    <w:rsid w:val="0045446F"/>
    <w:rsid w:val="0045683E"/>
    <w:rsid w:val="00457CA3"/>
    <w:rsid w:val="0046309F"/>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E67F5"/>
    <w:rsid w:val="004F4245"/>
    <w:rsid w:val="004F4AF9"/>
    <w:rsid w:val="004F5FDF"/>
    <w:rsid w:val="00511205"/>
    <w:rsid w:val="00511602"/>
    <w:rsid w:val="005177FE"/>
    <w:rsid w:val="0052263B"/>
    <w:rsid w:val="00524728"/>
    <w:rsid w:val="005331CA"/>
    <w:rsid w:val="00537970"/>
    <w:rsid w:val="00540E3A"/>
    <w:rsid w:val="005418A0"/>
    <w:rsid w:val="00544127"/>
    <w:rsid w:val="00544F6E"/>
    <w:rsid w:val="005463A9"/>
    <w:rsid w:val="00553EB2"/>
    <w:rsid w:val="00560534"/>
    <w:rsid w:val="00563504"/>
    <w:rsid w:val="0056391B"/>
    <w:rsid w:val="005650E2"/>
    <w:rsid w:val="00567AD7"/>
    <w:rsid w:val="0057161E"/>
    <w:rsid w:val="00575B2D"/>
    <w:rsid w:val="005833D0"/>
    <w:rsid w:val="005846F3"/>
    <w:rsid w:val="0058622F"/>
    <w:rsid w:val="00591280"/>
    <w:rsid w:val="00592F82"/>
    <w:rsid w:val="005A0CCA"/>
    <w:rsid w:val="005A726D"/>
    <w:rsid w:val="005B19EE"/>
    <w:rsid w:val="005B4ED2"/>
    <w:rsid w:val="005B5294"/>
    <w:rsid w:val="005B5601"/>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3E96"/>
    <w:rsid w:val="006048C0"/>
    <w:rsid w:val="00610388"/>
    <w:rsid w:val="00611DE6"/>
    <w:rsid w:val="00612CA5"/>
    <w:rsid w:val="006153EC"/>
    <w:rsid w:val="00621A17"/>
    <w:rsid w:val="00626A90"/>
    <w:rsid w:val="00627CC9"/>
    <w:rsid w:val="00627DE9"/>
    <w:rsid w:val="00627E7B"/>
    <w:rsid w:val="00630542"/>
    <w:rsid w:val="00631B5D"/>
    <w:rsid w:val="0063292A"/>
    <w:rsid w:val="00632E44"/>
    <w:rsid w:val="00634622"/>
    <w:rsid w:val="00636808"/>
    <w:rsid w:val="00636C15"/>
    <w:rsid w:val="00641515"/>
    <w:rsid w:val="00651985"/>
    <w:rsid w:val="00654B27"/>
    <w:rsid w:val="00654C2F"/>
    <w:rsid w:val="00656DA7"/>
    <w:rsid w:val="00657087"/>
    <w:rsid w:val="006603F1"/>
    <w:rsid w:val="006639DB"/>
    <w:rsid w:val="00664A67"/>
    <w:rsid w:val="006661EF"/>
    <w:rsid w:val="006723E9"/>
    <w:rsid w:val="006769D5"/>
    <w:rsid w:val="00677AEB"/>
    <w:rsid w:val="00680EF2"/>
    <w:rsid w:val="00685F1E"/>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0F9F"/>
    <w:rsid w:val="0077498C"/>
    <w:rsid w:val="007772BD"/>
    <w:rsid w:val="007809BC"/>
    <w:rsid w:val="00782536"/>
    <w:rsid w:val="00782DF0"/>
    <w:rsid w:val="00782EE1"/>
    <w:rsid w:val="00784128"/>
    <w:rsid w:val="0078463C"/>
    <w:rsid w:val="00793173"/>
    <w:rsid w:val="007A107A"/>
    <w:rsid w:val="007A2A33"/>
    <w:rsid w:val="007A6B8D"/>
    <w:rsid w:val="007A7B20"/>
    <w:rsid w:val="007C0E58"/>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6EC9"/>
    <w:rsid w:val="00807119"/>
    <w:rsid w:val="008115C6"/>
    <w:rsid w:val="0082424D"/>
    <w:rsid w:val="0082483F"/>
    <w:rsid w:val="008279C0"/>
    <w:rsid w:val="00841051"/>
    <w:rsid w:val="008500BD"/>
    <w:rsid w:val="00854E7F"/>
    <w:rsid w:val="0085668F"/>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099A"/>
    <w:rsid w:val="008F20FC"/>
    <w:rsid w:val="008F5FFE"/>
    <w:rsid w:val="00905A43"/>
    <w:rsid w:val="00912C79"/>
    <w:rsid w:val="00914A23"/>
    <w:rsid w:val="009241D1"/>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2F21"/>
    <w:rsid w:val="009D693A"/>
    <w:rsid w:val="009D75F4"/>
    <w:rsid w:val="009E2AEB"/>
    <w:rsid w:val="009E2E27"/>
    <w:rsid w:val="009E39B2"/>
    <w:rsid w:val="009E4DE3"/>
    <w:rsid w:val="009F275E"/>
    <w:rsid w:val="00A02A4A"/>
    <w:rsid w:val="00A047EE"/>
    <w:rsid w:val="00A07E6F"/>
    <w:rsid w:val="00A10CDE"/>
    <w:rsid w:val="00A11E80"/>
    <w:rsid w:val="00A1691A"/>
    <w:rsid w:val="00A17858"/>
    <w:rsid w:val="00A2274A"/>
    <w:rsid w:val="00A235B7"/>
    <w:rsid w:val="00A27A7A"/>
    <w:rsid w:val="00A32BFD"/>
    <w:rsid w:val="00A33FA6"/>
    <w:rsid w:val="00A407EF"/>
    <w:rsid w:val="00A43FEA"/>
    <w:rsid w:val="00A46B4C"/>
    <w:rsid w:val="00A50055"/>
    <w:rsid w:val="00A5117B"/>
    <w:rsid w:val="00A54CB5"/>
    <w:rsid w:val="00A5547D"/>
    <w:rsid w:val="00A55DB2"/>
    <w:rsid w:val="00A60074"/>
    <w:rsid w:val="00A620A6"/>
    <w:rsid w:val="00A62FDA"/>
    <w:rsid w:val="00A6627C"/>
    <w:rsid w:val="00A71019"/>
    <w:rsid w:val="00A71441"/>
    <w:rsid w:val="00A7759C"/>
    <w:rsid w:val="00A81029"/>
    <w:rsid w:val="00A83E9F"/>
    <w:rsid w:val="00A8761C"/>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1B7B"/>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0665"/>
    <w:rsid w:val="00BA543A"/>
    <w:rsid w:val="00BB0F2B"/>
    <w:rsid w:val="00BB38D1"/>
    <w:rsid w:val="00BD73DA"/>
    <w:rsid w:val="00BE4BFD"/>
    <w:rsid w:val="00BE4FF3"/>
    <w:rsid w:val="00BF4867"/>
    <w:rsid w:val="00BF50F7"/>
    <w:rsid w:val="00C00B20"/>
    <w:rsid w:val="00C00E77"/>
    <w:rsid w:val="00C02F29"/>
    <w:rsid w:val="00C15FA2"/>
    <w:rsid w:val="00C20AFE"/>
    <w:rsid w:val="00C22A25"/>
    <w:rsid w:val="00C35671"/>
    <w:rsid w:val="00C35B77"/>
    <w:rsid w:val="00C35F52"/>
    <w:rsid w:val="00C376EB"/>
    <w:rsid w:val="00C463A4"/>
    <w:rsid w:val="00C46A92"/>
    <w:rsid w:val="00C46DF7"/>
    <w:rsid w:val="00C46EC1"/>
    <w:rsid w:val="00C52796"/>
    <w:rsid w:val="00C53E2C"/>
    <w:rsid w:val="00C550C8"/>
    <w:rsid w:val="00C56B61"/>
    <w:rsid w:val="00C606C3"/>
    <w:rsid w:val="00C60B85"/>
    <w:rsid w:val="00C620F4"/>
    <w:rsid w:val="00C62B35"/>
    <w:rsid w:val="00C63E03"/>
    <w:rsid w:val="00C72848"/>
    <w:rsid w:val="00C7729F"/>
    <w:rsid w:val="00C7736C"/>
    <w:rsid w:val="00C82D87"/>
    <w:rsid w:val="00C8712A"/>
    <w:rsid w:val="00C91AEE"/>
    <w:rsid w:val="00C963D3"/>
    <w:rsid w:val="00CA438A"/>
    <w:rsid w:val="00CA7069"/>
    <w:rsid w:val="00CB1983"/>
    <w:rsid w:val="00CB2CBB"/>
    <w:rsid w:val="00CB7CAC"/>
    <w:rsid w:val="00CC0502"/>
    <w:rsid w:val="00CC5335"/>
    <w:rsid w:val="00CC5BA4"/>
    <w:rsid w:val="00CC628E"/>
    <w:rsid w:val="00CD21E5"/>
    <w:rsid w:val="00CD4998"/>
    <w:rsid w:val="00CE0158"/>
    <w:rsid w:val="00CE1035"/>
    <w:rsid w:val="00CE4206"/>
    <w:rsid w:val="00CE6E50"/>
    <w:rsid w:val="00CF0F57"/>
    <w:rsid w:val="00CF1AF7"/>
    <w:rsid w:val="00CF2819"/>
    <w:rsid w:val="00CF4256"/>
    <w:rsid w:val="00CF4F9D"/>
    <w:rsid w:val="00CF70DC"/>
    <w:rsid w:val="00D148DC"/>
    <w:rsid w:val="00D172F6"/>
    <w:rsid w:val="00D17FDC"/>
    <w:rsid w:val="00D21F62"/>
    <w:rsid w:val="00D24871"/>
    <w:rsid w:val="00D26E26"/>
    <w:rsid w:val="00D509A5"/>
    <w:rsid w:val="00D56B4E"/>
    <w:rsid w:val="00D608A4"/>
    <w:rsid w:val="00D60E46"/>
    <w:rsid w:val="00D62A27"/>
    <w:rsid w:val="00D63EFD"/>
    <w:rsid w:val="00D651FD"/>
    <w:rsid w:val="00D66F96"/>
    <w:rsid w:val="00D70AA2"/>
    <w:rsid w:val="00D72770"/>
    <w:rsid w:val="00D75351"/>
    <w:rsid w:val="00D84752"/>
    <w:rsid w:val="00D86B3B"/>
    <w:rsid w:val="00D8748A"/>
    <w:rsid w:val="00D9187D"/>
    <w:rsid w:val="00D93196"/>
    <w:rsid w:val="00D95496"/>
    <w:rsid w:val="00D95DBC"/>
    <w:rsid w:val="00D97261"/>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16E6"/>
    <w:rsid w:val="00E03AF0"/>
    <w:rsid w:val="00E07C5A"/>
    <w:rsid w:val="00E15BA9"/>
    <w:rsid w:val="00E17E0B"/>
    <w:rsid w:val="00E2232E"/>
    <w:rsid w:val="00E26590"/>
    <w:rsid w:val="00E26E19"/>
    <w:rsid w:val="00E30C8A"/>
    <w:rsid w:val="00E31DF3"/>
    <w:rsid w:val="00E450A4"/>
    <w:rsid w:val="00E506BE"/>
    <w:rsid w:val="00E55547"/>
    <w:rsid w:val="00E604A1"/>
    <w:rsid w:val="00E6302B"/>
    <w:rsid w:val="00E6452F"/>
    <w:rsid w:val="00E64F45"/>
    <w:rsid w:val="00E6742D"/>
    <w:rsid w:val="00E70FA4"/>
    <w:rsid w:val="00E71CB0"/>
    <w:rsid w:val="00E7785A"/>
    <w:rsid w:val="00E77C3D"/>
    <w:rsid w:val="00E81160"/>
    <w:rsid w:val="00E83CE8"/>
    <w:rsid w:val="00E90991"/>
    <w:rsid w:val="00E909F0"/>
    <w:rsid w:val="00E90D47"/>
    <w:rsid w:val="00E93993"/>
    <w:rsid w:val="00E93D66"/>
    <w:rsid w:val="00E9597C"/>
    <w:rsid w:val="00EA0913"/>
    <w:rsid w:val="00EA14EE"/>
    <w:rsid w:val="00EA403E"/>
    <w:rsid w:val="00EA5B00"/>
    <w:rsid w:val="00EA6E1E"/>
    <w:rsid w:val="00EB146B"/>
    <w:rsid w:val="00EB45AC"/>
    <w:rsid w:val="00EB5CA4"/>
    <w:rsid w:val="00EC00F9"/>
    <w:rsid w:val="00EC0181"/>
    <w:rsid w:val="00EC242E"/>
    <w:rsid w:val="00ED0BC4"/>
    <w:rsid w:val="00ED20E8"/>
    <w:rsid w:val="00ED472A"/>
    <w:rsid w:val="00ED54B6"/>
    <w:rsid w:val="00ED5F37"/>
    <w:rsid w:val="00EE3E56"/>
    <w:rsid w:val="00EE4971"/>
    <w:rsid w:val="00EF090E"/>
    <w:rsid w:val="00F033DA"/>
    <w:rsid w:val="00F13FB1"/>
    <w:rsid w:val="00F27CD8"/>
    <w:rsid w:val="00F301B7"/>
    <w:rsid w:val="00F30351"/>
    <w:rsid w:val="00F3323E"/>
    <w:rsid w:val="00F341F4"/>
    <w:rsid w:val="00F34F9D"/>
    <w:rsid w:val="00F3562C"/>
    <w:rsid w:val="00F35CCE"/>
    <w:rsid w:val="00F51441"/>
    <w:rsid w:val="00F52059"/>
    <w:rsid w:val="00F5524B"/>
    <w:rsid w:val="00F56815"/>
    <w:rsid w:val="00F57C8E"/>
    <w:rsid w:val="00F60538"/>
    <w:rsid w:val="00F60B34"/>
    <w:rsid w:val="00F61DD2"/>
    <w:rsid w:val="00F66AFF"/>
    <w:rsid w:val="00F71433"/>
    <w:rsid w:val="00F746D8"/>
    <w:rsid w:val="00F76CD4"/>
    <w:rsid w:val="00F814B4"/>
    <w:rsid w:val="00F83464"/>
    <w:rsid w:val="00F92149"/>
    <w:rsid w:val="00F93BE7"/>
    <w:rsid w:val="00F97C5B"/>
    <w:rsid w:val="00FA0E19"/>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1DAF"/>
    <w:rsid w:val="00FE2122"/>
    <w:rsid w:val="00FE2A86"/>
    <w:rsid w:val="00FE2DE2"/>
    <w:rsid w:val="00FF296F"/>
    <w:rsid w:val="00FF3CB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12</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cp:lastModifiedBy>
  <cp:revision>76</cp:revision>
  <cp:lastPrinted>2019-08-27T05:42:00Z</cp:lastPrinted>
  <dcterms:created xsi:type="dcterms:W3CDTF">2023-06-21T09:48:00Z</dcterms:created>
  <dcterms:modified xsi:type="dcterms:W3CDTF">2024-01-19T02:04:00Z</dcterms:modified>
</cp:coreProperties>
</file>