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proofErr w:type="spellStart"/>
      <w:r w:rsidR="002903A7" w:rsidRPr="006C65F4">
        <w:rPr>
          <w:rFonts w:ascii="Avenir Next Demi Bold" w:hAnsi="Avenir Next Demi Bold" w:cs="Arial"/>
          <w:b/>
          <w:bCs/>
          <w:color w:val="000000" w:themeColor="text1"/>
          <w:sz w:val="24"/>
          <w:lang w:val="en-GB"/>
        </w:rPr>
        <w:t>3A</w:t>
      </w:r>
      <w:proofErr w:type="spellEnd"/>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 xml:space="preserve">Module </w:t>
      </w:r>
      <w:proofErr w:type="spellStart"/>
      <w:r w:rsidRPr="006C65F4">
        <w:rPr>
          <w:rFonts w:ascii="Avenir Next Demi Bold" w:hAnsi="Avenir Next Demi Bold" w:cs="Arial"/>
          <w:b/>
          <w:bCs/>
          <w:color w:val="767171" w:themeColor="background2" w:themeShade="80"/>
          <w:sz w:val="22"/>
          <w:szCs w:val="22"/>
          <w:lang w:val="en-GB"/>
        </w:rPr>
        <w:t>3A</w:t>
      </w:r>
      <w:proofErr w:type="spellEnd"/>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proofErr w:type="spellStart"/>
      <w:r w:rsidRPr="006C65F4">
        <w:rPr>
          <w:rFonts w:ascii="Avenir Next Demi Bold" w:hAnsi="Avenir Next Demi Bold" w:cs="Arial"/>
          <w:b/>
          <w:bCs/>
          <w:color w:val="767171" w:themeColor="background2" w:themeShade="80"/>
          <w:sz w:val="22"/>
          <w:szCs w:val="22"/>
          <w:lang w:val="en-GB"/>
        </w:rPr>
        <w:t>3A</w:t>
      </w:r>
      <w:proofErr w:type="spellEnd"/>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w:t>
      </w:r>
      <w:proofErr w:type="spellStart"/>
      <w:r w:rsidRPr="006C65F4">
        <w:rPr>
          <w:rFonts w:ascii="Avenir Next" w:hAnsi="Avenir Next" w:cs="Arial"/>
          <w:sz w:val="22"/>
          <w:szCs w:val="22"/>
          <w:lang w:val="en-GB"/>
        </w:rPr>
        <w:t>A4</w:t>
      </w:r>
      <w:proofErr w:type="spellEnd"/>
      <w:r w:rsidRPr="006C65F4">
        <w:rPr>
          <w:rFonts w:ascii="Avenir Next" w:hAnsi="Avenir Next" w:cs="Arial"/>
          <w:sz w:val="22"/>
          <w:szCs w:val="22"/>
          <w:lang w:val="en-GB"/>
        </w:rPr>
        <w:t xml:space="preserve">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w:t>
      </w:r>
      <w:proofErr w:type="spellStart"/>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proofErr w:type="spellEnd"/>
      <w:r w:rsidRPr="006C65F4">
        <w:rPr>
          <w:rFonts w:ascii="Avenir Next Demi Bold" w:hAnsi="Avenir Next Demi Bold" w:cs="Arial"/>
          <w:b/>
          <w:bCs/>
          <w:sz w:val="22"/>
          <w:szCs w:val="22"/>
          <w:lang w:val="en-GB" w:eastAsia="en-GB"/>
        </w:rPr>
        <w:t>]</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proofErr w:type="spellStart"/>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proofErr w:type="spellEnd"/>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proofErr w:type="spellStart"/>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A</w:t>
      </w:r>
      <w:proofErr w:type="spellEnd"/>
      <w:r w:rsidRPr="006C65F4">
        <w:rPr>
          <w:rFonts w:ascii="Avenir Next" w:hAnsi="Avenir Next" w:cs="Arial"/>
          <w:bCs/>
          <w:sz w:val="22"/>
          <w:szCs w:val="22"/>
          <w:lang w:val="en-GB"/>
        </w:rPr>
        <w:t xml:space="preserve">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proofErr w:type="spellStart"/>
      <w:r w:rsidR="00DA1D45" w:rsidRPr="006C65F4">
        <w:rPr>
          <w:rFonts w:ascii="Avenir Next" w:hAnsi="Avenir Next" w:cs="Arial"/>
          <w:sz w:val="22"/>
          <w:szCs w:val="22"/>
          <w:lang w:val="en-GB"/>
        </w:rPr>
        <w:t>3A</w:t>
      </w:r>
      <w:proofErr w:type="spellEnd"/>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w:t>
      </w:r>
      <w:r w:rsidRPr="00CE0ECD">
        <w:rPr>
          <w:rFonts w:ascii="Avenir Next" w:hAnsi="Avenir Next" w:cs="Arial"/>
          <w:sz w:val="22"/>
          <w:szCs w:val="22"/>
          <w:lang w:val="en-GB"/>
        </w:rPr>
        <w:lastRenderedPageBreak/>
        <w:t xml:space="preserve">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w:t>
      </w:r>
      <w:proofErr w:type="spellStart"/>
      <w:r w:rsidRPr="00382261">
        <w:rPr>
          <w:rFonts w:ascii="Avenir Next" w:hAnsi="Avenir Next"/>
        </w:rPr>
        <w:t>Inc</w:t>
      </w:r>
      <w:proofErr w:type="spellEnd"/>
      <w:r w:rsidRPr="00382261">
        <w:rPr>
          <w:rFonts w:ascii="Avenir Next" w:hAnsi="Avenir Next"/>
        </w:rPr>
        <w:t xml:space="preserve">,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w:t>
      </w:r>
      <w:proofErr w:type="spellStart"/>
      <w:r w:rsidRPr="00382261">
        <w:rPr>
          <w:rFonts w:ascii="Avenir Next" w:hAnsi="Avenir Next"/>
        </w:rPr>
        <w:t>Inc</w:t>
      </w:r>
      <w:proofErr w:type="spellEnd"/>
      <w:r w:rsidRPr="00382261">
        <w:rPr>
          <w:rFonts w:ascii="Avenir Next" w:hAnsi="Avenir Next"/>
        </w:rPr>
        <w:t xml:space="preserve">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r>
      <w:r w:rsidRPr="007854BD">
        <w:rPr>
          <w:rFonts w:ascii="Avenir Next" w:hAnsi="Avenir Next"/>
          <w:highlight w:val="yellow"/>
        </w:rPr>
        <w:t xml:space="preserve">No, because Parts </w:t>
      </w:r>
      <w:proofErr w:type="spellStart"/>
      <w:r w:rsidRPr="007854BD">
        <w:rPr>
          <w:rFonts w:ascii="Avenir Next" w:hAnsi="Avenir Next"/>
          <w:highlight w:val="yellow"/>
        </w:rPr>
        <w:t>Inc</w:t>
      </w:r>
      <w:proofErr w:type="spellEnd"/>
      <w:r w:rsidRPr="007854BD">
        <w:rPr>
          <w:rFonts w:ascii="Avenir Next" w:hAnsi="Avenir Next"/>
          <w:highlight w:val="yellow"/>
        </w:rPr>
        <w:t xml:space="preserve"> does</w:t>
      </w:r>
      <w:r w:rsidR="00A81F08" w:rsidRPr="007854BD">
        <w:rPr>
          <w:rFonts w:ascii="Avenir Next" w:hAnsi="Avenir Next"/>
          <w:highlight w:val="yellow"/>
        </w:rPr>
        <w:t xml:space="preserve"> not</w:t>
      </w:r>
      <w:r w:rsidRPr="007854BD">
        <w:rPr>
          <w:rFonts w:ascii="Avenir Next" w:hAnsi="Avenir Next"/>
          <w:highlight w:val="yellow"/>
        </w:rPr>
        <w:t xml:space="preserve"> know whether Car Corp is insolvent</w:t>
      </w:r>
      <w:r w:rsidRPr="00D221F8">
        <w:rPr>
          <w:rFonts w:ascii="Avenir Next" w:hAnsi="Avenir Next"/>
        </w:rPr>
        <w: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7854BD">
        <w:rPr>
          <w:rFonts w:ascii="Avenir Next" w:hAnsi="Avenir Next"/>
        </w:rPr>
        <w:t>(e)</w:t>
      </w:r>
      <w:r w:rsidRPr="007854BD">
        <w:rPr>
          <w:rFonts w:ascii="Avenir Next" w:hAnsi="Avenir Next"/>
        </w:rPr>
        <w:tab/>
        <w:t xml:space="preserve">No, because Parts </w:t>
      </w:r>
      <w:proofErr w:type="spellStart"/>
      <w:r w:rsidRPr="007854BD">
        <w:rPr>
          <w:rFonts w:ascii="Avenir Next" w:hAnsi="Avenir Next"/>
        </w:rPr>
        <w:t>Inc</w:t>
      </w:r>
      <w:proofErr w:type="spellEnd"/>
      <w:r w:rsidR="00A81F08" w:rsidRPr="007854BD">
        <w:rPr>
          <w:rFonts w:ascii="Avenir Next" w:hAnsi="Avenir Next"/>
        </w:rPr>
        <w:t xml:space="preserve"> </w:t>
      </w:r>
      <w:r w:rsidRPr="007854BD">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 xml:space="preserve">A shareholder in Parts </w:t>
      </w:r>
      <w:proofErr w:type="spellStart"/>
      <w:r w:rsidRPr="001109FE">
        <w:rPr>
          <w:rFonts w:ascii="Avenir Next" w:hAnsi="Avenir Next"/>
        </w:rPr>
        <w:t>Inc</w:t>
      </w:r>
      <w:proofErr w:type="spellEnd"/>
      <w:r w:rsidRPr="001109FE">
        <w:rPr>
          <w:rFonts w:ascii="Avenir Next" w:hAnsi="Avenir Next"/>
        </w:rPr>
        <w:t>,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FE1964">
        <w:rPr>
          <w:rFonts w:ascii="Avenir Next" w:hAnsi="Avenir Next"/>
          <w:highlight w:val="yellow"/>
        </w:rPr>
        <w:t>A retired employee of Car Corp who receives payments from the company’s pension plan</w:t>
      </w:r>
      <w:r w:rsidR="00631394" w:rsidRPr="00FE1964">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FE1964">
        <w:rPr>
          <w:rFonts w:ascii="Avenir Next" w:hAnsi="Avenir Next"/>
          <w:highlight w:val="yellow"/>
        </w:rPr>
        <w:t xml:space="preserve">Options (a) to (c) </w:t>
      </w:r>
      <w:r w:rsidRPr="00FE1964">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2647D6">
        <w:rPr>
          <w:rFonts w:ascii="Avenir Next" w:hAnsi="Avenir Next"/>
          <w:highlight w:val="yellow"/>
        </w:rPr>
        <w:t>All of the above</w:t>
      </w:r>
      <w:r w:rsidR="006A42F8" w:rsidRPr="002647D6">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2647D6">
        <w:rPr>
          <w:rFonts w:ascii="Avenir Next" w:hAnsi="Avenir Next"/>
          <w:highlight w:val="yellow"/>
        </w:rPr>
        <w:t xml:space="preserve">Executory contracts are clearly defined by the </w:t>
      </w:r>
      <w:r w:rsidR="00ED7BF3" w:rsidRPr="002647D6">
        <w:rPr>
          <w:rFonts w:ascii="Avenir Next" w:hAnsi="Avenir Next"/>
          <w:highlight w:val="yellow"/>
        </w:rPr>
        <w:t>B</w:t>
      </w:r>
      <w:r w:rsidRPr="002647D6">
        <w:rPr>
          <w:rFonts w:ascii="Avenir Next" w:hAnsi="Avenir Next"/>
          <w:highlight w:val="yellow"/>
        </w:rPr>
        <w:t xml:space="preserve">ankruptcy </w:t>
      </w:r>
      <w:r w:rsidR="00ED7BF3" w:rsidRPr="002647D6">
        <w:rPr>
          <w:rFonts w:ascii="Avenir Next" w:hAnsi="Avenir Next"/>
          <w:highlight w:val="yellow"/>
        </w:rPr>
        <w:t>C</w:t>
      </w:r>
      <w:r w:rsidRPr="002647D6">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w:t>
      </w:r>
      <w:proofErr w:type="spellStart"/>
      <w:r w:rsidRPr="00B63E83">
        <w:rPr>
          <w:rFonts w:ascii="Avenir Next" w:hAnsi="Avenir Next"/>
        </w:rPr>
        <w:t>cramdown</w:t>
      </w:r>
      <w:proofErr w:type="spellEnd"/>
      <w:r w:rsidRPr="00B63E83">
        <w:rPr>
          <w:rFonts w:ascii="Avenir Next" w:hAnsi="Avenir Next"/>
        </w:rPr>
        <w:t>”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2647D6">
        <w:rPr>
          <w:rFonts w:ascii="Avenir Next" w:hAnsi="Avenir Next"/>
          <w:highlight w:val="yellow"/>
        </w:rPr>
        <w:t>Acceptance of the plan by all classes of secured creditors</w:t>
      </w:r>
      <w:r w:rsidR="006844A8" w:rsidRPr="002647D6">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2647D6" w:rsidRDefault="00C24FAB" w:rsidP="009017A1">
      <w:pPr>
        <w:pStyle w:val="AODocTxt"/>
        <w:numPr>
          <w:ilvl w:val="0"/>
          <w:numId w:val="33"/>
        </w:numPr>
        <w:spacing w:before="0" w:line="240" w:lineRule="auto"/>
        <w:ind w:left="426" w:hanging="426"/>
        <w:rPr>
          <w:rFonts w:ascii="Avenir Next" w:hAnsi="Avenir Next"/>
          <w:highlight w:val="yellow"/>
        </w:rPr>
      </w:pPr>
      <w:r w:rsidRPr="002647D6">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E939B8" w:rsidRDefault="00853272" w:rsidP="00BA74EF">
      <w:pPr>
        <w:pStyle w:val="AODocTxt"/>
        <w:numPr>
          <w:ilvl w:val="0"/>
          <w:numId w:val="28"/>
        </w:numPr>
        <w:spacing w:before="0" w:line="240" w:lineRule="auto"/>
        <w:ind w:left="426" w:hanging="426"/>
        <w:rPr>
          <w:rFonts w:ascii="Avenir Next" w:hAnsi="Avenir Next"/>
          <w:highlight w:val="yellow"/>
        </w:rPr>
      </w:pPr>
      <w:r w:rsidRPr="00E939B8">
        <w:rPr>
          <w:rFonts w:ascii="Avenir Next" w:hAnsi="Avenir Next"/>
          <w:highlight w:val="yellow"/>
        </w:rPr>
        <w:t>Both</w:t>
      </w:r>
      <w:r w:rsidR="0072569E" w:rsidRPr="00E939B8">
        <w:rPr>
          <w:rFonts w:ascii="Avenir Next" w:hAnsi="Avenir Next"/>
          <w:highlight w:val="yellow"/>
        </w:rPr>
        <w:t xml:space="preserve"> options</w:t>
      </w:r>
      <w:r w:rsidRPr="00E939B8">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E939B8" w:rsidRDefault="00853272" w:rsidP="00BA74EF">
      <w:pPr>
        <w:pStyle w:val="AODocTxt"/>
        <w:numPr>
          <w:ilvl w:val="0"/>
          <w:numId w:val="28"/>
        </w:numPr>
        <w:spacing w:before="0" w:line="240" w:lineRule="auto"/>
        <w:ind w:left="426" w:hanging="426"/>
        <w:rPr>
          <w:rFonts w:ascii="Avenir Next" w:hAnsi="Avenir Next"/>
        </w:rPr>
      </w:pPr>
      <w:r w:rsidRPr="00E939B8">
        <w:rPr>
          <w:rFonts w:ascii="Avenir Next" w:hAnsi="Avenir Next"/>
        </w:rPr>
        <w:t xml:space="preserve">Both </w:t>
      </w:r>
      <w:r w:rsidR="0072569E" w:rsidRPr="00E939B8">
        <w:rPr>
          <w:rFonts w:ascii="Avenir Next" w:hAnsi="Avenir Next"/>
        </w:rPr>
        <w:t xml:space="preserve">options </w:t>
      </w:r>
      <w:r w:rsidRPr="00E939B8">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E939B8" w:rsidRDefault="00334B98" w:rsidP="00676F12">
      <w:pPr>
        <w:pStyle w:val="AODocTxt"/>
        <w:keepNext/>
        <w:numPr>
          <w:ilvl w:val="0"/>
          <w:numId w:val="30"/>
        </w:numPr>
        <w:spacing w:before="0" w:line="240" w:lineRule="auto"/>
        <w:ind w:left="426" w:hanging="426"/>
        <w:rPr>
          <w:rFonts w:ascii="Avenir Next" w:hAnsi="Avenir Next"/>
          <w:highlight w:val="yellow"/>
        </w:rPr>
      </w:pPr>
      <w:r w:rsidRPr="00E939B8">
        <w:rPr>
          <w:rFonts w:ascii="Avenir Next" w:hAnsi="Avenir Next"/>
          <w:highlight w:val="yellow"/>
        </w:rPr>
        <w:t>The debtor</w:t>
      </w:r>
      <w:r w:rsidR="00291367" w:rsidRPr="00E939B8">
        <w:rPr>
          <w:rFonts w:ascii="Avenir Next" w:hAnsi="Avenir Next"/>
          <w:highlight w:val="yellow"/>
        </w:rPr>
        <w:t>-</w:t>
      </w:r>
      <w:r w:rsidRPr="00E939B8">
        <w:rPr>
          <w:rFonts w:ascii="Avenir Next" w:hAnsi="Avenir Next"/>
          <w:highlight w:val="yellow"/>
        </w:rPr>
        <w:t>in</w:t>
      </w:r>
      <w:r w:rsidR="00291367" w:rsidRPr="00E939B8">
        <w:rPr>
          <w:rFonts w:ascii="Avenir Next" w:hAnsi="Avenir Next"/>
          <w:highlight w:val="yellow"/>
        </w:rPr>
        <w:t>-</w:t>
      </w:r>
      <w:r w:rsidRPr="00E939B8">
        <w:rPr>
          <w:rFonts w:ascii="Avenir Next" w:hAnsi="Avenir Next"/>
          <w:highlight w:val="yellow"/>
        </w:rPr>
        <w:t>possession must establish that the transaction is in the best interests 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E939B8" w:rsidRDefault="00334B98" w:rsidP="00676F12">
      <w:pPr>
        <w:pStyle w:val="AODocTxt"/>
        <w:keepNext/>
        <w:numPr>
          <w:ilvl w:val="0"/>
          <w:numId w:val="30"/>
        </w:numPr>
        <w:spacing w:before="0" w:line="240" w:lineRule="auto"/>
        <w:ind w:left="426" w:hanging="426"/>
        <w:rPr>
          <w:rFonts w:ascii="Avenir Next" w:hAnsi="Avenir Next"/>
        </w:rPr>
      </w:pPr>
      <w:r w:rsidRPr="00E939B8">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Pr="00FD5733" w:rsidRDefault="00334B98" w:rsidP="00676F12">
      <w:pPr>
        <w:pStyle w:val="AODocTxt"/>
        <w:keepNext/>
        <w:numPr>
          <w:ilvl w:val="0"/>
          <w:numId w:val="30"/>
        </w:numPr>
        <w:spacing w:before="0" w:line="240" w:lineRule="auto"/>
        <w:ind w:left="426" w:hanging="426"/>
        <w:rPr>
          <w:rFonts w:ascii="Avenir Next" w:hAnsi="Avenir Next"/>
        </w:rPr>
      </w:pPr>
      <w:r w:rsidRPr="00FD5733">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FD5733" w:rsidRDefault="00334B98" w:rsidP="00676F12">
      <w:pPr>
        <w:pStyle w:val="AODocTxt"/>
        <w:keepNext/>
        <w:numPr>
          <w:ilvl w:val="0"/>
          <w:numId w:val="30"/>
        </w:numPr>
        <w:spacing w:before="0" w:line="240" w:lineRule="auto"/>
        <w:ind w:left="426" w:hanging="426"/>
        <w:rPr>
          <w:rFonts w:ascii="Avenir Next" w:hAnsi="Avenir Next"/>
        </w:rPr>
      </w:pPr>
      <w:r w:rsidRPr="00FD5733">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FD5733" w:rsidRDefault="00740655" w:rsidP="00DF5F7C">
      <w:pPr>
        <w:pStyle w:val="AODocTxt"/>
        <w:keepNext/>
        <w:numPr>
          <w:ilvl w:val="0"/>
          <w:numId w:val="35"/>
        </w:numPr>
        <w:spacing w:before="0" w:line="240" w:lineRule="auto"/>
        <w:ind w:left="426" w:hanging="426"/>
        <w:rPr>
          <w:rFonts w:ascii="Avenir Next" w:hAnsi="Avenir Next"/>
          <w:highlight w:val="yellow"/>
        </w:rPr>
      </w:pPr>
      <w:r w:rsidRPr="00FD5733">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bookmarkStart w:id="0" w:name="_GoBack"/>
      <w:bookmarkEnd w:id="0"/>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1"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08A45782" w:rsidR="00323167" w:rsidRDefault="00FD5733" w:rsidP="00FD5733">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w:t>
      </w:r>
      <w:r w:rsidR="0081589D">
        <w:rPr>
          <w:rFonts w:ascii="Avenir Next" w:hAnsi="Avenir Next"/>
          <w:color w:val="808080" w:themeColor="background1" w:themeShade="80"/>
        </w:rPr>
        <w:t xml:space="preserve">is a legal mechanism that allows a creditor holding a claim against a debtor and simultaneously owing money to that debtor to net out the relevant obligations. </w:t>
      </w:r>
    </w:p>
    <w:p w14:paraId="23BDC8BB" w14:textId="40407FE2" w:rsidR="0081589D" w:rsidRDefault="0081589D" w:rsidP="00FD5733">
      <w:pPr>
        <w:pStyle w:val="AODocTxt"/>
        <w:spacing w:before="0" w:line="240" w:lineRule="auto"/>
        <w:rPr>
          <w:rFonts w:ascii="Avenir Next" w:hAnsi="Avenir Next"/>
          <w:color w:val="808080" w:themeColor="background1" w:themeShade="80"/>
        </w:rPr>
      </w:pPr>
    </w:p>
    <w:p w14:paraId="0576CAAF" w14:textId="04D04F5E" w:rsidR="0081589D" w:rsidRPr="002B5D64" w:rsidRDefault="0081589D" w:rsidP="00FD5733">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rights are not permitted in a number of circumstances as they can improve the position of the relevant creditor as compared to the other unsecured creditors who are not owed money by the debtor.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3E96EB62" w:rsidR="001D3BAA" w:rsidRDefault="0081589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w:t>
      </w:r>
      <w:r w:rsidR="00905110">
        <w:rPr>
          <w:rFonts w:ascii="Avenir Next" w:hAnsi="Avenir Next"/>
          <w:color w:val="808080" w:themeColor="background1" w:themeShade="80"/>
        </w:rPr>
        <w:t>a lien granted by the court that is senior or equal to a pre-petition lien on estate property. It is provided to secure post-petition financing.</w:t>
      </w:r>
    </w:p>
    <w:p w14:paraId="3ED0E418" w14:textId="1E707545" w:rsidR="00905110" w:rsidRDefault="00905110" w:rsidP="001D3BAA">
      <w:pPr>
        <w:pStyle w:val="AODocTxt"/>
        <w:spacing w:before="0" w:line="240" w:lineRule="auto"/>
        <w:rPr>
          <w:rFonts w:ascii="Avenir Next" w:hAnsi="Avenir Next"/>
          <w:color w:val="808080" w:themeColor="background1" w:themeShade="80"/>
        </w:rPr>
      </w:pPr>
    </w:p>
    <w:p w14:paraId="5B4F88D8" w14:textId="54ED2768" w:rsidR="00905110" w:rsidRPr="002B5D64" w:rsidRDefault="0090511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a priming lien to be granted,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it must be clear that the underlying DIP financing could not have been obtained on any other terms; and (ii) the debtor must demonstrate that the interest of the secured creditor being primed is adequately protected.</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6DF95195" w:rsidR="001D3BAA" w:rsidRDefault="0090511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Violation of an automatic stay may result in: </w:t>
      </w:r>
    </w:p>
    <w:p w14:paraId="10BBAE87" w14:textId="5B3817EA" w:rsidR="00905110" w:rsidRDefault="00905110" w:rsidP="001D3BAA">
      <w:pPr>
        <w:pStyle w:val="AODocTxt"/>
        <w:spacing w:before="0" w:line="240" w:lineRule="auto"/>
        <w:rPr>
          <w:rFonts w:ascii="Avenir Next" w:hAnsi="Avenir Next"/>
          <w:color w:val="808080" w:themeColor="background1" w:themeShade="80"/>
        </w:rPr>
      </w:pPr>
    </w:p>
    <w:p w14:paraId="11FA4420" w14:textId="1E2CE84B" w:rsidR="00905110" w:rsidRDefault="00905110" w:rsidP="00905110">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imposition of contempt sanctions against the stay violator, which may include payment of the </w:t>
      </w:r>
      <w:r w:rsidR="00FF3A27">
        <w:rPr>
          <w:rFonts w:ascii="Avenir Next" w:hAnsi="Avenir Next"/>
          <w:color w:val="808080" w:themeColor="background1" w:themeShade="80"/>
        </w:rPr>
        <w:t xml:space="preserve">debtors’ attorneys’ fees and requiring the violator to take affirmative acts to undo the effect of its violation; and/or </w:t>
      </w:r>
    </w:p>
    <w:p w14:paraId="3BD8557F" w14:textId="77777777" w:rsidR="00FF3A27" w:rsidRDefault="00FF3A27" w:rsidP="00FF3A27">
      <w:pPr>
        <w:pStyle w:val="AODocTxt"/>
        <w:spacing w:before="0" w:line="240" w:lineRule="auto"/>
        <w:ind w:left="720"/>
        <w:rPr>
          <w:rFonts w:ascii="Avenir Next" w:hAnsi="Avenir Next"/>
          <w:color w:val="808080" w:themeColor="background1" w:themeShade="80"/>
        </w:rPr>
      </w:pPr>
    </w:p>
    <w:p w14:paraId="600153FD" w14:textId="5DF72E89" w:rsidR="00FF3A27" w:rsidRPr="002B5D64" w:rsidRDefault="00FF3A27" w:rsidP="00905110">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Where the court is concerned that the violator may not act promptly, the imposition of coercive contempt sanctions, which could include a daily fine to be paid into the court until the relevant violation has been rectified.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w:t>
      </w:r>
      <w:proofErr w:type="spellStart"/>
      <w:r w:rsidRPr="001B33F5">
        <w:rPr>
          <w:rFonts w:ascii="Avenir Next" w:hAnsi="Avenir Next"/>
        </w:rPr>
        <w:t>es</w:t>
      </w:r>
      <w:proofErr w:type="spellEnd"/>
      <w:r w:rsidRPr="001B33F5">
        <w:rPr>
          <w:rFonts w:ascii="Avenir Next" w:hAnsi="Avenir Next"/>
        </w:rPr>
        <w:t>)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46368034" w14:textId="1498BAF1" w:rsidR="00D7456A" w:rsidRDefault="00D7456A" w:rsidP="00622C36">
      <w:pPr>
        <w:pStyle w:val="AODocTxt"/>
        <w:spacing w:before="0" w:line="240" w:lineRule="auto"/>
        <w:rPr>
          <w:rFonts w:ascii="Avenir Next" w:hAnsi="Avenir Next"/>
        </w:rPr>
      </w:pPr>
    </w:p>
    <w:p w14:paraId="424877EF" w14:textId="1D7E8B08" w:rsidR="00FF3A27" w:rsidRDefault="00FF3A27"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voting on a plan of reorganization: </w:t>
      </w:r>
    </w:p>
    <w:p w14:paraId="1AA86C21" w14:textId="6ECC5234" w:rsidR="00FF3A27" w:rsidRDefault="00FF3A27" w:rsidP="00622C36">
      <w:pPr>
        <w:pStyle w:val="AODocTxt"/>
        <w:spacing w:before="0" w:line="240" w:lineRule="auto"/>
        <w:rPr>
          <w:rFonts w:ascii="Avenir Next" w:hAnsi="Avenir Next"/>
          <w:color w:val="808080" w:themeColor="background1" w:themeShade="80"/>
        </w:rPr>
      </w:pPr>
    </w:p>
    <w:p w14:paraId="2F7A80DD" w14:textId="0069C5F2" w:rsidR="00FF3A27" w:rsidRDefault="00E033AC" w:rsidP="00FF3A27">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An unimpaired class is deemed to accept the plan; and</w:t>
      </w:r>
    </w:p>
    <w:p w14:paraId="40A43D3F" w14:textId="11B0537A" w:rsidR="00E033AC" w:rsidRDefault="00E033AC" w:rsidP="00FF3A27">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class that will receive nothing is deemed to reject the plan. </w:t>
      </w:r>
    </w:p>
    <w:p w14:paraId="347F2126" w14:textId="4BBE3C97" w:rsidR="00E033AC" w:rsidRDefault="00E033AC" w:rsidP="00E033AC">
      <w:pPr>
        <w:pStyle w:val="AODocTxt"/>
        <w:spacing w:before="0" w:line="240" w:lineRule="auto"/>
        <w:rPr>
          <w:rFonts w:ascii="Avenir Next" w:hAnsi="Avenir Next"/>
          <w:color w:val="808080" w:themeColor="background1" w:themeShade="80"/>
        </w:rPr>
      </w:pPr>
    </w:p>
    <w:p w14:paraId="5C274006" w14:textId="1E84934A" w:rsidR="00E033AC" w:rsidRPr="00FF3A27" w:rsidRDefault="00E033AC" w:rsidP="00E033AC">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Each designated class of creditors is permitted to vote on the plan. </w:t>
      </w:r>
    </w:p>
    <w:p w14:paraId="04CC656D" w14:textId="70E6124B" w:rsidR="00FF3A27" w:rsidRDefault="00FF3A27" w:rsidP="00622C36">
      <w:pPr>
        <w:pStyle w:val="AODocTxt"/>
        <w:spacing w:before="0" w:line="240" w:lineRule="auto"/>
        <w:rPr>
          <w:rFonts w:ascii="Avenir Next" w:hAnsi="Avenir Next"/>
        </w:rPr>
      </w:pPr>
    </w:p>
    <w:p w14:paraId="4558B52A" w14:textId="0180556B" w:rsidR="00FF3A27" w:rsidRPr="00E033AC" w:rsidRDefault="00FF3A27" w:rsidP="00622C36">
      <w:pPr>
        <w:pStyle w:val="AODocTxt"/>
        <w:spacing w:before="0" w:line="240" w:lineRule="auto"/>
        <w:rPr>
          <w:rFonts w:ascii="Avenir Next" w:hAnsi="Avenir Next"/>
          <w:color w:val="808080" w:themeColor="background1" w:themeShade="80"/>
        </w:rPr>
      </w:pPr>
      <w:r w:rsidRPr="00E033AC">
        <w:rPr>
          <w:rFonts w:ascii="Avenir Next" w:hAnsi="Avenir Next"/>
          <w:color w:val="808080" w:themeColor="background1" w:themeShade="80"/>
        </w:rPr>
        <w:t xml:space="preserve">A given class of creditors approves the plan if a simple majority of the creditors in that class, holding at least 66.66% of the value of claims in the class, vote in </w:t>
      </w:r>
      <w:proofErr w:type="spellStart"/>
      <w:r w:rsidRPr="00E033AC">
        <w:rPr>
          <w:rFonts w:ascii="Avenir Next" w:hAnsi="Avenir Next"/>
          <w:color w:val="808080" w:themeColor="background1" w:themeShade="80"/>
        </w:rPr>
        <w:t>favour</w:t>
      </w:r>
      <w:proofErr w:type="spellEnd"/>
      <w:r w:rsidRPr="00E033AC">
        <w:rPr>
          <w:rFonts w:ascii="Avenir Next" w:hAnsi="Avenir Next"/>
          <w:color w:val="808080" w:themeColor="background1" w:themeShade="80"/>
        </w:rPr>
        <w:t xml:space="preserve"> of the plan (or for equity interests, if more than 66.6% in the amount of interests vote in </w:t>
      </w:r>
      <w:proofErr w:type="spellStart"/>
      <w:r w:rsidRPr="00E033AC">
        <w:rPr>
          <w:rFonts w:ascii="Avenir Next" w:hAnsi="Avenir Next"/>
          <w:color w:val="808080" w:themeColor="background1" w:themeShade="80"/>
        </w:rPr>
        <w:t>favour</w:t>
      </w:r>
      <w:proofErr w:type="spellEnd"/>
      <w:r w:rsidR="007B5220">
        <w:rPr>
          <w:rFonts w:ascii="Avenir Next" w:hAnsi="Avenir Next"/>
          <w:color w:val="808080" w:themeColor="background1" w:themeShade="80"/>
        </w:rPr>
        <w:t>)</w:t>
      </w:r>
      <w:r w:rsidRPr="00E033AC">
        <w:rPr>
          <w:rFonts w:ascii="Avenir Next" w:hAnsi="Avenir Next"/>
          <w:color w:val="808080" w:themeColor="background1" w:themeShade="80"/>
        </w:rPr>
        <w:t xml:space="preserve">. </w:t>
      </w:r>
    </w:p>
    <w:p w14:paraId="2C358078" w14:textId="708AFB13" w:rsidR="00FF3A27" w:rsidRPr="00622C36" w:rsidRDefault="00FF3A27"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248D17EB" w:rsidR="001445EF"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7F9F853E" w14:textId="4D380743" w:rsidR="0079247B" w:rsidRPr="0079247B" w:rsidRDefault="0079247B" w:rsidP="0079247B">
      <w:pPr>
        <w:pStyle w:val="AODocTxt"/>
        <w:spacing w:after="240" w:line="240" w:lineRule="auto"/>
        <w:ind w:left="426"/>
        <w:rPr>
          <w:rFonts w:ascii="Avenir Next" w:hAnsi="Avenir Next"/>
          <w:color w:val="808080" w:themeColor="background1" w:themeShade="80"/>
        </w:rPr>
      </w:pPr>
      <w:r w:rsidRPr="0079247B">
        <w:rPr>
          <w:rFonts w:ascii="Avenir Next" w:hAnsi="Avenir Next"/>
          <w:color w:val="808080" w:themeColor="background1" w:themeShade="80"/>
        </w:rPr>
        <w:t>A</w:t>
      </w:r>
      <w:r>
        <w:rPr>
          <w:rFonts w:ascii="Avenir Next" w:hAnsi="Avenir Next"/>
          <w:color w:val="808080" w:themeColor="background1" w:themeShade="80"/>
        </w:rPr>
        <w:t xml:space="preserve"> preference claim. </w:t>
      </w:r>
    </w:p>
    <w:p w14:paraId="1D225EBF" w14:textId="2941C1E4" w:rsidR="004E1F4B" w:rsidRPr="0079247B"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4CFEDA9F" w14:textId="77777777" w:rsidR="0079247B" w:rsidRPr="0079247B" w:rsidRDefault="0079247B" w:rsidP="0079247B">
      <w:pPr>
        <w:pStyle w:val="AODocTxt"/>
        <w:spacing w:after="240" w:line="240" w:lineRule="auto"/>
        <w:ind w:left="426"/>
        <w:rPr>
          <w:rFonts w:ascii="Avenir Next" w:hAnsi="Avenir Next"/>
          <w:color w:val="808080" w:themeColor="background1" w:themeShade="80"/>
        </w:rPr>
      </w:pPr>
      <w:r w:rsidRPr="0079247B">
        <w:rPr>
          <w:rFonts w:ascii="Avenir Next" w:hAnsi="Avenir Next"/>
          <w:color w:val="808080" w:themeColor="background1" w:themeShade="80"/>
        </w:rPr>
        <w:t>A</w:t>
      </w:r>
      <w:r>
        <w:rPr>
          <w:rFonts w:ascii="Avenir Next" w:hAnsi="Avenir Next"/>
          <w:color w:val="808080" w:themeColor="background1" w:themeShade="80"/>
        </w:rPr>
        <w:t xml:space="preserve"> preference claim. </w:t>
      </w: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6F1BD997" w14:textId="0EC27867" w:rsidR="0079247B" w:rsidRDefault="0079247B" w:rsidP="0079247B">
      <w:pPr>
        <w:pStyle w:val="AODocTxt"/>
        <w:spacing w:after="240" w:line="240" w:lineRule="auto"/>
        <w:ind w:left="426"/>
        <w:rPr>
          <w:rFonts w:ascii="Avenir Next" w:hAnsi="Avenir Next"/>
          <w:color w:val="808080" w:themeColor="background1" w:themeShade="80"/>
        </w:rPr>
      </w:pPr>
      <w:r w:rsidRPr="0079247B">
        <w:rPr>
          <w:rFonts w:ascii="Avenir Next" w:hAnsi="Avenir Next"/>
          <w:color w:val="808080" w:themeColor="background1" w:themeShade="80"/>
        </w:rPr>
        <w:t>A</w:t>
      </w:r>
      <w:r>
        <w:rPr>
          <w:rFonts w:ascii="Avenir Next" w:hAnsi="Avenir Next"/>
          <w:color w:val="808080" w:themeColor="background1" w:themeShade="80"/>
        </w:rPr>
        <w:t xml:space="preserve">n actual fraudulent conveyance. </w:t>
      </w: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7FE9D51F" w14:textId="394144C8" w:rsidR="00D6753F" w:rsidRDefault="00D6753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court may enter a final order consistent with the US Constitution (and in particular Article III jurisdiction) by either issuing a report and recommendation for review and sanction by the district court, or with the consent of the relevant parties. </w:t>
      </w:r>
    </w:p>
    <w:p w14:paraId="17F888AC" w14:textId="77777777" w:rsidR="00D6753F" w:rsidRDefault="00D6753F" w:rsidP="001D3BAA">
      <w:pPr>
        <w:pStyle w:val="AODocTxt"/>
        <w:spacing w:before="0" w:line="240" w:lineRule="auto"/>
        <w:rPr>
          <w:rFonts w:ascii="Avenir Next" w:hAnsi="Avenir Next"/>
          <w:color w:val="808080" w:themeColor="background1" w:themeShade="80"/>
        </w:rPr>
      </w:pPr>
    </w:p>
    <w:p w14:paraId="7D9C9C69" w14:textId="3BFDD2F8" w:rsidR="00D6753F" w:rsidRDefault="00D6753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Generally, appeals from the bankruptcy court’s decisions are heard by the district court for the district in which they sit. In certain circuits, they are heard by a Bankruptcy Appellate Panel (BAP). There are then potential further appeal rights to the circuit court of appeals. </w:t>
      </w:r>
    </w:p>
    <w:p w14:paraId="53D7A45B" w14:textId="5DFA8A73" w:rsidR="00D6753F" w:rsidRDefault="00D6753F" w:rsidP="001D3BAA">
      <w:pPr>
        <w:pStyle w:val="AODocTxt"/>
        <w:spacing w:before="0" w:line="240" w:lineRule="auto"/>
        <w:rPr>
          <w:rFonts w:ascii="Avenir Next" w:hAnsi="Avenir Next"/>
          <w:color w:val="808080" w:themeColor="background1" w:themeShade="80"/>
        </w:rPr>
      </w:pPr>
    </w:p>
    <w:p w14:paraId="6F9E4194" w14:textId="3936C4BD" w:rsidR="00D6753F" w:rsidRPr="00D6753F" w:rsidRDefault="00D6753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the order is not constitutionally final, the district court or BAP reviews </w:t>
      </w:r>
      <w:r>
        <w:rPr>
          <w:rFonts w:ascii="Avenir Next" w:hAnsi="Avenir Next"/>
          <w:i/>
          <w:color w:val="808080" w:themeColor="background1" w:themeShade="80"/>
        </w:rPr>
        <w:t>de novo</w:t>
      </w:r>
      <w:r>
        <w:rPr>
          <w:rFonts w:ascii="Avenir Next" w:hAnsi="Avenir Next"/>
          <w:color w:val="808080" w:themeColor="background1" w:themeShade="80"/>
        </w:rPr>
        <w:t xml:space="preserve"> all finding of fact and conclusions of law to which a party has objected.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337546C7" w:rsidR="001D3BAA" w:rsidRDefault="00325DF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Avoidance powers provided by the Bankruptcy C</w:t>
      </w:r>
      <w:r w:rsidR="00574C1C">
        <w:rPr>
          <w:rFonts w:ascii="Avenir Next" w:hAnsi="Avenir Next"/>
          <w:color w:val="808080" w:themeColor="background1" w:themeShade="80"/>
        </w:rPr>
        <w:t xml:space="preserve">ode cannot generally be invoked by a foreign representative in a Chapter 15 proceeding. </w:t>
      </w:r>
    </w:p>
    <w:p w14:paraId="35291EEE" w14:textId="533E3D12" w:rsidR="00574C1C" w:rsidRDefault="00574C1C" w:rsidP="001D3BAA">
      <w:pPr>
        <w:pStyle w:val="AODocTxt"/>
        <w:spacing w:before="0" w:line="240" w:lineRule="auto"/>
        <w:rPr>
          <w:rFonts w:ascii="Avenir Next" w:hAnsi="Avenir Next"/>
          <w:color w:val="808080" w:themeColor="background1" w:themeShade="80"/>
        </w:rPr>
      </w:pPr>
    </w:p>
    <w:p w14:paraId="15B9CC16" w14:textId="1D26BFC3" w:rsidR="00574C1C" w:rsidRDefault="00574C1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One way for such foreign representative to access such powers is by commencing plenary proceedings (e.g. chapter 7 or 11). Avoidance powers under the Bankruptcy Code will then be available in respect of actions relating to the debtor’s US assets. </w:t>
      </w:r>
    </w:p>
    <w:p w14:paraId="72975A8D" w14:textId="1DED91C1" w:rsidR="00574C1C" w:rsidRDefault="00574C1C" w:rsidP="001D3BAA">
      <w:pPr>
        <w:pStyle w:val="AODocTxt"/>
        <w:spacing w:before="0" w:line="240" w:lineRule="auto"/>
        <w:rPr>
          <w:rFonts w:ascii="Avenir Next" w:hAnsi="Avenir Next"/>
          <w:color w:val="808080" w:themeColor="background1" w:themeShade="80"/>
        </w:rPr>
      </w:pPr>
    </w:p>
    <w:p w14:paraId="3DFD5EDF" w14:textId="3EE96004" w:rsidR="00574C1C" w:rsidRPr="002B5D64" w:rsidRDefault="00574C1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alternative approach to obtain equivalent relief would be for the foreign representative to bring equivalent avoidance action(s) under the applicable law of the jurisdiction where the main proceedings are taking place.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4D610134" w:rsidR="001D3BAA" w:rsidRDefault="00E5711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following rules should be reviewed when preparing a filing for a bankruptcy court: </w:t>
      </w:r>
    </w:p>
    <w:p w14:paraId="1D7815AA" w14:textId="1769AB72" w:rsidR="00E5711B" w:rsidRDefault="00E5711B" w:rsidP="001D3BAA">
      <w:pPr>
        <w:pStyle w:val="AODocTxt"/>
        <w:spacing w:before="0" w:line="240" w:lineRule="auto"/>
        <w:rPr>
          <w:rFonts w:ascii="Avenir Next" w:hAnsi="Avenir Next"/>
          <w:color w:val="808080" w:themeColor="background1" w:themeShade="80"/>
        </w:rPr>
      </w:pPr>
    </w:p>
    <w:p w14:paraId="4BE2FD2B" w14:textId="49EF09F2" w:rsidR="00E5711B" w:rsidRDefault="00E5711B" w:rsidP="00E5711B">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Federal Rules of Bankruptcy Procedure – these govern procedure in bankruptcy proceedings; </w:t>
      </w:r>
    </w:p>
    <w:p w14:paraId="725D6A3E" w14:textId="3FD338C1" w:rsidR="00E5711B" w:rsidRDefault="00E5711B" w:rsidP="00E5711B">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Federal Rules of Civil Procedure – these particularly relate to litigation of disputed issues in contested matters/adversary proceedings; and </w:t>
      </w:r>
    </w:p>
    <w:p w14:paraId="03BC7150" w14:textId="6588E89D" w:rsidR="00E5711B" w:rsidRDefault="00E5711B" w:rsidP="00E5711B">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local rules of procedure of each Bankruptcy Court; and </w:t>
      </w:r>
    </w:p>
    <w:p w14:paraId="5050CBF1" w14:textId="4324FE6D" w:rsidR="00E5711B" w:rsidRPr="002B5D64" w:rsidRDefault="00E5711B" w:rsidP="00E5711B">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Personal practices issued by each judge (which are periodically updated and available on the website of the relevant Bankruptcy Court</w:t>
      </w:r>
      <w:r w:rsidR="007B5220">
        <w:rPr>
          <w:rFonts w:ascii="Avenir Next" w:hAnsi="Avenir Next"/>
          <w:color w:val="808080" w:themeColor="background1" w:themeShade="80"/>
        </w:rPr>
        <w:t>)</w:t>
      </w:r>
      <w:r>
        <w:rPr>
          <w:rFonts w:ascii="Avenir Next" w:hAnsi="Avenir Next"/>
          <w:color w:val="808080" w:themeColor="background1" w:themeShade="80"/>
        </w:rPr>
        <w:t xml:space="preserve">.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2A0AB2EC" w14:textId="77C1AA3A" w:rsidR="007278DB" w:rsidRDefault="007278D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Directors of Delaware corporations owe their fiduciary duties to the corporation and its shareholders (and not to creditors). </w:t>
      </w:r>
    </w:p>
    <w:p w14:paraId="4FF553B2" w14:textId="77777777" w:rsidR="007278DB" w:rsidRDefault="007278DB" w:rsidP="001D3BAA">
      <w:pPr>
        <w:pStyle w:val="AODocTxt"/>
        <w:spacing w:before="0" w:line="240" w:lineRule="auto"/>
        <w:rPr>
          <w:rFonts w:ascii="Avenir Next" w:hAnsi="Avenir Next"/>
          <w:color w:val="808080" w:themeColor="background1" w:themeShade="80"/>
        </w:rPr>
      </w:pPr>
    </w:p>
    <w:p w14:paraId="29ACD667" w14:textId="16594070" w:rsidR="007278DB" w:rsidRDefault="007278D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Those duties include duties of loyalty to the corporation’s best interest and a duty of care in educated decision making. </w:t>
      </w:r>
    </w:p>
    <w:p w14:paraId="7909C287" w14:textId="58918DE2" w:rsidR="007278DB" w:rsidRDefault="007278DB" w:rsidP="001D3BAA">
      <w:pPr>
        <w:pStyle w:val="AODocTxt"/>
        <w:spacing w:before="0" w:line="240" w:lineRule="auto"/>
        <w:rPr>
          <w:rFonts w:ascii="Avenir Next" w:hAnsi="Avenir Next"/>
          <w:color w:val="808080" w:themeColor="background1" w:themeShade="80"/>
        </w:rPr>
      </w:pPr>
    </w:p>
    <w:p w14:paraId="62FD0C4A" w14:textId="6EEF95EB" w:rsidR="007278DB" w:rsidRDefault="007278D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directors’ duties remain owing to the corporation and its shareholder when the corporation is potentially or actually insolvent.</w:t>
      </w:r>
    </w:p>
    <w:p w14:paraId="3B906FAA" w14:textId="192C246D" w:rsidR="007278DB" w:rsidRDefault="007278DB"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39309818" w14:textId="01FA37C1" w:rsidR="00830AFF" w:rsidRDefault="00830AFF" w:rsidP="001D3BAA">
      <w:pPr>
        <w:pStyle w:val="AODocTxt"/>
        <w:spacing w:before="0" w:line="240" w:lineRule="auto"/>
        <w:rPr>
          <w:rFonts w:ascii="Avenir Next" w:hAnsi="Avenir Next"/>
          <w:color w:val="808080" w:themeColor="background1" w:themeShade="80"/>
        </w:rPr>
      </w:pPr>
    </w:p>
    <w:p w14:paraId="7739A214" w14:textId="358DD09D" w:rsidR="00830AFF" w:rsidRDefault="00830AF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iWork Ltd was to enter into a bankruptcy proceeding (e.g. Chapter 11)</w:t>
      </w:r>
      <w:r w:rsidR="00C44EC0">
        <w:rPr>
          <w:rFonts w:ascii="Avenir Next" w:hAnsi="Avenir Next"/>
          <w:color w:val="808080" w:themeColor="background1" w:themeShade="80"/>
        </w:rPr>
        <w:t xml:space="preserve"> </w:t>
      </w:r>
      <w:r>
        <w:rPr>
          <w:rFonts w:ascii="Avenir Next" w:hAnsi="Avenir Next"/>
          <w:color w:val="808080" w:themeColor="background1" w:themeShade="80"/>
        </w:rPr>
        <w:t xml:space="preserve">as a result of its failure to pay rent, the Bankruptcy Code would provide </w:t>
      </w:r>
      <w:r w:rsidR="00A3080D">
        <w:rPr>
          <w:rFonts w:ascii="Avenir Next" w:hAnsi="Avenir Next"/>
          <w:color w:val="808080" w:themeColor="background1" w:themeShade="80"/>
        </w:rPr>
        <w:t xml:space="preserve">various </w:t>
      </w:r>
      <w:r>
        <w:rPr>
          <w:rFonts w:ascii="Avenir Next" w:hAnsi="Avenir Next"/>
          <w:color w:val="808080" w:themeColor="background1" w:themeShade="80"/>
        </w:rPr>
        <w:t>protection(s) to the relevant lessors</w:t>
      </w:r>
      <w:r w:rsidR="00A3080D">
        <w:rPr>
          <w:rFonts w:ascii="Avenir Next" w:hAnsi="Avenir Next"/>
          <w:color w:val="808080" w:themeColor="background1" w:themeShade="80"/>
        </w:rPr>
        <w:t xml:space="preserve">, including the following: </w:t>
      </w:r>
    </w:p>
    <w:p w14:paraId="5E2AE587" w14:textId="4A8DEE29" w:rsidR="00533CD2" w:rsidRDefault="00533CD2" w:rsidP="001D3BAA">
      <w:pPr>
        <w:pStyle w:val="AODocTxt"/>
        <w:spacing w:before="0" w:line="240" w:lineRule="auto"/>
        <w:rPr>
          <w:rFonts w:ascii="Avenir Next" w:hAnsi="Avenir Next"/>
          <w:color w:val="808080" w:themeColor="background1" w:themeShade="80"/>
        </w:rPr>
      </w:pPr>
    </w:p>
    <w:p w14:paraId="41F67316" w14:textId="4EC36459" w:rsidR="00C77222" w:rsidRDefault="00C77222" w:rsidP="001D3BAA">
      <w:pPr>
        <w:pStyle w:val="AODocTxt"/>
        <w:spacing w:before="0" w:line="240" w:lineRule="auto"/>
        <w:rPr>
          <w:rFonts w:ascii="Avenir Next" w:hAnsi="Avenir Next"/>
          <w:b/>
          <w:color w:val="808080" w:themeColor="background1" w:themeShade="80"/>
        </w:rPr>
      </w:pPr>
      <w:r>
        <w:rPr>
          <w:rFonts w:ascii="Avenir Next" w:hAnsi="Avenir Next"/>
          <w:b/>
          <w:color w:val="808080" w:themeColor="background1" w:themeShade="80"/>
        </w:rPr>
        <w:t>Automatic Stay</w:t>
      </w:r>
    </w:p>
    <w:p w14:paraId="38ED8140" w14:textId="77777777" w:rsidR="00C77222" w:rsidRPr="00C77222" w:rsidRDefault="00C77222" w:rsidP="001D3BAA">
      <w:pPr>
        <w:pStyle w:val="AODocTxt"/>
        <w:spacing w:before="0" w:line="240" w:lineRule="auto"/>
        <w:rPr>
          <w:rFonts w:ascii="Avenir Next" w:hAnsi="Avenir Next"/>
          <w:b/>
          <w:color w:val="808080" w:themeColor="background1" w:themeShade="80"/>
        </w:rPr>
      </w:pPr>
    </w:p>
    <w:p w14:paraId="2728BCA6" w14:textId="56D2AB24" w:rsidR="001977A4" w:rsidRDefault="00001E2D" w:rsidP="00830AFF">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Eviction of a debtor-tenant from non-residential property where the lease has expired is permitted under the automatic stay (treated as an exception) – as such the debtor cannot remain in the property indefinitely. </w:t>
      </w:r>
    </w:p>
    <w:p w14:paraId="1ACA3899" w14:textId="41168AD3" w:rsidR="001977A4" w:rsidRDefault="001977A4" w:rsidP="001977A4">
      <w:pPr>
        <w:pStyle w:val="AODocTxt"/>
        <w:spacing w:before="0" w:line="240" w:lineRule="auto"/>
        <w:ind w:left="720"/>
        <w:rPr>
          <w:rFonts w:ascii="Avenir Next" w:hAnsi="Avenir Next"/>
          <w:color w:val="808080" w:themeColor="background1" w:themeShade="80"/>
        </w:rPr>
      </w:pPr>
    </w:p>
    <w:p w14:paraId="08A450B4" w14:textId="57BB35E3" w:rsidR="00830AFF" w:rsidRDefault="00830AFF" w:rsidP="00830AFF">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automatic stay may be lifted on request by a lessor </w:t>
      </w:r>
      <w:r w:rsidR="001977A4">
        <w:rPr>
          <w:rFonts w:ascii="Avenir Next" w:hAnsi="Avenir Next"/>
          <w:color w:val="808080" w:themeColor="background1" w:themeShade="80"/>
        </w:rPr>
        <w:t>to permit</w:t>
      </w:r>
      <w:r>
        <w:rPr>
          <w:rFonts w:ascii="Avenir Next" w:hAnsi="Avenir Next"/>
          <w:color w:val="808080" w:themeColor="background1" w:themeShade="80"/>
        </w:rPr>
        <w:t xml:space="preserve"> otherwise prohibited creditor actions (in respect of the relevant property)</w:t>
      </w:r>
      <w:r w:rsidR="001977A4">
        <w:rPr>
          <w:rFonts w:ascii="Avenir Next" w:hAnsi="Avenir Next"/>
          <w:color w:val="808080" w:themeColor="background1" w:themeShade="80"/>
        </w:rPr>
        <w:t xml:space="preserve">. This would be applicable where the relevant lessor faced a lack of adequate protection of its interest in the property, where the value of the property may decline during the course of proceedings and result in the interested party making less than a full recovery. </w:t>
      </w:r>
    </w:p>
    <w:p w14:paraId="440F1723" w14:textId="421737EA" w:rsidR="00C77222" w:rsidRDefault="00C77222" w:rsidP="00C77222">
      <w:pPr>
        <w:pStyle w:val="AODocTxt"/>
        <w:spacing w:before="0" w:line="240" w:lineRule="auto"/>
        <w:rPr>
          <w:rFonts w:ascii="Avenir Next" w:hAnsi="Avenir Next"/>
          <w:color w:val="808080" w:themeColor="background1" w:themeShade="80"/>
        </w:rPr>
      </w:pPr>
    </w:p>
    <w:p w14:paraId="0FC8ED7E" w14:textId="62BE8651" w:rsidR="00C77222" w:rsidRPr="00C77222" w:rsidRDefault="00C77222" w:rsidP="00C77222">
      <w:pPr>
        <w:pStyle w:val="AODocTxt"/>
        <w:spacing w:before="0" w:line="240" w:lineRule="auto"/>
        <w:rPr>
          <w:rFonts w:ascii="Avenir Next" w:hAnsi="Avenir Next"/>
          <w:b/>
          <w:color w:val="808080" w:themeColor="background1" w:themeShade="80"/>
        </w:rPr>
      </w:pPr>
      <w:r>
        <w:rPr>
          <w:rFonts w:ascii="Avenir Next" w:hAnsi="Avenir Next"/>
          <w:b/>
          <w:color w:val="808080" w:themeColor="background1" w:themeShade="80"/>
        </w:rPr>
        <w:t>Executory Contracts</w:t>
      </w:r>
    </w:p>
    <w:p w14:paraId="5E70A2A5" w14:textId="2A51CE5F" w:rsidR="00830AFF" w:rsidRDefault="00830AFF" w:rsidP="00830AFF">
      <w:pPr>
        <w:pStyle w:val="AODocTxt"/>
        <w:spacing w:before="0" w:line="240" w:lineRule="auto"/>
        <w:ind w:left="720"/>
        <w:rPr>
          <w:rFonts w:ascii="Avenir Next" w:hAnsi="Avenir Next"/>
          <w:color w:val="808080" w:themeColor="background1" w:themeShade="80"/>
        </w:rPr>
      </w:pPr>
    </w:p>
    <w:p w14:paraId="085D67F5" w14:textId="277CE2AD" w:rsidR="00C77222" w:rsidRDefault="00830AFF" w:rsidP="001D3BAA">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Leases of commercial property could be considered executory contracts (therefore </w:t>
      </w:r>
      <w:r w:rsidR="00C44EC0">
        <w:rPr>
          <w:rFonts w:ascii="Avenir Next" w:hAnsi="Avenir Next"/>
          <w:color w:val="808080" w:themeColor="background1" w:themeShade="80"/>
        </w:rPr>
        <w:t>g</w:t>
      </w:r>
      <w:r>
        <w:rPr>
          <w:rFonts w:ascii="Avenir Next" w:hAnsi="Avenir Next"/>
          <w:color w:val="808080" w:themeColor="background1" w:themeShade="80"/>
        </w:rPr>
        <w:t xml:space="preserve">ranting the debtor the power to assume/reject the lease). In a Chapter 11 case, the debtor has until the confirmation of its plan </w:t>
      </w:r>
      <w:proofErr w:type="spellStart"/>
      <w:r>
        <w:rPr>
          <w:rFonts w:ascii="Avenir Next" w:hAnsi="Avenir Next"/>
          <w:color w:val="808080" w:themeColor="background1" w:themeShade="80"/>
        </w:rPr>
        <w:t>or</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reorganisation</w:t>
      </w:r>
      <w:proofErr w:type="spellEnd"/>
      <w:r>
        <w:rPr>
          <w:rFonts w:ascii="Avenir Next" w:hAnsi="Avenir Next"/>
          <w:color w:val="808080" w:themeColor="background1" w:themeShade="80"/>
        </w:rPr>
        <w:t xml:space="preserve"> to make this election. Commercial property leases are an exception to this rule, insofar as decisions relating to unexpired leases of non-residential property are required to be made within 120 days of the order for relief (providing more certainty / protection to lessors).  </w:t>
      </w:r>
    </w:p>
    <w:p w14:paraId="6B1D6807" w14:textId="523B976D" w:rsidR="00C77222" w:rsidRDefault="00C77222" w:rsidP="00C77222">
      <w:pPr>
        <w:pStyle w:val="AODocTxt"/>
        <w:spacing w:before="0" w:line="240" w:lineRule="auto"/>
        <w:ind w:left="720"/>
        <w:rPr>
          <w:rFonts w:ascii="Avenir Next" w:hAnsi="Avenir Next"/>
          <w:color w:val="808080" w:themeColor="background1" w:themeShade="80"/>
        </w:rPr>
      </w:pPr>
    </w:p>
    <w:p w14:paraId="748284F8" w14:textId="2F045BA2" w:rsidR="00C77222" w:rsidRDefault="00C77222" w:rsidP="001D3BAA">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certain circumstances, a debtor may be deemed to have assumed a contract based on its conduct, including where a debtor continues to occupy leased commercial premises despite purporting to reject the lease. </w:t>
      </w:r>
    </w:p>
    <w:p w14:paraId="3AF8CF0C" w14:textId="6BD36E89" w:rsidR="00B419D1" w:rsidRDefault="00B419D1" w:rsidP="00B419D1">
      <w:pPr>
        <w:pStyle w:val="AODocTxt"/>
        <w:spacing w:before="0" w:line="240" w:lineRule="auto"/>
        <w:rPr>
          <w:rFonts w:ascii="Avenir Next" w:hAnsi="Avenir Next"/>
          <w:color w:val="808080" w:themeColor="background1" w:themeShade="80"/>
        </w:rPr>
      </w:pPr>
    </w:p>
    <w:p w14:paraId="1D131B7B" w14:textId="5E109A22" w:rsidR="00B419D1" w:rsidRDefault="00B419D1" w:rsidP="00B419D1">
      <w:pPr>
        <w:pStyle w:val="AODocTxt"/>
        <w:spacing w:before="0" w:line="240" w:lineRule="auto"/>
        <w:rPr>
          <w:rFonts w:ascii="Avenir Next" w:hAnsi="Avenir Next"/>
          <w:color w:val="808080" w:themeColor="background1" w:themeShade="80"/>
        </w:rPr>
      </w:pPr>
      <w:r>
        <w:rPr>
          <w:rFonts w:ascii="Avenir Next" w:hAnsi="Avenir Next"/>
          <w:b/>
          <w:color w:val="808080" w:themeColor="background1" w:themeShade="80"/>
        </w:rPr>
        <w:t>Priority of Payment</w:t>
      </w:r>
    </w:p>
    <w:p w14:paraId="747BFE6F" w14:textId="77777777" w:rsidR="00B419D1" w:rsidRPr="00B419D1" w:rsidRDefault="00B419D1" w:rsidP="00B419D1">
      <w:pPr>
        <w:pStyle w:val="AODocTxt"/>
        <w:spacing w:before="0" w:line="240" w:lineRule="auto"/>
        <w:ind w:left="720"/>
        <w:rPr>
          <w:rFonts w:ascii="Avenir Next" w:hAnsi="Avenir Next"/>
          <w:color w:val="808080" w:themeColor="background1" w:themeShade="80"/>
        </w:rPr>
      </w:pPr>
    </w:p>
    <w:p w14:paraId="671DDD29" w14:textId="4608B97D" w:rsidR="00B419D1" w:rsidRDefault="00A3080D" w:rsidP="001D3BAA">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Lessors benefit from various protections in respect of the unsecured creditor waterfall:</w:t>
      </w:r>
    </w:p>
    <w:p w14:paraId="57C0C5FA" w14:textId="77777777" w:rsidR="00A3080D" w:rsidRDefault="00A3080D" w:rsidP="00A3080D">
      <w:pPr>
        <w:pStyle w:val="AODocTxt"/>
        <w:spacing w:before="0" w:line="240" w:lineRule="auto"/>
        <w:ind w:left="720"/>
        <w:rPr>
          <w:rFonts w:ascii="Avenir Next" w:hAnsi="Avenir Next"/>
          <w:color w:val="808080" w:themeColor="background1" w:themeShade="80"/>
        </w:rPr>
      </w:pPr>
    </w:p>
    <w:p w14:paraId="7526EADF" w14:textId="35FA8470" w:rsidR="00A3080D" w:rsidRDefault="00A3080D" w:rsidP="00A3080D">
      <w:pPr>
        <w:pStyle w:val="AODocTxt"/>
        <w:numPr>
          <w:ilvl w:val="1"/>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Rent on real estate that a debtor continues to occupy is usually paid on an ongoing basis post-petition as an administrative expenses; and </w:t>
      </w:r>
    </w:p>
    <w:p w14:paraId="66B77A94" w14:textId="1BFA524D" w:rsidR="00A3080D" w:rsidRDefault="00A3080D" w:rsidP="00A3080D">
      <w:pPr>
        <w:pStyle w:val="AODocTxt"/>
        <w:spacing w:before="0" w:line="240" w:lineRule="auto"/>
        <w:ind w:left="1440"/>
        <w:rPr>
          <w:rFonts w:ascii="Avenir Next" w:hAnsi="Avenir Next"/>
          <w:color w:val="808080" w:themeColor="background1" w:themeShade="80"/>
        </w:rPr>
      </w:pPr>
    </w:p>
    <w:p w14:paraId="68F6B33A" w14:textId="79041A39" w:rsidR="00A3080D" w:rsidRDefault="00A3080D" w:rsidP="00A3080D">
      <w:pPr>
        <w:pStyle w:val="AODocTxt"/>
        <w:numPr>
          <w:ilvl w:val="1"/>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Where a non-residential lease of real property is assumed and subsequently rejected, the relevant lessor will benefit from a high-priority claim for two years of lease payments from the later of the date of rejection of the lease or turnover of the property. </w:t>
      </w:r>
    </w:p>
    <w:p w14:paraId="7D0BD596" w14:textId="6ECD9482"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lastRenderedPageBreak/>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w:t>
      </w:r>
      <w:proofErr w:type="spellStart"/>
      <w:r w:rsidRPr="005D4357">
        <w:rPr>
          <w:rFonts w:ascii="Avenir Next" w:hAnsi="Avenir Next"/>
        </w:rPr>
        <w:t>Luxe’s</w:t>
      </w:r>
      <w:proofErr w:type="spellEnd"/>
      <w:r w:rsidRPr="005D4357">
        <w:rPr>
          <w:rFonts w:ascii="Avenir Next" w:hAnsi="Avenir Next"/>
        </w:rPr>
        <w:t xml:space="preserve">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6D5206B8" w14:textId="37A352DB" w:rsidR="005348CD" w:rsidRDefault="005348C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order to satisfy the relevant requirements of recognition under Chapter 15, the foreign representative must establish that the English court (or administrative) proceeding with respect to the debtor is pending and that the foreign representative is empowered to act by the proceeding. The scheme may be granted recognition assuming it constitutes:</w:t>
      </w:r>
    </w:p>
    <w:p w14:paraId="5EAC3B03" w14:textId="77777777" w:rsidR="005348CD" w:rsidRDefault="005348CD" w:rsidP="001D3BAA">
      <w:pPr>
        <w:pStyle w:val="AODocTxt"/>
        <w:spacing w:before="0" w:line="240" w:lineRule="auto"/>
        <w:rPr>
          <w:rFonts w:ascii="Avenir Next" w:hAnsi="Avenir Next"/>
          <w:color w:val="808080" w:themeColor="background1" w:themeShade="80"/>
        </w:rPr>
      </w:pPr>
    </w:p>
    <w:p w14:paraId="374C7399" w14:textId="64FC78D5" w:rsidR="005348CD" w:rsidRDefault="005348CD" w:rsidP="005348CD">
      <w:pPr>
        <w:pStyle w:val="AODocTxt"/>
        <w:spacing w:before="0" w:line="240" w:lineRule="auto"/>
        <w:ind w:left="720"/>
        <w:rPr>
          <w:rFonts w:ascii="Avenir Next" w:hAnsi="Avenir Next"/>
          <w:i/>
          <w:color w:val="808080" w:themeColor="background1" w:themeShade="80"/>
        </w:rPr>
      </w:pPr>
      <w:r>
        <w:rPr>
          <w:rFonts w:ascii="Avenir Next" w:hAnsi="Avenir Next"/>
          <w:color w:val="808080" w:themeColor="background1" w:themeShade="80"/>
        </w:rPr>
        <w:t>“</w:t>
      </w:r>
      <w:r>
        <w:rPr>
          <w:rFonts w:ascii="Avenir Next" w:hAnsi="Avenir Next"/>
          <w:i/>
          <w:color w:val="808080" w:themeColor="background1" w:themeShade="80"/>
        </w:rPr>
        <w:t>a collective judicial or administrative proceeding in a foreign country… under a law relating to insolvency or adjustment of debt in which proceeding the assets and affairs of the debtor are subject to control or supervision by a foreign court, for the purpose of reorganization or liquidation”</w:t>
      </w:r>
    </w:p>
    <w:p w14:paraId="44B45E91" w14:textId="009A439F" w:rsidR="005348CD" w:rsidRDefault="005348CD" w:rsidP="005348CD">
      <w:pPr>
        <w:pStyle w:val="AODocTxt"/>
        <w:spacing w:before="0" w:line="240" w:lineRule="auto"/>
        <w:ind w:left="720"/>
        <w:rPr>
          <w:rFonts w:ascii="Avenir Next" w:hAnsi="Avenir Next"/>
          <w:i/>
          <w:color w:val="808080" w:themeColor="background1" w:themeShade="80"/>
        </w:rPr>
      </w:pPr>
    </w:p>
    <w:p w14:paraId="1C9CC6CE" w14:textId="256584C3" w:rsidR="005348CD" w:rsidRDefault="005348CD" w:rsidP="005348C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is well established that an English scheme of arrangement, in principle, meets this criteria and accordingly may be granted recognition under US Chapter 15. </w:t>
      </w:r>
    </w:p>
    <w:p w14:paraId="3920CD01" w14:textId="1EBBF97D" w:rsidR="005348CD" w:rsidRDefault="005348CD" w:rsidP="005348CD">
      <w:pPr>
        <w:pStyle w:val="AODocTxt"/>
        <w:spacing w:before="0" w:line="240" w:lineRule="auto"/>
        <w:rPr>
          <w:rFonts w:ascii="Avenir Next" w:hAnsi="Avenir Next"/>
          <w:i/>
          <w:color w:val="808080" w:themeColor="background1" w:themeShade="80"/>
        </w:rPr>
      </w:pPr>
    </w:p>
    <w:p w14:paraId="2C5EF280" w14:textId="72FF1DD6" w:rsidR="009F650D" w:rsidRDefault="009F650D" w:rsidP="005348C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Whether the English scheme of arrangement is granted recognition as a foreign main or foreign non-main proceeding will primarily depend on the location of Skin </w:t>
      </w:r>
      <w:proofErr w:type="spellStart"/>
      <w:r>
        <w:rPr>
          <w:rFonts w:ascii="Avenir Next" w:hAnsi="Avenir Next"/>
          <w:color w:val="808080" w:themeColor="background1" w:themeShade="80"/>
        </w:rPr>
        <w:t>Luxe’s</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Foreign main proceedings are those that are commenced in the debtor’s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is a concept foreign to US law, which typically considers concepts of domicile and location of assets. A debtor’s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is presumed to be its place of incorporation (i.e. in the case of Skin Luxe, France), though this is rebuttable. </w:t>
      </w:r>
    </w:p>
    <w:p w14:paraId="40289061" w14:textId="39009D03" w:rsidR="00922A46" w:rsidRDefault="00922A46" w:rsidP="005348CD">
      <w:pPr>
        <w:pStyle w:val="AODocTxt"/>
        <w:spacing w:before="0" w:line="240" w:lineRule="auto"/>
        <w:rPr>
          <w:rFonts w:ascii="Avenir Next" w:hAnsi="Avenir Next"/>
          <w:color w:val="808080" w:themeColor="background1" w:themeShade="80"/>
        </w:rPr>
      </w:pPr>
    </w:p>
    <w:p w14:paraId="679459F9" w14:textId="127CA464" w:rsidR="00922A46" w:rsidRPr="00922A46" w:rsidRDefault="00922A46" w:rsidP="005348C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Pr>
          <w:rFonts w:ascii="Avenir Next" w:hAnsi="Avenir Next"/>
          <w:i/>
          <w:color w:val="808080" w:themeColor="background1" w:themeShade="80"/>
        </w:rPr>
        <w:t xml:space="preserve">Bear Stearns </w:t>
      </w:r>
      <w:r>
        <w:rPr>
          <w:rFonts w:ascii="Avenir Next" w:hAnsi="Avenir Next"/>
          <w:color w:val="808080" w:themeColor="background1" w:themeShade="80"/>
        </w:rPr>
        <w:t xml:space="preserve">case established that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is to be assessed as of the date of the US petition, not the commencement of foreign proceedings (this has encouraged the development of the practice of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shifting)</w:t>
      </w:r>
    </w:p>
    <w:p w14:paraId="0B5809BF" w14:textId="4D6F0586" w:rsidR="00922A46" w:rsidRDefault="00922A46" w:rsidP="005348C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p>
    <w:p w14:paraId="401D4B6D" w14:textId="7FB638DB" w:rsidR="00922A46" w:rsidRDefault="00922A46" w:rsidP="005348C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following factors would suggest that the debtor’s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is in England, and therefore that the proceedings should be </w:t>
      </w:r>
      <w:proofErr w:type="spellStart"/>
      <w:r>
        <w:rPr>
          <w:rFonts w:ascii="Avenir Next" w:hAnsi="Avenir Next"/>
          <w:color w:val="808080" w:themeColor="background1" w:themeShade="80"/>
        </w:rPr>
        <w:t>recognised</w:t>
      </w:r>
      <w:proofErr w:type="spellEnd"/>
      <w:r>
        <w:rPr>
          <w:rFonts w:ascii="Avenir Next" w:hAnsi="Avenir Next"/>
          <w:color w:val="808080" w:themeColor="background1" w:themeShade="80"/>
        </w:rPr>
        <w:t xml:space="preserve"> as foreign main:</w:t>
      </w:r>
    </w:p>
    <w:p w14:paraId="0CB0377A" w14:textId="1C04E582" w:rsidR="00922A46" w:rsidRDefault="00922A46" w:rsidP="005348CD">
      <w:pPr>
        <w:pStyle w:val="AODocTxt"/>
        <w:spacing w:before="0" w:line="240" w:lineRule="auto"/>
        <w:rPr>
          <w:rFonts w:ascii="Avenir Next" w:hAnsi="Avenir Next"/>
          <w:color w:val="808080" w:themeColor="background1" w:themeShade="80"/>
        </w:rPr>
      </w:pPr>
    </w:p>
    <w:p w14:paraId="02E55C42" w14:textId="4123DCA9" w:rsidR="00922A46" w:rsidRDefault="00922A46" w:rsidP="00922A46">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Sells its skin care products in London (and is therefore likely to have assets in England)</w:t>
      </w:r>
    </w:p>
    <w:p w14:paraId="17D51E68" w14:textId="77777777" w:rsidR="00C44EC0" w:rsidRDefault="00C44EC0" w:rsidP="00C44EC0">
      <w:pPr>
        <w:pStyle w:val="AODocTxt"/>
        <w:spacing w:before="0" w:line="240" w:lineRule="auto"/>
        <w:ind w:left="720"/>
        <w:rPr>
          <w:rFonts w:ascii="Avenir Next" w:hAnsi="Avenir Next"/>
          <w:color w:val="808080" w:themeColor="background1" w:themeShade="80"/>
        </w:rPr>
      </w:pPr>
    </w:p>
    <w:p w14:paraId="3104111A" w14:textId="18F1B8A7" w:rsidR="00922A46" w:rsidRDefault="00922A46" w:rsidP="00922A46">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Bonds are governed by English law</w:t>
      </w:r>
    </w:p>
    <w:p w14:paraId="0C45AA20" w14:textId="008885B0" w:rsidR="00922A46" w:rsidRDefault="00922A46" w:rsidP="00922A46">
      <w:pPr>
        <w:pStyle w:val="AODocTxt"/>
        <w:spacing w:before="0" w:line="240" w:lineRule="auto"/>
        <w:rPr>
          <w:rFonts w:ascii="Avenir Next" w:hAnsi="Avenir Next"/>
          <w:color w:val="808080" w:themeColor="background1" w:themeShade="80"/>
        </w:rPr>
      </w:pPr>
    </w:p>
    <w:p w14:paraId="107D6431" w14:textId="09C2E6EF" w:rsidR="00922A46" w:rsidRDefault="00922A46" w:rsidP="00922A4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following factors would suggest that the debtor’s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is outside England, and therefore that the proceedings should be </w:t>
      </w:r>
      <w:proofErr w:type="spellStart"/>
      <w:r>
        <w:rPr>
          <w:rFonts w:ascii="Avenir Next" w:hAnsi="Avenir Next"/>
          <w:color w:val="808080" w:themeColor="background1" w:themeShade="80"/>
        </w:rPr>
        <w:t>recognised</w:t>
      </w:r>
      <w:proofErr w:type="spellEnd"/>
      <w:r>
        <w:rPr>
          <w:rFonts w:ascii="Avenir Next" w:hAnsi="Avenir Next"/>
          <w:color w:val="808080" w:themeColor="background1" w:themeShade="80"/>
        </w:rPr>
        <w:t xml:space="preserve"> as foreign non-main: </w:t>
      </w:r>
    </w:p>
    <w:p w14:paraId="15221AFF" w14:textId="2246A36C" w:rsidR="00922A46" w:rsidRDefault="00922A46" w:rsidP="00922A46">
      <w:pPr>
        <w:pStyle w:val="AODocTxt"/>
        <w:spacing w:before="0" w:line="240" w:lineRule="auto"/>
        <w:rPr>
          <w:rFonts w:ascii="Avenir Next" w:hAnsi="Avenir Next"/>
          <w:color w:val="808080" w:themeColor="background1" w:themeShade="80"/>
        </w:rPr>
      </w:pPr>
    </w:p>
    <w:p w14:paraId="0AF83822" w14:textId="035DDA2A" w:rsidR="00922A46" w:rsidRDefault="00922A46" w:rsidP="00922A46">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It is incorporated and has its principal place of business in France</w:t>
      </w:r>
    </w:p>
    <w:p w14:paraId="42873BF9" w14:textId="77777777" w:rsidR="00C44EC0" w:rsidRDefault="00C44EC0" w:rsidP="00C44EC0">
      <w:pPr>
        <w:pStyle w:val="AODocTxt"/>
        <w:spacing w:before="0" w:line="240" w:lineRule="auto"/>
        <w:ind w:left="720"/>
        <w:rPr>
          <w:rFonts w:ascii="Avenir Next" w:hAnsi="Avenir Next"/>
          <w:color w:val="808080" w:themeColor="background1" w:themeShade="80"/>
        </w:rPr>
      </w:pPr>
    </w:p>
    <w:p w14:paraId="1215DECA" w14:textId="7AA692D5" w:rsidR="00922A46" w:rsidRDefault="00922A46" w:rsidP="00922A46">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Also sells its skin care products in a number of cities outside of England (and is therefore likely to have assets in those countries)</w:t>
      </w:r>
    </w:p>
    <w:p w14:paraId="321E8465" w14:textId="77777777" w:rsidR="00922A46" w:rsidRDefault="00922A46" w:rsidP="005348CD">
      <w:pPr>
        <w:pStyle w:val="AODocTxt"/>
        <w:spacing w:before="0" w:line="240" w:lineRule="auto"/>
        <w:rPr>
          <w:rFonts w:ascii="Avenir Next" w:hAnsi="Avenir Next"/>
          <w:color w:val="808080" w:themeColor="background1" w:themeShade="80"/>
        </w:rPr>
      </w:pPr>
    </w:p>
    <w:p w14:paraId="25089282" w14:textId="2F9C2D83" w:rsidR="002C45C2" w:rsidRDefault="00922A46" w:rsidP="005348CD">
      <w:pPr>
        <w:pStyle w:val="AODocTxt"/>
        <w:spacing w:before="0" w:line="240" w:lineRule="auto"/>
        <w:rPr>
          <w:rFonts w:ascii="Avenir Next" w:hAnsi="Avenir Next"/>
          <w:i/>
          <w:color w:val="808080" w:themeColor="background1" w:themeShade="80"/>
        </w:rPr>
      </w:pPr>
      <w:r>
        <w:rPr>
          <w:rFonts w:ascii="Avenir Next" w:hAnsi="Avenir Next"/>
          <w:color w:val="808080" w:themeColor="background1" w:themeShade="80"/>
        </w:rPr>
        <w:lastRenderedPageBreak/>
        <w:t xml:space="preserve">On the basis of the above, it seems likely that the proceedings will be </w:t>
      </w:r>
      <w:proofErr w:type="spellStart"/>
      <w:r>
        <w:rPr>
          <w:rFonts w:ascii="Avenir Next" w:hAnsi="Avenir Next"/>
          <w:color w:val="808080" w:themeColor="background1" w:themeShade="80"/>
        </w:rPr>
        <w:t>recognised</w:t>
      </w:r>
      <w:proofErr w:type="spellEnd"/>
      <w:r>
        <w:rPr>
          <w:rFonts w:ascii="Avenir Next" w:hAnsi="Avenir Next"/>
          <w:color w:val="808080" w:themeColor="background1" w:themeShade="80"/>
        </w:rPr>
        <w:t xml:space="preserve"> as foreign non-main, though the debtor could further </w:t>
      </w:r>
      <w:proofErr w:type="spellStart"/>
      <w:r>
        <w:rPr>
          <w:rFonts w:ascii="Avenir Next" w:hAnsi="Avenir Next"/>
          <w:color w:val="808080" w:themeColor="background1" w:themeShade="80"/>
        </w:rPr>
        <w:t>COMI</w:t>
      </w:r>
      <w:proofErr w:type="spellEnd"/>
      <w:r>
        <w:rPr>
          <w:rFonts w:ascii="Avenir Next" w:hAnsi="Avenir Next"/>
          <w:color w:val="808080" w:themeColor="background1" w:themeShade="80"/>
        </w:rPr>
        <w:t xml:space="preserve"> shift to England by e.g. changing its principal place of business to England (resulting in recognition as foreign main proceedings). </w:t>
      </w:r>
    </w:p>
    <w:p w14:paraId="0A16E2B0" w14:textId="77777777" w:rsidR="002C45C2" w:rsidRPr="005348CD" w:rsidRDefault="002C45C2" w:rsidP="005348CD">
      <w:pPr>
        <w:pStyle w:val="AODocTxt"/>
        <w:spacing w:before="0" w:line="240" w:lineRule="auto"/>
        <w:rPr>
          <w:rFonts w:ascii="Avenir Next" w:hAnsi="Avenir Next"/>
          <w:i/>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w:t>
      </w:r>
      <w:proofErr w:type="spellStart"/>
      <w:r w:rsidRPr="00FB2838">
        <w:rPr>
          <w:rFonts w:ascii="Avenir Next" w:hAnsi="Avenir Next"/>
        </w:rPr>
        <w:t>Inc</w:t>
      </w:r>
      <w:proofErr w:type="spellEnd"/>
      <w:r w:rsidRPr="00FB2838">
        <w:rPr>
          <w:rFonts w:ascii="Avenir Next" w:hAnsi="Avenir Next"/>
        </w:rPr>
        <w:t xml:space="preserve"> is engaged in day-trading stocks from leased office space with two employees.  It funds its trading through a margin loan from its broker, where the shares it purchases are held as collateral.  For a while, Speculation </w:t>
      </w:r>
      <w:proofErr w:type="spellStart"/>
      <w:r w:rsidRPr="00FB2838">
        <w:rPr>
          <w:rFonts w:ascii="Avenir Next" w:hAnsi="Avenir Next"/>
        </w:rPr>
        <w:t>Inc</w:t>
      </w:r>
      <w:proofErr w:type="spellEnd"/>
      <w:r w:rsidRPr="00FB2838">
        <w:rPr>
          <w:rFonts w:ascii="Avenir Next" w:hAnsi="Avenir Next"/>
        </w:rPr>
        <w:t xml:space="preserve"> was very successful in trading, and the US Department of Justice (DOJ) has announced an investigation into whether its success was due to illegally trading on insider information. More recently, Speculation </w:t>
      </w:r>
      <w:proofErr w:type="spellStart"/>
      <w:r w:rsidRPr="00FB2838">
        <w:rPr>
          <w:rFonts w:ascii="Avenir Next" w:hAnsi="Avenir Next"/>
        </w:rPr>
        <w:t>Inc</w:t>
      </w:r>
      <w:proofErr w:type="spellEnd"/>
      <w:r w:rsidRPr="00FB2838">
        <w:rPr>
          <w:rFonts w:ascii="Avenir Next" w:hAnsi="Avenir Next"/>
        </w:rPr>
        <w:t xml:space="preserve">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 xml:space="preserve">What would be the effect of a chapter 11 petition being filed by Speculation </w:t>
      </w:r>
      <w:proofErr w:type="spellStart"/>
      <w:r w:rsidRPr="00FB2838">
        <w:rPr>
          <w:rFonts w:ascii="Avenir Next" w:hAnsi="Avenir Next"/>
        </w:rPr>
        <w:t>Inc</w:t>
      </w:r>
      <w:proofErr w:type="spellEnd"/>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31FB7E78" w14:textId="206F297B" w:rsidR="003B4286" w:rsidRPr="003B4286" w:rsidRDefault="003B428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Chapter 11 petition filing would affect these matters as follows: </w:t>
      </w:r>
    </w:p>
    <w:p w14:paraId="7C4BE9C5" w14:textId="77777777" w:rsidR="003B4286" w:rsidRDefault="003B4286" w:rsidP="001D3BAA">
      <w:pPr>
        <w:pStyle w:val="AODocTxt"/>
        <w:spacing w:before="0" w:line="240" w:lineRule="auto"/>
        <w:rPr>
          <w:rFonts w:ascii="Avenir Next" w:hAnsi="Avenir Next"/>
          <w:b/>
          <w:color w:val="808080" w:themeColor="background1" w:themeShade="80"/>
        </w:rPr>
      </w:pPr>
    </w:p>
    <w:p w14:paraId="51844BC4" w14:textId="46DEFCF9" w:rsidR="001D3BAA" w:rsidRDefault="003B4286" w:rsidP="001D3BAA">
      <w:pPr>
        <w:pStyle w:val="AODocTxt"/>
        <w:spacing w:before="0" w:line="240" w:lineRule="auto"/>
        <w:rPr>
          <w:rFonts w:ascii="Avenir Next" w:hAnsi="Avenir Next"/>
          <w:b/>
          <w:color w:val="808080" w:themeColor="background1" w:themeShade="80"/>
          <w:u w:val="single"/>
        </w:rPr>
      </w:pPr>
      <w:r w:rsidRPr="003B4286">
        <w:rPr>
          <w:rFonts w:ascii="Avenir Next" w:hAnsi="Avenir Next"/>
          <w:b/>
          <w:color w:val="808080" w:themeColor="background1" w:themeShade="80"/>
          <w:u w:val="single"/>
        </w:rPr>
        <w:t>The DOJ Investigation</w:t>
      </w:r>
    </w:p>
    <w:p w14:paraId="739BB0C0" w14:textId="026F9956" w:rsidR="003B4286" w:rsidRDefault="003B4286" w:rsidP="001D3BAA">
      <w:pPr>
        <w:pStyle w:val="AODocTxt"/>
        <w:spacing w:before="0" w:line="240" w:lineRule="auto"/>
        <w:rPr>
          <w:rFonts w:ascii="Avenir Next" w:hAnsi="Avenir Next"/>
          <w:b/>
          <w:color w:val="808080" w:themeColor="background1" w:themeShade="80"/>
          <w:u w:val="single"/>
        </w:rPr>
      </w:pPr>
    </w:p>
    <w:p w14:paraId="44CE72F6" w14:textId="42711C96" w:rsidR="003B4286" w:rsidRPr="003B4286" w:rsidRDefault="00C44EC0" w:rsidP="001D3BAA">
      <w:pPr>
        <w:pStyle w:val="AODocTxt"/>
        <w:spacing w:before="0" w:line="240" w:lineRule="auto"/>
        <w:rPr>
          <w:rFonts w:ascii="Avenir Next" w:hAnsi="Avenir Next"/>
          <w:b/>
          <w:color w:val="808080" w:themeColor="background1" w:themeShade="80"/>
          <w:u w:val="single"/>
        </w:rPr>
      </w:pPr>
      <w:r>
        <w:rPr>
          <w:rFonts w:ascii="Avenir Next" w:hAnsi="Avenir Next"/>
          <w:color w:val="808080" w:themeColor="background1" w:themeShade="80"/>
        </w:rPr>
        <w:t>A</w:t>
      </w:r>
      <w:r w:rsidR="00E5711B">
        <w:rPr>
          <w:rFonts w:ascii="Avenir Next" w:hAnsi="Avenir Next"/>
          <w:color w:val="808080" w:themeColor="background1" w:themeShade="80"/>
        </w:rPr>
        <w:t xml:space="preserve">n automatic stay of proceedings against the debtor or its property will be enforceable from the date of the Chapter 11 petition. However, that stay is subject to certain statutory exceptions, </w:t>
      </w:r>
      <w:r w:rsidR="00E5711B" w:rsidRPr="00C44EC0">
        <w:rPr>
          <w:rFonts w:ascii="Avenir Next" w:hAnsi="Avenir Next"/>
          <w:color w:val="808080" w:themeColor="background1" w:themeShade="80"/>
          <w:u w:val="single"/>
        </w:rPr>
        <w:t>including regulatory investigations</w:t>
      </w:r>
      <w:r w:rsidR="00E5711B">
        <w:rPr>
          <w:rFonts w:ascii="Avenir Next" w:hAnsi="Avenir Next"/>
          <w:color w:val="808080" w:themeColor="background1" w:themeShade="80"/>
        </w:rPr>
        <w:t xml:space="preserve">. It is therefore likely that the Chapter 11 proceedings have no effect on the DOJ investigation. </w:t>
      </w:r>
    </w:p>
    <w:p w14:paraId="0B7FF29E" w14:textId="1D41289F" w:rsidR="003B4286" w:rsidRPr="003B4286" w:rsidRDefault="003B4286" w:rsidP="001D3BAA">
      <w:pPr>
        <w:pStyle w:val="AODocTxt"/>
        <w:spacing w:before="0" w:line="240" w:lineRule="auto"/>
        <w:rPr>
          <w:rFonts w:ascii="Avenir Next" w:hAnsi="Avenir Next"/>
          <w:b/>
          <w:color w:val="808080" w:themeColor="background1" w:themeShade="80"/>
          <w:u w:val="single"/>
        </w:rPr>
      </w:pPr>
    </w:p>
    <w:p w14:paraId="514CABD9" w14:textId="6F372A87" w:rsidR="00444603" w:rsidRPr="003B4286" w:rsidRDefault="00444603" w:rsidP="00444603">
      <w:pPr>
        <w:pStyle w:val="AODocTxt"/>
        <w:spacing w:before="0" w:line="240" w:lineRule="auto"/>
        <w:rPr>
          <w:rFonts w:ascii="Avenir Next" w:hAnsi="Avenir Next"/>
          <w:b/>
          <w:color w:val="808080" w:themeColor="background1" w:themeShade="80"/>
          <w:u w:val="single"/>
        </w:rPr>
      </w:pPr>
      <w:r w:rsidRPr="003B4286">
        <w:rPr>
          <w:rFonts w:ascii="Avenir Next" w:hAnsi="Avenir Next"/>
          <w:b/>
          <w:color w:val="808080" w:themeColor="background1" w:themeShade="80"/>
          <w:u w:val="single"/>
        </w:rPr>
        <w:t xml:space="preserve">The </w:t>
      </w:r>
      <w:r>
        <w:rPr>
          <w:rFonts w:ascii="Avenir Next" w:hAnsi="Avenir Next"/>
          <w:b/>
          <w:color w:val="808080" w:themeColor="background1" w:themeShade="80"/>
          <w:u w:val="single"/>
        </w:rPr>
        <w:t xml:space="preserve">Margin Loan Default </w:t>
      </w:r>
    </w:p>
    <w:p w14:paraId="5367BA01" w14:textId="77777777" w:rsidR="00444603" w:rsidRDefault="00444603" w:rsidP="001D3BAA">
      <w:pPr>
        <w:pStyle w:val="AODocTxt"/>
        <w:spacing w:before="0" w:line="240" w:lineRule="auto"/>
        <w:rPr>
          <w:rFonts w:ascii="Avenir Next" w:hAnsi="Avenir Next"/>
          <w:b/>
          <w:color w:val="808080" w:themeColor="background1" w:themeShade="80"/>
          <w:u w:val="single"/>
        </w:rPr>
      </w:pPr>
    </w:p>
    <w:p w14:paraId="59307EE1" w14:textId="6F41719D" w:rsidR="00444603" w:rsidRPr="00444603" w:rsidRDefault="0044460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margin loan will likely be considered a securities contract. Execution of securities contracts is excepted from the automatic stay. The proceedings will therefore have no effect on the default. </w:t>
      </w:r>
    </w:p>
    <w:p w14:paraId="2226FDB2" w14:textId="77777777" w:rsidR="00444603" w:rsidRDefault="00444603" w:rsidP="001D3BAA">
      <w:pPr>
        <w:pStyle w:val="AODocTxt"/>
        <w:spacing w:before="0" w:line="240" w:lineRule="auto"/>
        <w:rPr>
          <w:rFonts w:ascii="Avenir Next" w:hAnsi="Avenir Next"/>
          <w:b/>
          <w:color w:val="808080" w:themeColor="background1" w:themeShade="80"/>
          <w:u w:val="single"/>
        </w:rPr>
      </w:pPr>
    </w:p>
    <w:p w14:paraId="67C02EB5" w14:textId="7A7CE85A" w:rsidR="003B4286" w:rsidRPr="003B4286" w:rsidRDefault="003B4286" w:rsidP="001D3BAA">
      <w:pPr>
        <w:pStyle w:val="AODocTxt"/>
        <w:spacing w:before="0" w:line="240" w:lineRule="auto"/>
        <w:rPr>
          <w:rFonts w:ascii="Avenir Next" w:hAnsi="Avenir Next"/>
          <w:b/>
          <w:color w:val="808080" w:themeColor="background1" w:themeShade="80"/>
          <w:u w:val="single"/>
        </w:rPr>
      </w:pPr>
      <w:r w:rsidRPr="003B4286">
        <w:rPr>
          <w:rFonts w:ascii="Avenir Next" w:hAnsi="Avenir Next"/>
          <w:b/>
          <w:color w:val="808080" w:themeColor="background1" w:themeShade="80"/>
          <w:u w:val="single"/>
        </w:rPr>
        <w:t>The Delinquent Lease</w:t>
      </w:r>
    </w:p>
    <w:p w14:paraId="55B8CD0F" w14:textId="5A3A2F07" w:rsidR="003B4286" w:rsidRDefault="003B4286" w:rsidP="001D3BAA">
      <w:pPr>
        <w:pStyle w:val="AODocTxt"/>
        <w:spacing w:before="0" w:line="240" w:lineRule="auto"/>
        <w:rPr>
          <w:rFonts w:ascii="Avenir Next" w:hAnsi="Avenir Next"/>
          <w:b/>
          <w:color w:val="808080" w:themeColor="background1" w:themeShade="80"/>
          <w:u w:val="single"/>
        </w:rPr>
      </w:pPr>
    </w:p>
    <w:p w14:paraId="34A54688" w14:textId="788C9C29" w:rsidR="003B4286" w:rsidRDefault="00444603" w:rsidP="001D3BAA">
      <w:pPr>
        <w:pStyle w:val="AODocTxt"/>
        <w:spacing w:before="0" w:line="240" w:lineRule="auto"/>
        <w:rPr>
          <w:rFonts w:ascii="Avenir Next" w:hAnsi="Avenir Next"/>
          <w:b/>
          <w:color w:val="808080" w:themeColor="background1" w:themeShade="80"/>
          <w:u w:val="single"/>
        </w:rPr>
      </w:pPr>
      <w:r>
        <w:rPr>
          <w:rFonts w:ascii="Avenir Next" w:hAnsi="Avenir Next"/>
          <w:color w:val="808080" w:themeColor="background1" w:themeShade="80"/>
        </w:rPr>
        <w:t xml:space="preserve">If the lease has expired, the landlord can evict the debtor. If not the landlord will have no claim against pre-petition amounts owed but could claim rent should the debtor continue to occupy the property post-petition (as an expense of the proceeding). </w:t>
      </w:r>
    </w:p>
    <w:p w14:paraId="1A03FA66" w14:textId="77777777" w:rsidR="003B4286" w:rsidRPr="003B4286" w:rsidRDefault="003B4286" w:rsidP="001D3BAA">
      <w:pPr>
        <w:pStyle w:val="AODocTxt"/>
        <w:spacing w:before="0" w:line="240" w:lineRule="auto"/>
        <w:rPr>
          <w:rFonts w:ascii="Avenir Next" w:hAnsi="Avenir Next"/>
          <w:b/>
          <w:color w:val="808080" w:themeColor="background1" w:themeShade="80"/>
          <w:u w:val="single"/>
        </w:rPr>
      </w:pPr>
    </w:p>
    <w:p w14:paraId="38AECEA2" w14:textId="12D9E22D" w:rsidR="003B4286" w:rsidRPr="003B4286" w:rsidRDefault="003B4286" w:rsidP="001D3BAA">
      <w:pPr>
        <w:pStyle w:val="AODocTxt"/>
        <w:spacing w:before="0" w:line="240" w:lineRule="auto"/>
        <w:rPr>
          <w:rFonts w:ascii="Avenir Next" w:hAnsi="Avenir Next"/>
          <w:b/>
          <w:color w:val="808080" w:themeColor="background1" w:themeShade="80"/>
          <w:u w:val="single"/>
        </w:rPr>
      </w:pPr>
      <w:r w:rsidRPr="003B4286">
        <w:rPr>
          <w:rFonts w:ascii="Avenir Next" w:hAnsi="Avenir Next"/>
          <w:b/>
          <w:color w:val="808080" w:themeColor="background1" w:themeShade="80"/>
          <w:u w:val="single"/>
        </w:rPr>
        <w:t xml:space="preserve">The Employment Discrimination Lawsuit </w:t>
      </w:r>
    </w:p>
    <w:p w14:paraId="392AB5DA" w14:textId="77777777" w:rsidR="003E1AE6" w:rsidRDefault="003E1AE6" w:rsidP="001D3BAA">
      <w:pPr>
        <w:pStyle w:val="AODocTxt"/>
        <w:spacing w:before="0" w:line="240" w:lineRule="auto"/>
        <w:rPr>
          <w:rFonts w:ascii="Avenir Next" w:hAnsi="Avenir Next"/>
          <w:color w:val="808080" w:themeColor="background1" w:themeShade="80"/>
        </w:rPr>
      </w:pPr>
    </w:p>
    <w:p w14:paraId="6EB63182" w14:textId="032EC955" w:rsidR="003E1AE6" w:rsidRDefault="0044460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employee’s claim would be stayed – it does not fit within any statutory or other exemption. </w:t>
      </w:r>
    </w:p>
    <w:p w14:paraId="10036A2A" w14:textId="53184298" w:rsidR="003E1AE6" w:rsidRDefault="003E1AE6" w:rsidP="001D3BAA">
      <w:pPr>
        <w:pStyle w:val="AODocTxt"/>
        <w:spacing w:before="0" w:line="240" w:lineRule="auto"/>
        <w:rPr>
          <w:rFonts w:ascii="Avenir Next" w:hAnsi="Avenir Next"/>
          <w:color w:val="808080" w:themeColor="background1" w:themeShade="80"/>
        </w:rPr>
      </w:pPr>
    </w:p>
    <w:p w14:paraId="64BF9E5A" w14:textId="77777777" w:rsidR="003E1AE6" w:rsidRPr="002B5D64" w:rsidRDefault="003E1AE6" w:rsidP="001D3BAA">
      <w:pPr>
        <w:pStyle w:val="AODocTxt"/>
        <w:spacing w:before="0" w:line="240" w:lineRule="auto"/>
        <w:rPr>
          <w:rFonts w:ascii="Avenir Next" w:hAnsi="Avenir Next"/>
          <w:color w:val="808080" w:themeColor="background1" w:themeShade="80"/>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1"/>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B52D" w14:textId="77777777" w:rsidR="00033E81" w:rsidRDefault="00033E81" w:rsidP="00241B44">
      <w:r>
        <w:separator/>
      </w:r>
    </w:p>
  </w:endnote>
  <w:endnote w:type="continuationSeparator" w:id="0">
    <w:p w14:paraId="585C7A6B" w14:textId="77777777" w:rsidR="00033E81" w:rsidRDefault="00033E8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Avenir Next">
    <w:altName w:val="Trebuchet MS"/>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44020E7"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00E939B8">
          <w:rPr>
            <w:rStyle w:val="PageNumber"/>
            <w:rFonts w:ascii="Avenir Next" w:hAnsi="Avenir Next" w:cs="Arial"/>
            <w:noProof/>
            <w:sz w:val="22"/>
            <w:szCs w:val="22"/>
          </w:rPr>
          <w:t>6</w:t>
        </w:r>
        <w:r w:rsidRPr="00494B81">
          <w:rPr>
            <w:rStyle w:val="PageNumber"/>
            <w:rFonts w:ascii="Avenir Next" w:hAnsi="Avenir Next" w:cs="Arial"/>
            <w:sz w:val="22"/>
            <w:szCs w:val="22"/>
          </w:rPr>
          <w:fldChar w:fldCharType="end"/>
        </w:r>
      </w:p>
    </w:sdtContent>
  </w:sdt>
  <w:p w14:paraId="30F05E79" w14:textId="0F82B6AF" w:rsidR="00241FA3" w:rsidRPr="00494B81" w:rsidRDefault="00AE091C" w:rsidP="00AE091C">
    <w:pPr>
      <w:pStyle w:val="Footer"/>
      <w:ind w:right="360"/>
      <w:rPr>
        <w:rFonts w:ascii="Avenir Next" w:hAnsi="Avenir Next" w:cs="Arial"/>
        <w:sz w:val="22"/>
        <w:szCs w:val="22"/>
        <w:lang w:val="en-GB"/>
      </w:rPr>
    </w:pPr>
    <w:proofErr w:type="spellStart"/>
    <w:r>
      <w:rPr>
        <w:rFonts w:ascii="Avenir Next" w:hAnsi="Avenir Next" w:cs="Arial"/>
        <w:sz w:val="22"/>
        <w:szCs w:val="22"/>
        <w:lang w:val="en-GB"/>
      </w:rPr>
      <w:t>FC202324-1452.assessment3</w:t>
    </w:r>
    <w:r w:rsidRPr="00AE091C">
      <w:rPr>
        <w:rFonts w:ascii="Avenir Next" w:hAnsi="Avenir Next" w:cs="Arial"/>
        <w:sz w:val="22"/>
        <w:szCs w:val="22"/>
        <w:lang w:val="en-GB"/>
      </w:rPr>
      <w:t>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D9F1" w14:textId="77777777" w:rsidR="00AE091C" w:rsidRDefault="00AE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8155" w14:textId="77777777" w:rsidR="00033E81" w:rsidRDefault="00033E81" w:rsidP="00241B44">
      <w:r>
        <w:separator/>
      </w:r>
    </w:p>
  </w:footnote>
  <w:footnote w:type="continuationSeparator" w:id="0">
    <w:p w14:paraId="47AD444A" w14:textId="77777777" w:rsidR="00033E81" w:rsidRDefault="00033E8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2BAA" w14:textId="77777777" w:rsidR="00AE091C" w:rsidRDefault="00AE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E015D" w14:textId="77777777" w:rsidR="00AE091C" w:rsidRDefault="00AE0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9CF4" w14:textId="77777777" w:rsidR="00AE091C" w:rsidRDefault="00AE0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774D4"/>
    <w:multiLevelType w:val="hybridMultilevel"/>
    <w:tmpl w:val="7854AB08"/>
    <w:lvl w:ilvl="0" w:tplc="7632B5B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4136A"/>
    <w:multiLevelType w:val="hybridMultilevel"/>
    <w:tmpl w:val="E61C5D2E"/>
    <w:lvl w:ilvl="0" w:tplc="7632B5B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5B79CF"/>
    <w:multiLevelType w:val="hybridMultilevel"/>
    <w:tmpl w:val="BDFCF588"/>
    <w:lvl w:ilvl="0" w:tplc="1DAEDBF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913A6"/>
    <w:multiLevelType w:val="hybridMultilevel"/>
    <w:tmpl w:val="092C37A8"/>
    <w:lvl w:ilvl="0" w:tplc="1DAEDBFA">
      <w:start w:val="1"/>
      <w:numFmt w:val="bullet"/>
      <w:lvlRestart w:val="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A0225"/>
    <w:multiLevelType w:val="hybridMultilevel"/>
    <w:tmpl w:val="CEE85B0C"/>
    <w:lvl w:ilvl="0" w:tplc="1DAEDBF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B2C2E"/>
    <w:multiLevelType w:val="hybridMultilevel"/>
    <w:tmpl w:val="44FE1064"/>
    <w:lvl w:ilvl="0" w:tplc="A262FA94">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9257A3"/>
    <w:multiLevelType w:val="hybridMultilevel"/>
    <w:tmpl w:val="93A0F2B2"/>
    <w:lvl w:ilvl="0" w:tplc="7632B5B0">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5C4A90"/>
    <w:multiLevelType w:val="hybridMultilevel"/>
    <w:tmpl w:val="8B4AFC90"/>
    <w:lvl w:ilvl="0" w:tplc="1DAEDBF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abstractNumId w:val="29"/>
  </w:num>
  <w:num w:numId="2">
    <w:abstractNumId w:val="33"/>
  </w:num>
  <w:num w:numId="3">
    <w:abstractNumId w:val="5"/>
  </w:num>
  <w:num w:numId="4">
    <w:abstractNumId w:val="10"/>
  </w:num>
  <w:num w:numId="5">
    <w:abstractNumId w:val="13"/>
  </w:num>
  <w:num w:numId="6">
    <w:abstractNumId w:val="38"/>
  </w:num>
  <w:num w:numId="7">
    <w:abstractNumId w:val="6"/>
  </w:num>
  <w:num w:numId="8">
    <w:abstractNumId w:val="41"/>
  </w:num>
  <w:num w:numId="9">
    <w:abstractNumId w:val="15"/>
  </w:num>
  <w:num w:numId="10">
    <w:abstractNumId w:val="32"/>
  </w:num>
  <w:num w:numId="11">
    <w:abstractNumId w:val="17"/>
  </w:num>
  <w:num w:numId="12">
    <w:abstractNumId w:val="27"/>
  </w:num>
  <w:num w:numId="13">
    <w:abstractNumId w:val="0"/>
  </w:num>
  <w:num w:numId="14">
    <w:abstractNumId w:val="12"/>
  </w:num>
  <w:num w:numId="15">
    <w:abstractNumId w:val="21"/>
  </w:num>
  <w:num w:numId="16">
    <w:abstractNumId w:val="9"/>
  </w:num>
  <w:num w:numId="17">
    <w:abstractNumId w:val="4"/>
  </w:num>
  <w:num w:numId="18">
    <w:abstractNumId w:val="3"/>
  </w:num>
  <w:num w:numId="19">
    <w:abstractNumId w:val="34"/>
  </w:num>
  <w:num w:numId="20">
    <w:abstractNumId w:val="8"/>
  </w:num>
  <w:num w:numId="21">
    <w:abstractNumId w:val="31"/>
  </w:num>
  <w:num w:numId="22">
    <w:abstractNumId w:val="43"/>
  </w:num>
  <w:num w:numId="23">
    <w:abstractNumId w:val="16"/>
  </w:num>
  <w:num w:numId="24">
    <w:abstractNumId w:val="36"/>
  </w:num>
  <w:num w:numId="25">
    <w:abstractNumId w:val="22"/>
  </w:num>
  <w:num w:numId="26">
    <w:abstractNumId w:val="25"/>
  </w:num>
  <w:num w:numId="27">
    <w:abstractNumId w:val="19"/>
  </w:num>
  <w:num w:numId="28">
    <w:abstractNumId w:val="39"/>
  </w:num>
  <w:num w:numId="29">
    <w:abstractNumId w:val="1"/>
  </w:num>
  <w:num w:numId="30">
    <w:abstractNumId w:val="20"/>
  </w:num>
  <w:num w:numId="31">
    <w:abstractNumId w:val="26"/>
  </w:num>
  <w:num w:numId="32">
    <w:abstractNumId w:val="44"/>
  </w:num>
  <w:num w:numId="33">
    <w:abstractNumId w:val="18"/>
  </w:num>
  <w:num w:numId="34">
    <w:abstractNumId w:val="2"/>
  </w:num>
  <w:num w:numId="35">
    <w:abstractNumId w:val="40"/>
  </w:num>
  <w:num w:numId="36">
    <w:abstractNumId w:val="42"/>
  </w:num>
  <w:num w:numId="37">
    <w:abstractNumId w:val="11"/>
  </w:num>
  <w:num w:numId="38">
    <w:abstractNumId w:val="35"/>
  </w:num>
  <w:num w:numId="39">
    <w:abstractNumId w:val="14"/>
  </w:num>
  <w:num w:numId="40">
    <w:abstractNumId w:val="7"/>
  </w:num>
  <w:num w:numId="41">
    <w:abstractNumId w:val="24"/>
  </w:num>
  <w:num w:numId="42">
    <w:abstractNumId w:val="28"/>
  </w:num>
  <w:num w:numId="43">
    <w:abstractNumId w:val="23"/>
  </w:num>
  <w:num w:numId="44">
    <w:abstractNumId w:val="37"/>
  </w:num>
  <w:num w:numId="45">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DE5"/>
    <w:rsid w:val="00001E2D"/>
    <w:rsid w:val="00003B5E"/>
    <w:rsid w:val="000106A0"/>
    <w:rsid w:val="00010BA0"/>
    <w:rsid w:val="00020557"/>
    <w:rsid w:val="00021FC2"/>
    <w:rsid w:val="00022E00"/>
    <w:rsid w:val="000250C7"/>
    <w:rsid w:val="00026F16"/>
    <w:rsid w:val="00033E81"/>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458"/>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7A4"/>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47D6"/>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C45C2"/>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5DF7"/>
    <w:rsid w:val="00326292"/>
    <w:rsid w:val="00326415"/>
    <w:rsid w:val="00330937"/>
    <w:rsid w:val="00330F31"/>
    <w:rsid w:val="00334648"/>
    <w:rsid w:val="00334B98"/>
    <w:rsid w:val="0033768C"/>
    <w:rsid w:val="00337938"/>
    <w:rsid w:val="00340769"/>
    <w:rsid w:val="00341AA6"/>
    <w:rsid w:val="003502EB"/>
    <w:rsid w:val="003518E3"/>
    <w:rsid w:val="00352E16"/>
    <w:rsid w:val="00361A0A"/>
    <w:rsid w:val="00364836"/>
    <w:rsid w:val="0036565C"/>
    <w:rsid w:val="0036625E"/>
    <w:rsid w:val="0036662D"/>
    <w:rsid w:val="0037465A"/>
    <w:rsid w:val="00380ED3"/>
    <w:rsid w:val="003817EA"/>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4286"/>
    <w:rsid w:val="003B7184"/>
    <w:rsid w:val="003C0F8C"/>
    <w:rsid w:val="003C1190"/>
    <w:rsid w:val="003C3388"/>
    <w:rsid w:val="003C4471"/>
    <w:rsid w:val="003C53FE"/>
    <w:rsid w:val="003D0A6D"/>
    <w:rsid w:val="003D450D"/>
    <w:rsid w:val="003E0B16"/>
    <w:rsid w:val="003E1AE6"/>
    <w:rsid w:val="003E67D1"/>
    <w:rsid w:val="00404329"/>
    <w:rsid w:val="00405DC1"/>
    <w:rsid w:val="00415F1F"/>
    <w:rsid w:val="004172DA"/>
    <w:rsid w:val="0042108F"/>
    <w:rsid w:val="004248F6"/>
    <w:rsid w:val="004273B0"/>
    <w:rsid w:val="00430FED"/>
    <w:rsid w:val="00434A8C"/>
    <w:rsid w:val="00435733"/>
    <w:rsid w:val="00437297"/>
    <w:rsid w:val="00444284"/>
    <w:rsid w:val="00444603"/>
    <w:rsid w:val="00445CE6"/>
    <w:rsid w:val="004534C2"/>
    <w:rsid w:val="0045446F"/>
    <w:rsid w:val="00455018"/>
    <w:rsid w:val="0045683E"/>
    <w:rsid w:val="00466CE4"/>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3CD2"/>
    <w:rsid w:val="005344F8"/>
    <w:rsid w:val="005348CD"/>
    <w:rsid w:val="00537970"/>
    <w:rsid w:val="00540E3A"/>
    <w:rsid w:val="00543CCE"/>
    <w:rsid w:val="00544127"/>
    <w:rsid w:val="005463A9"/>
    <w:rsid w:val="00553EB2"/>
    <w:rsid w:val="00560534"/>
    <w:rsid w:val="0056391B"/>
    <w:rsid w:val="005650E2"/>
    <w:rsid w:val="00567AD7"/>
    <w:rsid w:val="00574C1C"/>
    <w:rsid w:val="00575B2D"/>
    <w:rsid w:val="00576995"/>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B7DDC"/>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278DB"/>
    <w:rsid w:val="00730B0A"/>
    <w:rsid w:val="0073158B"/>
    <w:rsid w:val="007333CC"/>
    <w:rsid w:val="0073399A"/>
    <w:rsid w:val="00740655"/>
    <w:rsid w:val="00741CBF"/>
    <w:rsid w:val="007527DD"/>
    <w:rsid w:val="007603F5"/>
    <w:rsid w:val="00764DB0"/>
    <w:rsid w:val="0076764D"/>
    <w:rsid w:val="00767C70"/>
    <w:rsid w:val="0077498C"/>
    <w:rsid w:val="00776E08"/>
    <w:rsid w:val="00777C53"/>
    <w:rsid w:val="007809BC"/>
    <w:rsid w:val="00784128"/>
    <w:rsid w:val="007854BD"/>
    <w:rsid w:val="00787BCC"/>
    <w:rsid w:val="0079247B"/>
    <w:rsid w:val="00793173"/>
    <w:rsid w:val="007A2A33"/>
    <w:rsid w:val="007B0809"/>
    <w:rsid w:val="007B5220"/>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1589D"/>
    <w:rsid w:val="00821F0A"/>
    <w:rsid w:val="0082483F"/>
    <w:rsid w:val="008279C0"/>
    <w:rsid w:val="00830AFF"/>
    <w:rsid w:val="00834F92"/>
    <w:rsid w:val="0083721E"/>
    <w:rsid w:val="00837A43"/>
    <w:rsid w:val="00853272"/>
    <w:rsid w:val="00855BA7"/>
    <w:rsid w:val="0087116D"/>
    <w:rsid w:val="008723F3"/>
    <w:rsid w:val="00872711"/>
    <w:rsid w:val="00875912"/>
    <w:rsid w:val="00881DE6"/>
    <w:rsid w:val="0088283D"/>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110"/>
    <w:rsid w:val="00905A43"/>
    <w:rsid w:val="00912C79"/>
    <w:rsid w:val="00921B8C"/>
    <w:rsid w:val="00922A46"/>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9F650D"/>
    <w:rsid w:val="00A024E7"/>
    <w:rsid w:val="00A04071"/>
    <w:rsid w:val="00A047EE"/>
    <w:rsid w:val="00A04D79"/>
    <w:rsid w:val="00A2274A"/>
    <w:rsid w:val="00A235B7"/>
    <w:rsid w:val="00A27A7A"/>
    <w:rsid w:val="00A3080D"/>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96590"/>
    <w:rsid w:val="00AA0280"/>
    <w:rsid w:val="00AA7BE3"/>
    <w:rsid w:val="00AB1B65"/>
    <w:rsid w:val="00AB2425"/>
    <w:rsid w:val="00AB685C"/>
    <w:rsid w:val="00AB6C2D"/>
    <w:rsid w:val="00AC08F7"/>
    <w:rsid w:val="00AC3839"/>
    <w:rsid w:val="00AC7082"/>
    <w:rsid w:val="00AD4BE8"/>
    <w:rsid w:val="00AE091C"/>
    <w:rsid w:val="00AF228E"/>
    <w:rsid w:val="00B016A8"/>
    <w:rsid w:val="00B01E81"/>
    <w:rsid w:val="00B02824"/>
    <w:rsid w:val="00B10961"/>
    <w:rsid w:val="00B14819"/>
    <w:rsid w:val="00B15E2F"/>
    <w:rsid w:val="00B17AA9"/>
    <w:rsid w:val="00B17EAC"/>
    <w:rsid w:val="00B27E6E"/>
    <w:rsid w:val="00B419D1"/>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06A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4EC0"/>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222"/>
    <w:rsid w:val="00C7736C"/>
    <w:rsid w:val="00C82D87"/>
    <w:rsid w:val="00C8695A"/>
    <w:rsid w:val="00C8712A"/>
    <w:rsid w:val="00C87E0A"/>
    <w:rsid w:val="00C902C8"/>
    <w:rsid w:val="00C919D1"/>
    <w:rsid w:val="00C963D3"/>
    <w:rsid w:val="00CB1983"/>
    <w:rsid w:val="00CB2CBB"/>
    <w:rsid w:val="00CB6578"/>
    <w:rsid w:val="00CB7CAC"/>
    <w:rsid w:val="00CC0CF1"/>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6753F"/>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3D14"/>
    <w:rsid w:val="00DC4420"/>
    <w:rsid w:val="00DC73DF"/>
    <w:rsid w:val="00DD0802"/>
    <w:rsid w:val="00DD2E11"/>
    <w:rsid w:val="00DD4A4A"/>
    <w:rsid w:val="00DE03AF"/>
    <w:rsid w:val="00DE121C"/>
    <w:rsid w:val="00DE5357"/>
    <w:rsid w:val="00DE6633"/>
    <w:rsid w:val="00DE7E9B"/>
    <w:rsid w:val="00DF158F"/>
    <w:rsid w:val="00DF2BCA"/>
    <w:rsid w:val="00DF5F7C"/>
    <w:rsid w:val="00DF75F8"/>
    <w:rsid w:val="00DF7A3A"/>
    <w:rsid w:val="00E00C00"/>
    <w:rsid w:val="00E01803"/>
    <w:rsid w:val="00E033AC"/>
    <w:rsid w:val="00E07C5A"/>
    <w:rsid w:val="00E15ACE"/>
    <w:rsid w:val="00E15BA9"/>
    <w:rsid w:val="00E16B82"/>
    <w:rsid w:val="00E239B8"/>
    <w:rsid w:val="00E26E10"/>
    <w:rsid w:val="00E26E19"/>
    <w:rsid w:val="00E30E60"/>
    <w:rsid w:val="00E31DF3"/>
    <w:rsid w:val="00E421C6"/>
    <w:rsid w:val="00E450A4"/>
    <w:rsid w:val="00E506BE"/>
    <w:rsid w:val="00E55547"/>
    <w:rsid w:val="00E5711B"/>
    <w:rsid w:val="00E6302B"/>
    <w:rsid w:val="00E6452F"/>
    <w:rsid w:val="00E64F45"/>
    <w:rsid w:val="00E6742D"/>
    <w:rsid w:val="00E71CB0"/>
    <w:rsid w:val="00E77C3D"/>
    <w:rsid w:val="00E90991"/>
    <w:rsid w:val="00E909F0"/>
    <w:rsid w:val="00E90D47"/>
    <w:rsid w:val="00E90EEC"/>
    <w:rsid w:val="00E91BE5"/>
    <w:rsid w:val="00E93993"/>
    <w:rsid w:val="00E939B8"/>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0C4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A7A56"/>
    <w:rsid w:val="00FB2838"/>
    <w:rsid w:val="00FB7FBD"/>
    <w:rsid w:val="00FC374A"/>
    <w:rsid w:val="00FC43EC"/>
    <w:rsid w:val="00FC7AC7"/>
    <w:rsid w:val="00FC7B47"/>
    <w:rsid w:val="00FD035C"/>
    <w:rsid w:val="00FD1A35"/>
    <w:rsid w:val="00FD2EA4"/>
    <w:rsid w:val="00FD36C5"/>
    <w:rsid w:val="00FD5733"/>
    <w:rsid w:val="00FD6310"/>
    <w:rsid w:val="00FD7C7B"/>
    <w:rsid w:val="00FE1964"/>
    <w:rsid w:val="00FE1D12"/>
    <w:rsid w:val="00FE2122"/>
    <w:rsid w:val="00FE2A86"/>
    <w:rsid w:val="00FE2DE2"/>
    <w:rsid w:val="00FE45A4"/>
    <w:rsid w:val="00FE5DB8"/>
    <w:rsid w:val="00FF296F"/>
    <w:rsid w:val="00FF3A2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B028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customStyle="1" w:styleId="Heading1Char">
    <w:name w:val="Heading 1 Char"/>
    <w:basedOn w:val="DefaultParagraphFont"/>
    <w:link w:val="Heading1"/>
    <w:uiPriority w:val="9"/>
    <w:rsid w:val="00B028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9E54-8687-4ACA-9E44-FA7580F5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Stafford, Ben</cp:lastModifiedBy>
  <cp:revision>38</cp:revision>
  <cp:lastPrinted>2019-08-27T05:42:00Z</cp:lastPrinted>
  <dcterms:created xsi:type="dcterms:W3CDTF">2024-02-23T15:20:00Z</dcterms:created>
  <dcterms:modified xsi:type="dcterms:W3CDTF">2024-02-28T11:24:00Z</dcterms:modified>
</cp:coreProperties>
</file>