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D3D1" w14:textId="067CAA84" w:rsidR="0035220A" w:rsidRDefault="005B7741" w:rsidP="0075027F">
      <w:pPr>
        <w:jc w:val="center"/>
        <w:rPr>
          <w:b/>
          <w:bCs/>
          <w:caps/>
          <w:u w:val="single"/>
        </w:rPr>
      </w:pPr>
      <w:r w:rsidRPr="005B7741">
        <w:rPr>
          <w:b/>
          <w:bCs/>
          <w:caps/>
          <w:u w:val="single"/>
        </w:rPr>
        <w:t>t</w:t>
      </w:r>
      <w:r w:rsidR="0035220A" w:rsidRPr="005B7741">
        <w:rPr>
          <w:b/>
          <w:bCs/>
          <w:caps/>
          <w:u w:val="single"/>
        </w:rPr>
        <w:t>he “modified universalism</w:t>
      </w:r>
      <w:r w:rsidRPr="005B7741">
        <w:rPr>
          <w:b/>
          <w:bCs/>
          <w:caps/>
          <w:u w:val="single"/>
        </w:rPr>
        <w:t>”</w:t>
      </w:r>
      <w:r w:rsidR="0035220A" w:rsidRPr="005B7741">
        <w:rPr>
          <w:b/>
          <w:bCs/>
          <w:caps/>
          <w:u w:val="single"/>
        </w:rPr>
        <w:t xml:space="preserve"> </w:t>
      </w:r>
      <w:r w:rsidR="00083181">
        <w:rPr>
          <w:b/>
          <w:bCs/>
          <w:caps/>
          <w:u w:val="single"/>
        </w:rPr>
        <w:t>principle</w:t>
      </w:r>
      <w:r w:rsidR="00B13F5B">
        <w:rPr>
          <w:b/>
          <w:bCs/>
          <w:caps/>
          <w:u w:val="single"/>
        </w:rPr>
        <w:t>’s shortlived period of expansion</w:t>
      </w:r>
      <w:r w:rsidR="00083181">
        <w:rPr>
          <w:b/>
          <w:bCs/>
          <w:caps/>
          <w:u w:val="single"/>
        </w:rPr>
        <w:t xml:space="preserve"> </w:t>
      </w:r>
      <w:r w:rsidRPr="005B7741">
        <w:rPr>
          <w:b/>
          <w:bCs/>
          <w:caps/>
          <w:u w:val="single"/>
        </w:rPr>
        <w:t xml:space="preserve">in </w:t>
      </w:r>
      <w:r w:rsidR="00911D8B">
        <w:rPr>
          <w:b/>
          <w:bCs/>
          <w:caps/>
          <w:u w:val="single"/>
        </w:rPr>
        <w:t xml:space="preserve">English </w:t>
      </w:r>
      <w:r w:rsidRPr="005B7741">
        <w:rPr>
          <w:b/>
          <w:bCs/>
          <w:caps/>
          <w:u w:val="single"/>
        </w:rPr>
        <w:t xml:space="preserve">common law: </w:t>
      </w:r>
      <w:r w:rsidR="00B553D2">
        <w:rPr>
          <w:b/>
          <w:bCs/>
          <w:caps/>
          <w:u w:val="single"/>
        </w:rPr>
        <w:t xml:space="preserve">Opportunity seised by </w:t>
      </w:r>
      <w:r w:rsidRPr="005B7741">
        <w:rPr>
          <w:b/>
          <w:bCs/>
          <w:caps/>
          <w:u w:val="single"/>
        </w:rPr>
        <w:t>Singapore courts</w:t>
      </w:r>
      <w:r>
        <w:rPr>
          <w:b/>
          <w:bCs/>
          <w:caps/>
          <w:u w:val="single"/>
        </w:rPr>
        <w:t xml:space="preserve"> </w:t>
      </w:r>
      <w:r w:rsidR="00B553D2">
        <w:rPr>
          <w:b/>
          <w:bCs/>
          <w:caps/>
          <w:u w:val="single"/>
        </w:rPr>
        <w:t xml:space="preserve">to forge its own path </w:t>
      </w:r>
      <w:r w:rsidRPr="005B7741">
        <w:rPr>
          <w:b/>
          <w:bCs/>
          <w:caps/>
          <w:u w:val="single"/>
        </w:rPr>
        <w:t>forward</w:t>
      </w:r>
      <w:r w:rsidRPr="00B13F5B">
        <w:rPr>
          <w:b/>
          <w:bCs/>
          <w:caps/>
        </w:rPr>
        <w:t>?</w:t>
      </w:r>
    </w:p>
    <w:p w14:paraId="5F84FE75" w14:textId="7EA54026" w:rsidR="0075027F" w:rsidRPr="0075027F" w:rsidRDefault="0075027F" w:rsidP="0075027F">
      <w:pPr>
        <w:jc w:val="center"/>
      </w:pPr>
      <w:r>
        <w:t>(</w:t>
      </w:r>
      <w:r w:rsidRPr="0075027F">
        <w:t>Yam Wern-Jhien</w:t>
      </w:r>
      <w:r>
        <w:t>)</w:t>
      </w:r>
    </w:p>
    <w:p w14:paraId="45C3B70A" w14:textId="77777777" w:rsidR="009F1CB9" w:rsidRPr="00B553D2" w:rsidRDefault="009F1CB9" w:rsidP="006A78CE">
      <w:pPr>
        <w:spacing w:line="360" w:lineRule="auto"/>
        <w:jc w:val="center"/>
      </w:pPr>
    </w:p>
    <w:p w14:paraId="15EC5EC2" w14:textId="24254FD1" w:rsidR="009F1CB9" w:rsidRPr="00B13F5B" w:rsidRDefault="009F1CB9" w:rsidP="00B13F5B">
      <w:pPr>
        <w:pStyle w:val="TOC1"/>
      </w:pPr>
      <w:r>
        <w:fldChar w:fldCharType="begin"/>
      </w:r>
      <w:r>
        <w:instrText xml:space="preserve"> TOC \o "1-3" \h \z \u </w:instrText>
      </w:r>
      <w:r>
        <w:fldChar w:fldCharType="separate"/>
      </w:r>
      <w:hyperlink w:anchor="_Toc160017535" w:history="1">
        <w:r w:rsidRPr="00B13F5B">
          <w:rPr>
            <w:rStyle w:val="Hyperlink"/>
          </w:rPr>
          <w:t>I.</w:t>
        </w:r>
        <w:r w:rsidRPr="00B13F5B">
          <w:tab/>
        </w:r>
        <w:r w:rsidRPr="00B13F5B">
          <w:rPr>
            <w:rStyle w:val="Hyperlink"/>
          </w:rPr>
          <w:t>Introduction</w:t>
        </w:r>
        <w:r w:rsidRPr="00B13F5B">
          <w:rPr>
            <w:webHidden/>
          </w:rPr>
          <w:tab/>
        </w:r>
        <w:r w:rsidRPr="00B13F5B">
          <w:rPr>
            <w:webHidden/>
          </w:rPr>
          <w:fldChar w:fldCharType="begin"/>
        </w:r>
        <w:r w:rsidRPr="00B13F5B">
          <w:rPr>
            <w:webHidden/>
          </w:rPr>
          <w:instrText xml:space="preserve"> PAGEREF _Toc160017535 \h </w:instrText>
        </w:r>
        <w:r w:rsidRPr="00B13F5B">
          <w:rPr>
            <w:webHidden/>
          </w:rPr>
        </w:r>
        <w:r w:rsidRPr="00B13F5B">
          <w:rPr>
            <w:webHidden/>
          </w:rPr>
          <w:fldChar w:fldCharType="separate"/>
        </w:r>
        <w:r w:rsidRPr="00B13F5B">
          <w:rPr>
            <w:webHidden/>
          </w:rPr>
          <w:t>2</w:t>
        </w:r>
        <w:r w:rsidRPr="00B13F5B">
          <w:rPr>
            <w:webHidden/>
          </w:rPr>
          <w:fldChar w:fldCharType="end"/>
        </w:r>
      </w:hyperlink>
    </w:p>
    <w:p w14:paraId="27FBFBB0" w14:textId="37BF707A" w:rsidR="009F1CB9" w:rsidRPr="00B13F5B" w:rsidRDefault="00814634" w:rsidP="00B13F5B">
      <w:pPr>
        <w:pStyle w:val="TOC1"/>
      </w:pPr>
      <w:hyperlink w:anchor="_Toc160017536" w:history="1">
        <w:r w:rsidR="009F1CB9" w:rsidRPr="00B13F5B">
          <w:rPr>
            <w:rStyle w:val="Hyperlink"/>
          </w:rPr>
          <w:t>II.</w:t>
        </w:r>
        <w:r w:rsidR="009F1CB9" w:rsidRPr="00B13F5B">
          <w:tab/>
        </w:r>
        <w:r w:rsidR="009F1CB9" w:rsidRPr="00B13F5B">
          <w:rPr>
            <w:rStyle w:val="Hyperlink"/>
          </w:rPr>
          <w:t>The English Common Law Position</w:t>
        </w:r>
        <w:r w:rsidR="009F1CB9" w:rsidRPr="00B13F5B">
          <w:rPr>
            <w:webHidden/>
          </w:rPr>
          <w:tab/>
        </w:r>
        <w:r w:rsidR="009F1CB9" w:rsidRPr="00B13F5B">
          <w:rPr>
            <w:webHidden/>
          </w:rPr>
          <w:fldChar w:fldCharType="begin"/>
        </w:r>
        <w:r w:rsidR="009F1CB9" w:rsidRPr="00B13F5B">
          <w:rPr>
            <w:webHidden/>
          </w:rPr>
          <w:instrText xml:space="preserve"> PAGEREF _Toc160017536 \h </w:instrText>
        </w:r>
        <w:r w:rsidR="009F1CB9" w:rsidRPr="00B13F5B">
          <w:rPr>
            <w:webHidden/>
          </w:rPr>
        </w:r>
        <w:r w:rsidR="009F1CB9" w:rsidRPr="00B13F5B">
          <w:rPr>
            <w:webHidden/>
          </w:rPr>
          <w:fldChar w:fldCharType="separate"/>
        </w:r>
        <w:r w:rsidR="009F1CB9" w:rsidRPr="00B13F5B">
          <w:rPr>
            <w:webHidden/>
          </w:rPr>
          <w:t>2</w:t>
        </w:r>
        <w:r w:rsidR="009F1CB9" w:rsidRPr="00B13F5B">
          <w:rPr>
            <w:webHidden/>
          </w:rPr>
          <w:fldChar w:fldCharType="end"/>
        </w:r>
      </w:hyperlink>
    </w:p>
    <w:p w14:paraId="08F36628" w14:textId="3EA921B9" w:rsidR="009F1CB9" w:rsidRDefault="00814634">
      <w:pPr>
        <w:pStyle w:val="TOC2"/>
        <w:tabs>
          <w:tab w:val="left" w:pos="660"/>
          <w:tab w:val="right" w:leader="dot" w:pos="7922"/>
        </w:tabs>
        <w:rPr>
          <w:noProof/>
        </w:rPr>
      </w:pPr>
      <w:hyperlink w:anchor="_Toc160017537" w:history="1">
        <w:r w:rsidR="009F1CB9" w:rsidRPr="00170CC8">
          <w:rPr>
            <w:rStyle w:val="Hyperlink"/>
            <w:noProof/>
          </w:rPr>
          <w:t>A.</w:t>
        </w:r>
        <w:r w:rsidR="009F1CB9">
          <w:rPr>
            <w:noProof/>
          </w:rPr>
          <w:tab/>
        </w:r>
        <w:r w:rsidR="009F1CB9" w:rsidRPr="00170CC8">
          <w:rPr>
            <w:rStyle w:val="Hyperlink"/>
            <w:noProof/>
          </w:rPr>
          <w:t xml:space="preserve">Cambridge Gas: modified universalism as source of </w:t>
        </w:r>
        <w:r w:rsidR="009F1CB9" w:rsidRPr="00170CC8">
          <w:rPr>
            <w:rStyle w:val="Hyperlink"/>
            <w:i/>
            <w:iCs/>
            <w:noProof/>
          </w:rPr>
          <w:t>jurisdiction</w:t>
        </w:r>
        <w:r w:rsidR="009F1CB9" w:rsidRPr="00170CC8">
          <w:rPr>
            <w:rStyle w:val="Hyperlink"/>
            <w:noProof/>
          </w:rPr>
          <w:t xml:space="preserve"> to recognise foreign orders</w:t>
        </w:r>
        <w:r w:rsidR="009F1CB9">
          <w:rPr>
            <w:noProof/>
            <w:webHidden/>
          </w:rPr>
          <w:tab/>
        </w:r>
        <w:r w:rsidR="009F1CB9">
          <w:rPr>
            <w:noProof/>
            <w:webHidden/>
          </w:rPr>
          <w:fldChar w:fldCharType="begin"/>
        </w:r>
        <w:r w:rsidR="009F1CB9">
          <w:rPr>
            <w:noProof/>
            <w:webHidden/>
          </w:rPr>
          <w:instrText xml:space="preserve"> PAGEREF _Toc160017537 \h </w:instrText>
        </w:r>
        <w:r w:rsidR="009F1CB9">
          <w:rPr>
            <w:noProof/>
            <w:webHidden/>
          </w:rPr>
        </w:r>
        <w:r w:rsidR="009F1CB9">
          <w:rPr>
            <w:noProof/>
            <w:webHidden/>
          </w:rPr>
          <w:fldChar w:fldCharType="separate"/>
        </w:r>
        <w:r w:rsidR="009F1CB9">
          <w:rPr>
            <w:noProof/>
            <w:webHidden/>
          </w:rPr>
          <w:t>4</w:t>
        </w:r>
        <w:r w:rsidR="009F1CB9">
          <w:rPr>
            <w:noProof/>
            <w:webHidden/>
          </w:rPr>
          <w:fldChar w:fldCharType="end"/>
        </w:r>
      </w:hyperlink>
    </w:p>
    <w:p w14:paraId="7CA2D07D" w14:textId="0FDA28D2" w:rsidR="009F1CB9" w:rsidRDefault="00814634">
      <w:pPr>
        <w:pStyle w:val="TOC2"/>
        <w:tabs>
          <w:tab w:val="left" w:pos="660"/>
          <w:tab w:val="right" w:leader="dot" w:pos="7922"/>
        </w:tabs>
        <w:rPr>
          <w:noProof/>
        </w:rPr>
      </w:pPr>
      <w:hyperlink w:anchor="_Toc160017538" w:history="1">
        <w:r w:rsidR="009F1CB9" w:rsidRPr="00170CC8">
          <w:rPr>
            <w:rStyle w:val="Hyperlink"/>
            <w:noProof/>
          </w:rPr>
          <w:t>B.</w:t>
        </w:r>
        <w:r w:rsidR="009F1CB9">
          <w:rPr>
            <w:noProof/>
          </w:rPr>
          <w:tab/>
        </w:r>
        <w:r w:rsidR="009F1CB9" w:rsidRPr="00170CC8">
          <w:rPr>
            <w:rStyle w:val="Hyperlink"/>
            <w:noProof/>
          </w:rPr>
          <w:t>HIH – modified universalism as source of power to disapply local parts of local statutory schemes?</w:t>
        </w:r>
        <w:r w:rsidR="009F1CB9">
          <w:rPr>
            <w:noProof/>
            <w:webHidden/>
          </w:rPr>
          <w:tab/>
        </w:r>
        <w:r w:rsidR="009F1CB9">
          <w:rPr>
            <w:noProof/>
            <w:webHidden/>
          </w:rPr>
          <w:fldChar w:fldCharType="begin"/>
        </w:r>
        <w:r w:rsidR="009F1CB9">
          <w:rPr>
            <w:noProof/>
            <w:webHidden/>
          </w:rPr>
          <w:instrText xml:space="preserve"> PAGEREF _Toc160017538 \h </w:instrText>
        </w:r>
        <w:r w:rsidR="009F1CB9">
          <w:rPr>
            <w:noProof/>
            <w:webHidden/>
          </w:rPr>
        </w:r>
        <w:r w:rsidR="009F1CB9">
          <w:rPr>
            <w:noProof/>
            <w:webHidden/>
          </w:rPr>
          <w:fldChar w:fldCharType="separate"/>
        </w:r>
        <w:r w:rsidR="009F1CB9">
          <w:rPr>
            <w:noProof/>
            <w:webHidden/>
          </w:rPr>
          <w:t>6</w:t>
        </w:r>
        <w:r w:rsidR="009F1CB9">
          <w:rPr>
            <w:noProof/>
            <w:webHidden/>
          </w:rPr>
          <w:fldChar w:fldCharType="end"/>
        </w:r>
      </w:hyperlink>
    </w:p>
    <w:p w14:paraId="0D2541F3" w14:textId="1AFE90D1" w:rsidR="009F1CB9" w:rsidRDefault="00814634">
      <w:pPr>
        <w:pStyle w:val="TOC2"/>
        <w:tabs>
          <w:tab w:val="left" w:pos="660"/>
          <w:tab w:val="right" w:leader="dot" w:pos="7922"/>
        </w:tabs>
        <w:rPr>
          <w:noProof/>
        </w:rPr>
      </w:pPr>
      <w:hyperlink w:anchor="_Toc160017539" w:history="1">
        <w:r w:rsidR="009F1CB9" w:rsidRPr="00170CC8">
          <w:rPr>
            <w:rStyle w:val="Hyperlink"/>
            <w:noProof/>
          </w:rPr>
          <w:t>C.</w:t>
        </w:r>
        <w:r w:rsidR="009F1CB9">
          <w:rPr>
            <w:noProof/>
          </w:rPr>
          <w:tab/>
        </w:r>
        <w:r w:rsidR="009F1CB9" w:rsidRPr="00170CC8">
          <w:rPr>
            <w:rStyle w:val="Hyperlink"/>
            <w:noProof/>
          </w:rPr>
          <w:t>Rubin – UK Supreme Court dialled back on Lord Hoffman’s expansive interpretation of the ‘modified universalism’</w:t>
        </w:r>
        <w:r w:rsidR="009F1CB9">
          <w:rPr>
            <w:noProof/>
            <w:webHidden/>
          </w:rPr>
          <w:tab/>
        </w:r>
        <w:r w:rsidR="009F1CB9">
          <w:rPr>
            <w:noProof/>
            <w:webHidden/>
          </w:rPr>
          <w:fldChar w:fldCharType="begin"/>
        </w:r>
        <w:r w:rsidR="009F1CB9">
          <w:rPr>
            <w:noProof/>
            <w:webHidden/>
          </w:rPr>
          <w:instrText xml:space="preserve"> PAGEREF _Toc160017539 \h </w:instrText>
        </w:r>
        <w:r w:rsidR="009F1CB9">
          <w:rPr>
            <w:noProof/>
            <w:webHidden/>
          </w:rPr>
        </w:r>
        <w:r w:rsidR="009F1CB9">
          <w:rPr>
            <w:noProof/>
            <w:webHidden/>
          </w:rPr>
          <w:fldChar w:fldCharType="separate"/>
        </w:r>
        <w:r w:rsidR="009F1CB9">
          <w:rPr>
            <w:noProof/>
            <w:webHidden/>
          </w:rPr>
          <w:t>7</w:t>
        </w:r>
        <w:r w:rsidR="009F1CB9">
          <w:rPr>
            <w:noProof/>
            <w:webHidden/>
          </w:rPr>
          <w:fldChar w:fldCharType="end"/>
        </w:r>
      </w:hyperlink>
    </w:p>
    <w:p w14:paraId="695FC88A" w14:textId="30335FEF" w:rsidR="009F1CB9" w:rsidRDefault="00814634">
      <w:pPr>
        <w:pStyle w:val="TOC2"/>
        <w:tabs>
          <w:tab w:val="left" w:pos="660"/>
          <w:tab w:val="right" w:leader="dot" w:pos="7922"/>
        </w:tabs>
        <w:rPr>
          <w:noProof/>
        </w:rPr>
      </w:pPr>
      <w:hyperlink w:anchor="_Toc160017540" w:history="1">
        <w:r w:rsidR="009F1CB9" w:rsidRPr="00170CC8">
          <w:rPr>
            <w:rStyle w:val="Hyperlink"/>
            <w:noProof/>
          </w:rPr>
          <w:t>D.</w:t>
        </w:r>
        <w:r w:rsidR="009F1CB9">
          <w:rPr>
            <w:noProof/>
          </w:rPr>
          <w:tab/>
        </w:r>
        <w:r w:rsidR="009F1CB9" w:rsidRPr="00170CC8">
          <w:rPr>
            <w:rStyle w:val="Hyperlink"/>
            <w:noProof/>
          </w:rPr>
          <w:t>Singularis – new breath of life for “modified universalism”?</w:t>
        </w:r>
        <w:r w:rsidR="009F1CB9">
          <w:rPr>
            <w:noProof/>
            <w:webHidden/>
          </w:rPr>
          <w:tab/>
        </w:r>
        <w:r w:rsidR="009F1CB9">
          <w:rPr>
            <w:noProof/>
            <w:webHidden/>
          </w:rPr>
          <w:fldChar w:fldCharType="begin"/>
        </w:r>
        <w:r w:rsidR="009F1CB9">
          <w:rPr>
            <w:noProof/>
            <w:webHidden/>
          </w:rPr>
          <w:instrText xml:space="preserve"> PAGEREF _Toc160017540 \h </w:instrText>
        </w:r>
        <w:r w:rsidR="009F1CB9">
          <w:rPr>
            <w:noProof/>
            <w:webHidden/>
          </w:rPr>
        </w:r>
        <w:r w:rsidR="009F1CB9">
          <w:rPr>
            <w:noProof/>
            <w:webHidden/>
          </w:rPr>
          <w:fldChar w:fldCharType="separate"/>
        </w:r>
        <w:r w:rsidR="009F1CB9">
          <w:rPr>
            <w:noProof/>
            <w:webHidden/>
          </w:rPr>
          <w:t>9</w:t>
        </w:r>
        <w:r w:rsidR="009F1CB9">
          <w:rPr>
            <w:noProof/>
            <w:webHidden/>
          </w:rPr>
          <w:fldChar w:fldCharType="end"/>
        </w:r>
      </w:hyperlink>
    </w:p>
    <w:p w14:paraId="1A9D37FE" w14:textId="4BF56F3B" w:rsidR="009F1CB9" w:rsidRPr="00B13F5B" w:rsidRDefault="00814634" w:rsidP="00B13F5B">
      <w:pPr>
        <w:pStyle w:val="TOC1"/>
      </w:pPr>
      <w:hyperlink w:anchor="_Toc160017541" w:history="1">
        <w:r w:rsidR="009F1CB9" w:rsidRPr="00B13F5B">
          <w:rPr>
            <w:rStyle w:val="Hyperlink"/>
          </w:rPr>
          <w:t>III.</w:t>
        </w:r>
        <w:r w:rsidR="009F1CB9" w:rsidRPr="00B13F5B">
          <w:tab/>
        </w:r>
        <w:r w:rsidR="009F1CB9" w:rsidRPr="00B13F5B">
          <w:rPr>
            <w:rStyle w:val="Hyperlink"/>
          </w:rPr>
          <w:t>Singapore Position</w:t>
        </w:r>
        <w:r w:rsidR="009F1CB9" w:rsidRPr="00B13F5B">
          <w:rPr>
            <w:webHidden/>
          </w:rPr>
          <w:tab/>
        </w:r>
        <w:r w:rsidR="009F1CB9" w:rsidRPr="00B13F5B">
          <w:rPr>
            <w:webHidden/>
          </w:rPr>
          <w:fldChar w:fldCharType="begin"/>
        </w:r>
        <w:r w:rsidR="009F1CB9" w:rsidRPr="00B13F5B">
          <w:rPr>
            <w:webHidden/>
          </w:rPr>
          <w:instrText xml:space="preserve"> PAGEREF _Toc160017541 \h </w:instrText>
        </w:r>
        <w:r w:rsidR="009F1CB9" w:rsidRPr="00B13F5B">
          <w:rPr>
            <w:webHidden/>
          </w:rPr>
        </w:r>
        <w:r w:rsidR="009F1CB9" w:rsidRPr="00B13F5B">
          <w:rPr>
            <w:webHidden/>
          </w:rPr>
          <w:fldChar w:fldCharType="separate"/>
        </w:r>
        <w:r w:rsidR="009F1CB9" w:rsidRPr="00B13F5B">
          <w:rPr>
            <w:webHidden/>
          </w:rPr>
          <w:t>11</w:t>
        </w:r>
        <w:r w:rsidR="009F1CB9" w:rsidRPr="00B13F5B">
          <w:rPr>
            <w:webHidden/>
          </w:rPr>
          <w:fldChar w:fldCharType="end"/>
        </w:r>
      </w:hyperlink>
    </w:p>
    <w:p w14:paraId="1C79C74B" w14:textId="1FA26E3F" w:rsidR="009F1CB9" w:rsidRDefault="00814634">
      <w:pPr>
        <w:pStyle w:val="TOC2"/>
        <w:tabs>
          <w:tab w:val="left" w:pos="660"/>
          <w:tab w:val="right" w:leader="dot" w:pos="7922"/>
        </w:tabs>
        <w:rPr>
          <w:noProof/>
        </w:rPr>
      </w:pPr>
      <w:hyperlink w:anchor="_Toc160017542" w:history="1">
        <w:r w:rsidR="009F1CB9" w:rsidRPr="00170CC8">
          <w:rPr>
            <w:rStyle w:val="Hyperlink"/>
            <w:rFonts w:eastAsia="Times New Roman"/>
            <w:noProof/>
          </w:rPr>
          <w:t>A.</w:t>
        </w:r>
        <w:r w:rsidR="009F1CB9">
          <w:rPr>
            <w:noProof/>
          </w:rPr>
          <w:tab/>
        </w:r>
        <w:r w:rsidR="009F1CB9" w:rsidRPr="00170CC8">
          <w:rPr>
            <w:rStyle w:val="Hyperlink"/>
            <w:rFonts w:eastAsia="Times New Roman"/>
            <w:noProof/>
          </w:rPr>
          <w:t>Beluga chartering – modified universalism affirmed</w:t>
        </w:r>
        <w:r w:rsidR="009F1CB9">
          <w:rPr>
            <w:noProof/>
            <w:webHidden/>
          </w:rPr>
          <w:tab/>
        </w:r>
        <w:r w:rsidR="009F1CB9">
          <w:rPr>
            <w:noProof/>
            <w:webHidden/>
          </w:rPr>
          <w:fldChar w:fldCharType="begin"/>
        </w:r>
        <w:r w:rsidR="009F1CB9">
          <w:rPr>
            <w:noProof/>
            <w:webHidden/>
          </w:rPr>
          <w:instrText xml:space="preserve"> PAGEREF _Toc160017542 \h </w:instrText>
        </w:r>
        <w:r w:rsidR="009F1CB9">
          <w:rPr>
            <w:noProof/>
            <w:webHidden/>
          </w:rPr>
        </w:r>
        <w:r w:rsidR="009F1CB9">
          <w:rPr>
            <w:noProof/>
            <w:webHidden/>
          </w:rPr>
          <w:fldChar w:fldCharType="separate"/>
        </w:r>
        <w:r w:rsidR="009F1CB9">
          <w:rPr>
            <w:noProof/>
            <w:webHidden/>
          </w:rPr>
          <w:t>12</w:t>
        </w:r>
        <w:r w:rsidR="009F1CB9">
          <w:rPr>
            <w:noProof/>
            <w:webHidden/>
          </w:rPr>
          <w:fldChar w:fldCharType="end"/>
        </w:r>
      </w:hyperlink>
    </w:p>
    <w:p w14:paraId="06DF4EAF" w14:textId="1CB405E5" w:rsidR="009F1CB9" w:rsidRDefault="00814634">
      <w:pPr>
        <w:pStyle w:val="TOC2"/>
        <w:tabs>
          <w:tab w:val="left" w:pos="660"/>
          <w:tab w:val="right" w:leader="dot" w:pos="7922"/>
        </w:tabs>
        <w:rPr>
          <w:noProof/>
        </w:rPr>
      </w:pPr>
      <w:hyperlink w:anchor="_Toc160017543" w:history="1">
        <w:r w:rsidR="009F1CB9" w:rsidRPr="00170CC8">
          <w:rPr>
            <w:rStyle w:val="Hyperlink"/>
            <w:rFonts w:eastAsia="Times New Roman"/>
            <w:noProof/>
          </w:rPr>
          <w:t>B.</w:t>
        </w:r>
        <w:r w:rsidR="009F1CB9">
          <w:rPr>
            <w:noProof/>
          </w:rPr>
          <w:tab/>
        </w:r>
        <w:r w:rsidR="009F1CB9" w:rsidRPr="00170CC8">
          <w:rPr>
            <w:rStyle w:val="Hyperlink"/>
            <w:rFonts w:eastAsia="Times New Roman"/>
            <w:noProof/>
          </w:rPr>
          <w:t>Re Opti-Medix &amp; Re Taisoo Suk: Lord Hoffmans’ expansive interpretation of modified universalism embraced</w:t>
        </w:r>
        <w:r w:rsidR="009F1CB9">
          <w:rPr>
            <w:noProof/>
            <w:webHidden/>
          </w:rPr>
          <w:tab/>
        </w:r>
        <w:r w:rsidR="009F1CB9">
          <w:rPr>
            <w:noProof/>
            <w:webHidden/>
          </w:rPr>
          <w:fldChar w:fldCharType="begin"/>
        </w:r>
        <w:r w:rsidR="009F1CB9">
          <w:rPr>
            <w:noProof/>
            <w:webHidden/>
          </w:rPr>
          <w:instrText xml:space="preserve"> PAGEREF _Toc160017543 \h </w:instrText>
        </w:r>
        <w:r w:rsidR="009F1CB9">
          <w:rPr>
            <w:noProof/>
            <w:webHidden/>
          </w:rPr>
        </w:r>
        <w:r w:rsidR="009F1CB9">
          <w:rPr>
            <w:noProof/>
            <w:webHidden/>
          </w:rPr>
          <w:fldChar w:fldCharType="separate"/>
        </w:r>
        <w:r w:rsidR="009F1CB9">
          <w:rPr>
            <w:noProof/>
            <w:webHidden/>
          </w:rPr>
          <w:t>13</w:t>
        </w:r>
        <w:r w:rsidR="009F1CB9">
          <w:rPr>
            <w:noProof/>
            <w:webHidden/>
          </w:rPr>
          <w:fldChar w:fldCharType="end"/>
        </w:r>
      </w:hyperlink>
    </w:p>
    <w:p w14:paraId="3FDA3929" w14:textId="4BCEAB04" w:rsidR="009F1CB9" w:rsidRDefault="00814634">
      <w:pPr>
        <w:pStyle w:val="TOC2"/>
        <w:tabs>
          <w:tab w:val="left" w:pos="660"/>
          <w:tab w:val="right" w:leader="dot" w:pos="7922"/>
        </w:tabs>
        <w:rPr>
          <w:noProof/>
        </w:rPr>
      </w:pPr>
      <w:hyperlink w:anchor="_Toc160017544" w:history="1">
        <w:r w:rsidR="009F1CB9" w:rsidRPr="00170CC8">
          <w:rPr>
            <w:rStyle w:val="Hyperlink"/>
            <w:noProof/>
          </w:rPr>
          <w:t>C.</w:t>
        </w:r>
        <w:r w:rsidR="009F1CB9">
          <w:rPr>
            <w:noProof/>
          </w:rPr>
          <w:tab/>
        </w:r>
        <w:r w:rsidR="009F1CB9" w:rsidRPr="00170CC8">
          <w:rPr>
            <w:rStyle w:val="Hyperlink"/>
            <w:rFonts w:eastAsia="Times New Roman"/>
            <w:noProof/>
          </w:rPr>
          <w:t>Reduced relevance of common law following adoption of UNCITRAL Model Law on Cross-Border Insolvency (“Model Law”) in 2017?</w:t>
        </w:r>
        <w:r w:rsidR="009F1CB9">
          <w:rPr>
            <w:noProof/>
            <w:webHidden/>
          </w:rPr>
          <w:tab/>
        </w:r>
        <w:r w:rsidR="009F1CB9">
          <w:rPr>
            <w:noProof/>
            <w:webHidden/>
          </w:rPr>
          <w:fldChar w:fldCharType="begin"/>
        </w:r>
        <w:r w:rsidR="009F1CB9">
          <w:rPr>
            <w:noProof/>
            <w:webHidden/>
          </w:rPr>
          <w:instrText xml:space="preserve"> PAGEREF _Toc160017544 \h </w:instrText>
        </w:r>
        <w:r w:rsidR="009F1CB9">
          <w:rPr>
            <w:noProof/>
            <w:webHidden/>
          </w:rPr>
        </w:r>
        <w:r w:rsidR="009F1CB9">
          <w:rPr>
            <w:noProof/>
            <w:webHidden/>
          </w:rPr>
          <w:fldChar w:fldCharType="separate"/>
        </w:r>
        <w:r w:rsidR="009F1CB9">
          <w:rPr>
            <w:noProof/>
            <w:webHidden/>
          </w:rPr>
          <w:t>15</w:t>
        </w:r>
        <w:r w:rsidR="009F1CB9">
          <w:rPr>
            <w:noProof/>
            <w:webHidden/>
          </w:rPr>
          <w:fldChar w:fldCharType="end"/>
        </w:r>
      </w:hyperlink>
    </w:p>
    <w:p w14:paraId="31CFAC77" w14:textId="5AAF6F19" w:rsidR="009F1CB9" w:rsidRDefault="00814634" w:rsidP="00B13F5B">
      <w:pPr>
        <w:pStyle w:val="TOC2"/>
        <w:tabs>
          <w:tab w:val="left" w:pos="660"/>
          <w:tab w:val="right" w:leader="dot" w:pos="7922"/>
        </w:tabs>
        <w:ind w:left="426"/>
        <w:rPr>
          <w:noProof/>
        </w:rPr>
      </w:pPr>
      <w:hyperlink w:anchor="_Toc160017545" w:history="1">
        <w:r w:rsidR="009F1CB9" w:rsidRPr="00170CC8">
          <w:rPr>
            <w:rStyle w:val="Hyperlink"/>
            <w:noProof/>
            <w:lang w:eastAsia="en-SG"/>
          </w:rPr>
          <w:t>i.</w:t>
        </w:r>
        <w:r w:rsidR="009F1CB9">
          <w:rPr>
            <w:noProof/>
          </w:rPr>
          <w:tab/>
        </w:r>
        <w:r w:rsidR="009F1CB9" w:rsidRPr="00B13F5B">
          <w:rPr>
            <w:rStyle w:val="Hyperlink"/>
            <w:i/>
            <w:iCs/>
            <w:noProof/>
            <w:lang w:eastAsia="en-SG"/>
          </w:rPr>
          <w:t>Foreign bankruptcies</w:t>
        </w:r>
        <w:r w:rsidR="009F1CB9">
          <w:rPr>
            <w:noProof/>
            <w:webHidden/>
          </w:rPr>
          <w:tab/>
        </w:r>
        <w:r w:rsidR="009F1CB9">
          <w:rPr>
            <w:noProof/>
            <w:webHidden/>
          </w:rPr>
          <w:fldChar w:fldCharType="begin"/>
        </w:r>
        <w:r w:rsidR="009F1CB9">
          <w:rPr>
            <w:noProof/>
            <w:webHidden/>
          </w:rPr>
          <w:instrText xml:space="preserve"> PAGEREF _Toc160017545 \h </w:instrText>
        </w:r>
        <w:r w:rsidR="009F1CB9">
          <w:rPr>
            <w:noProof/>
            <w:webHidden/>
          </w:rPr>
        </w:r>
        <w:r w:rsidR="009F1CB9">
          <w:rPr>
            <w:noProof/>
            <w:webHidden/>
          </w:rPr>
          <w:fldChar w:fldCharType="separate"/>
        </w:r>
        <w:r w:rsidR="009F1CB9">
          <w:rPr>
            <w:noProof/>
            <w:webHidden/>
          </w:rPr>
          <w:t>16</w:t>
        </w:r>
        <w:r w:rsidR="009F1CB9">
          <w:rPr>
            <w:noProof/>
            <w:webHidden/>
          </w:rPr>
          <w:fldChar w:fldCharType="end"/>
        </w:r>
      </w:hyperlink>
    </w:p>
    <w:p w14:paraId="07183184" w14:textId="67A397C4" w:rsidR="009F1CB9" w:rsidRDefault="00814634" w:rsidP="00B13F5B">
      <w:pPr>
        <w:pStyle w:val="TOC2"/>
        <w:tabs>
          <w:tab w:val="left" w:pos="660"/>
          <w:tab w:val="right" w:leader="dot" w:pos="7922"/>
        </w:tabs>
        <w:ind w:left="426"/>
        <w:rPr>
          <w:noProof/>
        </w:rPr>
      </w:pPr>
      <w:hyperlink w:anchor="_Toc160017546" w:history="1">
        <w:r w:rsidR="009F1CB9" w:rsidRPr="00170CC8">
          <w:rPr>
            <w:rStyle w:val="Hyperlink"/>
            <w:noProof/>
            <w:lang w:eastAsia="en-SG"/>
          </w:rPr>
          <w:t>ii.</w:t>
        </w:r>
        <w:r w:rsidR="009F1CB9" w:rsidRPr="00B13F5B">
          <w:rPr>
            <w:i/>
            <w:iCs/>
            <w:noProof/>
          </w:rPr>
          <w:tab/>
        </w:r>
        <w:r w:rsidR="009F1CB9" w:rsidRPr="00B13F5B">
          <w:rPr>
            <w:rStyle w:val="Hyperlink"/>
            <w:i/>
            <w:iCs/>
            <w:noProof/>
            <w:lang w:eastAsia="en-SG"/>
          </w:rPr>
          <w:t>Cases in which Model Law does not apply</w:t>
        </w:r>
        <w:r w:rsidR="009F1CB9">
          <w:rPr>
            <w:noProof/>
            <w:webHidden/>
          </w:rPr>
          <w:tab/>
        </w:r>
        <w:r w:rsidR="009F1CB9">
          <w:rPr>
            <w:noProof/>
            <w:webHidden/>
          </w:rPr>
          <w:fldChar w:fldCharType="begin"/>
        </w:r>
        <w:r w:rsidR="009F1CB9">
          <w:rPr>
            <w:noProof/>
            <w:webHidden/>
          </w:rPr>
          <w:instrText xml:space="preserve"> PAGEREF _Toc160017546 \h </w:instrText>
        </w:r>
        <w:r w:rsidR="009F1CB9">
          <w:rPr>
            <w:noProof/>
            <w:webHidden/>
          </w:rPr>
        </w:r>
        <w:r w:rsidR="009F1CB9">
          <w:rPr>
            <w:noProof/>
            <w:webHidden/>
          </w:rPr>
          <w:fldChar w:fldCharType="separate"/>
        </w:r>
        <w:r w:rsidR="009F1CB9">
          <w:rPr>
            <w:noProof/>
            <w:webHidden/>
          </w:rPr>
          <w:t>17</w:t>
        </w:r>
        <w:r w:rsidR="009F1CB9">
          <w:rPr>
            <w:noProof/>
            <w:webHidden/>
          </w:rPr>
          <w:fldChar w:fldCharType="end"/>
        </w:r>
      </w:hyperlink>
    </w:p>
    <w:p w14:paraId="46305817" w14:textId="49619255" w:rsidR="009F1CB9" w:rsidRDefault="00814634" w:rsidP="00B13F5B">
      <w:pPr>
        <w:pStyle w:val="TOC1"/>
      </w:pPr>
      <w:hyperlink w:anchor="_Toc160017547" w:history="1">
        <w:r w:rsidR="009F1CB9" w:rsidRPr="00170CC8">
          <w:rPr>
            <w:rStyle w:val="Hyperlink"/>
          </w:rPr>
          <w:t>IV.</w:t>
        </w:r>
        <w:r w:rsidR="009F1CB9">
          <w:tab/>
        </w:r>
        <w:r w:rsidR="009F1CB9" w:rsidRPr="00170CC8">
          <w:rPr>
            <w:rStyle w:val="Hyperlink"/>
          </w:rPr>
          <w:t>Conclusion</w:t>
        </w:r>
        <w:r w:rsidR="009F1CB9">
          <w:rPr>
            <w:webHidden/>
          </w:rPr>
          <w:tab/>
        </w:r>
        <w:r w:rsidR="009F1CB9">
          <w:rPr>
            <w:webHidden/>
          </w:rPr>
          <w:fldChar w:fldCharType="begin"/>
        </w:r>
        <w:r w:rsidR="009F1CB9">
          <w:rPr>
            <w:webHidden/>
          </w:rPr>
          <w:instrText xml:space="preserve"> PAGEREF _Toc160017547 \h </w:instrText>
        </w:r>
        <w:r w:rsidR="009F1CB9">
          <w:rPr>
            <w:webHidden/>
          </w:rPr>
        </w:r>
        <w:r w:rsidR="009F1CB9">
          <w:rPr>
            <w:webHidden/>
          </w:rPr>
          <w:fldChar w:fldCharType="separate"/>
        </w:r>
        <w:r w:rsidR="009F1CB9">
          <w:rPr>
            <w:webHidden/>
          </w:rPr>
          <w:t>17</w:t>
        </w:r>
        <w:r w:rsidR="009F1CB9">
          <w:rPr>
            <w:webHidden/>
          </w:rPr>
          <w:fldChar w:fldCharType="end"/>
        </w:r>
      </w:hyperlink>
    </w:p>
    <w:p w14:paraId="47B03A9B" w14:textId="20BAB95E" w:rsidR="009F1CB9" w:rsidRDefault="00814634" w:rsidP="00B13F5B">
      <w:pPr>
        <w:pStyle w:val="TOC1"/>
      </w:pPr>
      <w:hyperlink w:anchor="_Toc160017548" w:history="1">
        <w:r w:rsidR="009F1CB9" w:rsidRPr="00170CC8">
          <w:rPr>
            <w:rStyle w:val="Hyperlink"/>
          </w:rPr>
          <w:t>V.</w:t>
        </w:r>
        <w:r w:rsidR="009F1CB9">
          <w:tab/>
        </w:r>
        <w:r w:rsidR="009F1CB9" w:rsidRPr="00170CC8">
          <w:rPr>
            <w:rStyle w:val="Hyperlink"/>
          </w:rPr>
          <w:t>Bibliography</w:t>
        </w:r>
        <w:r w:rsidR="009F1CB9">
          <w:rPr>
            <w:webHidden/>
          </w:rPr>
          <w:tab/>
        </w:r>
        <w:r w:rsidR="009F1CB9">
          <w:rPr>
            <w:webHidden/>
          </w:rPr>
          <w:fldChar w:fldCharType="begin"/>
        </w:r>
        <w:r w:rsidR="009F1CB9">
          <w:rPr>
            <w:webHidden/>
          </w:rPr>
          <w:instrText xml:space="preserve"> PAGEREF _Toc160017548 \h </w:instrText>
        </w:r>
        <w:r w:rsidR="009F1CB9">
          <w:rPr>
            <w:webHidden/>
          </w:rPr>
        </w:r>
        <w:r w:rsidR="009F1CB9">
          <w:rPr>
            <w:webHidden/>
          </w:rPr>
          <w:fldChar w:fldCharType="separate"/>
        </w:r>
        <w:r w:rsidR="009F1CB9">
          <w:rPr>
            <w:webHidden/>
          </w:rPr>
          <w:t>19</w:t>
        </w:r>
        <w:r w:rsidR="009F1CB9">
          <w:rPr>
            <w:webHidden/>
          </w:rPr>
          <w:fldChar w:fldCharType="end"/>
        </w:r>
      </w:hyperlink>
    </w:p>
    <w:p w14:paraId="68FEE8A7" w14:textId="468612AF" w:rsidR="005259A5" w:rsidRDefault="009F1CB9">
      <w:pPr>
        <w:spacing w:after="160" w:line="259" w:lineRule="auto"/>
      </w:pPr>
      <w:r>
        <w:fldChar w:fldCharType="end"/>
      </w:r>
    </w:p>
    <w:p w14:paraId="20878F54" w14:textId="77777777" w:rsidR="005259A5" w:rsidRDefault="005259A5">
      <w:pPr>
        <w:spacing w:after="160" w:line="259" w:lineRule="auto"/>
      </w:pPr>
      <w:r>
        <w:br w:type="page"/>
      </w:r>
    </w:p>
    <w:p w14:paraId="6DDB8D49" w14:textId="10FBBA43" w:rsidR="00387D68" w:rsidRPr="009812E7" w:rsidRDefault="00387D68" w:rsidP="006A78CE">
      <w:pPr>
        <w:pStyle w:val="Heading1"/>
      </w:pPr>
      <w:bookmarkStart w:id="0" w:name="_Toc160017535"/>
      <w:r w:rsidRPr="006865B4">
        <w:lastRenderedPageBreak/>
        <w:t>Introduction</w:t>
      </w:r>
      <w:bookmarkEnd w:id="0"/>
    </w:p>
    <w:p w14:paraId="22C95159" w14:textId="5A8561AD" w:rsidR="00C9517D" w:rsidRDefault="00C31A93" w:rsidP="006A78CE">
      <w:pPr>
        <w:pStyle w:val="BodyParagraphs"/>
        <w:spacing w:after="240" w:line="360" w:lineRule="auto"/>
        <w:ind w:left="567" w:hanging="567"/>
        <w:rPr>
          <w:rFonts w:cs="Times New Roman"/>
          <w:color w:val="1F1F1F"/>
        </w:rPr>
      </w:pPr>
      <w:r w:rsidRPr="00DE5037">
        <w:rPr>
          <w:rFonts w:cs="Times New Roman"/>
          <w:color w:val="1F1F1F"/>
        </w:rPr>
        <w:t xml:space="preserve">This short paper examines the evolution of the approach taken by common law courts towards cross-border cooperation in insolvency proceedings, focusing on </w:t>
      </w:r>
      <w:r w:rsidR="00B13F5B" w:rsidRPr="00DE5037">
        <w:rPr>
          <w:rFonts w:cs="Times New Roman"/>
          <w:color w:val="1F1F1F"/>
        </w:rPr>
        <w:t xml:space="preserve">Lord Hoffman’s expansive interpretation of the “modified universalism” principle and </w:t>
      </w:r>
      <w:r w:rsidR="00B13F5B">
        <w:rPr>
          <w:rFonts w:cs="Times New Roman"/>
          <w:color w:val="1F1F1F"/>
        </w:rPr>
        <w:t xml:space="preserve">comparing </w:t>
      </w:r>
      <w:r w:rsidR="00B13F5B" w:rsidRPr="00DE5037">
        <w:rPr>
          <w:rFonts w:cs="Times New Roman"/>
          <w:color w:val="1F1F1F"/>
        </w:rPr>
        <w:t xml:space="preserve">the reception </w:t>
      </w:r>
      <w:r w:rsidR="00B13F5B">
        <w:rPr>
          <w:rFonts w:cs="Times New Roman"/>
          <w:color w:val="1F1F1F"/>
        </w:rPr>
        <w:t xml:space="preserve">the expansive interpretation </w:t>
      </w:r>
      <w:r w:rsidR="00B13F5B" w:rsidRPr="00DE5037">
        <w:rPr>
          <w:rFonts w:cs="Times New Roman"/>
          <w:color w:val="1F1F1F"/>
        </w:rPr>
        <w:t xml:space="preserve">received from </w:t>
      </w:r>
      <w:r w:rsidR="00B13F5B">
        <w:rPr>
          <w:rFonts w:cs="Times New Roman"/>
          <w:color w:val="1F1F1F"/>
        </w:rPr>
        <w:t xml:space="preserve">the </w:t>
      </w:r>
      <w:r w:rsidR="00B13F5B" w:rsidRPr="00DE5037">
        <w:rPr>
          <w:rFonts w:cs="Times New Roman"/>
          <w:color w:val="1F1F1F"/>
        </w:rPr>
        <w:t xml:space="preserve">English and Singapore courts. </w:t>
      </w:r>
      <w:r w:rsidR="00B13F5B">
        <w:rPr>
          <w:rFonts w:cs="Times New Roman"/>
          <w:color w:val="1F1F1F"/>
        </w:rPr>
        <w:t xml:space="preserve"> </w:t>
      </w:r>
    </w:p>
    <w:p w14:paraId="04C3064F" w14:textId="06BBD845" w:rsidR="00F756EC" w:rsidRPr="007F499D" w:rsidRDefault="007F499D" w:rsidP="006A78CE">
      <w:pPr>
        <w:pStyle w:val="Heading1"/>
      </w:pPr>
      <w:bookmarkStart w:id="1" w:name="_Toc160017536"/>
      <w:r w:rsidRPr="007F499D">
        <w:t xml:space="preserve">The English </w:t>
      </w:r>
      <w:r w:rsidRPr="006865B4">
        <w:t>Common</w:t>
      </w:r>
      <w:r w:rsidRPr="007F499D">
        <w:t xml:space="preserve"> Law Position</w:t>
      </w:r>
      <w:bookmarkEnd w:id="1"/>
      <w:r w:rsidRPr="007F499D">
        <w:t xml:space="preserve"> </w:t>
      </w:r>
    </w:p>
    <w:p w14:paraId="31E762F8" w14:textId="1DD0B943" w:rsidR="006B42A6" w:rsidRPr="009812E7" w:rsidRDefault="008D3B94" w:rsidP="006A78CE">
      <w:pPr>
        <w:pStyle w:val="BodyParagraphs"/>
        <w:spacing w:after="240" w:line="360" w:lineRule="auto"/>
        <w:ind w:left="567" w:hanging="567"/>
        <w:rPr>
          <w:rFonts w:cs="Times New Roman"/>
          <w:i/>
          <w:iCs/>
        </w:rPr>
      </w:pPr>
      <w:r w:rsidRPr="009812E7">
        <w:rPr>
          <w:rFonts w:cs="Times New Roman"/>
        </w:rPr>
        <w:t xml:space="preserve">There is a long history of </w:t>
      </w:r>
      <w:r w:rsidR="00387D68" w:rsidRPr="009812E7">
        <w:rPr>
          <w:rFonts w:cs="Times New Roman"/>
        </w:rPr>
        <w:t xml:space="preserve">cross-border </w:t>
      </w:r>
      <w:r w:rsidRPr="009812E7">
        <w:rPr>
          <w:rFonts w:cs="Times New Roman"/>
        </w:rPr>
        <w:t xml:space="preserve">judicial </w:t>
      </w:r>
      <w:r w:rsidR="00387D68" w:rsidRPr="009812E7">
        <w:rPr>
          <w:rFonts w:cs="Times New Roman"/>
        </w:rPr>
        <w:t xml:space="preserve">cooperation </w:t>
      </w:r>
      <w:r w:rsidRPr="009812E7">
        <w:rPr>
          <w:rFonts w:cs="Times New Roman"/>
        </w:rPr>
        <w:t>in insolvency proceedings in English common law</w:t>
      </w:r>
      <w:r w:rsidR="00E92926" w:rsidRPr="009812E7">
        <w:rPr>
          <w:rFonts w:cs="Times New Roman"/>
        </w:rPr>
        <w:t>, going as far back as the 1</w:t>
      </w:r>
      <w:r w:rsidR="007F499D">
        <w:rPr>
          <w:rFonts w:cs="Times New Roman"/>
        </w:rPr>
        <w:t>8</w:t>
      </w:r>
      <w:r w:rsidR="00E92926" w:rsidRPr="009812E7">
        <w:rPr>
          <w:rFonts w:cs="Times New Roman"/>
          <w:vertAlign w:val="superscript"/>
        </w:rPr>
        <w:t>th</w:t>
      </w:r>
      <w:r w:rsidR="00E92926" w:rsidRPr="009812E7">
        <w:rPr>
          <w:rFonts w:cs="Times New Roman"/>
        </w:rPr>
        <w:t xml:space="preserve"> century</w:t>
      </w:r>
      <w:r w:rsidR="007F499D">
        <w:rPr>
          <w:rStyle w:val="FootnoteReference"/>
          <w:rFonts w:cs="Times New Roman"/>
        </w:rPr>
        <w:footnoteReference w:id="1"/>
      </w:r>
      <w:r w:rsidR="00E92926" w:rsidRPr="009812E7">
        <w:rPr>
          <w:rFonts w:cs="Times New Roman"/>
        </w:rPr>
        <w:t xml:space="preserve">. </w:t>
      </w:r>
    </w:p>
    <w:p w14:paraId="12D1C8F5" w14:textId="21EE5EFE" w:rsidR="006B42A6" w:rsidRPr="009812E7" w:rsidRDefault="003A66D5" w:rsidP="006A78CE">
      <w:pPr>
        <w:pStyle w:val="BodyParagraphs"/>
        <w:spacing w:after="240" w:line="360" w:lineRule="auto"/>
        <w:ind w:left="567" w:hanging="567"/>
        <w:rPr>
          <w:rFonts w:cs="Times New Roman"/>
          <w:i/>
          <w:iCs/>
        </w:rPr>
      </w:pPr>
      <w:r w:rsidRPr="009812E7">
        <w:rPr>
          <w:rFonts w:cs="Times New Roman"/>
        </w:rPr>
        <w:t>This judicial practice was developed based upon what the English judges have for many years regarded as a general principle of private international law, namely that bankruptcy (whether personal or corporate) should be unitary or personal.</w:t>
      </w:r>
      <w:r w:rsidRPr="009812E7">
        <w:rPr>
          <w:rStyle w:val="FootnoteReference"/>
          <w:rFonts w:cs="Times New Roman"/>
        </w:rPr>
        <w:footnoteReference w:id="2"/>
      </w:r>
      <w:r w:rsidRPr="009812E7">
        <w:rPr>
          <w:rFonts w:cs="Times New Roman"/>
        </w:rPr>
        <w:t xml:space="preserve"> This principle </w:t>
      </w:r>
      <w:r w:rsidR="00E92926" w:rsidRPr="009812E7">
        <w:rPr>
          <w:rFonts w:cs="Times New Roman"/>
        </w:rPr>
        <w:t xml:space="preserve">has been said to be </w:t>
      </w:r>
      <w:r w:rsidRPr="009812E7">
        <w:rPr>
          <w:rFonts w:cs="Times New Roman"/>
        </w:rPr>
        <w:t>based on “</w:t>
      </w:r>
      <w:r w:rsidRPr="009812E7">
        <w:rPr>
          <w:rFonts w:cs="Times New Roman"/>
          <w:i/>
          <w:iCs/>
        </w:rPr>
        <w:t>fairness between creditors</w:t>
      </w:r>
      <w:r w:rsidRPr="009812E7">
        <w:rPr>
          <w:rFonts w:cs="Times New Roman"/>
        </w:rPr>
        <w:t>”, namely, that “</w:t>
      </w:r>
      <w:r w:rsidRPr="009812E7">
        <w:rPr>
          <w:rFonts w:cs="Times New Roman"/>
          <w:i/>
          <w:iCs/>
        </w:rPr>
        <w:t>no one creditor should have an advantage because he happens to live in a jurisdiction where more of the assets or fewer of the creditors are situated”.</w:t>
      </w:r>
      <w:r w:rsidRPr="009812E7">
        <w:rPr>
          <w:rStyle w:val="FootnoteReference"/>
          <w:rFonts w:cs="Times New Roman"/>
          <w:i/>
          <w:iCs/>
        </w:rPr>
        <w:footnoteReference w:id="3"/>
      </w:r>
      <w:r w:rsidRPr="009812E7">
        <w:rPr>
          <w:rFonts w:cs="Times New Roman"/>
          <w:i/>
          <w:iCs/>
        </w:rPr>
        <w:t xml:space="preserve"> </w:t>
      </w:r>
      <w:r w:rsidR="002D3117" w:rsidRPr="009812E7">
        <w:rPr>
          <w:rFonts w:cs="Times New Roman"/>
        </w:rPr>
        <w:t>Thus, t</w:t>
      </w:r>
      <w:r w:rsidR="00E92926" w:rsidRPr="009812E7">
        <w:rPr>
          <w:rFonts w:cs="Times New Roman"/>
        </w:rPr>
        <w:t xml:space="preserve">he idea is that </w:t>
      </w:r>
      <w:r w:rsidR="006B42A6" w:rsidRPr="009812E7">
        <w:rPr>
          <w:rFonts w:cs="Times New Roman"/>
        </w:rPr>
        <w:t>there should be a unitary bankruptcy proceeding in the court of the bankrupt’s domicile which receives worldwide recognition and it should apply universally to all the bankrupts’ assets.</w:t>
      </w:r>
      <w:r w:rsidR="006B42A6" w:rsidRPr="009812E7">
        <w:rPr>
          <w:rStyle w:val="FootnoteReference"/>
          <w:rFonts w:cs="Times New Roman"/>
        </w:rPr>
        <w:footnoteReference w:id="4"/>
      </w:r>
      <w:r w:rsidR="006B42A6" w:rsidRPr="009812E7">
        <w:rPr>
          <w:rFonts w:cs="Times New Roman"/>
        </w:rPr>
        <w:t xml:space="preserve"> </w:t>
      </w:r>
    </w:p>
    <w:p w14:paraId="33CE32F1" w14:textId="1A374C93" w:rsidR="00F71168" w:rsidRPr="009812E7" w:rsidRDefault="002D3117" w:rsidP="006A78CE">
      <w:pPr>
        <w:pStyle w:val="BodyParagraphs"/>
        <w:spacing w:after="240" w:line="360" w:lineRule="auto"/>
        <w:ind w:left="567" w:hanging="567"/>
        <w:rPr>
          <w:rFonts w:cs="Times New Roman"/>
          <w:i/>
          <w:iCs/>
        </w:rPr>
      </w:pPr>
      <w:r w:rsidRPr="009812E7">
        <w:rPr>
          <w:rFonts w:cs="Times New Roman"/>
        </w:rPr>
        <w:t>At the same time,</w:t>
      </w:r>
      <w:r w:rsidR="00F71168" w:rsidRPr="009812E7">
        <w:rPr>
          <w:rFonts w:cs="Times New Roman"/>
        </w:rPr>
        <w:t xml:space="preserve"> however,</w:t>
      </w:r>
      <w:r w:rsidRPr="009812E7">
        <w:rPr>
          <w:rFonts w:cs="Times New Roman"/>
        </w:rPr>
        <w:t xml:space="preserve"> </w:t>
      </w:r>
      <w:r w:rsidR="000065A0" w:rsidRPr="009812E7">
        <w:rPr>
          <w:rFonts w:cs="Times New Roman"/>
        </w:rPr>
        <w:t xml:space="preserve">common </w:t>
      </w:r>
      <w:r w:rsidRPr="009812E7">
        <w:rPr>
          <w:rFonts w:cs="Times New Roman"/>
        </w:rPr>
        <w:t xml:space="preserve">law courts </w:t>
      </w:r>
      <w:r w:rsidR="000065A0" w:rsidRPr="009812E7">
        <w:rPr>
          <w:rFonts w:cs="Times New Roman"/>
        </w:rPr>
        <w:t xml:space="preserve">have always retained a degree of discretion to assess whether the overseas proceedings and the cooperation and assistance being sought are consistent with their own principles of justice and public policy. </w:t>
      </w:r>
      <w:r w:rsidR="00497208" w:rsidRPr="009812E7">
        <w:rPr>
          <w:rFonts w:cs="Times New Roman"/>
        </w:rPr>
        <w:t xml:space="preserve">Through this discretion, </w:t>
      </w:r>
      <w:r w:rsidR="000065A0" w:rsidRPr="009812E7">
        <w:rPr>
          <w:rFonts w:cs="Times New Roman"/>
        </w:rPr>
        <w:t xml:space="preserve">the common law </w:t>
      </w:r>
      <w:r w:rsidR="00497208" w:rsidRPr="009812E7">
        <w:rPr>
          <w:rFonts w:cs="Times New Roman"/>
        </w:rPr>
        <w:t xml:space="preserve">courts </w:t>
      </w:r>
      <w:r w:rsidR="000065A0" w:rsidRPr="009812E7">
        <w:rPr>
          <w:rFonts w:cs="Times New Roman"/>
        </w:rPr>
        <w:t xml:space="preserve">recognised </w:t>
      </w:r>
      <w:r w:rsidR="000065A0" w:rsidRPr="009812E7">
        <w:rPr>
          <w:rFonts w:cs="Times New Roman"/>
        </w:rPr>
        <w:lastRenderedPageBreak/>
        <w:t>and developed various limitations to cross-border judicial cooperation</w:t>
      </w:r>
      <w:r w:rsidR="00497208" w:rsidRPr="009812E7">
        <w:rPr>
          <w:rFonts w:cs="Times New Roman"/>
        </w:rPr>
        <w:t xml:space="preserve">, resulting in an </w:t>
      </w:r>
      <w:r w:rsidR="000065A0" w:rsidRPr="009812E7">
        <w:rPr>
          <w:rFonts w:cs="Times New Roman"/>
        </w:rPr>
        <w:t>approach described as “</w:t>
      </w:r>
      <w:r w:rsidR="000065A0" w:rsidRPr="009812E7">
        <w:rPr>
          <w:rFonts w:cs="Times New Roman"/>
          <w:i/>
          <w:iCs/>
        </w:rPr>
        <w:t>modified universalism</w:t>
      </w:r>
      <w:r w:rsidR="000065A0" w:rsidRPr="009812E7">
        <w:rPr>
          <w:rFonts w:cs="Times New Roman"/>
        </w:rPr>
        <w:t>”</w:t>
      </w:r>
      <w:r w:rsidR="00306D4E">
        <w:rPr>
          <w:rStyle w:val="FootnoteReference"/>
          <w:rFonts w:cs="Times New Roman"/>
        </w:rPr>
        <w:footnoteReference w:id="5"/>
      </w:r>
      <w:r w:rsidR="00497208" w:rsidRPr="009812E7">
        <w:rPr>
          <w:rFonts w:cs="Times New Roman"/>
        </w:rPr>
        <w:t xml:space="preserve">. </w:t>
      </w:r>
    </w:p>
    <w:p w14:paraId="4E0FAE67" w14:textId="4B3EA224" w:rsidR="00B22D93" w:rsidRPr="009812E7" w:rsidRDefault="007644B0" w:rsidP="006A78CE">
      <w:pPr>
        <w:pStyle w:val="BodyParagraphs"/>
        <w:spacing w:before="240" w:after="240" w:line="360" w:lineRule="auto"/>
        <w:ind w:left="567" w:hanging="567"/>
        <w:rPr>
          <w:rFonts w:cs="Times New Roman"/>
          <w:i/>
          <w:iCs/>
        </w:rPr>
      </w:pPr>
      <w:r w:rsidRPr="009812E7">
        <w:rPr>
          <w:rFonts w:cs="Times New Roman"/>
        </w:rPr>
        <w:t xml:space="preserve">Lord Hoffman </w:t>
      </w:r>
      <w:r w:rsidR="007F4993" w:rsidRPr="00161C4E">
        <w:rPr>
          <w:rFonts w:cs="Times New Roman"/>
        </w:rPr>
        <w:t xml:space="preserve">described </w:t>
      </w:r>
      <w:r w:rsidR="005B43E1">
        <w:rPr>
          <w:rFonts w:cs="Times New Roman"/>
        </w:rPr>
        <w:t>this</w:t>
      </w:r>
      <w:r w:rsidR="007F4993">
        <w:rPr>
          <w:rFonts w:cs="Times New Roman"/>
        </w:rPr>
        <w:t xml:space="preserve"> principle </w:t>
      </w:r>
      <w:r w:rsidR="007F4993" w:rsidRPr="00161C4E">
        <w:rPr>
          <w:rFonts w:cs="Times New Roman"/>
        </w:rPr>
        <w:t>as a “</w:t>
      </w:r>
      <w:r w:rsidR="007F4993" w:rsidRPr="00161C4E">
        <w:rPr>
          <w:rFonts w:cs="Times New Roman"/>
          <w:i/>
          <w:iCs/>
        </w:rPr>
        <w:t xml:space="preserve">golden thread running through English cross-border insolvency law since the </w:t>
      </w:r>
      <w:r w:rsidR="00756BB0">
        <w:rPr>
          <w:rFonts w:cs="Times New Roman"/>
          <w:i/>
          <w:iCs/>
        </w:rPr>
        <w:t xml:space="preserve">eighteenth </w:t>
      </w:r>
      <w:r w:rsidR="007F4993" w:rsidRPr="00161C4E">
        <w:rPr>
          <w:rFonts w:cs="Times New Roman"/>
          <w:i/>
          <w:iCs/>
        </w:rPr>
        <w:t>century</w:t>
      </w:r>
      <w:r w:rsidR="007F4993" w:rsidRPr="00161C4E">
        <w:rPr>
          <w:rFonts w:cs="Times New Roman"/>
        </w:rPr>
        <w:t xml:space="preserve">”, </w:t>
      </w:r>
      <w:r w:rsidR="007F4993">
        <w:rPr>
          <w:rFonts w:cs="Times New Roman"/>
        </w:rPr>
        <w:t xml:space="preserve">and </w:t>
      </w:r>
      <w:r w:rsidR="00230012">
        <w:rPr>
          <w:rFonts w:cs="Times New Roman"/>
        </w:rPr>
        <w:t xml:space="preserve">defined </w:t>
      </w:r>
      <w:r w:rsidR="007F4993">
        <w:rPr>
          <w:rFonts w:cs="Times New Roman"/>
        </w:rPr>
        <w:t xml:space="preserve">it </w:t>
      </w:r>
      <w:r w:rsidR="00230012">
        <w:rPr>
          <w:rFonts w:cs="Times New Roman"/>
        </w:rPr>
        <w:t>as follows</w:t>
      </w:r>
      <w:r w:rsidR="00DF0489">
        <w:rPr>
          <w:rStyle w:val="FootnoteReference"/>
          <w:rFonts w:cs="Times New Roman"/>
        </w:rPr>
        <w:footnoteReference w:id="6"/>
      </w:r>
      <w:r w:rsidR="00230012">
        <w:rPr>
          <w:rFonts w:cs="Times New Roman"/>
        </w:rPr>
        <w:t>:</w:t>
      </w:r>
      <w:r w:rsidRPr="009812E7">
        <w:rPr>
          <w:rFonts w:cs="Times New Roman"/>
        </w:rPr>
        <w:t xml:space="preserve">  </w:t>
      </w:r>
    </w:p>
    <w:p w14:paraId="26B10705" w14:textId="63F58CD3" w:rsidR="00497208" w:rsidRPr="009812E7" w:rsidRDefault="007644B0" w:rsidP="00B13F5B">
      <w:pPr>
        <w:autoSpaceDE w:val="0"/>
        <w:autoSpaceDN w:val="0"/>
        <w:adjustRightInd w:val="0"/>
        <w:snapToGrid w:val="0"/>
        <w:spacing w:before="240"/>
        <w:ind w:left="1134"/>
        <w:jc w:val="both"/>
        <w:rPr>
          <w:rFonts w:eastAsia="Times New Roman" w:cs="Times New Roman"/>
          <w:color w:val="000000"/>
          <w:szCs w:val="24"/>
          <w:lang w:val="x-none"/>
          <w14:ligatures w14:val="standardContextual"/>
        </w:rPr>
      </w:pPr>
      <w:r w:rsidRPr="009812E7">
        <w:rPr>
          <w:rFonts w:eastAsia="Times New Roman" w:cs="Times New Roman"/>
          <w:color w:val="000000"/>
          <w:szCs w:val="24"/>
          <w:lang w:val="x-none"/>
          <w14:ligatures w14:val="standardContextual"/>
        </w:rPr>
        <w:t>“That principle requires that English courts should, so far as is consistent with justice and UK public policy, co-operate with the courts in the country of the principal liquidation to ensure that all the company assets are distributed to its creditors under a single system of distribution.”</w:t>
      </w:r>
    </w:p>
    <w:p w14:paraId="58611845" w14:textId="77777777" w:rsidR="004E2639" w:rsidRPr="004E2639" w:rsidRDefault="004E2639" w:rsidP="006A78CE">
      <w:pPr>
        <w:autoSpaceDE w:val="0"/>
        <w:autoSpaceDN w:val="0"/>
        <w:adjustRightInd w:val="0"/>
        <w:snapToGrid w:val="0"/>
        <w:spacing w:line="360" w:lineRule="auto"/>
        <w:ind w:left="1134"/>
        <w:jc w:val="both"/>
        <w:rPr>
          <w:rFonts w:cs="Times New Roman"/>
          <w:color w:val="1F1F1F"/>
        </w:rPr>
      </w:pPr>
    </w:p>
    <w:p w14:paraId="24F28DC1" w14:textId="4F38FD7A" w:rsidR="00122E71" w:rsidRPr="00122E71" w:rsidRDefault="00BA290B" w:rsidP="006A78CE">
      <w:pPr>
        <w:pStyle w:val="BodyParagraphs"/>
        <w:spacing w:after="240" w:line="360" w:lineRule="auto"/>
        <w:ind w:left="567" w:hanging="567"/>
        <w:rPr>
          <w:rFonts w:cs="Times New Roman"/>
          <w:color w:val="1F1F1F"/>
        </w:rPr>
      </w:pPr>
      <w:r>
        <w:rPr>
          <w:rFonts w:cs="Times New Roman"/>
        </w:rPr>
        <w:t xml:space="preserve">However, </w:t>
      </w:r>
      <w:r w:rsidR="007D0857">
        <w:rPr>
          <w:rFonts w:cs="Times New Roman"/>
        </w:rPr>
        <w:t>t</w:t>
      </w:r>
      <w:r w:rsidR="00B07196">
        <w:rPr>
          <w:rFonts w:cs="Times New Roman"/>
        </w:rPr>
        <w:t>he</w:t>
      </w:r>
      <w:r w:rsidR="001B1E8E" w:rsidRPr="007C1D7C">
        <w:rPr>
          <w:rFonts w:cs="Times New Roman"/>
        </w:rPr>
        <w:t xml:space="preserve"> </w:t>
      </w:r>
      <w:r w:rsidR="00A231A6" w:rsidRPr="007C1D7C">
        <w:rPr>
          <w:rFonts w:cs="Times New Roman"/>
        </w:rPr>
        <w:t xml:space="preserve">incorporation into English law of international schemes of judicial co-operation have had the effect </w:t>
      </w:r>
      <w:r w:rsidR="001B1E8E" w:rsidRPr="007C1D7C">
        <w:rPr>
          <w:rFonts w:cs="Times New Roman"/>
        </w:rPr>
        <w:t>of arresting the development of the common law in this area</w:t>
      </w:r>
      <w:r w:rsidR="00122E71">
        <w:rPr>
          <w:rFonts w:cs="Times New Roman"/>
        </w:rPr>
        <w:t>.</w:t>
      </w:r>
      <w:r w:rsidR="000E30DA">
        <w:rPr>
          <w:rStyle w:val="FootnoteReference"/>
          <w:rFonts w:cs="Times New Roman"/>
        </w:rPr>
        <w:footnoteReference w:id="7"/>
      </w:r>
      <w:r w:rsidR="00122E71">
        <w:rPr>
          <w:rFonts w:cs="Times New Roman"/>
        </w:rPr>
        <w:t xml:space="preserve"> </w:t>
      </w:r>
    </w:p>
    <w:p w14:paraId="595E7643" w14:textId="6C31088C" w:rsidR="00961185" w:rsidRPr="00961185" w:rsidRDefault="00122E71" w:rsidP="006A78CE">
      <w:pPr>
        <w:pStyle w:val="BodyParagraphs"/>
        <w:spacing w:after="240" w:line="360" w:lineRule="auto"/>
        <w:ind w:left="567" w:hanging="567"/>
        <w:rPr>
          <w:rFonts w:cs="Times New Roman"/>
          <w:color w:val="1F1F1F"/>
        </w:rPr>
      </w:pPr>
      <w:r>
        <w:rPr>
          <w:rFonts w:cs="Times New Roman"/>
        </w:rPr>
        <w:t xml:space="preserve">This was </w:t>
      </w:r>
      <w:r w:rsidR="00CB1434" w:rsidRPr="007C1D7C">
        <w:rPr>
          <w:rFonts w:cs="Times New Roman"/>
        </w:rPr>
        <w:t xml:space="preserve">until </w:t>
      </w:r>
      <w:r w:rsidR="00B13F5B">
        <w:rPr>
          <w:rFonts w:cs="Times New Roman"/>
        </w:rPr>
        <w:t>the</w:t>
      </w:r>
      <w:r w:rsidR="00CB1434" w:rsidRPr="007C1D7C">
        <w:rPr>
          <w:rFonts w:cs="Times New Roman"/>
        </w:rPr>
        <w:t xml:space="preserve"> decision</w:t>
      </w:r>
      <w:r>
        <w:rPr>
          <w:rFonts w:cs="Times New Roman"/>
        </w:rPr>
        <w:t>s</w:t>
      </w:r>
      <w:r w:rsidR="00CB1434" w:rsidRPr="007C1D7C">
        <w:rPr>
          <w:rFonts w:cs="Times New Roman"/>
        </w:rPr>
        <w:t xml:space="preserve"> of the Privy Council in </w:t>
      </w:r>
      <w:r w:rsidR="00CB1434" w:rsidRPr="007C1D7C">
        <w:rPr>
          <w:rFonts w:cs="Times New Roman"/>
          <w:u w:val="single"/>
        </w:rPr>
        <w:t>Cambridge Gas Transportation Corporation v Official Committee of Unsecured Creditors of Navigator Holdings Plc</w:t>
      </w:r>
      <w:r w:rsidR="00241C33">
        <w:rPr>
          <w:rFonts w:cs="Times New Roman"/>
          <w:u w:val="single"/>
        </w:rPr>
        <w:t xml:space="preserve"> (“</w:t>
      </w:r>
      <w:r w:rsidR="00241C33" w:rsidRPr="00241C33">
        <w:rPr>
          <w:rFonts w:cs="Times New Roman"/>
          <w:b/>
          <w:bCs/>
          <w:u w:val="single"/>
        </w:rPr>
        <w:t>Cambridge Gas</w:t>
      </w:r>
      <w:r w:rsidR="00241C33">
        <w:rPr>
          <w:rFonts w:cs="Times New Roman"/>
          <w:u w:val="single"/>
        </w:rPr>
        <w:t>”)</w:t>
      </w:r>
      <w:r w:rsidR="00CB1434" w:rsidRPr="00122E71">
        <w:rPr>
          <w:rStyle w:val="FootnoteReference"/>
          <w:rFonts w:cs="Times New Roman"/>
        </w:rPr>
        <w:footnoteReference w:id="8"/>
      </w:r>
      <w:r>
        <w:rPr>
          <w:rFonts w:cs="Times New Roman"/>
        </w:rPr>
        <w:t xml:space="preserve"> and House of Lords in </w:t>
      </w:r>
      <w:proofErr w:type="gramStart"/>
      <w:r w:rsidRPr="006C0343">
        <w:rPr>
          <w:rFonts w:cs="Times New Roman"/>
          <w:u w:val="single"/>
        </w:rPr>
        <w:t>In</w:t>
      </w:r>
      <w:proofErr w:type="gramEnd"/>
      <w:r w:rsidRPr="006C0343">
        <w:rPr>
          <w:rFonts w:cs="Times New Roman"/>
          <w:u w:val="single"/>
        </w:rPr>
        <w:t xml:space="preserve"> re HIH Casualty and General Insurance Ltd</w:t>
      </w:r>
      <w:r w:rsidR="00241C33">
        <w:rPr>
          <w:rFonts w:cs="Times New Roman"/>
          <w:u w:val="single"/>
        </w:rPr>
        <w:t xml:space="preserve"> (“</w:t>
      </w:r>
      <w:r w:rsidR="00241C33" w:rsidRPr="00241C33">
        <w:rPr>
          <w:rFonts w:cs="Times New Roman"/>
          <w:b/>
          <w:bCs/>
          <w:u w:val="single"/>
        </w:rPr>
        <w:t>HIH</w:t>
      </w:r>
      <w:r w:rsidR="00241C33">
        <w:rPr>
          <w:rFonts w:cs="Times New Roman"/>
          <w:u w:val="single"/>
        </w:rPr>
        <w:t>”)</w:t>
      </w:r>
      <w:r w:rsidRPr="00241C33">
        <w:rPr>
          <w:rStyle w:val="FootnoteReference"/>
          <w:rFonts w:cs="Times New Roman"/>
        </w:rPr>
        <w:footnoteReference w:id="9"/>
      </w:r>
      <w:r w:rsidRPr="00241C33">
        <w:rPr>
          <w:rFonts w:cs="Times New Roman"/>
        </w:rPr>
        <w:t>,</w:t>
      </w:r>
      <w:r>
        <w:rPr>
          <w:rFonts w:cs="Times New Roman"/>
        </w:rPr>
        <w:t xml:space="preserve"> in which Lord Hoffmann </w:t>
      </w:r>
      <w:r w:rsidR="00E35078">
        <w:rPr>
          <w:rFonts w:cs="Times New Roman"/>
        </w:rPr>
        <w:t>propounded a</w:t>
      </w:r>
      <w:r w:rsidR="00415DAD">
        <w:rPr>
          <w:rFonts w:cs="Times New Roman"/>
        </w:rPr>
        <w:t xml:space="preserve">n </w:t>
      </w:r>
      <w:r w:rsidR="000C29C7">
        <w:rPr>
          <w:rFonts w:cs="Times New Roman"/>
        </w:rPr>
        <w:t xml:space="preserve">expansive </w:t>
      </w:r>
      <w:r w:rsidR="000025A3">
        <w:rPr>
          <w:rFonts w:cs="Times New Roman"/>
        </w:rPr>
        <w:t xml:space="preserve">version </w:t>
      </w:r>
      <w:r w:rsidR="000C29C7">
        <w:rPr>
          <w:rFonts w:cs="Times New Roman"/>
        </w:rPr>
        <w:t xml:space="preserve">of </w:t>
      </w:r>
      <w:r w:rsidR="00AB4046">
        <w:rPr>
          <w:rFonts w:cs="Times New Roman"/>
        </w:rPr>
        <w:t xml:space="preserve">the principle of </w:t>
      </w:r>
      <w:r w:rsidR="00B13F5B">
        <w:rPr>
          <w:rFonts w:cs="Times New Roman"/>
        </w:rPr>
        <w:t>‘</w:t>
      </w:r>
      <w:r w:rsidR="00AB4046">
        <w:rPr>
          <w:rFonts w:cs="Times New Roman"/>
        </w:rPr>
        <w:t>modified universalism</w:t>
      </w:r>
      <w:r w:rsidR="00B13F5B">
        <w:rPr>
          <w:rFonts w:cs="Times New Roman"/>
        </w:rPr>
        <w:t>’</w:t>
      </w:r>
      <w:r w:rsidR="00961185">
        <w:rPr>
          <w:rFonts w:cs="Times New Roman"/>
        </w:rPr>
        <w:t xml:space="preserve">. </w:t>
      </w:r>
    </w:p>
    <w:p w14:paraId="4323498E" w14:textId="0F1C8025" w:rsidR="00C763A7" w:rsidRPr="000B3CC1" w:rsidRDefault="00085782" w:rsidP="006A78CE">
      <w:pPr>
        <w:pStyle w:val="Heading2"/>
        <w:spacing w:after="240" w:line="360" w:lineRule="auto"/>
        <w:ind w:left="567" w:hanging="567"/>
        <w:jc w:val="both"/>
      </w:pPr>
      <w:bookmarkStart w:id="2" w:name="_Toc160017537"/>
      <w:r w:rsidRPr="000B3CC1">
        <w:t>Cambridge Gas</w:t>
      </w:r>
      <w:r w:rsidR="000B69CC">
        <w:t xml:space="preserve">: </w:t>
      </w:r>
      <w:r w:rsidR="00037B0D" w:rsidRPr="000B3CC1">
        <w:t>modified</w:t>
      </w:r>
      <w:r w:rsidR="00B06E38" w:rsidRPr="000B3CC1">
        <w:t xml:space="preserve"> </w:t>
      </w:r>
      <w:r w:rsidR="00037B0D" w:rsidRPr="000B3CC1">
        <w:t xml:space="preserve">universalism </w:t>
      </w:r>
      <w:r w:rsidR="000B3CC1">
        <w:t xml:space="preserve">as </w:t>
      </w:r>
      <w:r w:rsidR="00186952" w:rsidRPr="000B3CC1">
        <w:t xml:space="preserve">source of </w:t>
      </w:r>
      <w:r w:rsidR="00186952" w:rsidRPr="00FA12C9">
        <w:t xml:space="preserve">jurisdiction </w:t>
      </w:r>
      <w:r w:rsidR="000B3CC1">
        <w:t xml:space="preserve">to </w:t>
      </w:r>
      <w:r w:rsidR="000B69CC">
        <w:t xml:space="preserve">recognise </w:t>
      </w:r>
      <w:r w:rsidR="000B3CC1">
        <w:t>foreign</w:t>
      </w:r>
      <w:r w:rsidR="000B69CC">
        <w:t xml:space="preserve"> orders</w:t>
      </w:r>
      <w:bookmarkEnd w:id="2"/>
      <w:r w:rsidR="000B69CC">
        <w:t xml:space="preserve"> </w:t>
      </w:r>
    </w:p>
    <w:p w14:paraId="207EDB45" w14:textId="1E45BE55" w:rsidR="00D060B4" w:rsidRDefault="00D060B4" w:rsidP="006A78CE">
      <w:pPr>
        <w:pStyle w:val="BodyParagraphs"/>
        <w:shd w:val="clear" w:color="auto" w:fill="FFFFFF"/>
        <w:spacing w:after="240" w:line="360" w:lineRule="auto"/>
        <w:ind w:left="567" w:hanging="567"/>
        <w:rPr>
          <w:rFonts w:cs="Times New Roman"/>
        </w:rPr>
      </w:pPr>
      <w:r w:rsidRPr="00593860">
        <w:rPr>
          <w:rFonts w:cs="Times New Roman"/>
        </w:rPr>
        <w:t xml:space="preserve">In </w:t>
      </w:r>
      <w:r w:rsidRPr="00961185">
        <w:rPr>
          <w:rFonts w:cs="Times New Roman"/>
          <w:u w:val="single"/>
        </w:rPr>
        <w:t>Cambridge Gas</w:t>
      </w:r>
      <w:r w:rsidR="00961185" w:rsidRPr="00D60080">
        <w:rPr>
          <w:rStyle w:val="FootnoteReference"/>
          <w:rFonts w:cs="Times New Roman"/>
        </w:rPr>
        <w:footnoteReference w:id="10"/>
      </w:r>
      <w:r w:rsidRPr="00D60080">
        <w:rPr>
          <w:rFonts w:cs="Times New Roman"/>
        </w:rPr>
        <w:t>,</w:t>
      </w:r>
      <w:r w:rsidRPr="00593860">
        <w:rPr>
          <w:rFonts w:cs="Times New Roman"/>
        </w:rPr>
        <w:t xml:space="preserve"> </w:t>
      </w:r>
      <w:r w:rsidR="006D6E92" w:rsidRPr="00593860">
        <w:rPr>
          <w:rFonts w:cs="Times New Roman"/>
        </w:rPr>
        <w:t xml:space="preserve">the Privy Council, on appeal from the Isle of Man, </w:t>
      </w:r>
      <w:r w:rsidR="00E74B2F">
        <w:rPr>
          <w:rFonts w:cs="Times New Roman"/>
        </w:rPr>
        <w:t xml:space="preserve">had to decide whether </w:t>
      </w:r>
      <w:r w:rsidR="005D52EE" w:rsidRPr="00593860">
        <w:rPr>
          <w:rFonts w:cs="Times New Roman"/>
        </w:rPr>
        <w:t xml:space="preserve">an order of the New York court </w:t>
      </w:r>
      <w:r w:rsidR="007B0F8C" w:rsidRPr="00593860">
        <w:rPr>
          <w:rFonts w:cs="Times New Roman"/>
        </w:rPr>
        <w:t xml:space="preserve">approving </w:t>
      </w:r>
      <w:r w:rsidR="005D17F0" w:rsidRPr="00593860">
        <w:rPr>
          <w:rFonts w:cs="Times New Roman"/>
        </w:rPr>
        <w:t>a Chapter 11 plan</w:t>
      </w:r>
      <w:r w:rsidR="00E041D7" w:rsidRPr="00E041D7">
        <w:rPr>
          <w:rFonts w:cs="Times New Roman"/>
        </w:rPr>
        <w:t xml:space="preserve"> </w:t>
      </w:r>
      <w:r w:rsidR="00E041D7" w:rsidRPr="00593860">
        <w:rPr>
          <w:rFonts w:cs="Times New Roman"/>
        </w:rPr>
        <w:t xml:space="preserve">was entitled to </w:t>
      </w:r>
      <w:r w:rsidR="00184F5F">
        <w:rPr>
          <w:rFonts w:cs="Times New Roman"/>
        </w:rPr>
        <w:t xml:space="preserve">recognition and </w:t>
      </w:r>
      <w:r w:rsidR="00E041D7" w:rsidRPr="00593860">
        <w:rPr>
          <w:rFonts w:cs="Times New Roman"/>
        </w:rPr>
        <w:t>implementation in the Isle of Man</w:t>
      </w:r>
      <w:r w:rsidR="00E041D7">
        <w:rPr>
          <w:rFonts w:cs="Times New Roman"/>
        </w:rPr>
        <w:t>. The US order</w:t>
      </w:r>
      <w:r w:rsidR="005D17F0" w:rsidRPr="00593860">
        <w:rPr>
          <w:rFonts w:cs="Times New Roman"/>
        </w:rPr>
        <w:t xml:space="preserve"> </w:t>
      </w:r>
      <w:r w:rsidR="00BF248E" w:rsidRPr="00593860">
        <w:rPr>
          <w:rFonts w:cs="Times New Roman"/>
        </w:rPr>
        <w:t xml:space="preserve">had the effect of vesting </w:t>
      </w:r>
      <w:r w:rsidR="00593860" w:rsidRPr="00593860">
        <w:rPr>
          <w:rFonts w:cs="Times New Roman"/>
        </w:rPr>
        <w:t xml:space="preserve">the shares of an Isle of Man company in </w:t>
      </w:r>
      <w:r w:rsidR="00593860" w:rsidRPr="00593860">
        <w:rPr>
          <w:rFonts w:cs="Times New Roman"/>
        </w:rPr>
        <w:lastRenderedPageBreak/>
        <w:t>the committee of creditors, in circumstances where</w:t>
      </w:r>
      <w:r w:rsidR="00523293">
        <w:rPr>
          <w:rFonts w:cs="Times New Roman"/>
        </w:rPr>
        <w:t xml:space="preserve"> (as it was found)</w:t>
      </w:r>
      <w:r w:rsidR="00593860" w:rsidRPr="00593860">
        <w:rPr>
          <w:rFonts w:cs="Times New Roman"/>
        </w:rPr>
        <w:t xml:space="preserve"> the US court had neither jurisdiction </w:t>
      </w:r>
      <w:r w:rsidR="00593860" w:rsidRPr="00593860">
        <w:rPr>
          <w:rFonts w:cs="Times New Roman"/>
          <w:i/>
          <w:iCs/>
        </w:rPr>
        <w:t>in rem</w:t>
      </w:r>
      <w:r w:rsidR="00593860" w:rsidRPr="00593860">
        <w:rPr>
          <w:rFonts w:cs="Times New Roman"/>
        </w:rPr>
        <w:t xml:space="preserve"> over the shares (because they were rights situated outside its territorial jurisdiction) nor jurisdiction </w:t>
      </w:r>
      <w:r w:rsidR="00593860" w:rsidRPr="00593860">
        <w:rPr>
          <w:rFonts w:cs="Times New Roman"/>
          <w:i/>
          <w:iCs/>
        </w:rPr>
        <w:t xml:space="preserve">in </w:t>
      </w:r>
      <w:proofErr w:type="spellStart"/>
      <w:r w:rsidR="00593860" w:rsidRPr="00593860">
        <w:rPr>
          <w:rFonts w:cs="Times New Roman"/>
          <w:i/>
          <w:iCs/>
        </w:rPr>
        <w:t>personam</w:t>
      </w:r>
      <w:proofErr w:type="spellEnd"/>
      <w:r w:rsidR="00593860" w:rsidRPr="00593860">
        <w:rPr>
          <w:rFonts w:cs="Times New Roman"/>
          <w:i/>
          <w:iCs/>
        </w:rPr>
        <w:t xml:space="preserve"> </w:t>
      </w:r>
      <w:r w:rsidR="00593860" w:rsidRPr="00593860">
        <w:rPr>
          <w:rFonts w:cs="Times New Roman"/>
        </w:rPr>
        <w:t>over the shareholders (because they were not present in the US and took no part in the US proceedings)</w:t>
      </w:r>
      <w:r w:rsidR="005D17F0" w:rsidRPr="00593860">
        <w:rPr>
          <w:rFonts w:cs="Times New Roman"/>
        </w:rPr>
        <w:t xml:space="preserve">. </w:t>
      </w:r>
      <w:r w:rsidR="00E74B2F">
        <w:rPr>
          <w:rFonts w:cs="Times New Roman"/>
        </w:rPr>
        <w:t xml:space="preserve">The principal shareholder, Cambridge Gas, </w:t>
      </w:r>
      <w:r w:rsidR="00ED61FB">
        <w:rPr>
          <w:rFonts w:cs="Times New Roman"/>
        </w:rPr>
        <w:t>whose shares would be vested in the committee of creditors</w:t>
      </w:r>
      <w:r w:rsidR="009F1B72">
        <w:rPr>
          <w:rFonts w:cs="Times New Roman"/>
        </w:rPr>
        <w:t xml:space="preserve"> under the Chapter 11 plan</w:t>
      </w:r>
      <w:r w:rsidR="00ED61FB">
        <w:rPr>
          <w:rFonts w:cs="Times New Roman"/>
        </w:rPr>
        <w:t xml:space="preserve">, </w:t>
      </w:r>
      <w:r w:rsidR="00E74B2F">
        <w:rPr>
          <w:rFonts w:cs="Times New Roman"/>
        </w:rPr>
        <w:t xml:space="preserve">objected on the basis that it was not bound by the decision of the US Court. </w:t>
      </w:r>
    </w:p>
    <w:p w14:paraId="263A43B2" w14:textId="23716A44" w:rsidR="00FC3927" w:rsidRDefault="00E74B2F" w:rsidP="006A78CE">
      <w:pPr>
        <w:pStyle w:val="BodyParagraphs"/>
        <w:shd w:val="clear" w:color="auto" w:fill="FFFFFF"/>
        <w:spacing w:after="240" w:line="360" w:lineRule="auto"/>
        <w:ind w:left="567" w:hanging="567"/>
        <w:rPr>
          <w:rFonts w:cs="Times New Roman"/>
        </w:rPr>
      </w:pPr>
      <w:r w:rsidRPr="004E1900">
        <w:rPr>
          <w:rFonts w:cs="Times New Roman"/>
        </w:rPr>
        <w:t xml:space="preserve">Delivering the advice of the Board, Lord Hoffman </w:t>
      </w:r>
      <w:r w:rsidR="00E73C17" w:rsidRPr="004E1900">
        <w:rPr>
          <w:rFonts w:cs="Times New Roman"/>
        </w:rPr>
        <w:t xml:space="preserve">expressed the view that the absence of jurisdiction </w:t>
      </w:r>
      <w:r w:rsidR="00E73C17" w:rsidRPr="004E1900">
        <w:rPr>
          <w:rFonts w:cs="Times New Roman"/>
          <w:i/>
          <w:iCs/>
        </w:rPr>
        <w:t>in rem</w:t>
      </w:r>
      <w:r w:rsidR="00E73C17" w:rsidRPr="004E1900">
        <w:rPr>
          <w:rFonts w:cs="Times New Roman"/>
        </w:rPr>
        <w:t xml:space="preserve"> or </w:t>
      </w:r>
      <w:r w:rsidR="00E73C17" w:rsidRPr="004E1900">
        <w:rPr>
          <w:rFonts w:cs="Times New Roman"/>
          <w:i/>
          <w:iCs/>
        </w:rPr>
        <w:t xml:space="preserve">in </w:t>
      </w:r>
      <w:proofErr w:type="spellStart"/>
      <w:r w:rsidR="00E73C17" w:rsidRPr="004E1900">
        <w:rPr>
          <w:rFonts w:cs="Times New Roman"/>
          <w:i/>
          <w:iCs/>
        </w:rPr>
        <w:t>persona</w:t>
      </w:r>
      <w:r w:rsidR="00F54FA2" w:rsidRPr="004E1900">
        <w:rPr>
          <w:rFonts w:cs="Times New Roman"/>
          <w:i/>
          <w:iCs/>
        </w:rPr>
        <w:t>m</w:t>
      </w:r>
      <w:proofErr w:type="spellEnd"/>
      <w:r w:rsidR="00E73C17" w:rsidRPr="004E1900">
        <w:rPr>
          <w:rFonts w:cs="Times New Roman"/>
        </w:rPr>
        <w:t xml:space="preserve"> in the</w:t>
      </w:r>
      <w:r w:rsidR="00037B0D" w:rsidRPr="004E1900">
        <w:rPr>
          <w:rFonts w:cs="Times New Roman"/>
        </w:rPr>
        <w:t xml:space="preserve"> US </w:t>
      </w:r>
      <w:r w:rsidR="00E73C17" w:rsidRPr="004E1900">
        <w:rPr>
          <w:rFonts w:cs="Times New Roman"/>
        </w:rPr>
        <w:t>Court was irrelevant, because the jurisdiction was founded not on any obligation on the part Cambridge Gas to comply with the judgements of the US Court, but on the duty of the Isle of Man court to assist a foreign principal liquidation</w:t>
      </w:r>
      <w:r w:rsidR="00247910" w:rsidRPr="004E1900">
        <w:rPr>
          <w:rFonts w:cs="Times New Roman"/>
        </w:rPr>
        <w:t xml:space="preserve"> to assist a foreign principal liquidation so as to achieve a universal distribution of the assets on, as far as possible, a common basis</w:t>
      </w:r>
      <w:r w:rsidR="00247910">
        <w:rPr>
          <w:rStyle w:val="FootnoteReference"/>
          <w:rFonts w:cs="Times New Roman"/>
        </w:rPr>
        <w:footnoteReference w:id="11"/>
      </w:r>
      <w:r w:rsidR="00247910" w:rsidRPr="004E1900">
        <w:rPr>
          <w:rFonts w:cs="Times New Roman"/>
        </w:rPr>
        <w:t xml:space="preserve">. </w:t>
      </w:r>
      <w:r w:rsidR="00FC3927" w:rsidRPr="004E1900">
        <w:rPr>
          <w:rFonts w:cs="Times New Roman"/>
        </w:rPr>
        <w:t xml:space="preserve">In other words, the court’s power to assist the foreign liquidation was itself treated as the </w:t>
      </w:r>
      <w:r w:rsidR="00FC3927" w:rsidRPr="004E1900">
        <w:rPr>
          <w:rFonts w:cs="Times New Roman"/>
          <w:i/>
          <w:iCs/>
        </w:rPr>
        <w:t>source</w:t>
      </w:r>
      <w:r w:rsidR="00FC3927" w:rsidRPr="004E1900">
        <w:rPr>
          <w:rFonts w:cs="Times New Roman"/>
        </w:rPr>
        <w:t xml:space="preserve"> of the court’s jurisdiction to recognise the US order and its effect on those affected,</w:t>
      </w:r>
      <w:r w:rsidR="00F07E01">
        <w:rPr>
          <w:rFonts w:cs="Times New Roman"/>
        </w:rPr>
        <w:t xml:space="preserve"> </w:t>
      </w:r>
      <w:r w:rsidR="00FC3927" w:rsidRPr="004E1900">
        <w:rPr>
          <w:rFonts w:cs="Times New Roman"/>
        </w:rPr>
        <w:t xml:space="preserve">including those over whom over the US Court had neither jurisdiction </w:t>
      </w:r>
      <w:r w:rsidR="00FC3927" w:rsidRPr="004E1900">
        <w:rPr>
          <w:rFonts w:cs="Times New Roman"/>
          <w:i/>
          <w:iCs/>
        </w:rPr>
        <w:t>in rem</w:t>
      </w:r>
      <w:r w:rsidR="00FC3927" w:rsidRPr="004E1900">
        <w:rPr>
          <w:rFonts w:cs="Times New Roman"/>
        </w:rPr>
        <w:t xml:space="preserve"> </w:t>
      </w:r>
      <w:proofErr w:type="gramStart"/>
      <w:r w:rsidR="00FC3927" w:rsidRPr="004E1900">
        <w:rPr>
          <w:rFonts w:cs="Times New Roman"/>
        </w:rPr>
        <w:t>or</w:t>
      </w:r>
      <w:proofErr w:type="gramEnd"/>
      <w:r w:rsidR="00FC3927" w:rsidRPr="004E1900">
        <w:rPr>
          <w:rFonts w:cs="Times New Roman"/>
        </w:rPr>
        <w:t xml:space="preserve"> </w:t>
      </w:r>
      <w:r w:rsidR="00FC3927" w:rsidRPr="004E1900">
        <w:rPr>
          <w:rFonts w:cs="Times New Roman"/>
          <w:i/>
          <w:iCs/>
        </w:rPr>
        <w:t xml:space="preserve">in </w:t>
      </w:r>
      <w:proofErr w:type="spellStart"/>
      <w:r w:rsidR="00FC3927" w:rsidRPr="004E1900">
        <w:rPr>
          <w:rFonts w:cs="Times New Roman"/>
          <w:i/>
          <w:iCs/>
        </w:rPr>
        <w:t>personam</w:t>
      </w:r>
      <w:proofErr w:type="spellEnd"/>
      <w:r w:rsidR="00FC3927" w:rsidRPr="004E1900">
        <w:rPr>
          <w:rFonts w:cs="Times New Roman"/>
          <w:i/>
          <w:iCs/>
        </w:rPr>
        <w:t>.</w:t>
      </w:r>
      <w:r w:rsidR="00FC3927" w:rsidRPr="004E1900">
        <w:rPr>
          <w:rFonts w:cs="Times New Roman"/>
        </w:rPr>
        <w:t xml:space="preserve"> </w:t>
      </w:r>
    </w:p>
    <w:p w14:paraId="323F9964" w14:textId="6C646C15" w:rsidR="00C82C8A" w:rsidRPr="002D5485" w:rsidRDefault="00A17909" w:rsidP="006A78CE">
      <w:pPr>
        <w:pStyle w:val="BodyParagraphs"/>
        <w:shd w:val="clear" w:color="auto" w:fill="FFFFFF"/>
        <w:spacing w:after="240" w:line="360" w:lineRule="auto"/>
        <w:ind w:left="567" w:hanging="567"/>
        <w:rPr>
          <w:rFonts w:cs="Times New Roman"/>
          <w:szCs w:val="24"/>
        </w:rPr>
      </w:pPr>
      <w:r>
        <w:rPr>
          <w:rFonts w:cs="Times New Roman"/>
        </w:rPr>
        <w:t xml:space="preserve">Lord Hoffman </w:t>
      </w:r>
      <w:r w:rsidR="00D8314B">
        <w:rPr>
          <w:rFonts w:cs="Times New Roman"/>
        </w:rPr>
        <w:t xml:space="preserve">drew a distinction between </w:t>
      </w:r>
      <w:r w:rsidR="00955798">
        <w:rPr>
          <w:rFonts w:cs="Times New Roman"/>
        </w:rPr>
        <w:t xml:space="preserve">judgments </w:t>
      </w:r>
      <w:r w:rsidR="00955798" w:rsidRPr="00882B7E">
        <w:rPr>
          <w:rFonts w:cs="Times New Roman"/>
          <w:i/>
          <w:iCs/>
        </w:rPr>
        <w:t>in rem</w:t>
      </w:r>
      <w:r w:rsidR="00955798">
        <w:rPr>
          <w:rFonts w:cs="Times New Roman"/>
        </w:rPr>
        <w:t xml:space="preserve"> and </w:t>
      </w:r>
      <w:r w:rsidR="00955798" w:rsidRPr="00882B7E">
        <w:rPr>
          <w:rFonts w:cs="Times New Roman"/>
          <w:i/>
          <w:iCs/>
        </w:rPr>
        <w:t xml:space="preserve">in </w:t>
      </w:r>
      <w:proofErr w:type="spellStart"/>
      <w:r w:rsidR="00955798" w:rsidRPr="00882B7E">
        <w:rPr>
          <w:rFonts w:cs="Times New Roman"/>
          <w:i/>
          <w:iCs/>
        </w:rPr>
        <w:t>personam</w:t>
      </w:r>
      <w:proofErr w:type="spellEnd"/>
      <w:r w:rsidR="00955798">
        <w:rPr>
          <w:rFonts w:cs="Times New Roman"/>
        </w:rPr>
        <w:t xml:space="preserve">, which </w:t>
      </w:r>
      <w:r w:rsidR="00882B7E">
        <w:rPr>
          <w:rFonts w:cs="Times New Roman"/>
        </w:rPr>
        <w:t xml:space="preserve">determines rights over property and against a person, </w:t>
      </w:r>
      <w:r w:rsidR="00D8314B">
        <w:rPr>
          <w:rFonts w:cs="Times New Roman"/>
        </w:rPr>
        <w:t xml:space="preserve">and orders made </w:t>
      </w:r>
      <w:r w:rsidR="00D8314B" w:rsidRPr="002D5485">
        <w:rPr>
          <w:rFonts w:cs="Times New Roman"/>
          <w:szCs w:val="24"/>
        </w:rPr>
        <w:t xml:space="preserve">in </w:t>
      </w:r>
      <w:r w:rsidR="00882B7E" w:rsidRPr="002D5485">
        <w:rPr>
          <w:rFonts w:cs="Times New Roman"/>
          <w:szCs w:val="24"/>
        </w:rPr>
        <w:t>bankruptcy proceedings</w:t>
      </w:r>
      <w:r w:rsidR="00E465C5" w:rsidRPr="002D5485">
        <w:rPr>
          <w:rFonts w:cs="Times New Roman"/>
          <w:szCs w:val="24"/>
        </w:rPr>
        <w:t xml:space="preserve"> (at [14])</w:t>
      </w:r>
      <w:r w:rsidR="00D8314B" w:rsidRPr="002D5485">
        <w:rPr>
          <w:rFonts w:cs="Times New Roman"/>
          <w:szCs w:val="24"/>
        </w:rPr>
        <w:t>:</w:t>
      </w:r>
    </w:p>
    <w:p w14:paraId="2A9171D3" w14:textId="49C3DF89" w:rsidR="004E1900" w:rsidRPr="002D5485" w:rsidRDefault="00F07E01" w:rsidP="00B13F5B">
      <w:pPr>
        <w:pStyle w:val="BodyParagraphs"/>
        <w:numPr>
          <w:ilvl w:val="0"/>
          <w:numId w:val="0"/>
        </w:numPr>
        <w:shd w:val="clear" w:color="auto" w:fill="FFFFFF"/>
        <w:spacing w:after="240" w:line="240" w:lineRule="auto"/>
        <w:ind w:left="1134"/>
        <w:rPr>
          <w:rFonts w:ascii="TimesNewRoman" w:eastAsia="Times New Roman" w:hAnsi="TimesNewRoman" w:cs="TimesNewRoman"/>
          <w:color w:val="000000"/>
          <w:szCs w:val="24"/>
          <w:lang w:val="x-none"/>
          <w14:ligatures w14:val="standardContextual"/>
        </w:rPr>
      </w:pPr>
      <w:r>
        <w:rPr>
          <w:rFonts w:ascii="TimesNewRoman" w:eastAsia="Times New Roman" w:hAnsi="TimesNewRoman" w:cs="TimesNewRoman"/>
          <w:color w:val="000000"/>
          <w:szCs w:val="24"/>
          <w:lang w:val="x-none"/>
          <w14:ligatures w14:val="standardContextual"/>
        </w:rPr>
        <w:t>“</w:t>
      </w:r>
      <w:r w:rsidR="00E465C5" w:rsidRPr="002D5485">
        <w:rPr>
          <w:rFonts w:ascii="TimesNewRoman" w:eastAsia="Times New Roman" w:hAnsi="TimesNewRoman" w:cs="TimesNewRoman"/>
          <w:color w:val="000000"/>
          <w:szCs w:val="24"/>
          <w:lang w:val="x-none"/>
          <w14:ligatures w14:val="standardContextual"/>
        </w:rPr>
        <w:t xml:space="preserve">14. </w:t>
      </w:r>
      <w:r w:rsidR="00E465C5" w:rsidRPr="002D5485">
        <w:rPr>
          <w:rFonts w:ascii="TimesNewRoman" w:eastAsia="Times New Roman" w:hAnsi="TimesNewRoman" w:cs="TimesNewRoman"/>
          <w:color w:val="000000"/>
          <w:szCs w:val="24"/>
          <w:lang w:val="x-none"/>
          <w14:ligatures w14:val="standardContextual"/>
        </w:rPr>
        <w:tab/>
        <w:t>The purpose of bankruptcy proceedings, on the other hand, is not to determine or establish the existence of rights, but to provide a mechanism of collective execution against the property of the debtor by creditors whose rights are admitted or established…</w:t>
      </w:r>
      <w:r>
        <w:rPr>
          <w:rFonts w:ascii="TimesNewRoman" w:eastAsia="Times New Roman" w:hAnsi="TimesNewRoman" w:cs="TimesNewRoman"/>
          <w:color w:val="000000"/>
          <w:szCs w:val="24"/>
          <w:lang w:val="x-none"/>
          <w14:ligatures w14:val="standardContextual"/>
        </w:rPr>
        <w:t>”</w:t>
      </w:r>
    </w:p>
    <w:p w14:paraId="5DE5D3BC" w14:textId="11D0CA31" w:rsidR="005F77D5" w:rsidRDefault="00A65BCA" w:rsidP="006A78CE">
      <w:pPr>
        <w:pStyle w:val="BodyParagraphs"/>
        <w:shd w:val="clear" w:color="auto" w:fill="FFFFFF"/>
        <w:spacing w:after="240" w:line="360" w:lineRule="auto"/>
        <w:ind w:left="567" w:hanging="567"/>
        <w:rPr>
          <w:rFonts w:cs="Times New Roman"/>
        </w:rPr>
      </w:pPr>
      <w:r w:rsidRPr="00A65BCA">
        <w:rPr>
          <w:rFonts w:cs="Times New Roman"/>
          <w:u w:val="single"/>
        </w:rPr>
        <w:lastRenderedPageBreak/>
        <w:t>Cambridge Gas</w:t>
      </w:r>
      <w:r>
        <w:rPr>
          <w:rFonts w:cs="Times New Roman"/>
        </w:rPr>
        <w:t xml:space="preserve"> </w:t>
      </w:r>
      <w:r w:rsidR="005F77D5">
        <w:rPr>
          <w:rFonts w:cs="Times New Roman"/>
        </w:rPr>
        <w:t>marked the furthe</w:t>
      </w:r>
      <w:r>
        <w:rPr>
          <w:rFonts w:cs="Times New Roman"/>
        </w:rPr>
        <w:t xml:space="preserve">st </w:t>
      </w:r>
      <w:r w:rsidR="005F77D5">
        <w:rPr>
          <w:rFonts w:cs="Times New Roman"/>
        </w:rPr>
        <w:t>that the common law courts have gone in developing the common law powers of the court to assist a foreign liquidation</w:t>
      </w:r>
      <w:r w:rsidR="00737768">
        <w:rPr>
          <w:rFonts w:cs="Times New Roman"/>
        </w:rPr>
        <w:t>.</w:t>
      </w:r>
      <w:r w:rsidR="00184F5F">
        <w:rPr>
          <w:rStyle w:val="FootnoteReference"/>
          <w:rFonts w:cs="Times New Roman"/>
        </w:rPr>
        <w:footnoteReference w:id="12"/>
      </w:r>
      <w:r w:rsidR="00737768">
        <w:rPr>
          <w:rFonts w:cs="Times New Roman"/>
        </w:rPr>
        <w:t xml:space="preserve"> </w:t>
      </w:r>
    </w:p>
    <w:p w14:paraId="1BB75D6B" w14:textId="42B71F22" w:rsidR="000857F3" w:rsidRPr="004D7FEC" w:rsidRDefault="000857F3" w:rsidP="006A78CE">
      <w:pPr>
        <w:pStyle w:val="Heading2"/>
        <w:spacing w:after="240" w:line="360" w:lineRule="auto"/>
        <w:ind w:left="567" w:hanging="567"/>
        <w:jc w:val="both"/>
      </w:pPr>
      <w:bookmarkStart w:id="3" w:name="_Toc160017538"/>
      <w:r w:rsidRPr="004D7FEC">
        <w:t xml:space="preserve">HIH – </w:t>
      </w:r>
      <w:r w:rsidR="00BD1A87" w:rsidRPr="004D7FEC">
        <w:t xml:space="preserve">modified universalism as source of </w:t>
      </w:r>
      <w:r w:rsidRPr="004D7FEC">
        <w:t xml:space="preserve">power to </w:t>
      </w:r>
      <w:r w:rsidR="00C14A9D" w:rsidRPr="004D7FEC">
        <w:t xml:space="preserve">disapply local </w:t>
      </w:r>
      <w:r w:rsidR="00395CA7" w:rsidRPr="004D7FEC">
        <w:t>parts of local statutory schemes?</w:t>
      </w:r>
      <w:bookmarkEnd w:id="3"/>
      <w:r w:rsidR="00395CA7" w:rsidRPr="004D7FEC">
        <w:t xml:space="preserve"> </w:t>
      </w:r>
    </w:p>
    <w:p w14:paraId="5B1A1BC9" w14:textId="6DBB0D64" w:rsidR="0084306B" w:rsidRDefault="00122E71" w:rsidP="006A78CE">
      <w:pPr>
        <w:pStyle w:val="BodyParagraphs"/>
        <w:shd w:val="clear" w:color="auto" w:fill="FFFFFF"/>
        <w:spacing w:after="240" w:line="360" w:lineRule="auto"/>
        <w:ind w:left="567" w:hanging="567"/>
        <w:rPr>
          <w:rFonts w:cs="Times New Roman"/>
        </w:rPr>
      </w:pPr>
      <w:r>
        <w:rPr>
          <w:rFonts w:cs="Times New Roman"/>
        </w:rPr>
        <w:t>The</w:t>
      </w:r>
      <w:r w:rsidR="00651B23">
        <w:rPr>
          <w:rFonts w:cs="Times New Roman"/>
        </w:rPr>
        <w:t xml:space="preserve"> </w:t>
      </w:r>
      <w:r w:rsidR="006C0343">
        <w:rPr>
          <w:rFonts w:cs="Times New Roman"/>
        </w:rPr>
        <w:t>common law court’s power to assist foreign liquidation</w:t>
      </w:r>
      <w:r w:rsidR="00B13F5B">
        <w:rPr>
          <w:rFonts w:cs="Times New Roman"/>
        </w:rPr>
        <w:t>s</w:t>
      </w:r>
      <w:r w:rsidR="006C0343">
        <w:rPr>
          <w:rFonts w:cs="Times New Roman"/>
        </w:rPr>
        <w:t xml:space="preserve"> was revisited by Lord Hoffman in </w:t>
      </w:r>
      <w:proofErr w:type="gramStart"/>
      <w:r w:rsidR="006C0343" w:rsidRPr="006C0343">
        <w:rPr>
          <w:rFonts w:cs="Times New Roman"/>
          <w:u w:val="single"/>
        </w:rPr>
        <w:t>In</w:t>
      </w:r>
      <w:proofErr w:type="gramEnd"/>
      <w:r w:rsidR="006C0343" w:rsidRPr="006C0343">
        <w:rPr>
          <w:rFonts w:cs="Times New Roman"/>
          <w:u w:val="single"/>
        </w:rPr>
        <w:t xml:space="preserve"> re HIH Casualty and General Insurance Ltd</w:t>
      </w:r>
      <w:r w:rsidR="0084306B">
        <w:rPr>
          <w:rStyle w:val="FootnoteReference"/>
          <w:rFonts w:cs="Times New Roman"/>
        </w:rPr>
        <w:footnoteReference w:id="13"/>
      </w:r>
      <w:r w:rsidR="000729C9">
        <w:rPr>
          <w:rFonts w:cs="Times New Roman"/>
        </w:rPr>
        <w:t xml:space="preserve">. </w:t>
      </w:r>
    </w:p>
    <w:p w14:paraId="25D0EDDC" w14:textId="2371AD82" w:rsidR="00EB5538" w:rsidRDefault="00221563" w:rsidP="006A78CE">
      <w:pPr>
        <w:pStyle w:val="BodyParagraphs"/>
        <w:shd w:val="clear" w:color="auto" w:fill="FFFFFF"/>
        <w:spacing w:after="240" w:line="360" w:lineRule="auto"/>
        <w:ind w:left="567" w:hanging="567"/>
        <w:rPr>
          <w:rFonts w:cs="Times New Roman"/>
        </w:rPr>
      </w:pPr>
      <w:r>
        <w:rPr>
          <w:rFonts w:cs="Times New Roman"/>
        </w:rPr>
        <w:t xml:space="preserve">HIH was an Australian insurance company in liquidation in Australia. A winding up petition had been presented in England and provisional liquidators appointed to conduct an ancillary liquidation. </w:t>
      </w:r>
      <w:r w:rsidR="008746B9">
        <w:rPr>
          <w:rFonts w:cs="Times New Roman"/>
        </w:rPr>
        <w:t xml:space="preserve">The English court was asked to decide whether </w:t>
      </w:r>
      <w:r w:rsidR="000729C9">
        <w:rPr>
          <w:rFonts w:cs="Times New Roman"/>
        </w:rPr>
        <w:t xml:space="preserve">they should accede to a letter of request from </w:t>
      </w:r>
      <w:r w:rsidR="00F23C17">
        <w:rPr>
          <w:rFonts w:cs="Times New Roman"/>
        </w:rPr>
        <w:t xml:space="preserve">the Australian court </w:t>
      </w:r>
      <w:r w:rsidR="00942DAE">
        <w:rPr>
          <w:rFonts w:cs="Times New Roman"/>
        </w:rPr>
        <w:t xml:space="preserve">pursuant to s 426(4) of the Insolvency Act 1986 (c 45) </w:t>
      </w:r>
      <w:r w:rsidR="00F23C17">
        <w:rPr>
          <w:rFonts w:cs="Times New Roman"/>
        </w:rPr>
        <w:t xml:space="preserve">inviting it to direct the English provisional liquidators </w:t>
      </w:r>
      <w:r w:rsidR="003C3E1A">
        <w:rPr>
          <w:rFonts w:cs="Times New Roman"/>
        </w:rPr>
        <w:t xml:space="preserve">to remit the assets in their hands to the Australian liquidators, </w:t>
      </w:r>
      <w:r w:rsidR="003C3E1A">
        <w:t>in circumstances where they would be distributed there in accordance with statutory priorities which differed from those applicable in a domestic winding up in England</w:t>
      </w:r>
      <w:r w:rsidR="00824643">
        <w:t xml:space="preserve">. </w:t>
      </w:r>
    </w:p>
    <w:p w14:paraId="34189B13" w14:textId="140ABB96" w:rsidR="004D1ED2" w:rsidRDefault="00262A35" w:rsidP="006A78CE">
      <w:pPr>
        <w:pStyle w:val="BodyParagraphs"/>
        <w:shd w:val="clear" w:color="auto" w:fill="FFFFFF"/>
        <w:spacing w:after="240" w:line="360" w:lineRule="auto"/>
        <w:ind w:left="567" w:hanging="567"/>
        <w:rPr>
          <w:rFonts w:cs="Times New Roman"/>
        </w:rPr>
      </w:pPr>
      <w:r>
        <w:rPr>
          <w:rFonts w:cs="Times New Roman"/>
        </w:rPr>
        <w:t xml:space="preserve">The House of Lords unanimously ordered that the English assets should be remitted to Australia. However, the two leading speeches, delivered by Lord Hoffman and Lord Scott of </w:t>
      </w:r>
      <w:proofErr w:type="spellStart"/>
      <w:r>
        <w:rPr>
          <w:rFonts w:cs="Times New Roman"/>
        </w:rPr>
        <w:t>Foscote</w:t>
      </w:r>
      <w:proofErr w:type="spellEnd"/>
      <w:r>
        <w:rPr>
          <w:rFonts w:cs="Times New Roman"/>
        </w:rPr>
        <w:t xml:space="preserve"> respectively, set out two different conceptual approaches to the common law doctrine. </w:t>
      </w:r>
    </w:p>
    <w:p w14:paraId="601CE57E" w14:textId="7F6CD964" w:rsidR="00262A35" w:rsidRDefault="00262A35" w:rsidP="006A78CE">
      <w:pPr>
        <w:pStyle w:val="BodyParagraphs"/>
        <w:shd w:val="clear" w:color="auto" w:fill="FFFFFF"/>
        <w:spacing w:after="240" w:line="360" w:lineRule="auto"/>
        <w:ind w:left="567" w:hanging="567"/>
        <w:rPr>
          <w:rFonts w:cs="Times New Roman"/>
        </w:rPr>
      </w:pPr>
      <w:r>
        <w:rPr>
          <w:rFonts w:cs="Times New Roman"/>
        </w:rPr>
        <w:t xml:space="preserve">Lord Hoffman </w:t>
      </w:r>
      <w:r w:rsidR="001A1351">
        <w:rPr>
          <w:rFonts w:cs="Times New Roman"/>
        </w:rPr>
        <w:t xml:space="preserve">observed that the judicial practice of treating an English winding up of a foreign company as ancillary to the winding up </w:t>
      </w:r>
      <w:r w:rsidR="001F1643">
        <w:rPr>
          <w:rFonts w:cs="Times New Roman"/>
        </w:rPr>
        <w:t xml:space="preserve">by the course of its domicile </w:t>
      </w:r>
      <w:r w:rsidR="001A2B7D">
        <w:rPr>
          <w:rFonts w:cs="Times New Roman"/>
        </w:rPr>
        <w:t xml:space="preserve">(the ‘ancillary liquidation’ doctrine) </w:t>
      </w:r>
      <w:r w:rsidR="001F1643">
        <w:rPr>
          <w:rFonts w:cs="Times New Roman"/>
        </w:rPr>
        <w:t xml:space="preserve">was based on the principle of </w:t>
      </w:r>
      <w:r w:rsidR="00B13F5B">
        <w:rPr>
          <w:rFonts w:cs="Times New Roman"/>
        </w:rPr>
        <w:t>‘</w:t>
      </w:r>
      <w:r w:rsidR="001F1643">
        <w:rPr>
          <w:rFonts w:cs="Times New Roman"/>
        </w:rPr>
        <w:t>modified universalism</w:t>
      </w:r>
      <w:r w:rsidR="00B13F5B">
        <w:rPr>
          <w:rFonts w:cs="Times New Roman"/>
        </w:rPr>
        <w:t>’</w:t>
      </w:r>
      <w:r w:rsidR="001F1643">
        <w:rPr>
          <w:rFonts w:cs="Times New Roman"/>
        </w:rPr>
        <w:t>.</w:t>
      </w:r>
      <w:r w:rsidR="001F1643">
        <w:rPr>
          <w:rStyle w:val="FootnoteReference"/>
          <w:rFonts w:cs="Times New Roman"/>
        </w:rPr>
        <w:footnoteReference w:id="14"/>
      </w:r>
      <w:r w:rsidR="001F1643">
        <w:rPr>
          <w:rFonts w:cs="Times New Roman"/>
        </w:rPr>
        <w:t xml:space="preserve"> </w:t>
      </w:r>
      <w:r w:rsidR="009B0EF5">
        <w:rPr>
          <w:rFonts w:cs="Times New Roman"/>
        </w:rPr>
        <w:t xml:space="preserve">Under this ‘ancillary liquidation’ doctrine, </w:t>
      </w:r>
      <w:r w:rsidR="0098775F">
        <w:rPr>
          <w:rFonts w:cs="Times New Roman"/>
        </w:rPr>
        <w:t xml:space="preserve">the court may “disapply” parts of the English statutory scheme by authorising the </w:t>
      </w:r>
      <w:r w:rsidR="0098775F">
        <w:rPr>
          <w:rFonts w:cs="Times New Roman"/>
        </w:rPr>
        <w:lastRenderedPageBreak/>
        <w:t>foreign liquidator to perform certain actions under foreign law, which may or may not be the same as English law</w:t>
      </w:r>
      <w:r w:rsidR="0098775F">
        <w:rPr>
          <w:rStyle w:val="FootnoteReference"/>
          <w:rFonts w:cs="Times New Roman"/>
        </w:rPr>
        <w:footnoteReference w:id="15"/>
      </w:r>
      <w:r w:rsidR="0098775F">
        <w:rPr>
          <w:rFonts w:cs="Times New Roman"/>
        </w:rPr>
        <w:t xml:space="preserve">. </w:t>
      </w:r>
    </w:p>
    <w:p w14:paraId="6E8DFCA3" w14:textId="0D14E05C" w:rsidR="00B20939" w:rsidRDefault="00D73AE1" w:rsidP="006A78CE">
      <w:pPr>
        <w:pStyle w:val="BodyParagraphs"/>
        <w:shd w:val="clear" w:color="auto" w:fill="FFFFFF"/>
        <w:spacing w:after="240" w:line="360" w:lineRule="auto"/>
        <w:ind w:left="567" w:hanging="567"/>
        <w:rPr>
          <w:rFonts w:cs="Times New Roman"/>
        </w:rPr>
      </w:pPr>
      <w:r w:rsidRPr="00F93396">
        <w:rPr>
          <w:rFonts w:cs="Times New Roman"/>
        </w:rPr>
        <w:t xml:space="preserve">Lord Scott </w:t>
      </w:r>
      <w:r w:rsidR="00935844" w:rsidRPr="00F93396">
        <w:rPr>
          <w:rFonts w:cs="Times New Roman"/>
        </w:rPr>
        <w:t>disagreed and</w:t>
      </w:r>
      <w:r w:rsidR="00821102" w:rsidRPr="00F93396">
        <w:rPr>
          <w:rFonts w:cs="Times New Roman"/>
        </w:rPr>
        <w:t xml:space="preserve"> held that the English courts had a statutory obligation to apply the English statutory scheme </w:t>
      </w:r>
      <w:r w:rsidR="00AD241A" w:rsidRPr="00F93396">
        <w:rPr>
          <w:rFonts w:cs="Times New Roman"/>
        </w:rPr>
        <w:t>and had “</w:t>
      </w:r>
      <w:r w:rsidR="00AD241A" w:rsidRPr="00477FAF">
        <w:rPr>
          <w:rFonts w:cs="Times New Roman"/>
          <w:i/>
          <w:iCs/>
        </w:rPr>
        <w:t>no</w:t>
      </w:r>
      <w:r w:rsidR="00F93396" w:rsidRPr="00477FAF">
        <w:rPr>
          <w:rFonts w:cs="Times New Roman"/>
          <w:i/>
          <w:iCs/>
        </w:rPr>
        <w:t xml:space="preserve"> </w:t>
      </w:r>
      <w:r w:rsidR="00AD241A" w:rsidRPr="00477FAF">
        <w:rPr>
          <w:rFonts w:cs="Times New Roman"/>
          <w:i/>
          <w:iCs/>
        </w:rPr>
        <w:t>inherent jurisdiction to deprive creditors proving in an English liquidation</w:t>
      </w:r>
      <w:r w:rsidR="00F93396" w:rsidRPr="00477FAF">
        <w:rPr>
          <w:rFonts w:cs="Times New Roman"/>
          <w:i/>
          <w:iCs/>
        </w:rPr>
        <w:t xml:space="preserve"> </w:t>
      </w:r>
      <w:r w:rsidR="00AD241A" w:rsidRPr="00477FAF">
        <w:rPr>
          <w:rFonts w:cs="Times New Roman"/>
          <w:i/>
          <w:iCs/>
        </w:rPr>
        <w:t>of their statutory rights under that scheme</w:t>
      </w:r>
      <w:r w:rsidR="00AD241A" w:rsidRPr="00F93396">
        <w:rPr>
          <w:rFonts w:cs="Times New Roman"/>
        </w:rPr>
        <w:t>”</w:t>
      </w:r>
      <w:r w:rsidR="00F93396" w:rsidRPr="005A297F">
        <w:rPr>
          <w:rStyle w:val="FootnoteReference"/>
          <w:sz w:val="20"/>
          <w:szCs w:val="20"/>
        </w:rPr>
        <w:footnoteReference w:id="16"/>
      </w:r>
      <w:r w:rsidR="00AD241A" w:rsidRPr="005A297F">
        <w:rPr>
          <w:rStyle w:val="FootnoteReference"/>
          <w:sz w:val="20"/>
          <w:szCs w:val="20"/>
          <w:vertAlign w:val="baseline"/>
        </w:rPr>
        <w:t>.</w:t>
      </w:r>
      <w:r w:rsidR="00B20939" w:rsidRPr="005A297F">
        <w:rPr>
          <w:rFonts w:cs="Times New Roman"/>
        </w:rPr>
        <w:t xml:space="preserve"> </w:t>
      </w:r>
      <w:r w:rsidR="00B20939" w:rsidRPr="00B20939">
        <w:rPr>
          <w:rFonts w:cs="Times New Roman"/>
        </w:rPr>
        <w:t>However, Lord Scott was willing to accede to the request made by the</w:t>
      </w:r>
      <w:r w:rsidR="005A297F">
        <w:rPr>
          <w:rFonts w:cs="Times New Roman"/>
        </w:rPr>
        <w:t xml:space="preserve"> </w:t>
      </w:r>
      <w:r w:rsidR="003350BC">
        <w:rPr>
          <w:rFonts w:cs="Times New Roman"/>
        </w:rPr>
        <w:t xml:space="preserve">Australian courts by virtue of the court’s power under s 426, which permitted remittal even where the statutory schemes differed. </w:t>
      </w:r>
    </w:p>
    <w:p w14:paraId="51ACFDB8" w14:textId="77777777" w:rsidR="00826F6E" w:rsidRPr="001A4189" w:rsidRDefault="0082549B" w:rsidP="006A78CE">
      <w:pPr>
        <w:pStyle w:val="Heading2"/>
        <w:spacing w:after="240" w:line="360" w:lineRule="auto"/>
        <w:ind w:left="567" w:hanging="567"/>
        <w:jc w:val="both"/>
      </w:pPr>
      <w:bookmarkStart w:id="4" w:name="_Toc160017539"/>
      <w:r w:rsidRPr="001A4189">
        <w:t xml:space="preserve">Rubin </w:t>
      </w:r>
      <w:r w:rsidR="006408AB" w:rsidRPr="001A4189">
        <w:t>–</w:t>
      </w:r>
      <w:r w:rsidR="002D2663" w:rsidRPr="001A4189">
        <w:t xml:space="preserve"> </w:t>
      </w:r>
      <w:r w:rsidR="001A4189" w:rsidRPr="001A4189">
        <w:t>UK Supreme Court dial</w:t>
      </w:r>
      <w:r w:rsidR="007B3AA6">
        <w:t>led</w:t>
      </w:r>
      <w:r w:rsidR="001A4189" w:rsidRPr="001A4189">
        <w:t xml:space="preserve"> back on </w:t>
      </w:r>
      <w:r w:rsidR="006E699A">
        <w:t xml:space="preserve">Lord Hoffman’s expansive </w:t>
      </w:r>
      <w:r w:rsidR="00826F6E">
        <w:t>interpretation</w:t>
      </w:r>
      <w:r w:rsidR="000025A3">
        <w:t xml:space="preserve"> of the </w:t>
      </w:r>
      <w:r w:rsidR="00826F6E">
        <w:t>‘modified universalism’</w:t>
      </w:r>
      <w:bookmarkEnd w:id="4"/>
      <w:r w:rsidR="00826F6E">
        <w:t xml:space="preserve">  </w:t>
      </w:r>
    </w:p>
    <w:p w14:paraId="608C5BF1" w14:textId="0E0BD1FD" w:rsidR="000025A3" w:rsidRPr="000025A3" w:rsidRDefault="000025A3" w:rsidP="006A78CE">
      <w:pPr>
        <w:pStyle w:val="BodyParagraphs"/>
        <w:shd w:val="clear" w:color="auto" w:fill="FFFFFF"/>
        <w:spacing w:after="240" w:line="360" w:lineRule="auto"/>
        <w:ind w:left="567" w:hanging="567"/>
        <w:rPr>
          <w:rFonts w:cs="Times New Roman"/>
        </w:rPr>
      </w:pPr>
      <w:r w:rsidRPr="000025A3">
        <w:rPr>
          <w:rFonts w:cs="Times New Roman"/>
        </w:rPr>
        <w:t xml:space="preserve">The expansive version of the principle of ‘modified universalism’, as propounded by Lord Hoffman in </w:t>
      </w:r>
      <w:r w:rsidRPr="000025A3">
        <w:rPr>
          <w:rFonts w:cs="Times New Roman"/>
          <w:u w:val="single"/>
        </w:rPr>
        <w:t>Cambridge Gas</w:t>
      </w:r>
      <w:r w:rsidRPr="000025A3">
        <w:rPr>
          <w:rFonts w:cs="Times New Roman"/>
        </w:rPr>
        <w:t xml:space="preserve">, </w:t>
      </w:r>
      <w:r w:rsidR="002F11B0">
        <w:rPr>
          <w:rFonts w:cs="Times New Roman"/>
        </w:rPr>
        <w:t xml:space="preserve">and later in </w:t>
      </w:r>
      <w:r w:rsidR="002F11B0" w:rsidRPr="002F11B0">
        <w:rPr>
          <w:rFonts w:cs="Times New Roman"/>
          <w:u w:val="single"/>
        </w:rPr>
        <w:t>HIH</w:t>
      </w:r>
      <w:r w:rsidR="002F11B0">
        <w:rPr>
          <w:rFonts w:cs="Times New Roman"/>
        </w:rPr>
        <w:t xml:space="preserve">, </w:t>
      </w:r>
      <w:r w:rsidR="002E48AD">
        <w:rPr>
          <w:rFonts w:cs="Times New Roman"/>
        </w:rPr>
        <w:t xml:space="preserve">was dialled back </w:t>
      </w:r>
      <w:r>
        <w:rPr>
          <w:rFonts w:cs="Times New Roman"/>
        </w:rPr>
        <w:t>by the UK Supreme Court decision i</w:t>
      </w:r>
      <w:r w:rsidR="00816C52" w:rsidRPr="000025A3">
        <w:rPr>
          <w:rFonts w:cs="Times New Roman"/>
        </w:rPr>
        <w:t xml:space="preserve">n </w:t>
      </w:r>
      <w:r w:rsidR="00816C52" w:rsidRPr="000025A3">
        <w:rPr>
          <w:rFonts w:cs="Times New Roman"/>
          <w:u w:val="single"/>
        </w:rPr>
        <w:t>Rubin v Euro Finance SA</w:t>
      </w:r>
      <w:r>
        <w:rPr>
          <w:rFonts w:cs="Times New Roman"/>
          <w:u w:val="single"/>
        </w:rPr>
        <w:t>.</w:t>
      </w:r>
      <w:r w:rsidR="00816C52" w:rsidRPr="00BA1F5A">
        <w:rPr>
          <w:rStyle w:val="FootnoteReference"/>
          <w:rFonts w:cs="Times New Roman"/>
        </w:rPr>
        <w:footnoteReference w:id="17"/>
      </w:r>
    </w:p>
    <w:p w14:paraId="4373F3A2" w14:textId="1D942576" w:rsidR="00BA1F5A" w:rsidRPr="00734B14" w:rsidRDefault="00860625" w:rsidP="006A78CE">
      <w:pPr>
        <w:pStyle w:val="BodyParagraphs"/>
        <w:shd w:val="clear" w:color="auto" w:fill="FFFFFF"/>
        <w:spacing w:after="240" w:line="360" w:lineRule="auto"/>
        <w:ind w:left="567" w:hanging="567"/>
        <w:rPr>
          <w:rFonts w:cs="Times New Roman"/>
        </w:rPr>
      </w:pPr>
      <w:r w:rsidRPr="000025A3">
        <w:rPr>
          <w:rFonts w:cs="Times New Roman"/>
        </w:rPr>
        <w:t>The question before the UK Supreme Court was whether</w:t>
      </w:r>
      <w:bookmarkStart w:id="5" w:name="para1"/>
      <w:r w:rsidR="00310986" w:rsidRPr="000025A3">
        <w:rPr>
          <w:rFonts w:cs="Times New Roman"/>
        </w:rPr>
        <w:t xml:space="preserve">, and if so, in what circumstances, an </w:t>
      </w:r>
      <w:r w:rsidR="00501AF5" w:rsidRPr="000025A3">
        <w:rPr>
          <w:rFonts w:cs="Times New Roman"/>
        </w:rPr>
        <w:t xml:space="preserve">avoidance </w:t>
      </w:r>
      <w:r w:rsidR="00310986" w:rsidRPr="000025A3">
        <w:rPr>
          <w:rFonts w:cs="Times New Roman"/>
        </w:rPr>
        <w:t>order or judgment of a foreign court will be recognised and enforced in England</w:t>
      </w:r>
      <w:bookmarkEnd w:id="5"/>
      <w:r w:rsidR="007E06F9">
        <w:rPr>
          <w:rFonts w:cs="Times New Roman"/>
        </w:rPr>
        <w:t xml:space="preserve">. This issue gave the UK Supreme Court the occasion to </w:t>
      </w:r>
      <w:r w:rsidR="007E06F9" w:rsidRPr="000025A3">
        <w:rPr>
          <w:rFonts w:cs="Times New Roman"/>
        </w:rPr>
        <w:t xml:space="preserve">revisit the Privy Council’s decision in </w:t>
      </w:r>
      <w:r w:rsidR="007E06F9" w:rsidRPr="000025A3">
        <w:rPr>
          <w:rFonts w:cs="Times New Roman"/>
          <w:u w:val="single"/>
        </w:rPr>
        <w:t>Cambridge Gas</w:t>
      </w:r>
      <w:r w:rsidR="00734B14" w:rsidRPr="00734B14">
        <w:rPr>
          <w:rFonts w:cs="Times New Roman"/>
        </w:rPr>
        <w:t xml:space="preserve"> </w:t>
      </w:r>
      <w:proofErr w:type="gramStart"/>
      <w:r w:rsidR="00734B14" w:rsidRPr="00734B14">
        <w:rPr>
          <w:rFonts w:cs="Times New Roman"/>
        </w:rPr>
        <w:t>in regard to</w:t>
      </w:r>
      <w:proofErr w:type="gramEnd"/>
      <w:r w:rsidR="00734B14" w:rsidRPr="00734B14">
        <w:rPr>
          <w:rFonts w:cs="Times New Roman"/>
        </w:rPr>
        <w:t xml:space="preserve"> the circumstances in which foreign liquidation orders can or should be recognised in common law. </w:t>
      </w:r>
      <w:r w:rsidR="007E06F9" w:rsidRPr="00734B14">
        <w:rPr>
          <w:rFonts w:cs="Times New Roman"/>
        </w:rPr>
        <w:t xml:space="preserve"> </w:t>
      </w:r>
    </w:p>
    <w:p w14:paraId="76BC94B0" w14:textId="6293E9CB" w:rsidR="002D78DC" w:rsidRPr="00CF4ADE" w:rsidRDefault="002E6245" w:rsidP="006A78CE">
      <w:pPr>
        <w:pStyle w:val="BodyParagraphs"/>
        <w:shd w:val="clear" w:color="auto" w:fill="FFFFFF"/>
        <w:spacing w:after="240" w:line="360" w:lineRule="auto"/>
        <w:ind w:left="567" w:hanging="567"/>
        <w:rPr>
          <w:rFonts w:cs="Times New Roman"/>
        </w:rPr>
      </w:pPr>
      <w:r w:rsidRPr="00CF4ADE">
        <w:rPr>
          <w:rFonts w:cs="Times New Roman"/>
        </w:rPr>
        <w:t>Delivering the advice on behalf of the majority, Lord Collins</w:t>
      </w:r>
      <w:r w:rsidR="00BF2742" w:rsidRPr="00CF4ADE">
        <w:rPr>
          <w:rFonts w:cs="Times New Roman"/>
        </w:rPr>
        <w:t xml:space="preserve"> </w:t>
      </w:r>
      <w:r w:rsidRPr="00CF4ADE">
        <w:rPr>
          <w:rFonts w:cs="Times New Roman"/>
        </w:rPr>
        <w:t xml:space="preserve">held that </w:t>
      </w:r>
      <w:r w:rsidR="008E77C0" w:rsidRPr="00CF4ADE">
        <w:rPr>
          <w:rFonts w:cs="Times New Roman"/>
        </w:rPr>
        <w:t xml:space="preserve">the </w:t>
      </w:r>
      <w:r w:rsidR="00E96536" w:rsidRPr="00CF4ADE">
        <w:rPr>
          <w:rFonts w:cs="Times New Roman"/>
          <w:u w:val="single"/>
        </w:rPr>
        <w:t>Cambridge Gas</w:t>
      </w:r>
      <w:r w:rsidR="00E96536" w:rsidRPr="00CF4ADE">
        <w:rPr>
          <w:rFonts w:cs="Times New Roman"/>
        </w:rPr>
        <w:t xml:space="preserve"> </w:t>
      </w:r>
      <w:r w:rsidR="003877CC" w:rsidRPr="00CF4ADE">
        <w:rPr>
          <w:rFonts w:cs="Times New Roman"/>
        </w:rPr>
        <w:t>w</w:t>
      </w:r>
      <w:r w:rsidR="00E96536" w:rsidRPr="00CF4ADE">
        <w:rPr>
          <w:rFonts w:cs="Times New Roman"/>
        </w:rPr>
        <w:t xml:space="preserve">as wrongly decided, in that </w:t>
      </w:r>
      <w:r w:rsidR="003877CC" w:rsidRPr="00CF4ADE">
        <w:rPr>
          <w:rFonts w:cs="Times New Roman"/>
        </w:rPr>
        <w:t xml:space="preserve">there was no basis for the recognition of the US order in the Isle of Man in circumstances where </w:t>
      </w:r>
      <w:r w:rsidR="00D52F9F" w:rsidRPr="00CF4ADE">
        <w:rPr>
          <w:rFonts w:cs="Times New Roman"/>
        </w:rPr>
        <w:t xml:space="preserve">the US </w:t>
      </w:r>
      <w:r w:rsidR="00D52F9F" w:rsidRPr="00CF4ADE">
        <w:rPr>
          <w:rFonts w:cs="Times New Roman"/>
        </w:rPr>
        <w:lastRenderedPageBreak/>
        <w:t xml:space="preserve">court had neither jurisdiction </w:t>
      </w:r>
      <w:r w:rsidR="00D52F9F" w:rsidRPr="00CF4ADE">
        <w:rPr>
          <w:rFonts w:cs="Times New Roman"/>
          <w:i/>
          <w:iCs/>
        </w:rPr>
        <w:t xml:space="preserve">in </w:t>
      </w:r>
      <w:proofErr w:type="spellStart"/>
      <w:r w:rsidR="00D52F9F" w:rsidRPr="00CF4ADE">
        <w:rPr>
          <w:rFonts w:cs="Times New Roman"/>
          <w:i/>
          <w:iCs/>
        </w:rPr>
        <w:t>personam</w:t>
      </w:r>
      <w:proofErr w:type="spellEnd"/>
      <w:r w:rsidR="00D52F9F" w:rsidRPr="00CF4ADE">
        <w:rPr>
          <w:rFonts w:cs="Times New Roman"/>
        </w:rPr>
        <w:t xml:space="preserve"> or </w:t>
      </w:r>
      <w:r w:rsidR="00D52F9F" w:rsidRPr="00CF4ADE">
        <w:rPr>
          <w:rFonts w:cs="Times New Roman"/>
          <w:i/>
          <w:iCs/>
        </w:rPr>
        <w:t>in rem</w:t>
      </w:r>
      <w:r w:rsidR="00D52F9F" w:rsidRPr="00CF4ADE">
        <w:rPr>
          <w:rFonts w:cs="Times New Roman"/>
        </w:rPr>
        <w:t xml:space="preserve"> over the affected shareholder (Cambridge Gas)</w:t>
      </w:r>
      <w:r w:rsidR="00B13F5B">
        <w:rPr>
          <w:rStyle w:val="FootnoteReference"/>
          <w:rFonts w:cs="Times New Roman"/>
        </w:rPr>
        <w:footnoteReference w:id="18"/>
      </w:r>
      <w:r w:rsidR="00D52F9F" w:rsidRPr="00CF4ADE">
        <w:rPr>
          <w:rFonts w:cs="Times New Roman"/>
        </w:rPr>
        <w:t xml:space="preserve">. </w:t>
      </w:r>
      <w:r w:rsidR="00F267F5">
        <w:rPr>
          <w:rFonts w:cs="Times New Roman"/>
        </w:rPr>
        <w:t>It was emphasised that t</w:t>
      </w:r>
      <w:r w:rsidR="00F70523" w:rsidRPr="00CF4ADE">
        <w:rPr>
          <w:rFonts w:cs="Times New Roman"/>
        </w:rPr>
        <w:t xml:space="preserve">here is no special rule of recognition and enforcement </w:t>
      </w:r>
      <w:r w:rsidR="00EB4D35" w:rsidRPr="00CF4ADE">
        <w:rPr>
          <w:rFonts w:cs="Times New Roman"/>
        </w:rPr>
        <w:t>of avoidance judgments in foreign insolvency proceedings, and that e</w:t>
      </w:r>
      <w:r w:rsidR="008E77C0" w:rsidRPr="00CF4ADE">
        <w:rPr>
          <w:rFonts w:cs="Times New Roman"/>
        </w:rPr>
        <w:t xml:space="preserve">xisting principles </w:t>
      </w:r>
      <w:r w:rsidR="001B549B" w:rsidRPr="00CF4ADE">
        <w:rPr>
          <w:rFonts w:cs="Times New Roman"/>
        </w:rPr>
        <w:t>of enforcement of foreign judgments applied to avoidance judgments as well</w:t>
      </w:r>
      <w:r w:rsidR="00EB4D35" w:rsidRPr="00CF4ADE">
        <w:rPr>
          <w:rFonts w:cs="Times New Roman"/>
        </w:rPr>
        <w:t xml:space="preserve">. </w:t>
      </w:r>
      <w:r w:rsidR="00B13F5B">
        <w:rPr>
          <w:rFonts w:cs="Times New Roman"/>
        </w:rPr>
        <w:t xml:space="preserve">Any change to this settled area of law is for the legislature to effect, not the judiciary:  </w:t>
      </w:r>
    </w:p>
    <w:p w14:paraId="42DFB797" w14:textId="739220FA" w:rsidR="000B6A21" w:rsidRDefault="000B6A21" w:rsidP="00B13F5B">
      <w:pPr>
        <w:pStyle w:val="BodyParagraphs"/>
        <w:numPr>
          <w:ilvl w:val="0"/>
          <w:numId w:val="0"/>
        </w:numPr>
        <w:shd w:val="clear" w:color="auto" w:fill="FFFFFF"/>
        <w:spacing w:after="240" w:line="240" w:lineRule="auto"/>
        <w:ind w:left="1134"/>
        <w:rPr>
          <w:rFonts w:cs="Times New Roman"/>
        </w:rPr>
      </w:pPr>
      <w:r>
        <w:rPr>
          <w:rFonts w:cs="Times New Roman"/>
        </w:rPr>
        <w:t>“</w:t>
      </w:r>
      <w:r w:rsidR="00B13F5B">
        <w:rPr>
          <w:rFonts w:cs="Times New Roman"/>
        </w:rPr>
        <w:t>129.</w:t>
      </w:r>
      <w:r w:rsidR="00B13F5B">
        <w:rPr>
          <w:rFonts w:cs="Times New Roman"/>
        </w:rPr>
        <w:tab/>
      </w:r>
      <w:r w:rsidRPr="000B6A21">
        <w:rPr>
          <w:rFonts w:cs="Times New Roman"/>
        </w:rPr>
        <w:t>A change in the settled law of the recognition and enforcement of judgments, and in particular the formulation of a rule for the identification of those courts which are to be regarded as courts of competent jurisdiction (such as the country where the insolvent entity has its centre of interests and the country with which the judgment debtor has a sufficient or substantial connection), has all the hallmarks of legislation, and is a matter for the legislature and not for judicial innovation.</w:t>
      </w:r>
      <w:r>
        <w:rPr>
          <w:rFonts w:cs="Times New Roman"/>
        </w:rPr>
        <w:t>”</w:t>
      </w:r>
    </w:p>
    <w:p w14:paraId="1326AE2D" w14:textId="77777777" w:rsidR="004B0A9E" w:rsidRDefault="000A1779" w:rsidP="006A78CE">
      <w:pPr>
        <w:pStyle w:val="BodyParagraphs"/>
        <w:shd w:val="clear" w:color="auto" w:fill="FFFFFF"/>
        <w:spacing w:after="240" w:line="360" w:lineRule="auto"/>
        <w:ind w:left="567" w:hanging="567"/>
        <w:rPr>
          <w:rFonts w:cs="Times New Roman"/>
        </w:rPr>
      </w:pPr>
      <w:r>
        <w:rPr>
          <w:rFonts w:cs="Times New Roman"/>
        </w:rPr>
        <w:t xml:space="preserve">Lord Mance agreed with </w:t>
      </w:r>
      <w:r w:rsidR="005E6DC9">
        <w:rPr>
          <w:rFonts w:cs="Times New Roman"/>
        </w:rPr>
        <w:t xml:space="preserve">Lord Collis’ reasoning and conclusions in his judgment, but reserved his opinion on whether </w:t>
      </w:r>
      <w:r w:rsidR="005E6DC9" w:rsidRPr="005E6DC9">
        <w:rPr>
          <w:rFonts w:cs="Times New Roman"/>
          <w:u w:val="single"/>
        </w:rPr>
        <w:t>Cambridge Gas</w:t>
      </w:r>
      <w:r w:rsidR="005E6DC9">
        <w:rPr>
          <w:rFonts w:cs="Times New Roman"/>
        </w:rPr>
        <w:t xml:space="preserve"> was correctly decided. In his view, </w:t>
      </w:r>
      <w:r w:rsidR="005E6DC9" w:rsidRPr="00506BD0">
        <w:rPr>
          <w:rFonts w:cs="Times New Roman"/>
          <w:u w:val="single"/>
        </w:rPr>
        <w:t>Cambridge Gas</w:t>
      </w:r>
      <w:r w:rsidR="005E6DC9">
        <w:rPr>
          <w:rFonts w:cs="Times New Roman"/>
        </w:rPr>
        <w:t xml:space="preserve"> was in any case distinguishable. </w:t>
      </w:r>
      <w:r w:rsidR="00B1037B">
        <w:rPr>
          <w:rFonts w:cs="Times New Roman"/>
        </w:rPr>
        <w:t xml:space="preserve">He examined the nature of the orders at issue in </w:t>
      </w:r>
      <w:r w:rsidR="00B1037B" w:rsidRPr="00B1037B">
        <w:rPr>
          <w:rFonts w:cs="Times New Roman"/>
          <w:u w:val="single"/>
        </w:rPr>
        <w:t>Cambridge Gas</w:t>
      </w:r>
      <w:r w:rsidR="00B1037B">
        <w:rPr>
          <w:rFonts w:cs="Times New Roman"/>
          <w:b/>
          <w:bCs/>
        </w:rPr>
        <w:t xml:space="preserve"> </w:t>
      </w:r>
      <w:r w:rsidR="00B1037B" w:rsidRPr="00B1037B">
        <w:rPr>
          <w:rFonts w:cs="Times New Roman"/>
        </w:rPr>
        <w:t xml:space="preserve">and </w:t>
      </w:r>
      <w:r w:rsidR="00A56C88">
        <w:rPr>
          <w:rFonts w:cs="Times New Roman"/>
        </w:rPr>
        <w:t xml:space="preserve">highlighted the Privy Council’s observation in </w:t>
      </w:r>
      <w:r w:rsidR="00A56C88" w:rsidRPr="00A56C88">
        <w:rPr>
          <w:rFonts w:cs="Times New Roman"/>
          <w:u w:val="single"/>
        </w:rPr>
        <w:t>Cambridge Gas</w:t>
      </w:r>
      <w:r w:rsidR="00A56C88">
        <w:rPr>
          <w:rFonts w:cs="Times New Roman"/>
        </w:rPr>
        <w:t xml:space="preserve"> </w:t>
      </w:r>
      <w:r w:rsidR="00875CF9">
        <w:rPr>
          <w:rFonts w:cs="Times New Roman"/>
        </w:rPr>
        <w:t xml:space="preserve">that the order </w:t>
      </w:r>
      <w:r w:rsidR="00A56C88">
        <w:rPr>
          <w:rFonts w:cs="Times New Roman"/>
        </w:rPr>
        <w:t xml:space="preserve">at issue </w:t>
      </w:r>
      <w:r w:rsidR="00875CF9">
        <w:rPr>
          <w:rFonts w:cs="Times New Roman"/>
        </w:rPr>
        <w:t>related to the vesting of shares in an insolvent company</w:t>
      </w:r>
      <w:r w:rsidR="00A56C88">
        <w:rPr>
          <w:rFonts w:cs="Times New Roman"/>
        </w:rPr>
        <w:t>, which were “completely utterly worthless”</w:t>
      </w:r>
      <w:r w:rsidR="00616E45">
        <w:rPr>
          <w:rStyle w:val="FootnoteReference"/>
          <w:rFonts w:cs="Times New Roman"/>
        </w:rPr>
        <w:footnoteReference w:id="19"/>
      </w:r>
      <w:r w:rsidR="00A56C88">
        <w:rPr>
          <w:rFonts w:cs="Times New Roman"/>
        </w:rPr>
        <w:t xml:space="preserve">. Thus, </w:t>
      </w:r>
      <w:r w:rsidR="00772007">
        <w:rPr>
          <w:rFonts w:cs="Times New Roman"/>
        </w:rPr>
        <w:t xml:space="preserve">Cambridge Gas had no interest of any value to protect </w:t>
      </w:r>
      <w:r w:rsidR="00A56C88">
        <w:rPr>
          <w:rFonts w:cs="Times New Roman"/>
        </w:rPr>
        <w:t xml:space="preserve">and </w:t>
      </w:r>
      <w:r w:rsidR="000B4DB3">
        <w:rPr>
          <w:rFonts w:cs="Times New Roman"/>
        </w:rPr>
        <w:t>the vesting of its shares in the company’s creditors was no more than a mechanism for giving creditors access to the company’s assets</w:t>
      </w:r>
      <w:r w:rsidR="000B4DB3">
        <w:rPr>
          <w:rStyle w:val="FootnoteReference"/>
          <w:rFonts w:cs="Times New Roman"/>
        </w:rPr>
        <w:footnoteReference w:id="20"/>
      </w:r>
      <w:r w:rsidR="000B4DB3">
        <w:rPr>
          <w:rFonts w:cs="Times New Roman"/>
        </w:rPr>
        <w:t>.</w:t>
      </w:r>
    </w:p>
    <w:p w14:paraId="6A615E0B" w14:textId="2B51E5C2" w:rsidR="00C425E2" w:rsidRDefault="00B04A17" w:rsidP="006A78CE">
      <w:pPr>
        <w:pStyle w:val="BodyParagraphs"/>
        <w:shd w:val="clear" w:color="auto" w:fill="FFFFFF"/>
        <w:spacing w:after="240" w:line="360" w:lineRule="auto"/>
        <w:ind w:left="567" w:hanging="567"/>
        <w:rPr>
          <w:rFonts w:cs="Times New Roman"/>
        </w:rPr>
      </w:pPr>
      <w:r>
        <w:rPr>
          <w:rFonts w:cs="Times New Roman"/>
        </w:rPr>
        <w:t xml:space="preserve">Lord Collin’s unequivocal pronouncement, on behalf of the majority, that </w:t>
      </w:r>
      <w:r w:rsidR="003514E3">
        <w:rPr>
          <w:rFonts w:cs="Times New Roman"/>
        </w:rPr>
        <w:t>“</w:t>
      </w:r>
      <w:r w:rsidR="003514E3" w:rsidRPr="00372D87">
        <w:rPr>
          <w:rFonts w:cs="Times New Roman"/>
          <w:i/>
          <w:iCs/>
        </w:rPr>
        <w:t>Cambridge Gas was wrong</w:t>
      </w:r>
      <w:r w:rsidR="00960AA3" w:rsidRPr="00372D87">
        <w:rPr>
          <w:rFonts w:cs="Times New Roman"/>
          <w:i/>
          <w:iCs/>
        </w:rPr>
        <w:t>ly</w:t>
      </w:r>
      <w:r w:rsidR="003514E3" w:rsidRPr="00372D87">
        <w:rPr>
          <w:rFonts w:cs="Times New Roman"/>
          <w:i/>
          <w:iCs/>
        </w:rPr>
        <w:t xml:space="preserve"> decided</w:t>
      </w:r>
      <w:r w:rsidR="003514E3">
        <w:rPr>
          <w:rFonts w:cs="Times New Roman"/>
        </w:rPr>
        <w:t xml:space="preserve">” </w:t>
      </w:r>
      <w:r w:rsidR="00C425E2">
        <w:rPr>
          <w:rFonts w:cs="Times New Roman"/>
        </w:rPr>
        <w:t xml:space="preserve">means that the correctness of any decisions which were based, even in part, on the persuasive authority of the </w:t>
      </w:r>
      <w:r w:rsidR="00C425E2" w:rsidRPr="00C425E2">
        <w:rPr>
          <w:rFonts w:cs="Times New Roman"/>
          <w:u w:val="single"/>
        </w:rPr>
        <w:t>Cambridge Gas</w:t>
      </w:r>
      <w:r w:rsidR="00C425E2">
        <w:rPr>
          <w:rFonts w:cs="Times New Roman"/>
        </w:rPr>
        <w:t xml:space="preserve">, will require careful reconsideration, as will any advice or </w:t>
      </w:r>
      <w:r w:rsidR="00C425E2">
        <w:rPr>
          <w:rFonts w:cs="Times New Roman"/>
        </w:rPr>
        <w:lastRenderedPageBreak/>
        <w:t xml:space="preserve">conclusions premised on passages to be found in the judgment </w:t>
      </w:r>
      <w:r w:rsidR="00AD1824">
        <w:rPr>
          <w:rFonts w:cs="Times New Roman"/>
        </w:rPr>
        <w:t>of the Privy Council in that case</w:t>
      </w:r>
      <w:r w:rsidR="00AD1824">
        <w:rPr>
          <w:rStyle w:val="FootnoteReference"/>
          <w:rFonts w:cs="Times New Roman"/>
        </w:rPr>
        <w:footnoteReference w:id="21"/>
      </w:r>
      <w:r w:rsidR="00AD1824">
        <w:rPr>
          <w:rFonts w:cs="Times New Roman"/>
        </w:rPr>
        <w:t xml:space="preserve">. </w:t>
      </w:r>
    </w:p>
    <w:p w14:paraId="58E18BBF" w14:textId="3FED5576" w:rsidR="00616E45" w:rsidRPr="00A96818" w:rsidRDefault="004D7FEC" w:rsidP="006A78CE">
      <w:pPr>
        <w:pStyle w:val="Heading2"/>
        <w:spacing w:after="240" w:line="360" w:lineRule="auto"/>
        <w:ind w:left="567" w:hanging="567"/>
        <w:jc w:val="both"/>
        <w:rPr>
          <w:rStyle w:val="Strong"/>
          <w:b/>
          <w:bCs w:val="0"/>
          <w:color w:val="1F1F1F"/>
          <w:u w:val="single"/>
        </w:rPr>
      </w:pPr>
      <w:bookmarkStart w:id="6" w:name="_Toc160017540"/>
      <w:proofErr w:type="spellStart"/>
      <w:r w:rsidRPr="00A96818">
        <w:rPr>
          <w:rStyle w:val="Strong"/>
          <w:b/>
          <w:bCs w:val="0"/>
          <w:color w:val="1F1F1F"/>
          <w:u w:val="single"/>
        </w:rPr>
        <w:t>Singularis</w:t>
      </w:r>
      <w:proofErr w:type="spellEnd"/>
      <w:r w:rsidR="0054621F" w:rsidRPr="00A96818">
        <w:rPr>
          <w:rStyle w:val="Strong"/>
          <w:b/>
          <w:bCs w:val="0"/>
          <w:color w:val="1F1F1F"/>
          <w:u w:val="single"/>
        </w:rPr>
        <w:t xml:space="preserve"> </w:t>
      </w:r>
      <w:r w:rsidR="005D4BFA" w:rsidRPr="00A96818">
        <w:rPr>
          <w:rStyle w:val="Strong"/>
          <w:b/>
          <w:bCs w:val="0"/>
          <w:color w:val="1F1F1F"/>
          <w:u w:val="single"/>
        </w:rPr>
        <w:t>–</w:t>
      </w:r>
      <w:r w:rsidR="00616E45" w:rsidRPr="00A96818">
        <w:rPr>
          <w:rStyle w:val="Strong"/>
          <w:b/>
          <w:bCs w:val="0"/>
          <w:color w:val="1F1F1F"/>
          <w:u w:val="single"/>
        </w:rPr>
        <w:t xml:space="preserve"> </w:t>
      </w:r>
      <w:r w:rsidR="00F366AA">
        <w:rPr>
          <w:rStyle w:val="Strong"/>
          <w:b/>
          <w:bCs w:val="0"/>
          <w:color w:val="1F1F1F"/>
          <w:u w:val="single"/>
        </w:rPr>
        <w:t xml:space="preserve">new breath of life for </w:t>
      </w:r>
      <w:r w:rsidR="005A0D35" w:rsidRPr="00A96818">
        <w:rPr>
          <w:rStyle w:val="Strong"/>
          <w:b/>
          <w:bCs w:val="0"/>
          <w:color w:val="1F1F1F"/>
          <w:u w:val="single"/>
        </w:rPr>
        <w:t>“modified universalism”</w:t>
      </w:r>
      <w:r w:rsidR="00F366AA">
        <w:rPr>
          <w:rStyle w:val="Strong"/>
          <w:b/>
          <w:bCs w:val="0"/>
          <w:color w:val="1F1F1F"/>
          <w:u w:val="single"/>
        </w:rPr>
        <w:t>?</w:t>
      </w:r>
      <w:bookmarkEnd w:id="6"/>
      <w:r w:rsidR="00F366AA">
        <w:rPr>
          <w:rStyle w:val="Strong"/>
          <w:b/>
          <w:bCs w:val="0"/>
          <w:color w:val="1F1F1F"/>
          <w:u w:val="single"/>
        </w:rPr>
        <w:t xml:space="preserve">  </w:t>
      </w:r>
    </w:p>
    <w:p w14:paraId="24210F5B" w14:textId="64D4793E" w:rsidR="00E12868" w:rsidRDefault="004B0A9E" w:rsidP="006A78CE">
      <w:pPr>
        <w:pStyle w:val="BodyParagraphs"/>
        <w:shd w:val="clear" w:color="auto" w:fill="FFFFFF"/>
        <w:spacing w:after="240" w:line="360" w:lineRule="auto"/>
        <w:ind w:left="567" w:hanging="567"/>
        <w:rPr>
          <w:rStyle w:val="Strong"/>
          <w:b w:val="0"/>
          <w:bCs w:val="0"/>
          <w:color w:val="1F1F1F"/>
        </w:rPr>
      </w:pPr>
      <w:r>
        <w:rPr>
          <w:rStyle w:val="Strong"/>
          <w:b w:val="0"/>
          <w:bCs w:val="0"/>
          <w:color w:val="1F1F1F"/>
        </w:rPr>
        <w:t>The “modified universalism” appeared to have received a new breath of life in</w:t>
      </w:r>
      <w:r w:rsidR="00480030">
        <w:rPr>
          <w:rStyle w:val="Strong"/>
          <w:b w:val="0"/>
          <w:bCs w:val="0"/>
          <w:color w:val="1F1F1F"/>
        </w:rPr>
        <w:t xml:space="preserve"> the Privy Council decision </w:t>
      </w:r>
      <w:r w:rsidR="00E13AAB">
        <w:rPr>
          <w:rStyle w:val="Strong"/>
          <w:b w:val="0"/>
          <w:bCs w:val="0"/>
          <w:color w:val="1F1F1F"/>
        </w:rPr>
        <w:t>of</w:t>
      </w:r>
      <w:r>
        <w:rPr>
          <w:rStyle w:val="Strong"/>
          <w:b w:val="0"/>
          <w:bCs w:val="0"/>
          <w:color w:val="1F1F1F"/>
        </w:rPr>
        <w:t xml:space="preserve"> </w:t>
      </w:r>
      <w:proofErr w:type="spellStart"/>
      <w:r w:rsidR="0054621F" w:rsidRPr="0054621F">
        <w:rPr>
          <w:rStyle w:val="Strong"/>
          <w:b w:val="0"/>
          <w:bCs w:val="0"/>
          <w:color w:val="1F1F1F"/>
          <w:u w:val="single"/>
        </w:rPr>
        <w:t>Singularis</w:t>
      </w:r>
      <w:proofErr w:type="spellEnd"/>
      <w:r w:rsidR="00EA0FF8">
        <w:rPr>
          <w:rStyle w:val="Strong"/>
          <w:b w:val="0"/>
          <w:bCs w:val="0"/>
          <w:color w:val="1F1F1F"/>
          <w:u w:val="single"/>
        </w:rPr>
        <w:t xml:space="preserve"> Holdings Limited v PricewaterhouseCoopers</w:t>
      </w:r>
      <w:r w:rsidR="00EA0FF8">
        <w:rPr>
          <w:rStyle w:val="FootnoteReference"/>
          <w:color w:val="1F1F1F"/>
          <w:u w:val="single"/>
        </w:rPr>
        <w:footnoteReference w:id="22"/>
      </w:r>
      <w:r w:rsidR="00351AA6" w:rsidRPr="00351AA6">
        <w:rPr>
          <w:rStyle w:val="Strong"/>
          <w:b w:val="0"/>
          <w:bCs w:val="0"/>
          <w:color w:val="1F1F1F"/>
        </w:rPr>
        <w:t>,</w:t>
      </w:r>
      <w:r w:rsidR="00351AA6">
        <w:rPr>
          <w:rStyle w:val="Strong"/>
          <w:b w:val="0"/>
          <w:bCs w:val="0"/>
          <w:color w:val="1F1F1F"/>
        </w:rPr>
        <w:t xml:space="preserve"> </w:t>
      </w:r>
      <w:r>
        <w:rPr>
          <w:rStyle w:val="Strong"/>
          <w:b w:val="0"/>
          <w:bCs w:val="0"/>
          <w:color w:val="1F1F1F"/>
        </w:rPr>
        <w:t>in which</w:t>
      </w:r>
      <w:r w:rsidR="00480030">
        <w:rPr>
          <w:rStyle w:val="Strong"/>
          <w:b w:val="0"/>
          <w:bCs w:val="0"/>
          <w:color w:val="1F1F1F"/>
        </w:rPr>
        <w:t xml:space="preserve"> Lord</w:t>
      </w:r>
      <w:r>
        <w:rPr>
          <w:rStyle w:val="Strong"/>
          <w:b w:val="0"/>
          <w:bCs w:val="0"/>
          <w:color w:val="1F1F1F"/>
        </w:rPr>
        <w:t xml:space="preserve"> </w:t>
      </w:r>
      <w:r w:rsidR="00480030">
        <w:rPr>
          <w:rStyle w:val="Strong"/>
          <w:b w:val="0"/>
          <w:bCs w:val="0"/>
          <w:color w:val="1F1F1F"/>
        </w:rPr>
        <w:t xml:space="preserve">Sumption </w:t>
      </w:r>
      <w:r w:rsidR="006D7AC7">
        <w:rPr>
          <w:rStyle w:val="Strong"/>
          <w:b w:val="0"/>
          <w:bCs w:val="0"/>
          <w:color w:val="1F1F1F"/>
        </w:rPr>
        <w:t xml:space="preserve">delivered a robust affirmation of the view that the principle of ‘modified </w:t>
      </w:r>
      <w:r w:rsidR="00DA52A7">
        <w:rPr>
          <w:rStyle w:val="Strong"/>
          <w:b w:val="0"/>
          <w:bCs w:val="0"/>
          <w:color w:val="1F1F1F"/>
        </w:rPr>
        <w:t>universalism</w:t>
      </w:r>
      <w:r w:rsidR="006D7AC7">
        <w:rPr>
          <w:rStyle w:val="Strong"/>
          <w:b w:val="0"/>
          <w:bCs w:val="0"/>
          <w:color w:val="1F1F1F"/>
        </w:rPr>
        <w:t>’</w:t>
      </w:r>
      <w:r w:rsidR="00DA52A7">
        <w:rPr>
          <w:rStyle w:val="Strong"/>
          <w:b w:val="0"/>
          <w:bCs w:val="0"/>
          <w:color w:val="1F1F1F"/>
        </w:rPr>
        <w:t xml:space="preserve"> </w:t>
      </w:r>
      <w:r w:rsidR="006D7AC7">
        <w:rPr>
          <w:rStyle w:val="Strong"/>
          <w:b w:val="0"/>
          <w:bCs w:val="0"/>
          <w:color w:val="1F1F1F"/>
        </w:rPr>
        <w:t>w</w:t>
      </w:r>
      <w:r w:rsidR="00DA52A7">
        <w:rPr>
          <w:rStyle w:val="Strong"/>
          <w:b w:val="0"/>
          <w:bCs w:val="0"/>
          <w:color w:val="1F1F1F"/>
        </w:rPr>
        <w:t>as part of the common law</w:t>
      </w:r>
      <w:r w:rsidR="006D7AC7">
        <w:rPr>
          <w:rStyle w:val="Strong"/>
          <w:b w:val="0"/>
          <w:bCs w:val="0"/>
          <w:color w:val="1F1F1F"/>
        </w:rPr>
        <w:t xml:space="preserve">, while being careful to </w:t>
      </w:r>
      <w:r w:rsidR="00C10D44">
        <w:rPr>
          <w:rStyle w:val="Strong"/>
          <w:b w:val="0"/>
          <w:bCs w:val="0"/>
          <w:color w:val="1F1F1F"/>
        </w:rPr>
        <w:t xml:space="preserve">add </w:t>
      </w:r>
      <w:r w:rsidR="00510707">
        <w:rPr>
          <w:rStyle w:val="Strong"/>
          <w:b w:val="0"/>
          <w:bCs w:val="0"/>
          <w:color w:val="1F1F1F"/>
        </w:rPr>
        <w:t xml:space="preserve">that </w:t>
      </w:r>
      <w:r w:rsidR="00C10D44">
        <w:rPr>
          <w:rStyle w:val="Strong"/>
          <w:b w:val="0"/>
          <w:bCs w:val="0"/>
          <w:color w:val="1F1F1F"/>
        </w:rPr>
        <w:t xml:space="preserve">this </w:t>
      </w:r>
      <w:r w:rsidR="00510707">
        <w:rPr>
          <w:rStyle w:val="Strong"/>
          <w:b w:val="0"/>
          <w:bCs w:val="0"/>
          <w:color w:val="1F1F1F"/>
        </w:rPr>
        <w:t>is subject to local law and local public policy and</w:t>
      </w:r>
      <w:r w:rsidR="00C10D44">
        <w:rPr>
          <w:rStyle w:val="Strong"/>
          <w:b w:val="0"/>
          <w:bCs w:val="0"/>
          <w:color w:val="1F1F1F"/>
        </w:rPr>
        <w:t xml:space="preserve"> </w:t>
      </w:r>
      <w:r w:rsidR="00510707">
        <w:rPr>
          <w:rStyle w:val="Strong"/>
          <w:b w:val="0"/>
          <w:bCs w:val="0"/>
          <w:color w:val="1F1F1F"/>
        </w:rPr>
        <w:t>that the court only ever act within the limits of its own statutory and common law powers</w:t>
      </w:r>
      <w:r w:rsidR="00510707">
        <w:rPr>
          <w:rStyle w:val="FootnoteReference"/>
          <w:color w:val="1F1F1F"/>
        </w:rPr>
        <w:footnoteReference w:id="23"/>
      </w:r>
      <w:r w:rsidR="00510707">
        <w:rPr>
          <w:rStyle w:val="Strong"/>
          <w:b w:val="0"/>
          <w:bCs w:val="0"/>
          <w:color w:val="1F1F1F"/>
        </w:rPr>
        <w:t xml:space="preserve">. </w:t>
      </w:r>
      <w:r w:rsidR="00300636">
        <w:rPr>
          <w:rStyle w:val="Strong"/>
          <w:b w:val="0"/>
          <w:bCs w:val="0"/>
          <w:color w:val="1F1F1F"/>
        </w:rPr>
        <w:t xml:space="preserve">As to what those limits are, in the absence of relevant statutory power, they must depend on the common law, including any proper development of the common law. </w:t>
      </w:r>
    </w:p>
    <w:p w14:paraId="2EDF1D15" w14:textId="063E6703" w:rsidR="003E23F2" w:rsidRDefault="007530F7" w:rsidP="006A78CE">
      <w:pPr>
        <w:pStyle w:val="BodyParagraphs"/>
        <w:shd w:val="clear" w:color="auto" w:fill="FFFFFF"/>
        <w:spacing w:after="240" w:line="360" w:lineRule="auto"/>
        <w:ind w:left="567" w:hanging="567"/>
        <w:rPr>
          <w:rStyle w:val="Strong"/>
          <w:b w:val="0"/>
          <w:bCs w:val="0"/>
          <w:color w:val="1F1F1F"/>
        </w:rPr>
      </w:pPr>
      <w:r>
        <w:rPr>
          <w:rStyle w:val="Strong"/>
          <w:b w:val="0"/>
          <w:bCs w:val="0"/>
          <w:color w:val="1F1F1F"/>
        </w:rPr>
        <w:t xml:space="preserve">In </w:t>
      </w:r>
      <w:r w:rsidR="006C3423">
        <w:rPr>
          <w:rStyle w:val="Strong"/>
          <w:b w:val="0"/>
          <w:bCs w:val="0"/>
          <w:color w:val="1F1F1F"/>
        </w:rPr>
        <w:t xml:space="preserve">that </w:t>
      </w:r>
      <w:r>
        <w:rPr>
          <w:rStyle w:val="Strong"/>
          <w:b w:val="0"/>
          <w:bCs w:val="0"/>
          <w:color w:val="1F1F1F"/>
        </w:rPr>
        <w:t>case</w:t>
      </w:r>
      <w:r w:rsidR="006C3423">
        <w:rPr>
          <w:rStyle w:val="Strong"/>
          <w:b w:val="0"/>
          <w:bCs w:val="0"/>
          <w:color w:val="1F1F1F"/>
        </w:rPr>
        <w:t xml:space="preserve">, </w:t>
      </w:r>
      <w:r>
        <w:rPr>
          <w:rStyle w:val="Strong"/>
          <w:b w:val="0"/>
          <w:bCs w:val="0"/>
          <w:color w:val="1F1F1F"/>
        </w:rPr>
        <w:t>the Privy Council</w:t>
      </w:r>
      <w:r w:rsidR="000A2A16">
        <w:rPr>
          <w:rStyle w:val="Strong"/>
          <w:b w:val="0"/>
          <w:bCs w:val="0"/>
          <w:color w:val="1F1F1F"/>
        </w:rPr>
        <w:t xml:space="preserve"> </w:t>
      </w:r>
      <w:r>
        <w:rPr>
          <w:rStyle w:val="Strong"/>
          <w:b w:val="0"/>
          <w:bCs w:val="0"/>
          <w:color w:val="1F1F1F"/>
        </w:rPr>
        <w:t xml:space="preserve">was asked </w:t>
      </w:r>
      <w:r w:rsidR="00245958">
        <w:rPr>
          <w:rStyle w:val="Strong"/>
          <w:b w:val="0"/>
          <w:bCs w:val="0"/>
          <w:color w:val="1F1F1F"/>
        </w:rPr>
        <w:t xml:space="preserve">to decide whether </w:t>
      </w:r>
      <w:r w:rsidR="000A2A16">
        <w:rPr>
          <w:rStyle w:val="Strong"/>
          <w:b w:val="0"/>
          <w:bCs w:val="0"/>
          <w:color w:val="1F1F1F"/>
        </w:rPr>
        <w:t xml:space="preserve">Bermudan court </w:t>
      </w:r>
      <w:r w:rsidR="00245958">
        <w:rPr>
          <w:rStyle w:val="Strong"/>
          <w:b w:val="0"/>
          <w:bCs w:val="0"/>
          <w:color w:val="1F1F1F"/>
        </w:rPr>
        <w:t xml:space="preserve">had the power </w:t>
      </w:r>
      <w:r w:rsidR="006C3423">
        <w:rPr>
          <w:rStyle w:val="Strong"/>
          <w:b w:val="0"/>
          <w:bCs w:val="0"/>
          <w:color w:val="1F1F1F"/>
        </w:rPr>
        <w:t xml:space="preserve">(under common law) </w:t>
      </w:r>
      <w:r w:rsidR="00245958">
        <w:rPr>
          <w:rStyle w:val="Strong"/>
          <w:b w:val="0"/>
          <w:bCs w:val="0"/>
          <w:color w:val="1F1F1F"/>
        </w:rPr>
        <w:t xml:space="preserve">to </w:t>
      </w:r>
      <w:r w:rsidR="00EC7BB5">
        <w:rPr>
          <w:rStyle w:val="Strong"/>
          <w:b w:val="0"/>
          <w:bCs w:val="0"/>
          <w:color w:val="1F1F1F"/>
        </w:rPr>
        <w:t xml:space="preserve">assist a foreign liquidation by ordering </w:t>
      </w:r>
      <w:r w:rsidR="003E23F2">
        <w:rPr>
          <w:rStyle w:val="Strong"/>
          <w:b w:val="0"/>
          <w:bCs w:val="0"/>
          <w:color w:val="1F1F1F"/>
        </w:rPr>
        <w:t>PwC to produce information in circumstances where</w:t>
      </w:r>
      <w:r w:rsidR="00287808">
        <w:rPr>
          <w:rStyle w:val="Strong"/>
          <w:b w:val="0"/>
          <w:bCs w:val="0"/>
          <w:color w:val="1F1F1F"/>
        </w:rPr>
        <w:t>:</w:t>
      </w:r>
    </w:p>
    <w:p w14:paraId="4A55D009" w14:textId="22678F49" w:rsidR="00287808" w:rsidRDefault="00287808" w:rsidP="006A78CE">
      <w:pPr>
        <w:pStyle w:val="BodyParagraphs"/>
        <w:numPr>
          <w:ilvl w:val="1"/>
          <w:numId w:val="1"/>
        </w:numPr>
        <w:shd w:val="clear" w:color="auto" w:fill="FFFFFF"/>
        <w:spacing w:after="240" w:line="360" w:lineRule="auto"/>
        <w:rPr>
          <w:rStyle w:val="Strong"/>
          <w:b w:val="0"/>
          <w:bCs w:val="0"/>
          <w:color w:val="1F1F1F"/>
        </w:rPr>
      </w:pPr>
      <w:r>
        <w:rPr>
          <w:rStyle w:val="Strong"/>
          <w:b w:val="0"/>
          <w:bCs w:val="0"/>
          <w:color w:val="1F1F1F"/>
        </w:rPr>
        <w:t>The Bermuda court has no power to wind up an overseas company and its statutory power to order the production of information is limited to cases where the company has been wound up in Bermuda; and</w:t>
      </w:r>
    </w:p>
    <w:p w14:paraId="3C43C127" w14:textId="4BAC386A" w:rsidR="00287808" w:rsidRDefault="001E7C14" w:rsidP="006A78CE">
      <w:pPr>
        <w:pStyle w:val="BodyParagraphs"/>
        <w:numPr>
          <w:ilvl w:val="1"/>
          <w:numId w:val="1"/>
        </w:numPr>
        <w:shd w:val="clear" w:color="auto" w:fill="FFFFFF"/>
        <w:spacing w:after="240" w:line="360" w:lineRule="auto"/>
        <w:rPr>
          <w:rStyle w:val="Strong"/>
          <w:b w:val="0"/>
          <w:bCs w:val="0"/>
          <w:color w:val="1F1F1F"/>
        </w:rPr>
      </w:pPr>
      <w:r>
        <w:rPr>
          <w:rStyle w:val="Strong"/>
          <w:b w:val="0"/>
          <w:bCs w:val="0"/>
          <w:color w:val="1F1F1F"/>
        </w:rPr>
        <w:t xml:space="preserve">The equivalent order could not have been made by the court in which the foreign liquidation is proceeding. </w:t>
      </w:r>
    </w:p>
    <w:p w14:paraId="4543B337" w14:textId="77777777" w:rsidR="00745953" w:rsidRDefault="00F55845" w:rsidP="006A78CE">
      <w:pPr>
        <w:pStyle w:val="BodyParagraphs"/>
        <w:shd w:val="clear" w:color="auto" w:fill="FFFFFF"/>
        <w:spacing w:after="240" w:line="360" w:lineRule="auto"/>
        <w:ind w:left="567" w:hanging="567"/>
        <w:rPr>
          <w:rStyle w:val="Strong"/>
          <w:b w:val="0"/>
          <w:bCs w:val="0"/>
          <w:color w:val="1F1F1F"/>
        </w:rPr>
      </w:pPr>
      <w:proofErr w:type="gramStart"/>
      <w:r>
        <w:rPr>
          <w:rStyle w:val="Strong"/>
          <w:b w:val="0"/>
          <w:bCs w:val="0"/>
          <w:color w:val="1F1F1F"/>
        </w:rPr>
        <w:t>The majority of</w:t>
      </w:r>
      <w:proofErr w:type="gramEnd"/>
      <w:r>
        <w:rPr>
          <w:rStyle w:val="Strong"/>
          <w:b w:val="0"/>
          <w:bCs w:val="0"/>
          <w:color w:val="1F1F1F"/>
        </w:rPr>
        <w:t xml:space="preserve"> the Board (Lord Sumption, Lord Collins and Lord Clarke) held that </w:t>
      </w:r>
      <w:r w:rsidR="00A45E29">
        <w:rPr>
          <w:rStyle w:val="Strong"/>
          <w:b w:val="0"/>
          <w:bCs w:val="0"/>
          <w:color w:val="1F1F1F"/>
        </w:rPr>
        <w:t xml:space="preserve">there is </w:t>
      </w:r>
      <w:r w:rsidR="00912676">
        <w:rPr>
          <w:rStyle w:val="Strong"/>
          <w:b w:val="0"/>
          <w:bCs w:val="0"/>
          <w:color w:val="1F1F1F"/>
        </w:rPr>
        <w:t xml:space="preserve">a </w:t>
      </w:r>
      <w:r w:rsidR="00A45E29">
        <w:rPr>
          <w:rStyle w:val="Strong"/>
          <w:b w:val="0"/>
          <w:bCs w:val="0"/>
          <w:color w:val="1F1F1F"/>
        </w:rPr>
        <w:t>power at common law</w:t>
      </w:r>
      <w:r w:rsidR="005A0D35">
        <w:rPr>
          <w:rStyle w:val="Strong"/>
          <w:b w:val="0"/>
          <w:bCs w:val="0"/>
          <w:color w:val="1F1F1F"/>
        </w:rPr>
        <w:t>, pursuant to the principle of “modified universalism”,</w:t>
      </w:r>
      <w:r w:rsidR="00A45E29">
        <w:rPr>
          <w:rStyle w:val="Strong"/>
          <w:b w:val="0"/>
          <w:bCs w:val="0"/>
          <w:color w:val="1F1F1F"/>
        </w:rPr>
        <w:t xml:space="preserve"> to assist a foreign court of insolvency jurisdiction </w:t>
      </w:r>
      <w:r w:rsidR="00A45E29">
        <w:rPr>
          <w:rStyle w:val="Strong"/>
          <w:b w:val="0"/>
          <w:bCs w:val="0"/>
          <w:color w:val="1F1F1F"/>
        </w:rPr>
        <w:lastRenderedPageBreak/>
        <w:t>by ordering the production of information in oral and documentary form which is necessary for the administration of a foreign winding up order.</w:t>
      </w:r>
    </w:p>
    <w:p w14:paraId="11725B74" w14:textId="3B83A490" w:rsidR="001E7C14" w:rsidRPr="00090FB5" w:rsidRDefault="00C64C73" w:rsidP="006A78CE">
      <w:pPr>
        <w:pStyle w:val="BodyParagraphs"/>
        <w:shd w:val="clear" w:color="auto" w:fill="FFFFFF"/>
        <w:spacing w:after="240" w:line="360" w:lineRule="auto"/>
        <w:ind w:left="567" w:hanging="567"/>
        <w:rPr>
          <w:color w:val="1F1F1F"/>
        </w:rPr>
      </w:pPr>
      <w:r>
        <w:rPr>
          <w:rStyle w:val="Strong"/>
          <w:b w:val="0"/>
          <w:bCs w:val="0"/>
          <w:color w:val="1F1F1F"/>
        </w:rPr>
        <w:t>Lord Mance and Lo</w:t>
      </w:r>
      <w:r w:rsidR="006E12F6">
        <w:rPr>
          <w:rStyle w:val="Strong"/>
          <w:b w:val="0"/>
          <w:bCs w:val="0"/>
          <w:color w:val="1F1F1F"/>
        </w:rPr>
        <w:t>r</w:t>
      </w:r>
      <w:r>
        <w:rPr>
          <w:rStyle w:val="Strong"/>
          <w:b w:val="0"/>
          <w:bCs w:val="0"/>
          <w:color w:val="1F1F1F"/>
        </w:rPr>
        <w:t>d Neuberger</w:t>
      </w:r>
      <w:r w:rsidR="00912676">
        <w:rPr>
          <w:rStyle w:val="Strong"/>
          <w:b w:val="0"/>
          <w:bCs w:val="0"/>
          <w:color w:val="1F1F1F"/>
        </w:rPr>
        <w:t xml:space="preserve"> disagreed and</w:t>
      </w:r>
      <w:r>
        <w:rPr>
          <w:rStyle w:val="Strong"/>
          <w:b w:val="0"/>
          <w:bCs w:val="0"/>
          <w:color w:val="1F1F1F"/>
        </w:rPr>
        <w:t xml:space="preserve"> considered that it was not appropriate to extend the common law power to assist beyond categories which have some recognisable basis in current law, </w:t>
      </w:r>
      <w:r w:rsidR="001269F8">
        <w:t>that is cases where there is (a) evidence that the person ordered to provide the information or documentation has property belonging to the insolvent company, or (b) evidence of some wrongdoing by the person so ordered or (c) evidence of some wrongdoing by another person in which the person so ordered was or is innocently mixed up.</w:t>
      </w:r>
    </w:p>
    <w:p w14:paraId="4837F1DB" w14:textId="25B2EF55" w:rsidR="003F3A1F" w:rsidRPr="00745414" w:rsidRDefault="00673805" w:rsidP="006A78CE">
      <w:pPr>
        <w:pStyle w:val="BodyParagraphs"/>
        <w:shd w:val="clear" w:color="auto" w:fill="FFFFFF"/>
        <w:spacing w:after="240" w:line="360" w:lineRule="auto"/>
        <w:ind w:left="567" w:hanging="567"/>
        <w:rPr>
          <w:rStyle w:val="Strong"/>
          <w:b w:val="0"/>
          <w:bCs w:val="0"/>
          <w:color w:val="1F1F1F"/>
        </w:rPr>
      </w:pPr>
      <w:r>
        <w:t xml:space="preserve">The majority’s recognition of </w:t>
      </w:r>
      <w:r w:rsidR="004570B6">
        <w:t>the</w:t>
      </w:r>
      <w:r>
        <w:t xml:space="preserve"> </w:t>
      </w:r>
      <w:r w:rsidR="00733045" w:rsidRPr="00745414">
        <w:rPr>
          <w:rStyle w:val="Strong"/>
          <w:b w:val="0"/>
          <w:bCs w:val="0"/>
          <w:color w:val="1F1F1F"/>
        </w:rPr>
        <w:t xml:space="preserve">common law </w:t>
      </w:r>
      <w:r w:rsidR="00915E3D" w:rsidRPr="00745414">
        <w:rPr>
          <w:rStyle w:val="Strong"/>
          <w:b w:val="0"/>
          <w:bCs w:val="0"/>
          <w:color w:val="1F1F1F"/>
        </w:rPr>
        <w:t xml:space="preserve">power to assist a </w:t>
      </w:r>
      <w:r w:rsidR="00733045" w:rsidRPr="00745414">
        <w:rPr>
          <w:rStyle w:val="Strong"/>
          <w:b w:val="0"/>
          <w:bCs w:val="0"/>
          <w:color w:val="1F1F1F"/>
        </w:rPr>
        <w:t xml:space="preserve">foreign insolvency </w:t>
      </w:r>
      <w:proofErr w:type="gramStart"/>
      <w:r w:rsidR="00F06EE5">
        <w:rPr>
          <w:rStyle w:val="Strong"/>
          <w:b w:val="0"/>
          <w:bCs w:val="0"/>
          <w:color w:val="1F1F1F"/>
        </w:rPr>
        <w:t>on the basis of</w:t>
      </w:r>
      <w:proofErr w:type="gramEnd"/>
      <w:r w:rsidR="00F06EE5">
        <w:rPr>
          <w:rStyle w:val="Strong"/>
          <w:b w:val="0"/>
          <w:bCs w:val="0"/>
          <w:color w:val="1F1F1F"/>
        </w:rPr>
        <w:t xml:space="preserve"> “modified universalism” </w:t>
      </w:r>
      <w:r w:rsidR="00C95551">
        <w:t>was ultimately moot in the case</w:t>
      </w:r>
      <w:r w:rsidR="00745414">
        <w:t xml:space="preserve">, because they were of the view </w:t>
      </w:r>
      <w:r w:rsidR="006B72FC">
        <w:t>that the power</w:t>
      </w:r>
      <w:r w:rsidR="00E5260C">
        <w:t xml:space="preserve"> </w:t>
      </w:r>
      <w:r w:rsidR="006B72FC">
        <w:t xml:space="preserve">should not be exercised </w:t>
      </w:r>
      <w:r w:rsidR="00B13485">
        <w:t xml:space="preserve">in circumstances where the foreign court itself </w:t>
      </w:r>
      <w:r w:rsidR="00F93D15">
        <w:t xml:space="preserve">had no equivalent power. The whole basis of the common law power is the right and duty of the Bermudan court to assist the foreign court so far it properly can. </w:t>
      </w:r>
      <w:r w:rsidR="00B4180A">
        <w:t xml:space="preserve">It was not a proper use of the power of assistance to make good a limitation on the powers of a foreign court. </w:t>
      </w:r>
    </w:p>
    <w:p w14:paraId="5E83820D" w14:textId="62D4F4F3" w:rsidR="00197A01" w:rsidRPr="00B4180A" w:rsidRDefault="006E12F6" w:rsidP="006A78CE">
      <w:pPr>
        <w:pStyle w:val="BodyParagraphs"/>
        <w:shd w:val="clear" w:color="auto" w:fill="FFFFFF"/>
        <w:spacing w:after="240" w:line="360" w:lineRule="auto"/>
        <w:ind w:left="567" w:hanging="567"/>
        <w:rPr>
          <w:color w:val="1F1F1F"/>
        </w:rPr>
      </w:pPr>
      <w:r w:rsidRPr="00B4180A">
        <w:rPr>
          <w:rStyle w:val="Strong"/>
          <w:b w:val="0"/>
          <w:bCs w:val="0"/>
          <w:color w:val="1F1F1F"/>
        </w:rPr>
        <w:t>Lord Collins</w:t>
      </w:r>
      <w:r w:rsidR="003F3A1F" w:rsidRPr="00B4180A">
        <w:rPr>
          <w:rStyle w:val="Strong"/>
          <w:b w:val="0"/>
          <w:bCs w:val="0"/>
          <w:color w:val="1F1F1F"/>
        </w:rPr>
        <w:t xml:space="preserve"> also wrote a concurring judgment</w:t>
      </w:r>
      <w:r w:rsidR="00BD75E0">
        <w:rPr>
          <w:rStyle w:val="Strong"/>
          <w:b w:val="0"/>
          <w:bCs w:val="0"/>
          <w:color w:val="1F1F1F"/>
        </w:rPr>
        <w:t xml:space="preserve"> </w:t>
      </w:r>
      <w:r w:rsidR="003F3A1F" w:rsidRPr="00B4180A">
        <w:rPr>
          <w:rStyle w:val="Strong"/>
          <w:b w:val="0"/>
          <w:bCs w:val="0"/>
          <w:color w:val="1F1F1F"/>
        </w:rPr>
        <w:t xml:space="preserve">in which he </w:t>
      </w:r>
      <w:r w:rsidR="00351AA6" w:rsidRPr="00B4180A">
        <w:rPr>
          <w:rStyle w:val="Strong"/>
          <w:b w:val="0"/>
          <w:bCs w:val="0"/>
          <w:color w:val="1F1F1F"/>
        </w:rPr>
        <w:t>revisit</w:t>
      </w:r>
      <w:r w:rsidR="003F3A1F" w:rsidRPr="00B4180A">
        <w:rPr>
          <w:rStyle w:val="Strong"/>
          <w:b w:val="0"/>
          <w:bCs w:val="0"/>
          <w:color w:val="1F1F1F"/>
        </w:rPr>
        <w:t>ed</w:t>
      </w:r>
      <w:r w:rsidR="00351AA6" w:rsidRPr="00B4180A">
        <w:rPr>
          <w:rStyle w:val="Strong"/>
          <w:b w:val="0"/>
          <w:bCs w:val="0"/>
          <w:color w:val="1F1F1F"/>
        </w:rPr>
        <w:t xml:space="preserve"> another aspect of the Privy Council’s decision in </w:t>
      </w:r>
      <w:r w:rsidR="00351AA6" w:rsidRPr="00B4180A">
        <w:rPr>
          <w:rStyle w:val="Strong"/>
          <w:b w:val="0"/>
          <w:bCs w:val="0"/>
          <w:color w:val="1F1F1F"/>
          <w:u w:val="single"/>
        </w:rPr>
        <w:t>Cambridge Gas</w:t>
      </w:r>
      <w:r w:rsidR="00B4180A">
        <w:rPr>
          <w:rStyle w:val="Strong"/>
          <w:b w:val="0"/>
          <w:bCs w:val="0"/>
          <w:color w:val="1F1F1F"/>
        </w:rPr>
        <w:t>, that was a</w:t>
      </w:r>
      <w:r w:rsidR="003D1192" w:rsidRPr="00B4180A">
        <w:rPr>
          <w:rStyle w:val="Strong"/>
          <w:b w:val="0"/>
          <w:bCs w:val="0"/>
          <w:color w:val="1F1F1F"/>
        </w:rPr>
        <w:t>t [2</w:t>
      </w:r>
      <w:r w:rsidR="00431472" w:rsidRPr="00B4180A">
        <w:rPr>
          <w:rStyle w:val="Strong"/>
          <w:b w:val="0"/>
          <w:bCs w:val="0"/>
          <w:color w:val="1F1F1F"/>
        </w:rPr>
        <w:t>2</w:t>
      </w:r>
      <w:r w:rsidR="003D1192" w:rsidRPr="00B4180A">
        <w:rPr>
          <w:rStyle w:val="Strong"/>
          <w:b w:val="0"/>
          <w:bCs w:val="0"/>
          <w:color w:val="1F1F1F"/>
        </w:rPr>
        <w:t>]</w:t>
      </w:r>
      <w:r w:rsidR="00B4180A">
        <w:rPr>
          <w:rStyle w:val="Strong"/>
          <w:b w:val="0"/>
          <w:bCs w:val="0"/>
          <w:color w:val="1F1F1F"/>
        </w:rPr>
        <w:t>,</w:t>
      </w:r>
      <w:r w:rsidR="00197A01" w:rsidRPr="00B4180A">
        <w:rPr>
          <w:rStyle w:val="Strong"/>
          <w:b w:val="0"/>
          <w:bCs w:val="0"/>
          <w:color w:val="1F1F1F"/>
        </w:rPr>
        <w:t xml:space="preserve"> </w:t>
      </w:r>
      <w:r w:rsidR="00B4180A">
        <w:rPr>
          <w:rStyle w:val="Strong"/>
          <w:b w:val="0"/>
          <w:bCs w:val="0"/>
          <w:color w:val="1F1F1F"/>
        </w:rPr>
        <w:t xml:space="preserve">where </w:t>
      </w:r>
      <w:r w:rsidR="00197A01">
        <w:t>Lord Hoffmann said that “</w:t>
      </w:r>
      <w:r w:rsidR="00197A01" w:rsidRPr="00B4180A">
        <w:rPr>
          <w:i/>
          <w:iCs/>
        </w:rPr>
        <w:t>the domestic court must at least be able to provide assistance by doing whatever it could have done in the case of a domestic insolvency</w:t>
      </w:r>
      <w:r w:rsidR="00197A01">
        <w:t>” and that the purpose of recognition of the foreign officeholders was to “</w:t>
      </w:r>
      <w:r w:rsidR="00197A01" w:rsidRPr="00B4180A">
        <w:rPr>
          <w:i/>
          <w:iCs/>
        </w:rPr>
        <w:t>to give them the remedies to which they would have been entitled if the equivalent proceedings had taken place in the domestic foru</w:t>
      </w:r>
      <w:r w:rsidR="00197A01">
        <w:t>m.”</w:t>
      </w:r>
    </w:p>
    <w:p w14:paraId="7282D43D" w14:textId="6A784C71" w:rsidR="00D417C7" w:rsidRPr="00DF33A0" w:rsidRDefault="00ED1234" w:rsidP="006A78CE">
      <w:pPr>
        <w:pStyle w:val="BodyParagraphs"/>
        <w:shd w:val="clear" w:color="auto" w:fill="FFFFFF"/>
        <w:spacing w:after="240" w:line="360" w:lineRule="auto"/>
        <w:ind w:left="567" w:hanging="567"/>
        <w:rPr>
          <w:rStyle w:val="Strong"/>
          <w:rFonts w:cs="Times New Roman"/>
          <w:color w:val="1F1F1F"/>
        </w:rPr>
      </w:pPr>
      <w:r>
        <w:rPr>
          <w:rStyle w:val="Strong"/>
          <w:b w:val="0"/>
          <w:bCs w:val="0"/>
          <w:color w:val="1F1F1F"/>
        </w:rPr>
        <w:t xml:space="preserve">Lord Collins </w:t>
      </w:r>
      <w:r w:rsidR="002C1FA8">
        <w:rPr>
          <w:rStyle w:val="Strong"/>
          <w:b w:val="0"/>
          <w:bCs w:val="0"/>
          <w:color w:val="1F1F1F"/>
        </w:rPr>
        <w:t xml:space="preserve">(with whom Lord Sumption agreed) </w:t>
      </w:r>
      <w:r w:rsidR="000D2103">
        <w:rPr>
          <w:rStyle w:val="Strong"/>
          <w:b w:val="0"/>
          <w:bCs w:val="0"/>
          <w:color w:val="1F1F1F"/>
        </w:rPr>
        <w:t xml:space="preserve">wrote </w:t>
      </w:r>
      <w:r>
        <w:rPr>
          <w:rStyle w:val="Strong"/>
          <w:b w:val="0"/>
          <w:bCs w:val="0"/>
          <w:color w:val="1F1F1F"/>
        </w:rPr>
        <w:t xml:space="preserve">that this aspect of </w:t>
      </w:r>
      <w:r w:rsidRPr="00ED1234">
        <w:rPr>
          <w:rStyle w:val="Strong"/>
          <w:b w:val="0"/>
          <w:bCs w:val="0"/>
          <w:color w:val="1F1F1F"/>
          <w:u w:val="single"/>
        </w:rPr>
        <w:t>Cambridge Gas</w:t>
      </w:r>
      <w:r w:rsidRPr="00ED1234">
        <w:rPr>
          <w:rStyle w:val="Strong"/>
          <w:b w:val="0"/>
          <w:bCs w:val="0"/>
          <w:color w:val="1F1F1F"/>
        </w:rPr>
        <w:t xml:space="preserve"> </w:t>
      </w:r>
      <w:r w:rsidR="008267FA">
        <w:rPr>
          <w:rStyle w:val="Strong"/>
          <w:b w:val="0"/>
          <w:bCs w:val="0"/>
          <w:color w:val="1F1F1F"/>
        </w:rPr>
        <w:t xml:space="preserve">involved a fundamental misunderstanding of judicial law-making power. </w:t>
      </w:r>
      <w:r w:rsidR="00812871">
        <w:rPr>
          <w:rStyle w:val="Strong"/>
          <w:b w:val="0"/>
          <w:bCs w:val="0"/>
          <w:color w:val="1F1F1F"/>
        </w:rPr>
        <w:t xml:space="preserve">Lord Sumption said that </w:t>
      </w:r>
      <w:r w:rsidR="00241601">
        <w:rPr>
          <w:rStyle w:val="Strong"/>
          <w:b w:val="0"/>
          <w:bCs w:val="0"/>
          <w:color w:val="1F1F1F"/>
        </w:rPr>
        <w:t xml:space="preserve">although statute law may influence </w:t>
      </w:r>
      <w:r w:rsidR="00241601">
        <w:rPr>
          <w:rStyle w:val="Strong"/>
          <w:b w:val="0"/>
          <w:bCs w:val="0"/>
          <w:color w:val="1F1F1F"/>
        </w:rPr>
        <w:lastRenderedPageBreak/>
        <w:t>the policy of the common law, it cannot be assumed, simply because there would be a statutory power to make a particular order in the case of domestic insolvency, that a similar power must exist at common law</w:t>
      </w:r>
      <w:r w:rsidR="00DF33A0">
        <w:rPr>
          <w:rStyle w:val="Strong"/>
          <w:b w:val="0"/>
          <w:bCs w:val="0"/>
          <w:color w:val="1F1F1F"/>
        </w:rPr>
        <w:t>. He added</w:t>
      </w:r>
      <w:r w:rsidR="00C60E18">
        <w:rPr>
          <w:rStyle w:val="FootnoteReference"/>
          <w:color w:val="1F1F1F"/>
        </w:rPr>
        <w:footnoteReference w:id="24"/>
      </w:r>
      <w:r w:rsidR="00DF33A0">
        <w:rPr>
          <w:rStyle w:val="Strong"/>
          <w:b w:val="0"/>
          <w:bCs w:val="0"/>
          <w:color w:val="1F1F1F"/>
        </w:rPr>
        <w:t>:</w:t>
      </w:r>
    </w:p>
    <w:p w14:paraId="704EEC5D" w14:textId="3E81292D" w:rsidR="00DF33A0" w:rsidRDefault="008B7E25" w:rsidP="006A78CE">
      <w:pPr>
        <w:pStyle w:val="BodyParagraphs"/>
        <w:numPr>
          <w:ilvl w:val="0"/>
          <w:numId w:val="0"/>
        </w:numPr>
        <w:shd w:val="clear" w:color="auto" w:fill="FFFFFF"/>
        <w:spacing w:after="240" w:line="360" w:lineRule="auto"/>
        <w:ind w:left="1134"/>
      </w:pPr>
      <w:r>
        <w:t>“In my view to apply insolvency legislation by analogy “as if” it applied, even though it does not actually apply, would go so far beyond the traditional judicial development of the common law as to be a plain usurpation of the legislative function.”</w:t>
      </w:r>
    </w:p>
    <w:p w14:paraId="3057B70C" w14:textId="6F838E96" w:rsidR="00B0093F" w:rsidRDefault="002C1FA8" w:rsidP="006A78CE">
      <w:pPr>
        <w:pStyle w:val="BodyParagraphs"/>
        <w:spacing w:after="240" w:line="360" w:lineRule="auto"/>
        <w:rPr>
          <w:rStyle w:val="Strong"/>
          <w:rFonts w:cs="Times New Roman"/>
          <w:b w:val="0"/>
          <w:bCs w:val="0"/>
          <w:color w:val="1F1F1F"/>
        </w:rPr>
      </w:pPr>
      <w:r>
        <w:rPr>
          <w:rStyle w:val="Strong"/>
          <w:rFonts w:cs="Times New Roman"/>
          <w:b w:val="0"/>
          <w:bCs w:val="0"/>
          <w:color w:val="1F1F1F"/>
        </w:rPr>
        <w:t xml:space="preserve">It has been suggested that in the aftermath of </w:t>
      </w:r>
      <w:r w:rsidR="00F11362">
        <w:rPr>
          <w:rStyle w:val="Strong"/>
          <w:rFonts w:cs="Times New Roman"/>
          <w:b w:val="0"/>
          <w:bCs w:val="0"/>
          <w:color w:val="1F1F1F"/>
        </w:rPr>
        <w:t xml:space="preserve">the </w:t>
      </w:r>
      <w:proofErr w:type="spellStart"/>
      <w:r w:rsidR="00F11362">
        <w:rPr>
          <w:rStyle w:val="Strong"/>
          <w:rFonts w:cs="Times New Roman"/>
          <w:b w:val="0"/>
          <w:bCs w:val="0"/>
          <w:color w:val="1F1F1F"/>
        </w:rPr>
        <w:t>Singularis</w:t>
      </w:r>
      <w:proofErr w:type="spellEnd"/>
      <w:r w:rsidR="00F11362">
        <w:rPr>
          <w:rStyle w:val="Strong"/>
          <w:rFonts w:cs="Times New Roman"/>
          <w:b w:val="0"/>
          <w:bCs w:val="0"/>
          <w:color w:val="1F1F1F"/>
        </w:rPr>
        <w:t xml:space="preserve"> decision, and despite Lord Sumption’s seemingly robust affirmation of the ‘modified universalism’ principle the scope for developing common law power of assistance in response to the ever-changing demands of the modern world of commerce has been drastically curtailed</w:t>
      </w:r>
      <w:r w:rsidR="00B0093F">
        <w:rPr>
          <w:rStyle w:val="Strong"/>
          <w:rFonts w:cs="Times New Roman"/>
          <w:b w:val="0"/>
          <w:bCs w:val="0"/>
          <w:color w:val="1F1F1F"/>
        </w:rPr>
        <w:t>:</w:t>
      </w:r>
      <w:r w:rsidR="00287768" w:rsidRPr="00287768">
        <w:rPr>
          <w:rStyle w:val="FootnoteReference"/>
          <w:rFonts w:cs="Times New Roman"/>
          <w:color w:val="1F1F1F"/>
        </w:rPr>
        <w:t xml:space="preserve"> </w:t>
      </w:r>
      <w:r w:rsidR="00287768">
        <w:rPr>
          <w:rStyle w:val="FootnoteReference"/>
          <w:rFonts w:cs="Times New Roman"/>
          <w:color w:val="1F1F1F"/>
        </w:rPr>
        <w:footnoteReference w:id="25"/>
      </w:r>
    </w:p>
    <w:p w14:paraId="099823AF" w14:textId="1BC10C15" w:rsidR="008B7E25" w:rsidRDefault="00B0093F" w:rsidP="00C60E18">
      <w:pPr>
        <w:pStyle w:val="BodyParagraphs"/>
        <w:numPr>
          <w:ilvl w:val="0"/>
          <w:numId w:val="0"/>
        </w:numPr>
        <w:spacing w:after="240" w:line="240" w:lineRule="auto"/>
        <w:ind w:left="1134"/>
        <w:rPr>
          <w:rStyle w:val="Strong"/>
          <w:rFonts w:cs="Times New Roman"/>
          <w:b w:val="0"/>
          <w:bCs w:val="0"/>
          <w:color w:val="1F1F1F"/>
        </w:rPr>
      </w:pPr>
      <w:r>
        <w:rPr>
          <w:rStyle w:val="Strong"/>
          <w:rFonts w:cs="Times New Roman"/>
          <w:b w:val="0"/>
          <w:bCs w:val="0"/>
          <w:color w:val="1F1F1F"/>
        </w:rPr>
        <w:t>“</w:t>
      </w:r>
      <w:r w:rsidR="00F11362">
        <w:rPr>
          <w:rStyle w:val="Strong"/>
          <w:rFonts w:cs="Times New Roman"/>
          <w:b w:val="0"/>
          <w:bCs w:val="0"/>
          <w:color w:val="1F1F1F"/>
        </w:rPr>
        <w:t xml:space="preserve">The inevitable delays involved in the legislative process </w:t>
      </w:r>
      <w:r w:rsidR="00AD7A65">
        <w:rPr>
          <w:rStyle w:val="Strong"/>
          <w:rFonts w:cs="Times New Roman"/>
          <w:b w:val="0"/>
          <w:bCs w:val="0"/>
          <w:color w:val="1F1F1F"/>
        </w:rPr>
        <w:t xml:space="preserve">will ensure that serious injustices will be perpetrated with impunity by those able to exploit the flaws in the legislative arrangements governing international insolvency matters. </w:t>
      </w:r>
      <w:r w:rsidR="00482E84">
        <w:rPr>
          <w:rStyle w:val="Strong"/>
          <w:rFonts w:cs="Times New Roman"/>
          <w:b w:val="0"/>
          <w:bCs w:val="0"/>
          <w:color w:val="1F1F1F"/>
        </w:rPr>
        <w:t>The collective act of judicial self-emasculation perpetrated by the judgments of all give members of the Privy Council marks the conclusion – at least for a generation</w:t>
      </w:r>
      <w:r w:rsidR="00287768">
        <w:rPr>
          <w:rStyle w:val="Strong"/>
          <w:rFonts w:cs="Times New Roman"/>
          <w:b w:val="0"/>
          <w:bCs w:val="0"/>
          <w:color w:val="1F1F1F"/>
        </w:rPr>
        <w:t xml:space="preserve"> – of a proud tradition of example-setting by the English common law in the field of cross border insolvency.”</w:t>
      </w:r>
      <w:r w:rsidR="00C60E18">
        <w:rPr>
          <w:rStyle w:val="Strong"/>
          <w:rFonts w:cs="Times New Roman"/>
          <w:b w:val="0"/>
          <w:bCs w:val="0"/>
          <w:color w:val="1F1F1F"/>
        </w:rPr>
        <w:t>’</w:t>
      </w:r>
    </w:p>
    <w:p w14:paraId="1068681C" w14:textId="77777777" w:rsidR="00C60E18" w:rsidRPr="007C28B3" w:rsidRDefault="00C60E18" w:rsidP="00C60E18">
      <w:pPr>
        <w:pStyle w:val="BodyParagraphs"/>
        <w:numPr>
          <w:ilvl w:val="0"/>
          <w:numId w:val="0"/>
        </w:numPr>
        <w:spacing w:after="240" w:line="240" w:lineRule="auto"/>
        <w:ind w:left="1134"/>
        <w:rPr>
          <w:rStyle w:val="Strong"/>
          <w:rFonts w:cs="Times New Roman"/>
          <w:b w:val="0"/>
          <w:bCs w:val="0"/>
          <w:color w:val="1F1F1F"/>
        </w:rPr>
      </w:pPr>
    </w:p>
    <w:p w14:paraId="37BC8D66" w14:textId="77777777" w:rsidR="004131E3" w:rsidRDefault="004131E3" w:rsidP="006A78CE">
      <w:pPr>
        <w:pStyle w:val="Heading1"/>
      </w:pPr>
      <w:bookmarkStart w:id="7" w:name="_Toc160017541"/>
      <w:r>
        <w:t>Singapore Position</w:t>
      </w:r>
      <w:bookmarkEnd w:id="7"/>
    </w:p>
    <w:p w14:paraId="7B158515" w14:textId="6BE4E8DC" w:rsidR="00512F58" w:rsidRPr="0041041F" w:rsidRDefault="00312C59" w:rsidP="006A78CE">
      <w:pPr>
        <w:pStyle w:val="BodyParagraphs"/>
        <w:spacing w:after="240" w:line="360" w:lineRule="auto"/>
        <w:ind w:left="567" w:hanging="567"/>
        <w:rPr>
          <w:rFonts w:eastAsia="Times New Roman" w:cs="Times New Roman"/>
          <w:i/>
          <w:color w:val="000000"/>
          <w:szCs w:val="24"/>
          <w:lang w:val="x-none"/>
        </w:rPr>
      </w:pPr>
      <w:r>
        <w:rPr>
          <w:rFonts w:eastAsia="Times New Roman" w:cs="Times New Roman"/>
          <w:iCs/>
          <w:color w:val="000000"/>
          <w:szCs w:val="24"/>
        </w:rPr>
        <w:t>T</w:t>
      </w:r>
      <w:r>
        <w:rPr>
          <w:rFonts w:eastAsia="Times New Roman" w:cs="Times New Roman"/>
          <w:iCs/>
          <w:color w:val="000000"/>
          <w:szCs w:val="24"/>
          <w:lang w:val="x-none"/>
        </w:rPr>
        <w:t xml:space="preserve">he “modified universalism” principle is firmly </w:t>
      </w:r>
      <w:r w:rsidR="00BD6078">
        <w:rPr>
          <w:rFonts w:eastAsia="Times New Roman" w:cs="Times New Roman"/>
          <w:iCs/>
          <w:color w:val="000000"/>
          <w:szCs w:val="24"/>
          <w:lang w:val="x-none"/>
        </w:rPr>
        <w:t xml:space="preserve">a </w:t>
      </w:r>
      <w:r>
        <w:rPr>
          <w:rFonts w:eastAsia="Times New Roman" w:cs="Times New Roman"/>
          <w:iCs/>
          <w:color w:val="000000"/>
          <w:szCs w:val="24"/>
          <w:lang w:val="x-none"/>
        </w:rPr>
        <w:t xml:space="preserve">part of Singapore law. </w:t>
      </w:r>
      <w:r w:rsidR="00BD6078">
        <w:rPr>
          <w:rFonts w:eastAsia="Times New Roman" w:cs="Times New Roman"/>
          <w:iCs/>
          <w:color w:val="000000"/>
          <w:szCs w:val="24"/>
          <w:lang w:val="x-none"/>
        </w:rPr>
        <w:t>And unlike</w:t>
      </w:r>
      <w:r>
        <w:rPr>
          <w:rFonts w:eastAsia="Times New Roman" w:cs="Times New Roman"/>
          <w:iCs/>
          <w:color w:val="000000"/>
          <w:szCs w:val="24"/>
          <w:lang w:val="x-none"/>
        </w:rPr>
        <w:t xml:space="preserve"> </w:t>
      </w:r>
      <w:r w:rsidR="00B02B76">
        <w:rPr>
          <w:rFonts w:eastAsia="Times New Roman" w:cs="Times New Roman"/>
          <w:iCs/>
          <w:color w:val="000000"/>
          <w:szCs w:val="24"/>
          <w:lang w:val="x-none"/>
        </w:rPr>
        <w:t xml:space="preserve">the </w:t>
      </w:r>
      <w:r w:rsidR="00B6340F">
        <w:rPr>
          <w:rFonts w:eastAsia="Times New Roman" w:cs="Times New Roman"/>
          <w:iCs/>
          <w:color w:val="000000"/>
          <w:szCs w:val="24"/>
          <w:lang w:val="x-none"/>
        </w:rPr>
        <w:t xml:space="preserve">English Courts, </w:t>
      </w:r>
      <w:r w:rsidR="00B02B76">
        <w:rPr>
          <w:rFonts w:eastAsia="Times New Roman" w:cs="Times New Roman"/>
          <w:iCs/>
          <w:color w:val="000000"/>
          <w:szCs w:val="24"/>
          <w:lang w:val="x-none"/>
        </w:rPr>
        <w:t xml:space="preserve">the Singapore Courts </w:t>
      </w:r>
      <w:r w:rsidR="00B6340F">
        <w:rPr>
          <w:rFonts w:eastAsia="Times New Roman" w:cs="Times New Roman"/>
          <w:iCs/>
          <w:color w:val="000000"/>
          <w:szCs w:val="24"/>
          <w:lang w:val="x-none"/>
        </w:rPr>
        <w:t xml:space="preserve">have been more inclined to adopt Lord Hoffman’s expansive version of the “modified universalism” principle.  </w:t>
      </w:r>
    </w:p>
    <w:p w14:paraId="1E8E325C" w14:textId="6395947B" w:rsidR="0041041F" w:rsidRPr="0041041F" w:rsidRDefault="008026A9" w:rsidP="006A78CE">
      <w:pPr>
        <w:pStyle w:val="Heading2"/>
        <w:numPr>
          <w:ilvl w:val="1"/>
          <w:numId w:val="4"/>
        </w:numPr>
        <w:spacing w:after="240" w:line="360" w:lineRule="auto"/>
        <w:ind w:left="567" w:hanging="567"/>
        <w:rPr>
          <w:rFonts w:eastAsia="Times New Roman"/>
        </w:rPr>
      </w:pPr>
      <w:bookmarkStart w:id="8" w:name="_Toc160017542"/>
      <w:r>
        <w:rPr>
          <w:rFonts w:eastAsia="Times New Roman"/>
        </w:rPr>
        <w:lastRenderedPageBreak/>
        <w:t xml:space="preserve">Beluga chartering </w:t>
      </w:r>
      <w:r w:rsidR="0028213A">
        <w:rPr>
          <w:rFonts w:eastAsia="Times New Roman"/>
        </w:rPr>
        <w:t>–</w:t>
      </w:r>
      <w:r>
        <w:rPr>
          <w:rFonts w:eastAsia="Times New Roman"/>
        </w:rPr>
        <w:t xml:space="preserve"> </w:t>
      </w:r>
      <w:r w:rsidR="0028213A">
        <w:rPr>
          <w:rFonts w:eastAsia="Times New Roman"/>
        </w:rPr>
        <w:t>modified universalism affirmed</w:t>
      </w:r>
      <w:bookmarkEnd w:id="8"/>
      <w:r w:rsidR="0028213A">
        <w:rPr>
          <w:rFonts w:eastAsia="Times New Roman"/>
        </w:rPr>
        <w:t xml:space="preserve"> </w:t>
      </w:r>
    </w:p>
    <w:p w14:paraId="41951A56" w14:textId="1D4127E6" w:rsidR="00DB69F5" w:rsidRPr="002B22EE" w:rsidRDefault="006E03DF" w:rsidP="006A78CE">
      <w:pPr>
        <w:pStyle w:val="BodyParagraphs"/>
        <w:spacing w:after="240" w:line="360" w:lineRule="auto"/>
        <w:ind w:left="567" w:hanging="567"/>
        <w:rPr>
          <w:rFonts w:eastAsia="Times New Roman" w:cs="Times New Roman"/>
          <w:i/>
          <w:color w:val="000000"/>
          <w:szCs w:val="24"/>
          <w:lang w:val="x-none"/>
        </w:rPr>
      </w:pPr>
      <w:r w:rsidRPr="002B22EE">
        <w:rPr>
          <w:rFonts w:eastAsia="Times New Roman" w:cs="Times New Roman"/>
          <w:iCs/>
          <w:color w:val="000000"/>
          <w:szCs w:val="24"/>
        </w:rPr>
        <w:t xml:space="preserve">In </w:t>
      </w:r>
      <w:r w:rsidRPr="00603C35">
        <w:rPr>
          <w:rFonts w:eastAsia="Times New Roman" w:cs="Times New Roman"/>
          <w:iCs/>
          <w:color w:val="000000"/>
          <w:szCs w:val="24"/>
          <w:u w:val="single"/>
        </w:rPr>
        <w:t>Beluga Chartering GmbH (in liquidation) and others v Beluga Projects (Singapore) Pte Ltd (in liquidation) and another (</w:t>
      </w:r>
      <w:proofErr w:type="spellStart"/>
      <w:r w:rsidRPr="00603C35">
        <w:rPr>
          <w:rFonts w:eastAsia="Times New Roman" w:cs="Times New Roman"/>
          <w:iCs/>
          <w:color w:val="000000"/>
          <w:szCs w:val="24"/>
          <w:u w:val="single"/>
        </w:rPr>
        <w:t>deugro</w:t>
      </w:r>
      <w:proofErr w:type="spellEnd"/>
      <w:r w:rsidRPr="00603C35">
        <w:rPr>
          <w:rFonts w:eastAsia="Times New Roman" w:cs="Times New Roman"/>
          <w:iCs/>
          <w:color w:val="000000"/>
          <w:szCs w:val="24"/>
          <w:u w:val="single"/>
        </w:rPr>
        <w:t xml:space="preserve"> (Singapore) Pte Ltd, non-party)</w:t>
      </w:r>
      <w:r w:rsidRPr="002B22EE">
        <w:rPr>
          <w:rFonts w:eastAsia="Times New Roman" w:cs="Times New Roman"/>
          <w:i/>
          <w:color w:val="000000"/>
          <w:szCs w:val="24"/>
        </w:rPr>
        <w:t xml:space="preserve"> </w:t>
      </w:r>
      <w:r w:rsidRPr="002B22EE">
        <w:rPr>
          <w:rFonts w:eastAsia="Times New Roman" w:cs="Times New Roman"/>
          <w:iCs/>
          <w:color w:val="000000"/>
          <w:szCs w:val="24"/>
        </w:rPr>
        <w:t>[2014] 2 SLR 815 (“</w:t>
      </w:r>
      <w:r w:rsidRPr="00603C35">
        <w:rPr>
          <w:rFonts w:eastAsia="Times New Roman" w:cs="Times New Roman"/>
          <w:b/>
          <w:bCs/>
          <w:iCs/>
          <w:color w:val="000000"/>
          <w:szCs w:val="24"/>
        </w:rPr>
        <w:t>Beluga</w:t>
      </w:r>
      <w:r w:rsidRPr="002B22EE">
        <w:rPr>
          <w:rFonts w:eastAsia="Times New Roman" w:cs="Times New Roman"/>
          <w:iCs/>
          <w:color w:val="000000"/>
          <w:szCs w:val="24"/>
        </w:rPr>
        <w:t>”),</w:t>
      </w:r>
      <w:r w:rsidR="002B22EE">
        <w:rPr>
          <w:rFonts w:eastAsia="Times New Roman" w:cs="Times New Roman"/>
          <w:iCs/>
          <w:color w:val="000000"/>
          <w:szCs w:val="24"/>
        </w:rPr>
        <w:t xml:space="preserve"> the Singapore Court of Appeal </w:t>
      </w:r>
      <w:r w:rsidR="00512F58">
        <w:rPr>
          <w:rFonts w:eastAsia="Times New Roman" w:cs="Times New Roman"/>
          <w:iCs/>
          <w:color w:val="000000"/>
          <w:szCs w:val="24"/>
        </w:rPr>
        <w:t xml:space="preserve">had to consider whether the Singaporean liquidators of a German incorporated company were entitled to remit the assets to the seat of the principal liquidation in Germany </w:t>
      </w:r>
      <w:r w:rsidR="00512F58" w:rsidRPr="007C6CB9">
        <w:rPr>
          <w:rFonts w:eastAsia="Times New Roman" w:cs="Times New Roman"/>
          <w:iCs/>
          <w:color w:val="000000"/>
          <w:szCs w:val="24"/>
          <w:lang w:val="x-none"/>
        </w:rPr>
        <w:t>notwithstanding</w:t>
      </w:r>
      <w:r w:rsidR="00512F58">
        <w:rPr>
          <w:rFonts w:eastAsia="Times New Roman" w:cs="Times New Roman"/>
          <w:iCs/>
          <w:color w:val="000000"/>
          <w:szCs w:val="24"/>
        </w:rPr>
        <w:t xml:space="preserve"> the existence of the German company’s Singapore subsidiary’s unsatisfied judgment debt. </w:t>
      </w:r>
    </w:p>
    <w:p w14:paraId="767671C8" w14:textId="6EF11671" w:rsidR="00B97429" w:rsidRPr="00952B77" w:rsidRDefault="00B97429" w:rsidP="006A78CE">
      <w:pPr>
        <w:pStyle w:val="BodyParagraphs"/>
        <w:spacing w:after="240" w:line="360" w:lineRule="auto"/>
        <w:ind w:left="567" w:hanging="567"/>
        <w:rPr>
          <w:rFonts w:eastAsia="Times New Roman" w:cs="Times New Roman"/>
          <w:i/>
          <w:color w:val="000000"/>
          <w:szCs w:val="24"/>
          <w:lang w:val="x-none"/>
        </w:rPr>
      </w:pPr>
      <w:r>
        <w:rPr>
          <w:rFonts w:eastAsia="Times New Roman" w:cs="Times New Roman"/>
          <w:iCs/>
          <w:color w:val="000000"/>
          <w:szCs w:val="24"/>
        </w:rPr>
        <w:t xml:space="preserve">The Court of Appeal </w:t>
      </w:r>
      <w:r w:rsidR="00B6340F">
        <w:rPr>
          <w:rFonts w:eastAsia="Times New Roman" w:cs="Times New Roman"/>
          <w:iCs/>
          <w:color w:val="000000"/>
          <w:szCs w:val="24"/>
        </w:rPr>
        <w:t>began its analysis by affirm</w:t>
      </w:r>
      <w:r w:rsidR="00312C59">
        <w:rPr>
          <w:rFonts w:eastAsia="Times New Roman" w:cs="Times New Roman"/>
          <w:iCs/>
          <w:color w:val="000000"/>
          <w:szCs w:val="24"/>
        </w:rPr>
        <w:t xml:space="preserve">ing </w:t>
      </w:r>
      <w:r>
        <w:rPr>
          <w:rFonts w:eastAsia="Times New Roman" w:cs="Times New Roman"/>
          <w:iCs/>
          <w:color w:val="000000"/>
          <w:szCs w:val="24"/>
        </w:rPr>
        <w:t xml:space="preserve">at [58] that the </w:t>
      </w:r>
      <w:r w:rsidR="00952B77">
        <w:rPr>
          <w:rFonts w:eastAsia="Times New Roman" w:cs="Times New Roman"/>
          <w:iCs/>
          <w:color w:val="000000"/>
          <w:szCs w:val="24"/>
        </w:rPr>
        <w:t>‘</w:t>
      </w:r>
      <w:r>
        <w:rPr>
          <w:rFonts w:eastAsia="Times New Roman" w:cs="Times New Roman"/>
          <w:iCs/>
          <w:color w:val="000000"/>
          <w:szCs w:val="24"/>
        </w:rPr>
        <w:t>ancillary liquidation</w:t>
      </w:r>
      <w:r w:rsidR="00952B77">
        <w:rPr>
          <w:rFonts w:eastAsia="Times New Roman" w:cs="Times New Roman"/>
          <w:iCs/>
          <w:color w:val="000000"/>
          <w:szCs w:val="24"/>
        </w:rPr>
        <w:t>’</w:t>
      </w:r>
      <w:r>
        <w:rPr>
          <w:rFonts w:eastAsia="Times New Roman" w:cs="Times New Roman"/>
          <w:iCs/>
          <w:color w:val="000000"/>
          <w:szCs w:val="24"/>
        </w:rPr>
        <w:t xml:space="preserve"> doctrine (a principle that emanates from the modified universalism principle), </w:t>
      </w:r>
      <w:r w:rsidR="00952B77">
        <w:rPr>
          <w:rFonts w:eastAsia="Times New Roman" w:cs="Times New Roman"/>
          <w:iCs/>
          <w:color w:val="000000"/>
          <w:szCs w:val="24"/>
        </w:rPr>
        <w:t xml:space="preserve">is a part of Singapore common law and that the court has a </w:t>
      </w:r>
      <w:r w:rsidR="00952B77" w:rsidRPr="007C6CB9">
        <w:rPr>
          <w:rFonts w:eastAsia="Times New Roman" w:cs="Times New Roman"/>
          <w:iCs/>
          <w:color w:val="000000"/>
          <w:szCs w:val="24"/>
          <w:lang w:val="x-none"/>
        </w:rPr>
        <w:t>power</w:t>
      </w:r>
      <w:r w:rsidR="00952B77">
        <w:rPr>
          <w:rFonts w:eastAsia="Times New Roman" w:cs="Times New Roman"/>
          <w:iCs/>
          <w:color w:val="000000"/>
          <w:szCs w:val="24"/>
        </w:rPr>
        <w:t xml:space="preserve"> under this doctrine to order the local liquidator to remit assets that are gathered in locally to the principal place of liquidation. </w:t>
      </w:r>
    </w:p>
    <w:p w14:paraId="0490A49C" w14:textId="22BBC69D" w:rsidR="00952B77" w:rsidRPr="00176DEF" w:rsidRDefault="0051425D" w:rsidP="006A78CE">
      <w:pPr>
        <w:pStyle w:val="BodyParagraphs"/>
        <w:spacing w:after="240" w:line="360" w:lineRule="auto"/>
        <w:ind w:left="567" w:hanging="567"/>
        <w:rPr>
          <w:rFonts w:eastAsia="Times New Roman" w:cs="Times New Roman"/>
          <w:i/>
          <w:color w:val="000000"/>
          <w:szCs w:val="24"/>
          <w:lang w:val="x-none"/>
        </w:rPr>
      </w:pPr>
      <w:r>
        <w:rPr>
          <w:rFonts w:eastAsia="Times New Roman" w:cs="Times New Roman"/>
          <w:iCs/>
          <w:color w:val="000000"/>
          <w:szCs w:val="24"/>
        </w:rPr>
        <w:t xml:space="preserve">The court then considered the two separate approaches to the ancillary liquidation doctrine, as propounded by Lord Hoffman and Lord Scott in HIH respectively. </w:t>
      </w:r>
      <w:r w:rsidR="00611755">
        <w:rPr>
          <w:rFonts w:eastAsia="Times New Roman" w:cs="Times New Roman"/>
          <w:iCs/>
          <w:color w:val="000000"/>
          <w:szCs w:val="24"/>
        </w:rPr>
        <w:t xml:space="preserve">The court ultimately reserved its opinion on </w:t>
      </w:r>
      <w:r w:rsidR="00A91B5F">
        <w:rPr>
          <w:rFonts w:eastAsia="Times New Roman" w:cs="Times New Roman"/>
          <w:iCs/>
          <w:color w:val="000000"/>
          <w:szCs w:val="24"/>
        </w:rPr>
        <w:t xml:space="preserve">which approach represented the common law position, </w:t>
      </w:r>
      <w:r w:rsidR="003C41B5">
        <w:rPr>
          <w:rFonts w:eastAsia="Times New Roman" w:cs="Times New Roman"/>
          <w:iCs/>
          <w:color w:val="000000"/>
          <w:szCs w:val="24"/>
        </w:rPr>
        <w:t>because on the facts of the case, regardless of which approach was taken, the ancillary liquidation doctrine could result in remittal being ord</w:t>
      </w:r>
      <w:r w:rsidR="00F40004">
        <w:rPr>
          <w:rFonts w:eastAsia="Times New Roman" w:cs="Times New Roman"/>
          <w:iCs/>
          <w:color w:val="000000"/>
          <w:szCs w:val="24"/>
        </w:rPr>
        <w:t xml:space="preserve">ered. </w:t>
      </w:r>
    </w:p>
    <w:p w14:paraId="50BDC3F6" w14:textId="01434733" w:rsidR="007102EF" w:rsidRPr="007102EF" w:rsidRDefault="00BF3806" w:rsidP="006A78CE">
      <w:pPr>
        <w:pStyle w:val="BodyParagraphs"/>
        <w:spacing w:after="240" w:line="360" w:lineRule="auto"/>
        <w:ind w:left="567" w:hanging="567"/>
        <w:rPr>
          <w:rFonts w:eastAsia="Times New Roman" w:cs="Times New Roman"/>
          <w:i/>
          <w:color w:val="000000"/>
          <w:szCs w:val="24"/>
          <w:lang w:val="x-none"/>
        </w:rPr>
      </w:pPr>
      <w:r>
        <w:rPr>
          <w:rFonts w:eastAsia="Times New Roman" w:cs="Times New Roman"/>
          <w:iCs/>
          <w:color w:val="000000"/>
          <w:szCs w:val="24"/>
        </w:rPr>
        <w:t xml:space="preserve">Nevertheless, </w:t>
      </w:r>
      <w:r w:rsidR="00D013F2">
        <w:rPr>
          <w:rFonts w:eastAsia="Times New Roman" w:cs="Times New Roman"/>
          <w:iCs/>
          <w:color w:val="000000"/>
          <w:szCs w:val="24"/>
        </w:rPr>
        <w:t xml:space="preserve">in response to </w:t>
      </w:r>
      <w:r w:rsidR="007332E7">
        <w:rPr>
          <w:rFonts w:eastAsia="Times New Roman" w:cs="Times New Roman"/>
          <w:iCs/>
          <w:color w:val="000000"/>
          <w:szCs w:val="24"/>
        </w:rPr>
        <w:t xml:space="preserve">the Official Receiver’s submission that there is a common law discretion for the court to direct that assets be remitted to the principal place of liquidation but only </w:t>
      </w:r>
      <w:r w:rsidR="007332E7" w:rsidRPr="007332E7">
        <w:rPr>
          <w:rFonts w:eastAsia="Times New Roman" w:cs="Times New Roman"/>
          <w:i/>
          <w:color w:val="000000"/>
          <w:szCs w:val="24"/>
        </w:rPr>
        <w:t>after</w:t>
      </w:r>
      <w:r w:rsidR="007332E7">
        <w:rPr>
          <w:rFonts w:eastAsia="Times New Roman" w:cs="Times New Roman"/>
          <w:iCs/>
          <w:color w:val="000000"/>
          <w:szCs w:val="24"/>
        </w:rPr>
        <w:t xml:space="preserve"> making provision for </w:t>
      </w:r>
      <w:proofErr w:type="gramStart"/>
      <w:r w:rsidR="007332E7">
        <w:rPr>
          <w:rFonts w:eastAsia="Times New Roman" w:cs="Times New Roman"/>
          <w:iCs/>
          <w:color w:val="000000"/>
          <w:szCs w:val="24"/>
        </w:rPr>
        <w:t>locally-incurred</w:t>
      </w:r>
      <w:proofErr w:type="gramEnd"/>
      <w:r w:rsidR="007332E7">
        <w:rPr>
          <w:rFonts w:eastAsia="Times New Roman" w:cs="Times New Roman"/>
          <w:iCs/>
          <w:color w:val="000000"/>
          <w:szCs w:val="24"/>
        </w:rPr>
        <w:t xml:space="preserve"> debts and liabilities, the court </w:t>
      </w:r>
      <w:r w:rsidR="003225AF">
        <w:rPr>
          <w:rFonts w:eastAsia="Times New Roman" w:cs="Times New Roman"/>
          <w:iCs/>
          <w:color w:val="000000"/>
          <w:szCs w:val="24"/>
        </w:rPr>
        <w:t>said that</w:t>
      </w:r>
      <w:r w:rsidR="007102EF">
        <w:rPr>
          <w:rFonts w:eastAsia="Times New Roman" w:cs="Times New Roman"/>
          <w:iCs/>
          <w:color w:val="000000"/>
          <w:szCs w:val="24"/>
        </w:rPr>
        <w:t>:</w:t>
      </w:r>
    </w:p>
    <w:p w14:paraId="366253D2" w14:textId="7E6539DB" w:rsidR="00176DEF" w:rsidRDefault="003225AF" w:rsidP="00C60E18">
      <w:pPr>
        <w:pStyle w:val="BodyParagraphs"/>
        <w:numPr>
          <w:ilvl w:val="0"/>
          <w:numId w:val="0"/>
        </w:numPr>
        <w:spacing w:after="240" w:line="240" w:lineRule="auto"/>
        <w:ind w:left="1134"/>
        <w:rPr>
          <w:rFonts w:eastAsia="Times New Roman" w:cs="Times New Roman"/>
          <w:iCs/>
          <w:color w:val="000000"/>
          <w:szCs w:val="24"/>
        </w:rPr>
      </w:pPr>
      <w:r>
        <w:rPr>
          <w:rFonts w:eastAsia="Times New Roman" w:cs="Times New Roman"/>
          <w:iCs/>
          <w:color w:val="000000"/>
          <w:szCs w:val="24"/>
        </w:rPr>
        <w:t>“</w:t>
      </w:r>
      <w:r w:rsidR="007102EF">
        <w:rPr>
          <w:rFonts w:eastAsia="Times New Roman" w:cs="Times New Roman"/>
          <w:iCs/>
          <w:color w:val="000000"/>
          <w:szCs w:val="24"/>
        </w:rPr>
        <w:t xml:space="preserve">It </w:t>
      </w:r>
      <w:r>
        <w:rPr>
          <w:rFonts w:eastAsia="Times New Roman" w:cs="Times New Roman"/>
          <w:iCs/>
          <w:color w:val="000000"/>
          <w:szCs w:val="24"/>
        </w:rPr>
        <w:t xml:space="preserve">has never been thought that the </w:t>
      </w:r>
      <w:r w:rsidR="007102EF">
        <w:rPr>
          <w:rFonts w:eastAsia="Times New Roman" w:cs="Times New Roman"/>
          <w:iCs/>
          <w:color w:val="000000"/>
          <w:szCs w:val="24"/>
        </w:rPr>
        <w:t>court has the power to confer on a creditor a priority that it does not otherwise have under the statutory regime, and [counsel] could not point us to any common law rule to this effect</w:t>
      </w:r>
      <w:r w:rsidR="00BF3806">
        <w:rPr>
          <w:rFonts w:eastAsia="Times New Roman" w:cs="Times New Roman"/>
          <w:iCs/>
          <w:color w:val="000000"/>
          <w:szCs w:val="24"/>
        </w:rPr>
        <w:t xml:space="preserve"> … </w:t>
      </w:r>
      <w:r w:rsidR="00BF3806" w:rsidRPr="006A78CE">
        <w:rPr>
          <w:rFonts w:eastAsia="Times New Roman" w:cs="Times New Roman"/>
          <w:iCs/>
          <w:color w:val="000000"/>
          <w:szCs w:val="24"/>
        </w:rPr>
        <w:t xml:space="preserve">Moreover, any impetus as presently exists is towards universalism rather than to favour local creditors or to confer a preference on locally incurred debts”. </w:t>
      </w:r>
    </w:p>
    <w:p w14:paraId="18010B38" w14:textId="1779B08F" w:rsidR="00904818" w:rsidRPr="00904818" w:rsidRDefault="00904818" w:rsidP="006A78CE">
      <w:pPr>
        <w:pStyle w:val="BodyParagraphs"/>
        <w:spacing w:after="240" w:line="360" w:lineRule="auto"/>
        <w:ind w:left="567" w:hanging="567"/>
        <w:rPr>
          <w:rFonts w:eastAsia="Times New Roman" w:cs="Times New Roman"/>
          <w:i/>
          <w:color w:val="000000"/>
          <w:szCs w:val="24"/>
          <w:lang w:val="x-none"/>
        </w:rPr>
      </w:pPr>
      <w:r>
        <w:rPr>
          <w:rFonts w:eastAsia="Times New Roman" w:cs="Times New Roman"/>
          <w:iCs/>
          <w:color w:val="000000"/>
          <w:szCs w:val="24"/>
          <w:lang w:val="x-none"/>
        </w:rPr>
        <w:lastRenderedPageBreak/>
        <w:t xml:space="preserve">The Court of Appeal </w:t>
      </w:r>
      <w:r w:rsidR="00A43685">
        <w:rPr>
          <w:rFonts w:eastAsia="Times New Roman" w:cs="Times New Roman"/>
          <w:iCs/>
          <w:color w:val="000000"/>
          <w:szCs w:val="24"/>
          <w:lang w:val="x-none"/>
        </w:rPr>
        <w:t>added</w:t>
      </w:r>
      <w:r w:rsidR="0075521A">
        <w:rPr>
          <w:rFonts w:eastAsia="Times New Roman" w:cs="Times New Roman"/>
          <w:iCs/>
          <w:color w:val="000000"/>
          <w:szCs w:val="24"/>
          <w:lang w:val="x-none"/>
        </w:rPr>
        <w:t xml:space="preserve"> </w:t>
      </w:r>
      <w:r w:rsidR="00753697">
        <w:rPr>
          <w:rFonts w:eastAsia="Times New Roman" w:cs="Times New Roman"/>
          <w:iCs/>
          <w:color w:val="000000"/>
          <w:szCs w:val="24"/>
          <w:lang w:val="x-none"/>
        </w:rPr>
        <w:t xml:space="preserve">that </w:t>
      </w:r>
      <w:r w:rsidR="00401CB7">
        <w:rPr>
          <w:rFonts w:eastAsia="Times New Roman" w:cs="Times New Roman"/>
          <w:iCs/>
          <w:color w:val="000000"/>
          <w:szCs w:val="24"/>
          <w:lang w:val="x-none"/>
        </w:rPr>
        <w:t xml:space="preserve">the circumstances and the manner in which </w:t>
      </w:r>
      <w:r w:rsidR="00753697">
        <w:rPr>
          <w:rFonts w:eastAsia="Times New Roman" w:cs="Times New Roman"/>
          <w:iCs/>
          <w:color w:val="000000"/>
          <w:szCs w:val="24"/>
          <w:lang w:val="x-none"/>
        </w:rPr>
        <w:t xml:space="preserve">the Singapore court will render assistance to </w:t>
      </w:r>
      <w:r w:rsidR="00753697" w:rsidRPr="007C6CB9">
        <w:rPr>
          <w:rFonts w:eastAsia="Times New Roman" w:cs="Times New Roman"/>
          <w:iCs/>
          <w:color w:val="000000"/>
          <w:szCs w:val="24"/>
        </w:rPr>
        <w:t>foreign</w:t>
      </w:r>
      <w:r w:rsidR="00753697">
        <w:rPr>
          <w:rFonts w:eastAsia="Times New Roman" w:cs="Times New Roman"/>
          <w:iCs/>
          <w:color w:val="000000"/>
          <w:szCs w:val="24"/>
          <w:lang w:val="x-none"/>
        </w:rPr>
        <w:t xml:space="preserve"> winding-up proceedings</w:t>
      </w:r>
      <w:r w:rsidR="00753697" w:rsidRPr="00753697">
        <w:rPr>
          <w:rFonts w:eastAsia="Times New Roman" w:cs="Times New Roman"/>
          <w:iCs/>
          <w:color w:val="000000"/>
          <w:szCs w:val="24"/>
          <w:lang w:val="x-none"/>
        </w:rPr>
        <w:t xml:space="preserve"> </w:t>
      </w:r>
      <w:r w:rsidR="00401CB7">
        <w:rPr>
          <w:rFonts w:eastAsia="Times New Roman" w:cs="Times New Roman"/>
          <w:iCs/>
          <w:color w:val="000000"/>
          <w:szCs w:val="24"/>
          <w:lang w:val="x-none"/>
        </w:rPr>
        <w:t xml:space="preserve">are not closed, and </w:t>
      </w:r>
      <w:r w:rsidR="00753697" w:rsidRPr="00753697">
        <w:rPr>
          <w:rFonts w:eastAsia="Times New Roman" w:cs="Times New Roman"/>
          <w:iCs/>
          <w:color w:val="000000"/>
          <w:szCs w:val="24"/>
          <w:lang w:val="x-none"/>
        </w:rPr>
        <w:t>will depend on the particular circumstances before it</w:t>
      </w:r>
      <w:r w:rsidR="00C17B18">
        <w:rPr>
          <w:rFonts w:eastAsia="Times New Roman" w:cs="Times New Roman"/>
          <w:iCs/>
          <w:color w:val="000000"/>
          <w:szCs w:val="24"/>
          <w:lang w:val="x-none"/>
        </w:rPr>
        <w:t xml:space="preserve"> (at [</w:t>
      </w:r>
      <w:r w:rsidR="007C6CB9">
        <w:rPr>
          <w:rFonts w:eastAsia="Times New Roman" w:cs="Times New Roman"/>
          <w:iCs/>
          <w:color w:val="000000"/>
          <w:szCs w:val="24"/>
          <w:lang w:val="x-none"/>
        </w:rPr>
        <w:t>98])</w:t>
      </w:r>
      <w:r w:rsidR="00BF35A0">
        <w:rPr>
          <w:rFonts w:eastAsia="Times New Roman" w:cs="Times New Roman"/>
          <w:iCs/>
          <w:color w:val="000000"/>
          <w:szCs w:val="24"/>
          <w:lang w:val="x-none"/>
        </w:rPr>
        <w:t>:</w:t>
      </w:r>
    </w:p>
    <w:p w14:paraId="798045E9" w14:textId="64AB0FFC" w:rsidR="00904818" w:rsidRDefault="00F119B9" w:rsidP="00C60E18">
      <w:pPr>
        <w:pStyle w:val="BodyParagraphs"/>
        <w:numPr>
          <w:ilvl w:val="0"/>
          <w:numId w:val="0"/>
        </w:numPr>
        <w:spacing w:after="240" w:line="240" w:lineRule="auto"/>
        <w:ind w:left="1134"/>
        <w:rPr>
          <w:rFonts w:eastAsia="Times New Roman" w:cs="Times New Roman"/>
          <w:iCs/>
          <w:color w:val="000000"/>
          <w:szCs w:val="24"/>
        </w:rPr>
      </w:pPr>
      <w:r>
        <w:rPr>
          <w:rFonts w:eastAsia="Times New Roman" w:cs="Times New Roman"/>
          <w:iCs/>
          <w:color w:val="000000"/>
          <w:szCs w:val="24"/>
        </w:rPr>
        <w:t>“</w:t>
      </w:r>
      <w:r w:rsidR="00904818" w:rsidRPr="00753697">
        <w:rPr>
          <w:rFonts w:eastAsia="Times New Roman" w:cs="Times New Roman"/>
          <w:iCs/>
          <w:color w:val="000000"/>
          <w:szCs w:val="24"/>
        </w:rPr>
        <w:t>Assistance might, for example, take the form of a stay of a claim if Singapore is not the </w:t>
      </w:r>
      <w:r w:rsidR="00904818" w:rsidRPr="00753697">
        <w:rPr>
          <w:rFonts w:eastAsia="Times New Roman" w:cs="Times New Roman"/>
          <w:color w:val="000000"/>
          <w:szCs w:val="24"/>
        </w:rPr>
        <w:t>forum </w:t>
      </w:r>
      <w:proofErr w:type="spellStart"/>
      <w:r w:rsidR="00904818" w:rsidRPr="00753697">
        <w:rPr>
          <w:rFonts w:eastAsia="Times New Roman" w:cs="Times New Roman"/>
          <w:color w:val="000000"/>
          <w:szCs w:val="24"/>
        </w:rPr>
        <w:t>conveniens</w:t>
      </w:r>
      <w:proofErr w:type="spellEnd"/>
      <w:r w:rsidR="00904818" w:rsidRPr="00753697">
        <w:rPr>
          <w:rFonts w:eastAsia="Times New Roman" w:cs="Times New Roman"/>
          <w:iCs/>
          <w:color w:val="000000"/>
          <w:szCs w:val="24"/>
        </w:rPr>
        <w:t>; or staying an execution or attachment; or exercising a discretion against granting a garnishee order absolute; or refusing leave to serve process out of the jurisdiction; or winding up the company in Singapore.</w:t>
      </w:r>
      <w:r>
        <w:rPr>
          <w:rFonts w:eastAsia="Times New Roman" w:cs="Times New Roman"/>
          <w:iCs/>
          <w:color w:val="000000"/>
          <w:szCs w:val="24"/>
        </w:rPr>
        <w:t>”</w:t>
      </w:r>
    </w:p>
    <w:p w14:paraId="398553CD" w14:textId="7A85910F" w:rsidR="00F119B9" w:rsidRPr="006A78CE" w:rsidRDefault="0028213A" w:rsidP="006B5B5A">
      <w:pPr>
        <w:pStyle w:val="Heading2"/>
        <w:spacing w:after="240" w:line="360" w:lineRule="auto"/>
        <w:ind w:left="567" w:hanging="567"/>
        <w:jc w:val="both"/>
        <w:rPr>
          <w:rFonts w:eastAsia="Times New Roman"/>
          <w:smallCaps w:val="0"/>
        </w:rPr>
      </w:pPr>
      <w:bookmarkStart w:id="9" w:name="_Toc160017543"/>
      <w:r w:rsidRPr="006A78CE">
        <w:rPr>
          <w:rFonts w:eastAsia="Times New Roman"/>
          <w:smallCaps w:val="0"/>
        </w:rPr>
        <w:t>Re Opti-Medix</w:t>
      </w:r>
      <w:r w:rsidR="002966AB" w:rsidRPr="006A78CE">
        <w:rPr>
          <w:rFonts w:eastAsia="Times New Roman"/>
          <w:smallCaps w:val="0"/>
        </w:rPr>
        <w:t xml:space="preserve"> </w:t>
      </w:r>
      <w:r w:rsidR="006B5B5A">
        <w:rPr>
          <w:rFonts w:eastAsia="Times New Roman"/>
          <w:smallCaps w:val="0"/>
        </w:rPr>
        <w:t xml:space="preserve">&amp; Re </w:t>
      </w:r>
      <w:proofErr w:type="spellStart"/>
      <w:r w:rsidR="006B5B5A">
        <w:rPr>
          <w:rFonts w:eastAsia="Times New Roman"/>
          <w:smallCaps w:val="0"/>
        </w:rPr>
        <w:t>Taisoo</w:t>
      </w:r>
      <w:proofErr w:type="spellEnd"/>
      <w:r w:rsidR="006B5B5A">
        <w:rPr>
          <w:rFonts w:eastAsia="Times New Roman"/>
          <w:smallCaps w:val="0"/>
        </w:rPr>
        <w:t xml:space="preserve"> Suk: </w:t>
      </w:r>
      <w:r w:rsidR="006A78CE" w:rsidRPr="006A78CE">
        <w:rPr>
          <w:rFonts w:eastAsia="Times New Roman"/>
          <w:smallCaps w:val="0"/>
        </w:rPr>
        <w:t xml:space="preserve">Lord Hoffmans’ expansive interpretation of modified universalism </w:t>
      </w:r>
      <w:proofErr w:type="gramStart"/>
      <w:r w:rsidR="006A78CE" w:rsidRPr="006A78CE">
        <w:rPr>
          <w:rFonts w:eastAsia="Times New Roman"/>
          <w:smallCaps w:val="0"/>
        </w:rPr>
        <w:t>embraced</w:t>
      </w:r>
      <w:bookmarkEnd w:id="9"/>
      <w:proofErr w:type="gramEnd"/>
    </w:p>
    <w:p w14:paraId="53C18DCD" w14:textId="77777777" w:rsidR="008026A9" w:rsidRPr="008026A9" w:rsidRDefault="004131E3" w:rsidP="006A78CE">
      <w:pPr>
        <w:pStyle w:val="BodyParagraphs"/>
        <w:spacing w:after="240" w:line="360" w:lineRule="auto"/>
        <w:ind w:left="567" w:hanging="567"/>
        <w:rPr>
          <w:rFonts w:eastAsia="Times New Roman" w:cs="Times New Roman"/>
          <w:i/>
          <w:color w:val="000000"/>
          <w:szCs w:val="24"/>
          <w:lang w:val="x-none"/>
        </w:rPr>
      </w:pPr>
      <w:r w:rsidRPr="00831C09">
        <w:rPr>
          <w:rFonts w:eastAsia="Times New Roman" w:cs="Times New Roman"/>
          <w:iCs/>
          <w:color w:val="000000"/>
          <w:szCs w:val="24"/>
        </w:rPr>
        <w:t xml:space="preserve">In </w:t>
      </w:r>
      <w:r w:rsidRPr="00603C35">
        <w:rPr>
          <w:rFonts w:eastAsia="Times New Roman" w:cs="Times New Roman"/>
          <w:iCs/>
          <w:color w:val="000000"/>
          <w:szCs w:val="24"/>
          <w:u w:val="single"/>
        </w:rPr>
        <w:t>Re Opti-Medix Ltd (in liquidation) and another matte</w:t>
      </w:r>
      <w:r w:rsidRPr="00831C09">
        <w:rPr>
          <w:rFonts w:eastAsia="Times New Roman" w:cs="Times New Roman"/>
          <w:b/>
          <w:bCs/>
          <w:i/>
          <w:color w:val="000000"/>
          <w:szCs w:val="24"/>
        </w:rPr>
        <w:t>r</w:t>
      </w:r>
      <w:r w:rsidRPr="00831C09">
        <w:rPr>
          <w:rFonts w:eastAsia="Times New Roman" w:cs="Times New Roman"/>
          <w:i/>
          <w:color w:val="000000"/>
          <w:szCs w:val="24"/>
        </w:rPr>
        <w:t xml:space="preserve"> </w:t>
      </w:r>
      <w:r w:rsidRPr="00831C09">
        <w:rPr>
          <w:rFonts w:eastAsia="Times New Roman" w:cs="Times New Roman"/>
          <w:iCs/>
          <w:color w:val="000000"/>
          <w:szCs w:val="24"/>
        </w:rPr>
        <w:t>[2016] 4 SLR 312 (“</w:t>
      </w:r>
      <w:r w:rsidRPr="00603C35">
        <w:rPr>
          <w:rFonts w:eastAsia="Times New Roman" w:cs="Times New Roman"/>
          <w:b/>
          <w:bCs/>
          <w:iCs/>
          <w:color w:val="000000"/>
          <w:szCs w:val="24"/>
        </w:rPr>
        <w:t>Opti-Medix</w:t>
      </w:r>
      <w:r w:rsidRPr="00831C09">
        <w:rPr>
          <w:rFonts w:eastAsia="Times New Roman" w:cs="Times New Roman"/>
          <w:iCs/>
          <w:color w:val="000000"/>
          <w:szCs w:val="24"/>
        </w:rPr>
        <w:t xml:space="preserve">”), </w:t>
      </w:r>
      <w:r w:rsidR="003D7DDB" w:rsidRPr="00831C09">
        <w:rPr>
          <w:rFonts w:eastAsia="Times New Roman" w:cs="Times New Roman"/>
          <w:iCs/>
          <w:color w:val="000000"/>
          <w:szCs w:val="24"/>
        </w:rPr>
        <w:t xml:space="preserve">the Singapore High Court </w:t>
      </w:r>
      <w:r w:rsidR="00831C09" w:rsidRPr="00831C09">
        <w:rPr>
          <w:rFonts w:eastAsia="Times New Roman" w:cs="Times New Roman"/>
          <w:iCs/>
          <w:color w:val="000000"/>
          <w:szCs w:val="24"/>
        </w:rPr>
        <w:t>had to consider whether</w:t>
      </w:r>
      <w:r w:rsidR="00AC5CBC" w:rsidRPr="00831C09">
        <w:rPr>
          <w:rFonts w:eastAsia="Times New Roman" w:cs="Times New Roman"/>
          <w:iCs/>
          <w:color w:val="000000"/>
          <w:szCs w:val="24"/>
        </w:rPr>
        <w:t xml:space="preserve"> </w:t>
      </w:r>
      <w:r w:rsidR="00CA2FE6">
        <w:rPr>
          <w:rFonts w:eastAsia="Times New Roman" w:cs="Times New Roman"/>
          <w:iCs/>
          <w:color w:val="000000"/>
          <w:szCs w:val="24"/>
        </w:rPr>
        <w:t xml:space="preserve">a foreign </w:t>
      </w:r>
      <w:r w:rsidR="00260702" w:rsidRPr="00831C09">
        <w:rPr>
          <w:rFonts w:eastAsia="Times New Roman" w:cs="Times New Roman"/>
          <w:iCs/>
          <w:color w:val="000000"/>
          <w:szCs w:val="24"/>
        </w:rPr>
        <w:t xml:space="preserve">liquidation in a jurisdiction other than that of the place of incorporation </w:t>
      </w:r>
      <w:r w:rsidR="00AC5CBC" w:rsidRPr="00831C09">
        <w:rPr>
          <w:rFonts w:eastAsia="Times New Roman" w:cs="Times New Roman"/>
          <w:iCs/>
          <w:color w:val="000000"/>
          <w:szCs w:val="24"/>
        </w:rPr>
        <w:t xml:space="preserve">may </w:t>
      </w:r>
      <w:r w:rsidR="00260702" w:rsidRPr="007C6CB9">
        <w:rPr>
          <w:rFonts w:eastAsia="Times New Roman" w:cs="Times New Roman"/>
          <w:iCs/>
          <w:color w:val="000000"/>
          <w:szCs w:val="24"/>
        </w:rPr>
        <w:t xml:space="preserve">be </w:t>
      </w:r>
      <w:r w:rsidR="00260702" w:rsidRPr="007C6CB9">
        <w:rPr>
          <w:rFonts w:eastAsia="Times New Roman" w:cs="Times New Roman"/>
          <w:iCs/>
          <w:color w:val="000000"/>
          <w:szCs w:val="24"/>
          <w:lang w:val="x-none"/>
        </w:rPr>
        <w:t>recognised</w:t>
      </w:r>
      <w:r w:rsidR="00AC5CBC" w:rsidRPr="007C6CB9">
        <w:rPr>
          <w:rFonts w:eastAsia="Times New Roman" w:cs="Times New Roman"/>
          <w:iCs/>
          <w:color w:val="000000"/>
          <w:szCs w:val="24"/>
        </w:rPr>
        <w:t xml:space="preserve"> under common</w:t>
      </w:r>
      <w:r w:rsidR="00AC5CBC" w:rsidRPr="00831C09">
        <w:rPr>
          <w:rFonts w:eastAsia="Times New Roman" w:cs="Times New Roman"/>
          <w:iCs/>
          <w:color w:val="000000"/>
          <w:szCs w:val="24"/>
        </w:rPr>
        <w:t xml:space="preserve"> law</w:t>
      </w:r>
      <w:r w:rsidR="00260702" w:rsidRPr="00831C09">
        <w:rPr>
          <w:rFonts w:eastAsia="Times New Roman" w:cs="Times New Roman"/>
          <w:iCs/>
          <w:color w:val="000000"/>
          <w:szCs w:val="24"/>
        </w:rPr>
        <w:t xml:space="preserve">. </w:t>
      </w:r>
    </w:p>
    <w:p w14:paraId="54C7A54B" w14:textId="2715BAEF" w:rsidR="00503628" w:rsidRPr="00831C09" w:rsidRDefault="00831C09" w:rsidP="006A78CE">
      <w:pPr>
        <w:pStyle w:val="BodyParagraphs"/>
        <w:spacing w:after="240" w:line="360" w:lineRule="auto"/>
        <w:ind w:left="567" w:hanging="567"/>
        <w:rPr>
          <w:rFonts w:eastAsia="Times New Roman" w:cs="Times New Roman"/>
          <w:i/>
          <w:color w:val="000000"/>
          <w:szCs w:val="24"/>
          <w:lang w:val="x-none"/>
        </w:rPr>
      </w:pPr>
      <w:r w:rsidRPr="00831C09">
        <w:rPr>
          <w:rFonts w:eastAsia="Times New Roman" w:cs="Times New Roman"/>
          <w:iCs/>
          <w:color w:val="000000"/>
          <w:szCs w:val="24"/>
        </w:rPr>
        <w:t>In holding that it could, t</w:t>
      </w:r>
      <w:r w:rsidR="00AC5CBC" w:rsidRPr="00831C09">
        <w:rPr>
          <w:rFonts w:eastAsia="Times New Roman" w:cs="Times New Roman"/>
          <w:iCs/>
          <w:color w:val="000000"/>
          <w:szCs w:val="24"/>
        </w:rPr>
        <w:t xml:space="preserve">he court </w:t>
      </w:r>
      <w:r w:rsidR="00546E9D" w:rsidRPr="00831C09">
        <w:rPr>
          <w:rFonts w:eastAsia="Times New Roman" w:cs="Times New Roman"/>
          <w:iCs/>
          <w:color w:val="000000"/>
          <w:szCs w:val="24"/>
        </w:rPr>
        <w:t xml:space="preserve">agreed with </w:t>
      </w:r>
      <w:r w:rsidR="00E373E7" w:rsidRPr="00831C09">
        <w:rPr>
          <w:rFonts w:eastAsia="Times New Roman" w:cs="Times New Roman"/>
          <w:iCs/>
          <w:color w:val="000000"/>
          <w:szCs w:val="24"/>
        </w:rPr>
        <w:t xml:space="preserve">the passage from HIH in which Lord Hoffman indicated that the </w:t>
      </w:r>
      <w:r w:rsidR="00B941C0" w:rsidRPr="00831C09">
        <w:rPr>
          <w:rFonts w:eastAsia="Times New Roman" w:cs="Times New Roman"/>
          <w:iCs/>
          <w:color w:val="000000"/>
          <w:szCs w:val="24"/>
        </w:rPr>
        <w:t xml:space="preserve">centre of main interest (“COMI”) test </w:t>
      </w:r>
      <w:r w:rsidR="00546E9D" w:rsidRPr="00831C09">
        <w:rPr>
          <w:rFonts w:eastAsia="Times New Roman" w:cs="Times New Roman"/>
          <w:iCs/>
          <w:color w:val="000000"/>
          <w:szCs w:val="24"/>
        </w:rPr>
        <w:t xml:space="preserve">could be a basis for the recognition at common law of foreign insolvency proceedings, and disagreed </w:t>
      </w:r>
      <w:r w:rsidR="00CD1854" w:rsidRPr="00831C09">
        <w:rPr>
          <w:rFonts w:eastAsia="Times New Roman" w:cs="Times New Roman"/>
          <w:iCs/>
          <w:color w:val="000000"/>
          <w:szCs w:val="24"/>
        </w:rPr>
        <w:t>with Lord Collin’s observations in Rubin that such a matter was to be left to the legislature</w:t>
      </w:r>
      <w:r w:rsidR="006D5045">
        <w:rPr>
          <w:rFonts w:eastAsia="Times New Roman" w:cs="Times New Roman"/>
          <w:iCs/>
          <w:color w:val="000000"/>
          <w:szCs w:val="24"/>
        </w:rPr>
        <w:t xml:space="preserve"> (at [31])</w:t>
      </w:r>
      <w:r w:rsidR="00CD1854" w:rsidRPr="00831C09">
        <w:rPr>
          <w:rFonts w:eastAsia="Times New Roman" w:cs="Times New Roman"/>
          <w:iCs/>
          <w:color w:val="000000"/>
          <w:szCs w:val="24"/>
        </w:rPr>
        <w:t xml:space="preserve">. </w:t>
      </w:r>
      <w:r w:rsidR="00EB606D" w:rsidRPr="00831C09">
        <w:rPr>
          <w:rFonts w:eastAsia="Times New Roman" w:cs="Times New Roman"/>
          <w:iCs/>
          <w:color w:val="000000"/>
          <w:szCs w:val="24"/>
        </w:rPr>
        <w:t xml:space="preserve">This case heralded the first reported instance where the COMI approach was </w:t>
      </w:r>
      <w:r w:rsidR="007B1F29" w:rsidRPr="00831C09">
        <w:rPr>
          <w:rFonts w:eastAsia="Times New Roman" w:cs="Times New Roman"/>
          <w:iCs/>
          <w:color w:val="000000"/>
          <w:szCs w:val="24"/>
        </w:rPr>
        <w:t xml:space="preserve">recognised </w:t>
      </w:r>
      <w:r w:rsidR="00EB606D" w:rsidRPr="00831C09">
        <w:rPr>
          <w:rFonts w:eastAsia="Times New Roman" w:cs="Times New Roman"/>
          <w:iCs/>
          <w:color w:val="000000"/>
          <w:szCs w:val="24"/>
        </w:rPr>
        <w:t xml:space="preserve">as part of the </w:t>
      </w:r>
      <w:r w:rsidR="007B1F29" w:rsidRPr="00831C09">
        <w:rPr>
          <w:rFonts w:eastAsia="Times New Roman" w:cs="Times New Roman"/>
          <w:iCs/>
          <w:color w:val="000000"/>
          <w:szCs w:val="24"/>
        </w:rPr>
        <w:t xml:space="preserve">development of the “modified universalism” principle in Singapore </w:t>
      </w:r>
      <w:r w:rsidR="00EB606D" w:rsidRPr="00831C09">
        <w:rPr>
          <w:rFonts w:eastAsia="Times New Roman" w:cs="Times New Roman"/>
          <w:iCs/>
          <w:color w:val="000000"/>
          <w:szCs w:val="24"/>
        </w:rPr>
        <w:t>common law</w:t>
      </w:r>
      <w:r w:rsidR="007B1F29" w:rsidRPr="00831C09">
        <w:rPr>
          <w:rFonts w:eastAsia="Times New Roman" w:cs="Times New Roman"/>
          <w:iCs/>
          <w:color w:val="000000"/>
          <w:szCs w:val="24"/>
        </w:rPr>
        <w:t xml:space="preserve">.  </w:t>
      </w:r>
    </w:p>
    <w:p w14:paraId="37FD3D6E" w14:textId="68EB12E7" w:rsidR="007B1F29" w:rsidRPr="00F664EC" w:rsidRDefault="00831C09" w:rsidP="006A78CE">
      <w:pPr>
        <w:pStyle w:val="BodyParagraphs"/>
        <w:spacing w:after="240" w:line="360" w:lineRule="auto"/>
        <w:ind w:left="567" w:hanging="567"/>
        <w:rPr>
          <w:rFonts w:eastAsia="Times New Roman" w:cs="Times New Roman"/>
          <w:b/>
          <w:bCs/>
          <w:i/>
          <w:color w:val="000000"/>
          <w:szCs w:val="24"/>
          <w:lang w:val="x-none"/>
        </w:rPr>
      </w:pPr>
      <w:r>
        <w:rPr>
          <w:rFonts w:eastAsia="Times New Roman" w:cs="Times New Roman"/>
          <w:iCs/>
          <w:color w:val="000000"/>
          <w:szCs w:val="24"/>
          <w:lang w:val="x-none"/>
        </w:rPr>
        <w:t>The trend</w:t>
      </w:r>
      <w:r w:rsidR="001111E5">
        <w:rPr>
          <w:rFonts w:eastAsia="Times New Roman" w:cs="Times New Roman"/>
          <w:iCs/>
          <w:color w:val="000000"/>
          <w:szCs w:val="24"/>
          <w:lang w:val="x-none"/>
        </w:rPr>
        <w:t xml:space="preserve"> </w:t>
      </w:r>
      <w:r w:rsidR="001111E5" w:rsidRPr="008026A9">
        <w:rPr>
          <w:rFonts w:eastAsia="Times New Roman" w:cs="Times New Roman"/>
          <w:i/>
          <w:color w:val="000000"/>
          <w:szCs w:val="24"/>
          <w:lang w:val="x-none"/>
        </w:rPr>
        <w:t>of</w:t>
      </w:r>
      <w:r w:rsidR="001111E5">
        <w:rPr>
          <w:rFonts w:eastAsia="Times New Roman" w:cs="Times New Roman"/>
          <w:iCs/>
          <w:color w:val="000000"/>
          <w:szCs w:val="24"/>
          <w:lang w:val="x-none"/>
        </w:rPr>
        <w:t xml:space="preserve"> embracing </w:t>
      </w:r>
      <w:r w:rsidR="00AE3CA8">
        <w:rPr>
          <w:rFonts w:eastAsia="Times New Roman" w:cs="Times New Roman"/>
          <w:iCs/>
          <w:color w:val="000000"/>
          <w:szCs w:val="24"/>
          <w:lang w:val="x-none"/>
        </w:rPr>
        <w:t>a</w:t>
      </w:r>
      <w:r w:rsidR="001111E5">
        <w:rPr>
          <w:rFonts w:eastAsia="Times New Roman" w:cs="Times New Roman"/>
          <w:iCs/>
          <w:color w:val="000000"/>
          <w:szCs w:val="24"/>
          <w:lang w:val="x-none"/>
        </w:rPr>
        <w:t xml:space="preserve"> more</w:t>
      </w:r>
      <w:r w:rsidR="00F974C1">
        <w:rPr>
          <w:rFonts w:eastAsia="Times New Roman" w:cs="Times New Roman"/>
          <w:iCs/>
          <w:color w:val="000000"/>
          <w:szCs w:val="24"/>
          <w:lang w:val="x-none"/>
        </w:rPr>
        <w:t xml:space="preserve"> expansive </w:t>
      </w:r>
      <w:r w:rsidR="001111E5">
        <w:rPr>
          <w:rFonts w:eastAsia="Times New Roman" w:cs="Times New Roman"/>
          <w:iCs/>
          <w:color w:val="000000"/>
          <w:szCs w:val="24"/>
          <w:lang w:val="x-none"/>
        </w:rPr>
        <w:t>“modified universalism” principle</w:t>
      </w:r>
      <w:r>
        <w:rPr>
          <w:rFonts w:eastAsia="Times New Roman" w:cs="Times New Roman"/>
          <w:iCs/>
          <w:color w:val="000000"/>
          <w:szCs w:val="24"/>
          <w:lang w:val="x-none"/>
        </w:rPr>
        <w:t xml:space="preserve"> continued i</w:t>
      </w:r>
      <w:r w:rsidR="00902AD1">
        <w:rPr>
          <w:rFonts w:eastAsia="Times New Roman" w:cs="Times New Roman"/>
          <w:iCs/>
          <w:color w:val="000000"/>
          <w:szCs w:val="24"/>
          <w:lang w:val="x-none"/>
        </w:rPr>
        <w:t xml:space="preserve">n </w:t>
      </w:r>
      <w:r w:rsidR="00902AD1" w:rsidRPr="00603C35">
        <w:rPr>
          <w:rFonts w:eastAsia="Times New Roman" w:cs="Times New Roman"/>
          <w:iCs/>
          <w:color w:val="000000"/>
          <w:szCs w:val="24"/>
          <w:u w:val="single"/>
          <w:lang w:val="x-none"/>
        </w:rPr>
        <w:t xml:space="preserve">Re </w:t>
      </w:r>
      <w:proofErr w:type="spellStart"/>
      <w:r w:rsidR="00902AD1" w:rsidRPr="00603C35">
        <w:rPr>
          <w:rFonts w:eastAsia="Times New Roman" w:cs="Times New Roman"/>
          <w:iCs/>
          <w:color w:val="000000"/>
          <w:szCs w:val="24"/>
          <w:u w:val="single"/>
          <w:lang w:val="x-none"/>
        </w:rPr>
        <w:t>Taisoo</w:t>
      </w:r>
      <w:proofErr w:type="spellEnd"/>
      <w:r w:rsidR="00902AD1" w:rsidRPr="00603C35">
        <w:rPr>
          <w:rFonts w:eastAsia="Times New Roman" w:cs="Times New Roman"/>
          <w:iCs/>
          <w:color w:val="000000"/>
          <w:szCs w:val="24"/>
          <w:u w:val="single"/>
          <w:lang w:val="x-none"/>
        </w:rPr>
        <w:t xml:space="preserve"> Suk</w:t>
      </w:r>
      <w:r w:rsidR="00603C35" w:rsidRPr="00603C35">
        <w:rPr>
          <w:rFonts w:eastAsia="Times New Roman" w:cs="Times New Roman"/>
          <w:iCs/>
          <w:color w:val="000000"/>
          <w:szCs w:val="24"/>
          <w:lang w:val="x-none"/>
        </w:rPr>
        <w:t xml:space="preserve"> [2016] SGHC 195</w:t>
      </w:r>
      <w:r w:rsidR="00E14EB8" w:rsidRPr="00603C35">
        <w:rPr>
          <w:rFonts w:eastAsia="Times New Roman" w:cs="Times New Roman"/>
          <w:iCs/>
          <w:color w:val="000000"/>
          <w:szCs w:val="24"/>
          <w:lang w:val="x-none"/>
        </w:rPr>
        <w:t>,</w:t>
      </w:r>
      <w:r w:rsidR="00902AD1" w:rsidRPr="00603C35">
        <w:rPr>
          <w:vertAlign w:val="superscript"/>
        </w:rPr>
        <w:footnoteReference w:id="26"/>
      </w:r>
      <w:r w:rsidR="00603C35">
        <w:rPr>
          <w:rFonts w:eastAsia="Times New Roman" w:cs="Times New Roman"/>
          <w:iCs/>
          <w:color w:val="000000"/>
          <w:szCs w:val="24"/>
          <w:lang w:val="x-none"/>
        </w:rPr>
        <w:t xml:space="preserve"> </w:t>
      </w:r>
      <w:r w:rsidRPr="001111E5">
        <w:rPr>
          <w:rFonts w:eastAsia="Times New Roman" w:cs="Times New Roman"/>
          <w:iCs/>
          <w:color w:val="000000"/>
          <w:szCs w:val="24"/>
          <w:lang w:val="x-none"/>
        </w:rPr>
        <w:t>in which</w:t>
      </w:r>
      <w:r w:rsidRPr="007C5132">
        <w:rPr>
          <w:rFonts w:eastAsia="Times New Roman" w:cs="Times New Roman"/>
          <w:iCs/>
          <w:color w:val="000000"/>
          <w:szCs w:val="24"/>
          <w:lang w:val="x-none"/>
        </w:rPr>
        <w:t xml:space="preserve"> </w:t>
      </w:r>
      <w:r w:rsidR="00754478">
        <w:rPr>
          <w:rFonts w:eastAsia="Times New Roman" w:cs="Times New Roman"/>
          <w:iCs/>
          <w:color w:val="000000"/>
          <w:szCs w:val="24"/>
          <w:lang w:val="x-none"/>
        </w:rPr>
        <w:t xml:space="preserve">the foreign representative of Hanjin Shipping Co Ltd, a Korean company, filed an urgent </w:t>
      </w:r>
      <w:r w:rsidR="00754478" w:rsidRPr="00754478">
        <w:rPr>
          <w:rFonts w:eastAsia="Times New Roman" w:cs="Times New Roman"/>
          <w:i/>
          <w:color w:val="000000"/>
          <w:szCs w:val="24"/>
          <w:lang w:val="x-none"/>
        </w:rPr>
        <w:t xml:space="preserve">ex </w:t>
      </w:r>
      <w:proofErr w:type="spellStart"/>
      <w:r w:rsidR="00754478" w:rsidRPr="00754478">
        <w:rPr>
          <w:rFonts w:eastAsia="Times New Roman" w:cs="Times New Roman"/>
          <w:i/>
          <w:color w:val="000000"/>
          <w:szCs w:val="24"/>
          <w:lang w:val="x-none"/>
        </w:rPr>
        <w:t>parte</w:t>
      </w:r>
      <w:proofErr w:type="spellEnd"/>
      <w:r w:rsidR="00754478">
        <w:rPr>
          <w:rFonts w:eastAsia="Times New Roman" w:cs="Times New Roman"/>
          <w:iCs/>
          <w:color w:val="000000"/>
          <w:szCs w:val="24"/>
          <w:lang w:val="x-none"/>
        </w:rPr>
        <w:t xml:space="preserve"> </w:t>
      </w:r>
      <w:r w:rsidR="00E14EB8" w:rsidRPr="00E14EB8">
        <w:rPr>
          <w:rFonts w:eastAsia="Times New Roman" w:cs="Times New Roman"/>
          <w:iCs/>
          <w:color w:val="000000"/>
          <w:szCs w:val="24"/>
          <w:lang w:val="x-none"/>
        </w:rPr>
        <w:t xml:space="preserve"> </w:t>
      </w:r>
      <w:r w:rsidR="007C6CB9">
        <w:rPr>
          <w:rFonts w:eastAsia="Times New Roman" w:cs="Times New Roman"/>
          <w:iCs/>
          <w:color w:val="000000"/>
          <w:szCs w:val="24"/>
          <w:lang w:val="x-none"/>
        </w:rPr>
        <w:t>application</w:t>
      </w:r>
      <w:r w:rsidR="00754478">
        <w:rPr>
          <w:rFonts w:eastAsia="Times New Roman" w:cs="Times New Roman"/>
          <w:iCs/>
          <w:color w:val="000000"/>
          <w:szCs w:val="24"/>
          <w:lang w:val="x-none"/>
        </w:rPr>
        <w:t xml:space="preserve"> before the Singapore High Court, seeking recognition of Hanjin’s rehabilitation proceedings in Korea and a restraint of all new or </w:t>
      </w:r>
      <w:r w:rsidR="00754478">
        <w:rPr>
          <w:rFonts w:eastAsia="Times New Roman" w:cs="Times New Roman"/>
          <w:iCs/>
          <w:color w:val="000000"/>
          <w:szCs w:val="24"/>
          <w:lang w:val="x-none"/>
        </w:rPr>
        <w:lastRenderedPageBreak/>
        <w:t xml:space="preserve">pending proceedings against Hanjin and its two wholly-owned Singapore subsidiaries. The Singapore High Court </w:t>
      </w:r>
      <w:r w:rsidR="00FE5677">
        <w:rPr>
          <w:rFonts w:eastAsia="Times New Roman" w:cs="Times New Roman"/>
          <w:iCs/>
          <w:color w:val="000000"/>
          <w:szCs w:val="24"/>
          <w:lang w:val="x-none"/>
        </w:rPr>
        <w:t xml:space="preserve">considered the Court of Appeal’s observations in </w:t>
      </w:r>
      <w:r w:rsidR="00FE5677" w:rsidRPr="00C60E18">
        <w:rPr>
          <w:rFonts w:eastAsia="Times New Roman" w:cs="Times New Roman"/>
          <w:iCs/>
          <w:color w:val="000000"/>
          <w:szCs w:val="24"/>
          <w:u w:val="single"/>
          <w:lang w:val="x-none"/>
        </w:rPr>
        <w:t>Beluga</w:t>
      </w:r>
      <w:r w:rsidR="00FE5677">
        <w:rPr>
          <w:rFonts w:eastAsia="Times New Roman" w:cs="Times New Roman"/>
          <w:iCs/>
          <w:color w:val="000000"/>
          <w:szCs w:val="24"/>
          <w:lang w:val="x-none"/>
        </w:rPr>
        <w:t xml:space="preserve"> </w:t>
      </w:r>
      <w:r w:rsidR="00A92793">
        <w:rPr>
          <w:rFonts w:eastAsia="Times New Roman" w:cs="Times New Roman"/>
          <w:iCs/>
          <w:color w:val="000000"/>
          <w:szCs w:val="24"/>
          <w:lang w:val="x-none"/>
        </w:rPr>
        <w:t xml:space="preserve">at [98] as </w:t>
      </w:r>
      <w:r w:rsidR="00F277C4">
        <w:rPr>
          <w:rFonts w:eastAsia="Times New Roman" w:cs="Times New Roman"/>
          <w:iCs/>
          <w:color w:val="000000"/>
          <w:szCs w:val="24"/>
          <w:lang w:val="x-none"/>
        </w:rPr>
        <w:t>extending</w:t>
      </w:r>
      <w:r w:rsidR="00A92793">
        <w:rPr>
          <w:rFonts w:eastAsia="Times New Roman" w:cs="Times New Roman"/>
          <w:iCs/>
          <w:color w:val="000000"/>
          <w:szCs w:val="24"/>
          <w:lang w:val="x-none"/>
        </w:rPr>
        <w:t xml:space="preserve"> </w:t>
      </w:r>
      <w:r w:rsidR="00F277C4">
        <w:rPr>
          <w:rFonts w:eastAsia="Times New Roman" w:cs="Times New Roman"/>
          <w:iCs/>
          <w:color w:val="000000"/>
          <w:szCs w:val="24"/>
          <w:lang w:val="x-none"/>
        </w:rPr>
        <w:t>to recognition of foreign restructuring and rehabilitation orders and/or proceedings</w:t>
      </w:r>
      <w:r w:rsidR="004B39DB">
        <w:rPr>
          <w:rFonts w:eastAsia="Times New Roman" w:cs="Times New Roman"/>
          <w:iCs/>
          <w:color w:val="000000"/>
          <w:szCs w:val="24"/>
          <w:lang w:val="x-none"/>
        </w:rPr>
        <w:t>,</w:t>
      </w:r>
      <w:r w:rsidR="00F277C4">
        <w:rPr>
          <w:rStyle w:val="FootnoteReference"/>
          <w:rFonts w:eastAsia="Times New Roman" w:cs="Times New Roman"/>
          <w:iCs/>
          <w:color w:val="000000"/>
          <w:szCs w:val="24"/>
          <w:lang w:val="x-none"/>
        </w:rPr>
        <w:footnoteReference w:id="27"/>
      </w:r>
      <w:r w:rsidR="004B39DB">
        <w:rPr>
          <w:rFonts w:eastAsia="Times New Roman" w:cs="Times New Roman"/>
          <w:iCs/>
          <w:color w:val="000000"/>
          <w:szCs w:val="24"/>
          <w:lang w:val="x-none"/>
        </w:rPr>
        <w:t xml:space="preserve"> and that </w:t>
      </w:r>
      <w:r w:rsidR="005D422A">
        <w:rPr>
          <w:rFonts w:eastAsia="Times New Roman" w:cs="Times New Roman"/>
          <w:iCs/>
          <w:color w:val="000000"/>
          <w:szCs w:val="24"/>
          <w:lang w:val="x-none"/>
        </w:rPr>
        <w:t xml:space="preserve">the type of assistance it could provide included </w:t>
      </w:r>
      <w:r w:rsidR="0004168A">
        <w:rPr>
          <w:rFonts w:eastAsia="Times New Roman" w:cs="Times New Roman"/>
          <w:iCs/>
          <w:color w:val="000000"/>
          <w:szCs w:val="24"/>
          <w:lang w:val="x-none"/>
        </w:rPr>
        <w:t xml:space="preserve">a general </w:t>
      </w:r>
      <w:r w:rsidR="005D422A">
        <w:rPr>
          <w:rFonts w:eastAsia="Times New Roman" w:cs="Times New Roman"/>
          <w:iCs/>
          <w:color w:val="000000"/>
          <w:szCs w:val="24"/>
          <w:lang w:val="x-none"/>
        </w:rPr>
        <w:t>restrain</w:t>
      </w:r>
      <w:r w:rsidR="0004168A">
        <w:rPr>
          <w:rFonts w:eastAsia="Times New Roman" w:cs="Times New Roman"/>
          <w:iCs/>
          <w:color w:val="000000"/>
          <w:szCs w:val="24"/>
          <w:lang w:val="x-none"/>
        </w:rPr>
        <w:t>t</w:t>
      </w:r>
      <w:r w:rsidR="005D422A">
        <w:rPr>
          <w:rFonts w:eastAsia="Times New Roman" w:cs="Times New Roman"/>
          <w:iCs/>
          <w:color w:val="000000"/>
          <w:szCs w:val="24"/>
          <w:lang w:val="x-none"/>
        </w:rPr>
        <w:t xml:space="preserve"> and stay</w:t>
      </w:r>
      <w:r w:rsidR="0004168A">
        <w:rPr>
          <w:rFonts w:eastAsia="Times New Roman" w:cs="Times New Roman"/>
          <w:iCs/>
          <w:color w:val="000000"/>
          <w:szCs w:val="24"/>
          <w:lang w:val="x-none"/>
        </w:rPr>
        <w:t xml:space="preserve"> of all present and further</w:t>
      </w:r>
      <w:r w:rsidR="005D422A">
        <w:rPr>
          <w:rFonts w:eastAsia="Times New Roman" w:cs="Times New Roman"/>
          <w:iCs/>
          <w:color w:val="000000"/>
          <w:szCs w:val="24"/>
          <w:lang w:val="x-none"/>
        </w:rPr>
        <w:t xml:space="preserve"> proceedings</w:t>
      </w:r>
      <w:r w:rsidR="00163420">
        <w:rPr>
          <w:rFonts w:eastAsia="Times New Roman" w:cs="Times New Roman"/>
          <w:iCs/>
          <w:color w:val="000000"/>
          <w:szCs w:val="24"/>
          <w:lang w:val="x-none"/>
        </w:rPr>
        <w:t xml:space="preserve">, including </w:t>
      </w:r>
      <w:r w:rsidR="00FE040B">
        <w:rPr>
          <w:rFonts w:eastAsia="Times New Roman" w:cs="Times New Roman"/>
          <w:iCs/>
          <w:color w:val="000000"/>
          <w:szCs w:val="24"/>
          <w:lang w:val="x-none"/>
        </w:rPr>
        <w:t xml:space="preserve">any admiralty </w:t>
      </w:r>
      <w:r w:rsidR="00FE040B" w:rsidRPr="00FE040B">
        <w:rPr>
          <w:rFonts w:eastAsia="Times New Roman" w:cs="Times New Roman"/>
          <w:i/>
          <w:color w:val="000000"/>
          <w:szCs w:val="24"/>
          <w:lang w:val="x-none"/>
        </w:rPr>
        <w:t>in rem</w:t>
      </w:r>
      <w:r w:rsidR="00FE040B">
        <w:rPr>
          <w:rFonts w:eastAsia="Times New Roman" w:cs="Times New Roman"/>
          <w:iCs/>
          <w:color w:val="000000"/>
          <w:szCs w:val="24"/>
          <w:lang w:val="x-none"/>
        </w:rPr>
        <w:t xml:space="preserve"> proceedings by barring the arrests of vessels. </w:t>
      </w:r>
    </w:p>
    <w:p w14:paraId="65E4600E" w14:textId="472FA66A" w:rsidR="00216825" w:rsidRPr="00436422" w:rsidRDefault="00F664EC" w:rsidP="003F74B1">
      <w:pPr>
        <w:pStyle w:val="BodyParagraphs"/>
        <w:spacing w:after="240" w:line="360" w:lineRule="auto"/>
        <w:rPr>
          <w:rFonts w:eastAsia="Times New Roman" w:cs="Times New Roman"/>
          <w:b/>
          <w:bCs/>
          <w:i/>
          <w:color w:val="000000"/>
          <w:szCs w:val="24"/>
          <w:lang w:val="x-none"/>
        </w:rPr>
      </w:pPr>
      <w:r w:rsidRPr="00436422">
        <w:rPr>
          <w:rFonts w:eastAsia="Times New Roman" w:cs="Times New Roman"/>
          <w:iCs/>
          <w:color w:val="000000"/>
          <w:szCs w:val="24"/>
          <w:lang w:val="x-none"/>
        </w:rPr>
        <w:t xml:space="preserve">It is interesting to note that </w:t>
      </w:r>
      <w:r w:rsidR="0004168A" w:rsidRPr="00436422">
        <w:rPr>
          <w:rFonts w:eastAsia="Times New Roman" w:cs="Times New Roman"/>
          <w:iCs/>
          <w:color w:val="000000"/>
          <w:szCs w:val="24"/>
          <w:lang w:val="x-none"/>
        </w:rPr>
        <w:t xml:space="preserve">while </w:t>
      </w:r>
      <w:r w:rsidRPr="00436422">
        <w:rPr>
          <w:rFonts w:eastAsia="Times New Roman" w:cs="Times New Roman"/>
          <w:iCs/>
          <w:color w:val="000000"/>
          <w:szCs w:val="24"/>
          <w:lang w:val="x-none"/>
        </w:rPr>
        <w:t xml:space="preserve">the court </w:t>
      </w:r>
      <w:r w:rsidR="0004168A" w:rsidRPr="00436422">
        <w:rPr>
          <w:rFonts w:eastAsia="Times New Roman" w:cs="Times New Roman"/>
          <w:iCs/>
          <w:color w:val="000000"/>
          <w:szCs w:val="24"/>
          <w:lang w:val="x-none"/>
        </w:rPr>
        <w:t xml:space="preserve">took into account various </w:t>
      </w:r>
      <w:r w:rsidR="00002C9B" w:rsidRPr="00436422">
        <w:rPr>
          <w:rFonts w:eastAsia="Times New Roman" w:cs="Times New Roman"/>
          <w:iCs/>
          <w:color w:val="000000"/>
          <w:szCs w:val="24"/>
          <w:lang w:val="x-none"/>
        </w:rPr>
        <w:t xml:space="preserve"> </w:t>
      </w:r>
      <w:r w:rsidR="007E4F07" w:rsidRPr="00436422">
        <w:rPr>
          <w:rFonts w:eastAsia="Times New Roman" w:cs="Times New Roman"/>
          <w:iCs/>
          <w:color w:val="000000"/>
          <w:szCs w:val="24"/>
          <w:lang w:val="x-none"/>
        </w:rPr>
        <w:t xml:space="preserve"> </w:t>
      </w:r>
      <w:r w:rsidR="00E2129B" w:rsidRPr="00436422">
        <w:rPr>
          <w:rFonts w:eastAsia="Times New Roman" w:cs="Times New Roman"/>
          <w:iCs/>
          <w:color w:val="000000"/>
          <w:szCs w:val="24"/>
          <w:lang w:val="x-none"/>
        </w:rPr>
        <w:t xml:space="preserve">broad </w:t>
      </w:r>
      <w:r w:rsidR="0004168A" w:rsidRPr="00436422">
        <w:rPr>
          <w:rFonts w:eastAsia="Times New Roman" w:cs="Times New Roman"/>
          <w:iCs/>
          <w:color w:val="000000"/>
          <w:szCs w:val="24"/>
          <w:lang w:val="x-none"/>
        </w:rPr>
        <w:t>considerations</w:t>
      </w:r>
      <w:r w:rsidR="00F446D4" w:rsidRPr="00436422">
        <w:rPr>
          <w:rFonts w:eastAsia="Times New Roman" w:cs="Times New Roman"/>
          <w:iCs/>
          <w:color w:val="000000"/>
          <w:szCs w:val="24"/>
          <w:lang w:val="x-none"/>
        </w:rPr>
        <w:t xml:space="preserve"> in </w:t>
      </w:r>
      <w:r w:rsidR="00491427" w:rsidRPr="00436422">
        <w:rPr>
          <w:rFonts w:eastAsia="Times New Roman" w:cs="Times New Roman"/>
          <w:iCs/>
          <w:color w:val="000000"/>
          <w:szCs w:val="24"/>
          <w:lang w:val="x-none"/>
        </w:rPr>
        <w:t xml:space="preserve">deciding </w:t>
      </w:r>
      <w:r w:rsidR="00F446D4" w:rsidRPr="00436422">
        <w:rPr>
          <w:rFonts w:eastAsia="Times New Roman" w:cs="Times New Roman"/>
          <w:iCs/>
          <w:color w:val="000000"/>
          <w:szCs w:val="24"/>
          <w:lang w:val="x-none"/>
        </w:rPr>
        <w:t xml:space="preserve">whether to </w:t>
      </w:r>
      <w:r w:rsidR="00491427" w:rsidRPr="00436422">
        <w:rPr>
          <w:rFonts w:eastAsia="Times New Roman" w:cs="Times New Roman"/>
          <w:iCs/>
          <w:color w:val="000000"/>
          <w:szCs w:val="24"/>
          <w:lang w:val="x-none"/>
        </w:rPr>
        <w:t>recognise the Korean rehabilitation proceedings and grant the general restraining and stay orders sought</w:t>
      </w:r>
      <w:r w:rsidR="00820868" w:rsidRPr="00436422">
        <w:rPr>
          <w:rFonts w:eastAsia="Times New Roman" w:cs="Times New Roman"/>
          <w:iCs/>
          <w:color w:val="000000"/>
          <w:szCs w:val="24"/>
          <w:lang w:val="x-none"/>
        </w:rPr>
        <w:t xml:space="preserve"> (at [18])</w:t>
      </w:r>
      <w:r w:rsidR="00F446D4" w:rsidRPr="00436422">
        <w:rPr>
          <w:rFonts w:eastAsia="Times New Roman" w:cs="Times New Roman"/>
          <w:iCs/>
          <w:color w:val="000000"/>
          <w:szCs w:val="24"/>
          <w:lang w:val="x-none"/>
        </w:rPr>
        <w:t xml:space="preserve">, </w:t>
      </w:r>
      <w:r w:rsidR="0004168A" w:rsidRPr="00436422">
        <w:rPr>
          <w:rFonts w:eastAsia="Times New Roman" w:cs="Times New Roman"/>
          <w:iCs/>
          <w:color w:val="000000"/>
          <w:szCs w:val="24"/>
          <w:lang w:val="x-none"/>
        </w:rPr>
        <w:t>including the impact of the Korean rehabilitation process on domestic creditors and whether it is fair and equitable in the circumstances, the</w:t>
      </w:r>
      <w:r w:rsidR="00EE1790" w:rsidRPr="00436422">
        <w:rPr>
          <w:rFonts w:eastAsia="Times New Roman" w:cs="Times New Roman"/>
          <w:iCs/>
          <w:color w:val="000000"/>
          <w:szCs w:val="24"/>
          <w:lang w:val="x-none"/>
        </w:rPr>
        <w:t xml:space="preserve">re was no discussion or analysis as to </w:t>
      </w:r>
      <w:r w:rsidR="00296EF4" w:rsidRPr="00436422">
        <w:rPr>
          <w:rFonts w:eastAsia="Times New Roman" w:cs="Times New Roman"/>
          <w:iCs/>
          <w:color w:val="000000"/>
          <w:szCs w:val="24"/>
          <w:lang w:val="x-none"/>
        </w:rPr>
        <w:t xml:space="preserve">whether any of these </w:t>
      </w:r>
      <w:r w:rsidR="00771242" w:rsidRPr="00436422">
        <w:rPr>
          <w:rFonts w:eastAsia="Times New Roman" w:cs="Times New Roman"/>
          <w:iCs/>
          <w:color w:val="000000"/>
          <w:szCs w:val="24"/>
          <w:lang w:val="x-none"/>
        </w:rPr>
        <w:t xml:space="preserve">domestic </w:t>
      </w:r>
      <w:r w:rsidR="00296EF4" w:rsidRPr="00436422">
        <w:rPr>
          <w:rFonts w:eastAsia="Times New Roman" w:cs="Times New Roman"/>
          <w:iCs/>
          <w:color w:val="000000"/>
          <w:szCs w:val="24"/>
          <w:lang w:val="x-none"/>
        </w:rPr>
        <w:t xml:space="preserve">creditors </w:t>
      </w:r>
      <w:r w:rsidR="00771242" w:rsidRPr="00436422">
        <w:rPr>
          <w:rFonts w:eastAsia="Times New Roman" w:cs="Times New Roman"/>
          <w:iCs/>
          <w:color w:val="000000"/>
          <w:szCs w:val="24"/>
          <w:lang w:val="x-none"/>
        </w:rPr>
        <w:t xml:space="preserve">were </w:t>
      </w:r>
      <w:r w:rsidR="00E2129B" w:rsidRPr="00436422">
        <w:rPr>
          <w:rFonts w:eastAsia="Times New Roman" w:cs="Times New Roman"/>
          <w:i/>
          <w:color w:val="000000"/>
          <w:szCs w:val="24"/>
          <w:lang w:val="x-none"/>
        </w:rPr>
        <w:t>actually</w:t>
      </w:r>
      <w:r w:rsidR="00E2129B" w:rsidRPr="00436422">
        <w:rPr>
          <w:rFonts w:eastAsia="Times New Roman" w:cs="Times New Roman"/>
          <w:iCs/>
          <w:color w:val="000000"/>
          <w:szCs w:val="24"/>
          <w:lang w:val="x-none"/>
        </w:rPr>
        <w:t xml:space="preserve"> </w:t>
      </w:r>
      <w:r w:rsidR="00771242" w:rsidRPr="00436422">
        <w:rPr>
          <w:rFonts w:eastAsia="Times New Roman" w:cs="Times New Roman"/>
          <w:iCs/>
          <w:color w:val="000000"/>
          <w:szCs w:val="24"/>
          <w:lang w:val="x-none"/>
        </w:rPr>
        <w:t>subject to the jurisdiction of the Korean courts or law</w:t>
      </w:r>
      <w:r w:rsidR="00E2129B" w:rsidRPr="00436422">
        <w:rPr>
          <w:rFonts w:eastAsia="Times New Roman" w:cs="Times New Roman"/>
          <w:iCs/>
          <w:color w:val="000000"/>
          <w:szCs w:val="24"/>
          <w:lang w:val="x-none"/>
        </w:rPr>
        <w:t>, whether by way of submission to the jurisdiction or their domicile</w:t>
      </w:r>
      <w:r w:rsidR="00B82744" w:rsidRPr="00436422">
        <w:rPr>
          <w:rFonts w:eastAsia="Times New Roman" w:cs="Times New Roman"/>
          <w:iCs/>
          <w:color w:val="000000"/>
          <w:szCs w:val="24"/>
          <w:lang w:val="x-none"/>
        </w:rPr>
        <w:t xml:space="preserve">. Instead, the </w:t>
      </w:r>
      <w:r w:rsidR="00E2129B" w:rsidRPr="00436422">
        <w:rPr>
          <w:rFonts w:eastAsia="Times New Roman" w:cs="Times New Roman"/>
          <w:iCs/>
          <w:color w:val="000000"/>
          <w:szCs w:val="24"/>
          <w:lang w:val="x-none"/>
        </w:rPr>
        <w:t xml:space="preserve">court took </w:t>
      </w:r>
      <w:r w:rsidR="006E3502" w:rsidRPr="00436422">
        <w:rPr>
          <w:rFonts w:eastAsia="Times New Roman" w:cs="Times New Roman"/>
          <w:iCs/>
          <w:color w:val="000000"/>
          <w:szCs w:val="24"/>
          <w:lang w:val="x-none"/>
        </w:rPr>
        <w:t>a</w:t>
      </w:r>
      <w:r w:rsidR="00E2129B" w:rsidRPr="00436422">
        <w:rPr>
          <w:rFonts w:eastAsia="Times New Roman" w:cs="Times New Roman"/>
          <w:iCs/>
          <w:color w:val="000000"/>
          <w:szCs w:val="24"/>
          <w:lang w:val="x-none"/>
        </w:rPr>
        <w:t xml:space="preserve"> </w:t>
      </w:r>
      <w:r w:rsidR="006E7FA4" w:rsidRPr="00436422">
        <w:rPr>
          <w:rFonts w:eastAsia="Times New Roman" w:cs="Times New Roman"/>
          <w:iCs/>
          <w:color w:val="000000"/>
          <w:szCs w:val="24"/>
          <w:lang w:val="x-none"/>
        </w:rPr>
        <w:t xml:space="preserve">similar to the one propounded by Lord Hoffman in </w:t>
      </w:r>
      <w:r w:rsidR="006E7FA4" w:rsidRPr="00436422">
        <w:rPr>
          <w:rFonts w:eastAsia="Times New Roman" w:cs="Times New Roman"/>
          <w:iCs/>
          <w:color w:val="000000"/>
          <w:szCs w:val="24"/>
          <w:u w:val="single"/>
          <w:lang w:val="x-none"/>
        </w:rPr>
        <w:t>Cambridge Gas</w:t>
      </w:r>
      <w:r w:rsidR="006E7FA4" w:rsidRPr="00436422">
        <w:rPr>
          <w:rFonts w:eastAsia="Times New Roman" w:cs="Times New Roman"/>
          <w:iCs/>
          <w:color w:val="000000"/>
          <w:szCs w:val="24"/>
          <w:lang w:val="x-none"/>
        </w:rPr>
        <w:t xml:space="preserve">, </w:t>
      </w:r>
      <w:r w:rsidR="00436422" w:rsidRPr="00436422">
        <w:rPr>
          <w:rFonts w:eastAsia="Times New Roman" w:cs="Times New Roman"/>
          <w:iCs/>
          <w:color w:val="000000"/>
          <w:szCs w:val="24"/>
          <w:lang w:val="x-none"/>
        </w:rPr>
        <w:t xml:space="preserve">that is, one that </w:t>
      </w:r>
      <w:r w:rsidR="00AD72ED" w:rsidRPr="00436422">
        <w:rPr>
          <w:rFonts w:eastAsia="Times New Roman" w:cs="Times New Roman"/>
          <w:iCs/>
          <w:color w:val="000000"/>
          <w:szCs w:val="24"/>
          <w:lang w:val="x-none"/>
        </w:rPr>
        <w:t xml:space="preserve">looks to the ‘modified universalism’ principle as </w:t>
      </w:r>
      <w:r w:rsidR="002D436A" w:rsidRPr="00436422">
        <w:rPr>
          <w:rFonts w:eastAsia="Times New Roman" w:cs="Times New Roman"/>
          <w:iCs/>
          <w:color w:val="000000"/>
          <w:szCs w:val="24"/>
          <w:lang w:val="x-none"/>
        </w:rPr>
        <w:t xml:space="preserve">the </w:t>
      </w:r>
      <w:r w:rsidR="00AD72ED" w:rsidRPr="00436422">
        <w:rPr>
          <w:rFonts w:eastAsia="Times New Roman" w:cs="Times New Roman"/>
          <w:iCs/>
          <w:color w:val="000000"/>
          <w:szCs w:val="24"/>
          <w:lang w:val="x-none"/>
        </w:rPr>
        <w:t>source of the common law court’s jurisdiction and power to assist the foreign liquidatio</w:t>
      </w:r>
      <w:r w:rsidR="002D436A" w:rsidRPr="00436422">
        <w:rPr>
          <w:rFonts w:eastAsia="Times New Roman" w:cs="Times New Roman"/>
          <w:iCs/>
          <w:color w:val="000000"/>
          <w:szCs w:val="24"/>
          <w:lang w:val="x-none"/>
        </w:rPr>
        <w:t xml:space="preserve">n. </w:t>
      </w:r>
    </w:p>
    <w:p w14:paraId="1BE80326" w14:textId="7DC77389" w:rsidR="002F6277" w:rsidRPr="00435A37" w:rsidRDefault="006150D6" w:rsidP="00603C35">
      <w:pPr>
        <w:pStyle w:val="Heading2"/>
        <w:spacing w:after="240" w:line="360" w:lineRule="auto"/>
        <w:jc w:val="both"/>
        <w:rPr>
          <w:rFonts w:eastAsiaTheme="minorHAnsi" w:cstheme="minorBidi"/>
          <w:szCs w:val="22"/>
        </w:rPr>
      </w:pPr>
      <w:bookmarkStart w:id="10" w:name="_Toc160017544"/>
      <w:r>
        <w:rPr>
          <w:rFonts w:eastAsia="Times New Roman"/>
        </w:rPr>
        <w:t>Reduced relevance of c</w:t>
      </w:r>
      <w:r w:rsidR="003F4DBF" w:rsidRPr="00435A37">
        <w:rPr>
          <w:rFonts w:eastAsia="Times New Roman"/>
        </w:rPr>
        <w:t xml:space="preserve">ommon law </w:t>
      </w:r>
      <w:r w:rsidR="00435A37" w:rsidRPr="00435A37">
        <w:rPr>
          <w:rFonts w:eastAsia="Times New Roman"/>
        </w:rPr>
        <w:t xml:space="preserve">following adoption of UNCITRAL Model Law on Cross-Border Insolvency </w:t>
      </w:r>
      <w:r w:rsidR="00B22587">
        <w:rPr>
          <w:rFonts w:eastAsia="Times New Roman"/>
        </w:rPr>
        <w:t xml:space="preserve">(“Model Law”) </w:t>
      </w:r>
      <w:r w:rsidR="00435A37" w:rsidRPr="00435A37">
        <w:rPr>
          <w:rFonts w:eastAsia="Times New Roman"/>
        </w:rPr>
        <w:t>in 2017</w:t>
      </w:r>
      <w:r w:rsidR="009B55D8">
        <w:rPr>
          <w:rFonts w:eastAsia="Times New Roman"/>
        </w:rPr>
        <w:t>?</w:t>
      </w:r>
      <w:bookmarkEnd w:id="10"/>
    </w:p>
    <w:p w14:paraId="05BECFD3" w14:textId="3CACBF54" w:rsidR="003B3937" w:rsidRDefault="00B22587" w:rsidP="006A78CE">
      <w:pPr>
        <w:pStyle w:val="BodyParagraphs"/>
        <w:spacing w:after="240" w:line="360" w:lineRule="auto"/>
      </w:pPr>
      <w:r>
        <w:t xml:space="preserve">After Singapore </w:t>
      </w:r>
      <w:r w:rsidR="00EB6478">
        <w:t xml:space="preserve">enacted legislations that incorporated the Model Law in 2017, </w:t>
      </w:r>
      <w:r w:rsidR="00DE63E2">
        <w:t>the role of common law in the recognition of foreign insolvency proceedings was</w:t>
      </w:r>
      <w:r w:rsidR="00867E87">
        <w:t xml:space="preserve"> significantly</w:t>
      </w:r>
      <w:r w:rsidR="00DE63E2">
        <w:t xml:space="preserve"> </w:t>
      </w:r>
      <w:r w:rsidR="00867E87">
        <w:t xml:space="preserve">reduced. </w:t>
      </w:r>
      <w:r w:rsidR="00DE63E2">
        <w:t xml:space="preserve"> </w:t>
      </w:r>
      <w:r w:rsidR="003B3937">
        <w:t xml:space="preserve"> </w:t>
      </w:r>
    </w:p>
    <w:p w14:paraId="7E3971EA" w14:textId="4A583EF7" w:rsidR="004131E3" w:rsidRDefault="003B3937" w:rsidP="00704647">
      <w:pPr>
        <w:pStyle w:val="BodyParagraphs"/>
        <w:spacing w:after="240" w:line="360" w:lineRule="auto"/>
      </w:pPr>
      <w:r>
        <w:t xml:space="preserve">In </w:t>
      </w:r>
      <w:r w:rsidR="001A13F6" w:rsidRPr="00704647">
        <w:rPr>
          <w:u w:val="single"/>
        </w:rPr>
        <w:t xml:space="preserve">Re </w:t>
      </w:r>
      <w:r w:rsidRPr="00704647">
        <w:rPr>
          <w:u w:val="single"/>
        </w:rPr>
        <w:t xml:space="preserve">Rooftop </w:t>
      </w:r>
      <w:r w:rsidR="001A13F6" w:rsidRPr="00704647">
        <w:rPr>
          <w:u w:val="single"/>
        </w:rPr>
        <w:t>Group International Pte Ltd</w:t>
      </w:r>
      <w:r w:rsidR="001A13F6">
        <w:t xml:space="preserve"> </w:t>
      </w:r>
      <w:r w:rsidR="00704647" w:rsidRPr="00704647">
        <w:rPr>
          <w:rFonts w:eastAsia="Times New Roman" w:cs="Times New Roman"/>
          <w:iCs/>
          <w:color w:val="000000"/>
          <w:szCs w:val="24"/>
        </w:rPr>
        <w:t>[2019] SGHC 280</w:t>
      </w:r>
      <w:r w:rsidR="00704647">
        <w:rPr>
          <w:rFonts w:eastAsia="Times New Roman" w:cs="Times New Roman"/>
          <w:iCs/>
          <w:color w:val="000000"/>
          <w:szCs w:val="24"/>
        </w:rPr>
        <w:t xml:space="preserve"> </w:t>
      </w:r>
      <w:r w:rsidR="001A13F6">
        <w:t>(“</w:t>
      </w:r>
      <w:r w:rsidR="001A13F6" w:rsidRPr="00704647">
        <w:rPr>
          <w:b/>
          <w:bCs/>
        </w:rPr>
        <w:t>Re Rooftop</w:t>
      </w:r>
      <w:r w:rsidR="001A13F6">
        <w:t>”)</w:t>
      </w:r>
      <w:r w:rsidR="007854EB">
        <w:t xml:space="preserve">, the applicants had sought recognition of ongoing US Chapter 11 </w:t>
      </w:r>
      <w:r w:rsidR="007854EB">
        <w:lastRenderedPageBreak/>
        <w:t xml:space="preserve">proceedings, either through Art 17 of the Model Law </w:t>
      </w:r>
      <w:r w:rsidR="00DA498E">
        <w:t xml:space="preserve">or through the common law. The Singapore High Court </w:t>
      </w:r>
      <w:r w:rsidR="004B1347">
        <w:t>granted recognition of the US Chapter 11 proceedings as a foreign non-main proceeding. However, when addressing the applicants’ alternative basis of common law recognition, the court held</w:t>
      </w:r>
      <w:r w:rsidR="00471302">
        <w:t xml:space="preserve"> (at [58])</w:t>
      </w:r>
      <w:r w:rsidR="004B1347">
        <w:t>:</w:t>
      </w:r>
    </w:p>
    <w:p w14:paraId="5346AB2B" w14:textId="0BB2E717" w:rsidR="006F79DE" w:rsidRDefault="006F79DE" w:rsidP="00C60E18">
      <w:pPr>
        <w:pStyle w:val="BodyParagraphs"/>
        <w:numPr>
          <w:ilvl w:val="0"/>
          <w:numId w:val="0"/>
        </w:numPr>
        <w:spacing w:after="240" w:line="240" w:lineRule="auto"/>
        <w:ind w:left="1134"/>
        <w:rPr>
          <w:rFonts w:eastAsia="Times New Roman" w:cs="Times New Roman"/>
          <w:iCs/>
          <w:color w:val="000000"/>
          <w:szCs w:val="24"/>
        </w:rPr>
      </w:pPr>
      <w:r w:rsidRPr="00BD1392">
        <w:rPr>
          <w:rFonts w:eastAsia="Times New Roman" w:cs="Times New Roman"/>
          <w:iCs/>
          <w:color w:val="000000"/>
          <w:szCs w:val="24"/>
        </w:rPr>
        <w:t xml:space="preserve"> </w:t>
      </w:r>
      <w:r w:rsidR="00BD1392" w:rsidRPr="00BD1392">
        <w:rPr>
          <w:rFonts w:eastAsia="Times New Roman" w:cs="Times New Roman"/>
          <w:iCs/>
          <w:color w:val="000000"/>
          <w:szCs w:val="24"/>
        </w:rPr>
        <w:t>58</w:t>
      </w:r>
      <w:r w:rsidR="00BD1392" w:rsidRPr="00BD1392">
        <w:rPr>
          <w:rFonts w:eastAsia="Times New Roman" w:cs="Times New Roman"/>
          <w:iCs/>
          <w:color w:val="000000"/>
          <w:szCs w:val="24"/>
        </w:rPr>
        <w:t> </w:t>
      </w:r>
      <w:r w:rsidR="00BD1392" w:rsidRPr="00BD1392">
        <w:rPr>
          <w:rFonts w:eastAsia="Times New Roman" w:cs="Times New Roman"/>
          <w:iCs/>
          <w:color w:val="000000"/>
          <w:szCs w:val="24"/>
        </w:rPr>
        <w:t>I do not consider that common law recognition is available in the present case. In general, where the Model Law is applicable to the subject matter, the court would be slow to allow common law recognition to be invoked as an alternative. The existence of a detailed recognition regime created by legislation displaces the need for common law doctrine to apply. Thus, in most, if not all, foreign corporate insolvency proceedings, recognition should be made under the Model Law. The invocation of the common law should only be for situations where recognition is not catered for by the Model Law, which would appear to be highly unlikely given its structure. I would thus see the scope for common law recognition to be limited to foreign personal bankruptcy proceedings, and little else besides.</w:t>
      </w:r>
    </w:p>
    <w:p w14:paraId="109CEBB8" w14:textId="60EB3D61" w:rsidR="000D33A6" w:rsidRPr="009B55D8" w:rsidRDefault="00867E87" w:rsidP="008916FE">
      <w:pPr>
        <w:pStyle w:val="BodyParagraphs"/>
        <w:spacing w:after="240" w:line="360" w:lineRule="auto"/>
        <w:rPr>
          <w:rFonts w:eastAsia="Times New Roman" w:cs="Times New Roman"/>
          <w:i/>
          <w:color w:val="000000"/>
          <w:szCs w:val="24"/>
          <w:lang w:val="x-none"/>
        </w:rPr>
      </w:pPr>
      <w:r w:rsidRPr="00C92900">
        <w:rPr>
          <w:rFonts w:eastAsia="Times New Roman" w:cs="Times New Roman"/>
          <w:iCs/>
          <w:color w:val="000000"/>
          <w:szCs w:val="24"/>
          <w:lang w:val="x-none"/>
        </w:rPr>
        <w:t xml:space="preserve">That being said, given that the Model Law as adopted by Singapore only covers corporate insolvencies, the common law </w:t>
      </w:r>
      <w:r w:rsidR="000B1801">
        <w:rPr>
          <w:rFonts w:eastAsia="Times New Roman" w:cs="Times New Roman"/>
          <w:iCs/>
          <w:color w:val="000000"/>
          <w:szCs w:val="24"/>
          <w:lang w:val="x-none"/>
        </w:rPr>
        <w:t>may</w:t>
      </w:r>
      <w:r w:rsidR="00277B68" w:rsidRPr="00C92900">
        <w:rPr>
          <w:rFonts w:eastAsia="Times New Roman" w:cs="Times New Roman"/>
          <w:iCs/>
          <w:color w:val="000000"/>
          <w:szCs w:val="24"/>
          <w:lang w:val="x-none"/>
        </w:rPr>
        <w:t xml:space="preserve"> </w:t>
      </w:r>
      <w:r w:rsidR="00C92900" w:rsidRPr="00C92900">
        <w:rPr>
          <w:rFonts w:eastAsia="Times New Roman" w:cs="Times New Roman"/>
          <w:iCs/>
          <w:color w:val="000000"/>
          <w:szCs w:val="24"/>
          <w:lang w:val="x-none"/>
        </w:rPr>
        <w:t xml:space="preserve">continue to </w:t>
      </w:r>
      <w:r w:rsidRPr="00C92900">
        <w:rPr>
          <w:rFonts w:eastAsia="Times New Roman" w:cs="Times New Roman"/>
          <w:iCs/>
          <w:color w:val="000000"/>
          <w:szCs w:val="24"/>
          <w:lang w:val="x-none"/>
        </w:rPr>
        <w:t xml:space="preserve">be relevant </w:t>
      </w:r>
      <w:r w:rsidR="00C92900" w:rsidRPr="00C92900">
        <w:rPr>
          <w:rFonts w:eastAsia="Times New Roman" w:cs="Times New Roman"/>
          <w:iCs/>
          <w:color w:val="000000"/>
          <w:szCs w:val="24"/>
          <w:lang w:val="x-none"/>
        </w:rPr>
        <w:t xml:space="preserve">in two ways, firstly, </w:t>
      </w:r>
      <w:r w:rsidR="00C92900">
        <w:rPr>
          <w:rFonts w:eastAsia="Times New Roman" w:cs="Times New Roman"/>
          <w:iCs/>
          <w:color w:val="000000"/>
          <w:szCs w:val="24"/>
          <w:lang w:val="x-none"/>
        </w:rPr>
        <w:t xml:space="preserve">in </w:t>
      </w:r>
      <w:r w:rsidR="00277B68" w:rsidRPr="00C92900">
        <w:rPr>
          <w:rFonts w:eastAsia="Times New Roman" w:cs="Times New Roman"/>
          <w:iCs/>
          <w:color w:val="000000"/>
          <w:szCs w:val="24"/>
          <w:lang w:val="x-none"/>
        </w:rPr>
        <w:t xml:space="preserve">cases involving </w:t>
      </w:r>
      <w:r w:rsidRPr="00C92900">
        <w:rPr>
          <w:rFonts w:eastAsia="Times New Roman" w:cs="Times New Roman"/>
          <w:iCs/>
          <w:color w:val="000000"/>
          <w:szCs w:val="24"/>
          <w:lang w:val="x-none"/>
        </w:rPr>
        <w:t>foreign bankruptcy proceedings and/or orders</w:t>
      </w:r>
      <w:r w:rsidR="00C92900">
        <w:rPr>
          <w:rFonts w:eastAsia="Times New Roman" w:cs="Times New Roman"/>
          <w:iCs/>
          <w:color w:val="000000"/>
          <w:szCs w:val="24"/>
          <w:lang w:val="x-none"/>
        </w:rPr>
        <w:t xml:space="preserve">; and second, </w:t>
      </w:r>
      <w:r w:rsidR="000C7E6F">
        <w:rPr>
          <w:rFonts w:eastAsia="Times New Roman" w:cs="Times New Roman"/>
          <w:iCs/>
          <w:color w:val="000000"/>
          <w:szCs w:val="24"/>
          <w:lang w:val="x-none"/>
        </w:rPr>
        <w:t xml:space="preserve">in cases where the Model Law does not apply, for example, cases involving the </w:t>
      </w:r>
      <w:r w:rsidR="00DF19DB">
        <w:rPr>
          <w:rFonts w:eastAsia="Times New Roman" w:cs="Times New Roman"/>
          <w:iCs/>
          <w:color w:val="000000"/>
          <w:szCs w:val="24"/>
          <w:lang w:val="x-none"/>
        </w:rPr>
        <w:t>insolvency of</w:t>
      </w:r>
      <w:r w:rsidR="00C60E18">
        <w:rPr>
          <w:rFonts w:eastAsia="Times New Roman" w:cs="Times New Roman"/>
          <w:iCs/>
          <w:color w:val="000000"/>
          <w:szCs w:val="24"/>
          <w:lang w:val="x-none"/>
        </w:rPr>
        <w:t xml:space="preserve"> foreign</w:t>
      </w:r>
      <w:r w:rsidR="00DF19DB">
        <w:rPr>
          <w:rFonts w:eastAsia="Times New Roman" w:cs="Times New Roman"/>
          <w:iCs/>
          <w:color w:val="000000"/>
          <w:szCs w:val="24"/>
          <w:lang w:val="x-none"/>
        </w:rPr>
        <w:t xml:space="preserve"> </w:t>
      </w:r>
      <w:r w:rsidR="00C60E18">
        <w:rPr>
          <w:rFonts w:eastAsia="Times New Roman" w:cs="Times New Roman"/>
          <w:iCs/>
          <w:color w:val="000000"/>
          <w:szCs w:val="24"/>
          <w:lang w:val="x-none"/>
        </w:rPr>
        <w:t xml:space="preserve">partnerships or </w:t>
      </w:r>
      <w:r w:rsidR="00DF19DB">
        <w:rPr>
          <w:rFonts w:eastAsia="Times New Roman" w:cs="Times New Roman"/>
          <w:iCs/>
          <w:color w:val="000000"/>
          <w:szCs w:val="24"/>
          <w:lang w:val="x-none"/>
        </w:rPr>
        <w:t xml:space="preserve">business trusts. </w:t>
      </w:r>
    </w:p>
    <w:p w14:paraId="0D161C06" w14:textId="468C0CFE" w:rsidR="002342A5" w:rsidRPr="00F704F3" w:rsidRDefault="002342A5" w:rsidP="00251A43">
      <w:pPr>
        <w:pStyle w:val="Heading2"/>
        <w:numPr>
          <w:ilvl w:val="2"/>
          <w:numId w:val="2"/>
        </w:numPr>
        <w:spacing w:after="240"/>
        <w:ind w:left="1701" w:hanging="578"/>
        <w:rPr>
          <w:rFonts w:eastAsiaTheme="minorHAnsi"/>
          <w:smallCaps w:val="0"/>
          <w:lang w:eastAsia="en-SG"/>
        </w:rPr>
      </w:pPr>
      <w:bookmarkStart w:id="11" w:name="_Toc160017545"/>
      <w:r w:rsidRPr="00F704F3">
        <w:rPr>
          <w:rFonts w:eastAsiaTheme="minorHAnsi"/>
          <w:smallCaps w:val="0"/>
          <w:lang w:eastAsia="en-SG"/>
        </w:rPr>
        <w:t xml:space="preserve">Foreign </w:t>
      </w:r>
      <w:r w:rsidR="00251A43" w:rsidRPr="00F704F3">
        <w:rPr>
          <w:rFonts w:eastAsiaTheme="minorHAnsi"/>
          <w:smallCaps w:val="0"/>
          <w:lang w:eastAsia="en-SG"/>
        </w:rPr>
        <w:t>bankruptcies</w:t>
      </w:r>
      <w:bookmarkEnd w:id="11"/>
      <w:r w:rsidRPr="00F704F3">
        <w:rPr>
          <w:rFonts w:eastAsiaTheme="minorHAnsi"/>
          <w:smallCaps w:val="0"/>
          <w:lang w:eastAsia="en-SG"/>
        </w:rPr>
        <w:t xml:space="preserve"> </w:t>
      </w:r>
    </w:p>
    <w:p w14:paraId="3BC14E9F" w14:textId="3832379A" w:rsidR="006E2DCD" w:rsidRDefault="003A3F36" w:rsidP="000664F5">
      <w:pPr>
        <w:pStyle w:val="BodyParagraphs"/>
        <w:spacing w:after="240" w:line="360" w:lineRule="auto"/>
        <w:rPr>
          <w:lang w:eastAsia="en-SG"/>
        </w:rPr>
      </w:pPr>
      <w:r w:rsidRPr="00A370C0">
        <w:rPr>
          <w:rFonts w:eastAsia="Times New Roman" w:cs="Times New Roman"/>
          <w:iCs/>
          <w:color w:val="000000"/>
          <w:szCs w:val="24"/>
          <w:lang w:val="x-none"/>
        </w:rPr>
        <w:t xml:space="preserve">In </w:t>
      </w:r>
      <w:proofErr w:type="spellStart"/>
      <w:r w:rsidRPr="00A370C0">
        <w:rPr>
          <w:rFonts w:eastAsia="Times New Roman" w:cs="Times New Roman"/>
          <w:iCs/>
          <w:color w:val="000000"/>
          <w:szCs w:val="24"/>
          <w:u w:val="single"/>
          <w:lang w:val="x-none"/>
        </w:rPr>
        <w:t>Heince</w:t>
      </w:r>
      <w:proofErr w:type="spellEnd"/>
      <w:r w:rsidRPr="00A370C0">
        <w:rPr>
          <w:rFonts w:eastAsia="Times New Roman" w:cs="Times New Roman"/>
          <w:iCs/>
          <w:color w:val="000000"/>
          <w:szCs w:val="24"/>
          <w:u w:val="single"/>
          <w:lang w:val="x-none"/>
        </w:rPr>
        <w:t xml:space="preserve"> </w:t>
      </w:r>
      <w:proofErr w:type="spellStart"/>
      <w:r w:rsidRPr="00A370C0">
        <w:rPr>
          <w:rFonts w:eastAsia="Times New Roman" w:cs="Times New Roman"/>
          <w:iCs/>
          <w:color w:val="000000"/>
          <w:szCs w:val="24"/>
          <w:u w:val="single"/>
          <w:lang w:val="x-none"/>
        </w:rPr>
        <w:t>Tombak</w:t>
      </w:r>
      <w:proofErr w:type="spellEnd"/>
      <w:r w:rsidRPr="00A370C0">
        <w:rPr>
          <w:rFonts w:eastAsia="Times New Roman" w:cs="Times New Roman"/>
          <w:iCs/>
          <w:color w:val="000000"/>
          <w:szCs w:val="24"/>
          <w:u w:val="single"/>
          <w:lang w:val="x-none"/>
        </w:rPr>
        <w:t xml:space="preserve"> Simanjuntak v Paulus </w:t>
      </w:r>
      <w:proofErr w:type="spellStart"/>
      <w:r w:rsidRPr="00A370C0">
        <w:rPr>
          <w:rFonts w:eastAsia="Times New Roman" w:cs="Times New Roman"/>
          <w:iCs/>
          <w:color w:val="000000"/>
          <w:szCs w:val="24"/>
          <w:u w:val="single"/>
          <w:lang w:val="x-none"/>
        </w:rPr>
        <w:t>Tannos</w:t>
      </w:r>
      <w:proofErr w:type="spellEnd"/>
      <w:r w:rsidR="00704647" w:rsidRPr="00704647">
        <w:rPr>
          <w:rFonts w:eastAsia="Times New Roman" w:cs="Times New Roman"/>
          <w:iCs/>
          <w:color w:val="000000"/>
          <w:szCs w:val="24"/>
          <w:lang w:val="x-none"/>
        </w:rPr>
        <w:t xml:space="preserve"> [2019] SGHC 216</w:t>
      </w:r>
      <w:r w:rsidRPr="00A370C0">
        <w:rPr>
          <w:rFonts w:eastAsia="Times New Roman" w:cs="Times New Roman"/>
          <w:iCs/>
          <w:color w:val="000000"/>
          <w:szCs w:val="24"/>
          <w:lang w:val="x-none"/>
        </w:rPr>
        <w:t xml:space="preserve">, </w:t>
      </w:r>
      <w:r w:rsidR="00806F71" w:rsidRPr="00A370C0">
        <w:rPr>
          <w:rFonts w:eastAsia="Times New Roman" w:cs="Times New Roman"/>
          <w:iCs/>
          <w:color w:val="000000"/>
          <w:szCs w:val="24"/>
          <w:lang w:val="x-none"/>
        </w:rPr>
        <w:t xml:space="preserve">the Singapore High Court </w:t>
      </w:r>
      <w:r w:rsidR="00F81714" w:rsidRPr="00A370C0">
        <w:rPr>
          <w:rFonts w:eastAsia="Times New Roman" w:cs="Times New Roman"/>
          <w:iCs/>
          <w:color w:val="000000"/>
          <w:szCs w:val="24"/>
          <w:lang w:val="x-none"/>
        </w:rPr>
        <w:t xml:space="preserve">held that the modified universalism principle as endorsed in </w:t>
      </w:r>
      <w:r w:rsidR="00F81714" w:rsidRPr="00A370C0">
        <w:rPr>
          <w:rFonts w:eastAsia="Times New Roman" w:cs="Times New Roman"/>
          <w:iCs/>
          <w:color w:val="000000"/>
          <w:szCs w:val="24"/>
          <w:u w:val="single"/>
          <w:lang w:val="x-none"/>
        </w:rPr>
        <w:t>Beluga</w:t>
      </w:r>
      <w:r w:rsidR="00F81714" w:rsidRPr="00A370C0">
        <w:rPr>
          <w:rFonts w:eastAsia="Times New Roman" w:cs="Times New Roman"/>
          <w:iCs/>
          <w:color w:val="000000"/>
          <w:szCs w:val="24"/>
          <w:lang w:val="x-none"/>
        </w:rPr>
        <w:t xml:space="preserve"> applied with equal force to personal bankruptcies.</w:t>
      </w:r>
      <w:r w:rsidR="00FA1D03" w:rsidRPr="00A370C0">
        <w:rPr>
          <w:rFonts w:eastAsia="Times New Roman" w:cs="Times New Roman"/>
          <w:iCs/>
          <w:color w:val="000000"/>
          <w:szCs w:val="24"/>
          <w:lang w:val="x-none"/>
        </w:rPr>
        <w:t xml:space="preserve"> The Court held that a foreign bankruptcy order would be recognised if the following requirements were made: first, </w:t>
      </w:r>
      <w:r w:rsidR="009848A9" w:rsidRPr="009848A9">
        <w:rPr>
          <w:lang w:eastAsia="en-SG"/>
        </w:rPr>
        <w:t>the foreign bankruptcy order is made by a court of competent jurisdiction</w:t>
      </w:r>
      <w:r w:rsidR="009848A9">
        <w:rPr>
          <w:lang w:eastAsia="en-SG"/>
        </w:rPr>
        <w:t>; second</w:t>
      </w:r>
      <w:r w:rsidR="009848A9" w:rsidRPr="009848A9">
        <w:rPr>
          <w:lang w:eastAsia="en-SG"/>
        </w:rPr>
        <w:t>, that court must have jurisdiction on the basis of</w:t>
      </w:r>
      <w:r w:rsidR="009848A9">
        <w:rPr>
          <w:lang w:eastAsia="en-SG"/>
        </w:rPr>
        <w:t xml:space="preserve"> </w:t>
      </w:r>
      <w:r w:rsidR="009848A9" w:rsidRPr="009848A9">
        <w:rPr>
          <w:lang w:eastAsia="en-SG"/>
        </w:rPr>
        <w:t>the debtor’s domicile or residence</w:t>
      </w:r>
      <w:r w:rsidR="009848A9">
        <w:rPr>
          <w:lang w:eastAsia="en-SG"/>
        </w:rPr>
        <w:t xml:space="preserve">, </w:t>
      </w:r>
      <w:r w:rsidR="009848A9" w:rsidRPr="009848A9">
        <w:rPr>
          <w:lang w:eastAsia="en-SG"/>
        </w:rPr>
        <w:t>or</w:t>
      </w:r>
      <w:r w:rsidR="009848A9">
        <w:rPr>
          <w:lang w:eastAsia="en-SG"/>
        </w:rPr>
        <w:t xml:space="preserve"> </w:t>
      </w:r>
      <w:r w:rsidR="009848A9" w:rsidRPr="009848A9">
        <w:rPr>
          <w:lang w:eastAsia="en-SG"/>
        </w:rPr>
        <w:t>submission by the debtor to the jurisdiction of the court</w:t>
      </w:r>
      <w:r w:rsidR="009848A9">
        <w:rPr>
          <w:lang w:eastAsia="en-SG"/>
        </w:rPr>
        <w:t>; t</w:t>
      </w:r>
      <w:r w:rsidR="009848A9" w:rsidRPr="009848A9">
        <w:rPr>
          <w:lang w:eastAsia="en-SG"/>
        </w:rPr>
        <w:t xml:space="preserve">hird, the foreign bankruptcy </w:t>
      </w:r>
      <w:r w:rsidR="009848A9" w:rsidRPr="009848A9">
        <w:rPr>
          <w:lang w:eastAsia="en-SG"/>
        </w:rPr>
        <w:lastRenderedPageBreak/>
        <w:t>order must be final and conclusive.</w:t>
      </w:r>
      <w:r w:rsidR="00F452A8">
        <w:rPr>
          <w:lang w:eastAsia="en-SG"/>
        </w:rPr>
        <w:t xml:space="preserve"> </w:t>
      </w:r>
      <w:r w:rsidR="006E2DCD">
        <w:rPr>
          <w:lang w:eastAsia="en-SG"/>
        </w:rPr>
        <w:t xml:space="preserve">The court was not convinced </w:t>
      </w:r>
      <w:r w:rsidR="00C17D63">
        <w:rPr>
          <w:lang w:eastAsia="en-SG"/>
        </w:rPr>
        <w:t xml:space="preserve">by the argument </w:t>
      </w:r>
      <w:r w:rsidR="00E442D1">
        <w:rPr>
          <w:lang w:eastAsia="en-SG"/>
        </w:rPr>
        <w:t xml:space="preserve">against the use of traditional recognition doctrine to bankruptcy orders because such are not judgments but bind the whole world.  </w:t>
      </w:r>
    </w:p>
    <w:p w14:paraId="4691CD3A" w14:textId="7589F94E" w:rsidR="00F24E18" w:rsidRDefault="00277B68" w:rsidP="006A78CE">
      <w:pPr>
        <w:pStyle w:val="BodyParagraphs"/>
        <w:spacing w:after="240" w:line="360" w:lineRule="auto"/>
        <w:rPr>
          <w:lang w:eastAsia="en-SG"/>
        </w:rPr>
      </w:pPr>
      <w:r>
        <w:rPr>
          <w:lang w:eastAsia="en-SG"/>
        </w:rPr>
        <w:t>T</w:t>
      </w:r>
      <w:r w:rsidR="00F53233">
        <w:rPr>
          <w:lang w:eastAsia="en-SG"/>
        </w:rPr>
        <w:t xml:space="preserve">his decision was subsequently overturned by the Court of Appeal on the basis </w:t>
      </w:r>
      <w:r w:rsidR="00A462C3">
        <w:rPr>
          <w:lang w:eastAsia="en-SG"/>
        </w:rPr>
        <w:t>that the foreign bankruptcy order in that case was obtained in breach of natural justice</w:t>
      </w:r>
      <w:r w:rsidR="00B5279A">
        <w:rPr>
          <w:rStyle w:val="FootnoteReference"/>
          <w:lang w:eastAsia="en-SG"/>
        </w:rPr>
        <w:footnoteReference w:id="28"/>
      </w:r>
      <w:r w:rsidR="00A462C3">
        <w:rPr>
          <w:lang w:eastAsia="en-SG"/>
        </w:rPr>
        <w:t xml:space="preserve">. </w:t>
      </w:r>
      <w:r>
        <w:rPr>
          <w:lang w:eastAsia="en-SG"/>
        </w:rPr>
        <w:t>However,</w:t>
      </w:r>
      <w:r w:rsidR="00E96715">
        <w:rPr>
          <w:lang w:eastAsia="en-SG"/>
        </w:rPr>
        <w:t xml:space="preserve"> it interesting to note that</w:t>
      </w:r>
      <w:r>
        <w:rPr>
          <w:lang w:eastAsia="en-SG"/>
        </w:rPr>
        <w:t xml:space="preserve"> the Court of Appeal </w:t>
      </w:r>
      <w:r w:rsidR="00697B88">
        <w:rPr>
          <w:lang w:eastAsia="en-SG"/>
        </w:rPr>
        <w:t xml:space="preserve">reserved its opinion </w:t>
      </w:r>
      <w:r w:rsidR="004D6BF4">
        <w:rPr>
          <w:lang w:eastAsia="en-SG"/>
        </w:rPr>
        <w:t xml:space="preserve">on the applicability of the “modified universalism” principle to bankruptcy orders: </w:t>
      </w:r>
      <w:r w:rsidR="00F24E18">
        <w:rPr>
          <w:lang w:eastAsia="en-SG"/>
        </w:rPr>
        <w:t xml:space="preserve"> </w:t>
      </w:r>
    </w:p>
    <w:p w14:paraId="064C1E93" w14:textId="4F8D388F" w:rsidR="009848A9" w:rsidRDefault="004D6BF4" w:rsidP="006A78CE">
      <w:pPr>
        <w:pStyle w:val="BodyParagraphs"/>
        <w:numPr>
          <w:ilvl w:val="0"/>
          <w:numId w:val="0"/>
        </w:numPr>
        <w:spacing w:after="240" w:line="360" w:lineRule="auto"/>
        <w:ind w:left="1134"/>
        <w:rPr>
          <w:lang w:eastAsia="en-SG"/>
        </w:rPr>
      </w:pPr>
      <w:r>
        <w:t>“</w:t>
      </w:r>
      <w:r w:rsidR="00F452A8">
        <w:t xml:space="preserve">22 Since the parties are in agreement on the applicable requirements, since there were no arguments before us on the points raised by the Judge and since the relevant jurisprudence concerning the recognition of foreign corporate insolvency orders at common law all stemmed from a single judge of the High Court (see [15] above), </w:t>
      </w:r>
      <w:r w:rsidR="00F452A8" w:rsidRPr="00737E66">
        <w:rPr>
          <w:b/>
          <w:bCs/>
        </w:rPr>
        <w:t>we do not venture into the philosophical questions relating to the true nature of a bankruptcy order and the principle of modified universalism in this context.</w:t>
      </w:r>
      <w:r w:rsidR="00F452A8">
        <w:t xml:space="preserve"> Instead, we leave open the question whether this reasoning is correct</w:t>
      </w:r>
      <w:r w:rsidR="007D0A53">
        <w:t>.</w:t>
      </w:r>
      <w:r w:rsidR="00F452A8">
        <w:t xml:space="preserve">” </w:t>
      </w:r>
      <w:r w:rsidR="00F452A8">
        <w:rPr>
          <w:lang w:eastAsia="en-SG"/>
        </w:rPr>
        <w:t xml:space="preserve"> </w:t>
      </w:r>
    </w:p>
    <w:p w14:paraId="75143ED2" w14:textId="7EDA3F6D" w:rsidR="00E1540D" w:rsidRDefault="00E1540D" w:rsidP="00E1540D">
      <w:pPr>
        <w:pStyle w:val="BodyParagraphs"/>
        <w:spacing w:after="240" w:line="360" w:lineRule="auto"/>
        <w:rPr>
          <w:lang w:eastAsia="en-SG"/>
        </w:rPr>
      </w:pPr>
      <w:r>
        <w:rPr>
          <w:lang w:eastAsia="en-SG"/>
        </w:rPr>
        <w:t xml:space="preserve">This was a “missed opportunity” </w:t>
      </w:r>
      <w:r w:rsidR="00711954">
        <w:rPr>
          <w:lang w:eastAsia="en-SG"/>
        </w:rPr>
        <w:t xml:space="preserve">for the courts to clarify, since its seminal decision in </w:t>
      </w:r>
      <w:r w:rsidR="00711954" w:rsidRPr="00C60E18">
        <w:rPr>
          <w:u w:val="single"/>
          <w:lang w:eastAsia="en-SG"/>
        </w:rPr>
        <w:t>Beluga</w:t>
      </w:r>
      <w:r w:rsidR="00711954">
        <w:rPr>
          <w:lang w:eastAsia="en-SG"/>
        </w:rPr>
        <w:t>, the scope of the principle of modified universalism, and whether it applies to foreign bankruptcy orders</w:t>
      </w:r>
      <w:r w:rsidR="00F05EEA">
        <w:rPr>
          <w:rStyle w:val="FootnoteReference"/>
          <w:lang w:eastAsia="en-SG"/>
        </w:rPr>
        <w:footnoteReference w:id="29"/>
      </w:r>
      <w:r w:rsidR="00642BC1">
        <w:rPr>
          <w:lang w:eastAsia="en-SG"/>
        </w:rPr>
        <w:t xml:space="preserve">. </w:t>
      </w:r>
      <w:r w:rsidR="00711954">
        <w:rPr>
          <w:lang w:eastAsia="en-SG"/>
        </w:rPr>
        <w:t xml:space="preserve"> </w:t>
      </w:r>
    </w:p>
    <w:p w14:paraId="5BB18277" w14:textId="1B2C150A" w:rsidR="00626080" w:rsidRPr="00F704F3" w:rsidRDefault="00D14667" w:rsidP="00F704F3">
      <w:pPr>
        <w:pStyle w:val="Heading2"/>
        <w:numPr>
          <w:ilvl w:val="2"/>
          <w:numId w:val="2"/>
        </w:numPr>
        <w:spacing w:after="240"/>
        <w:ind w:left="1701" w:hanging="578"/>
        <w:rPr>
          <w:smallCaps w:val="0"/>
          <w:lang w:eastAsia="en-SG"/>
        </w:rPr>
      </w:pPr>
      <w:bookmarkStart w:id="12" w:name="_Toc160017546"/>
      <w:r w:rsidRPr="00F704F3">
        <w:rPr>
          <w:smallCaps w:val="0"/>
          <w:lang w:eastAsia="en-SG"/>
        </w:rPr>
        <w:t xml:space="preserve">Cases in which Model Law does not </w:t>
      </w:r>
      <w:proofErr w:type="gramStart"/>
      <w:r w:rsidRPr="00F704F3">
        <w:rPr>
          <w:smallCaps w:val="0"/>
          <w:lang w:eastAsia="en-SG"/>
        </w:rPr>
        <w:t>apply</w:t>
      </w:r>
      <w:bookmarkEnd w:id="12"/>
      <w:proofErr w:type="gramEnd"/>
      <w:r w:rsidRPr="00F704F3">
        <w:rPr>
          <w:smallCaps w:val="0"/>
          <w:lang w:eastAsia="en-SG"/>
        </w:rPr>
        <w:t xml:space="preserve"> </w:t>
      </w:r>
    </w:p>
    <w:p w14:paraId="57DCAB85" w14:textId="3C68D10D" w:rsidR="00F704F3" w:rsidRDefault="005207BF" w:rsidP="005761ED">
      <w:pPr>
        <w:pStyle w:val="BodyParagraphs"/>
        <w:spacing w:after="240" w:line="360" w:lineRule="auto"/>
        <w:ind w:left="567" w:hanging="567"/>
        <w:rPr>
          <w:lang w:eastAsia="en-SG"/>
        </w:rPr>
      </w:pPr>
      <w:r>
        <w:rPr>
          <w:lang w:eastAsia="en-SG"/>
        </w:rPr>
        <w:t xml:space="preserve">The Model Law as enacted in Singapore </w:t>
      </w:r>
      <w:r w:rsidR="00AB41B1">
        <w:rPr>
          <w:lang w:eastAsia="en-SG"/>
        </w:rPr>
        <w:t xml:space="preserve">only applies to body corporates. The Model Law as enacted </w:t>
      </w:r>
      <w:r w:rsidR="00DF028D">
        <w:rPr>
          <w:lang w:eastAsia="en-SG"/>
        </w:rPr>
        <w:t xml:space="preserve">in Singapore specifically defines </w:t>
      </w:r>
      <w:r>
        <w:rPr>
          <w:lang w:eastAsia="en-SG"/>
        </w:rPr>
        <w:t>“</w:t>
      </w:r>
      <w:r w:rsidRPr="00DF028D">
        <w:rPr>
          <w:i/>
          <w:iCs/>
          <w:lang w:eastAsia="en-SG"/>
        </w:rPr>
        <w:t>debtor</w:t>
      </w:r>
      <w:r>
        <w:rPr>
          <w:lang w:eastAsia="en-SG"/>
        </w:rPr>
        <w:t xml:space="preserve">” </w:t>
      </w:r>
      <w:r w:rsidR="00351809">
        <w:rPr>
          <w:lang w:eastAsia="en-SG"/>
        </w:rPr>
        <w:t>to mean “</w:t>
      </w:r>
      <w:r w:rsidR="00351809" w:rsidRPr="00DF028D">
        <w:rPr>
          <w:i/>
          <w:iCs/>
          <w:lang w:eastAsia="en-SG"/>
        </w:rPr>
        <w:t>corporation</w:t>
      </w:r>
      <w:r w:rsidR="00351809">
        <w:rPr>
          <w:lang w:eastAsia="en-SG"/>
        </w:rPr>
        <w:t>”</w:t>
      </w:r>
      <w:r w:rsidR="0020574F">
        <w:rPr>
          <w:rStyle w:val="FootnoteReference"/>
          <w:lang w:eastAsia="en-SG"/>
        </w:rPr>
        <w:footnoteReference w:id="30"/>
      </w:r>
      <w:r w:rsidR="00DF028D">
        <w:rPr>
          <w:lang w:eastAsia="en-SG"/>
        </w:rPr>
        <w:t>, which is</w:t>
      </w:r>
      <w:r w:rsidR="001E0F4F">
        <w:rPr>
          <w:lang w:eastAsia="en-SG"/>
        </w:rPr>
        <w:t xml:space="preserve"> in turn defined in the Companies Act </w:t>
      </w:r>
      <w:r w:rsidR="00AB41B1">
        <w:rPr>
          <w:lang w:eastAsia="en-SG"/>
        </w:rPr>
        <w:t xml:space="preserve">1967 to mean </w:t>
      </w:r>
      <w:r w:rsidR="00AB41B1">
        <w:rPr>
          <w:lang w:eastAsia="en-SG"/>
        </w:rPr>
        <w:lastRenderedPageBreak/>
        <w:t>“</w:t>
      </w:r>
      <w:r w:rsidR="00AB41B1" w:rsidRPr="00DF028D">
        <w:rPr>
          <w:i/>
          <w:iCs/>
          <w:lang w:eastAsia="en-SG"/>
        </w:rPr>
        <w:t>any body corporate formed or incorporated or existing in Singapore or outside Singapore and includes any foreign company</w:t>
      </w:r>
      <w:r w:rsidR="00DF028D" w:rsidRPr="00DF028D">
        <w:rPr>
          <w:i/>
          <w:iCs/>
          <w:lang w:eastAsia="en-SG"/>
        </w:rPr>
        <w:t xml:space="preserve"> </w:t>
      </w:r>
      <w:r w:rsidR="00AB41B1" w:rsidRPr="00DF028D">
        <w:rPr>
          <w:i/>
          <w:iCs/>
          <w:lang w:eastAsia="en-SG"/>
        </w:rPr>
        <w:t>…”</w:t>
      </w:r>
      <w:r w:rsidR="005761ED">
        <w:rPr>
          <w:rStyle w:val="FootnoteReference"/>
          <w:i/>
          <w:iCs/>
          <w:lang w:eastAsia="en-SG"/>
        </w:rPr>
        <w:footnoteReference w:id="31"/>
      </w:r>
      <w:r w:rsidR="00AB41B1" w:rsidRPr="00DF028D">
        <w:rPr>
          <w:i/>
          <w:iCs/>
          <w:lang w:eastAsia="en-SG"/>
        </w:rPr>
        <w:t xml:space="preserve">. </w:t>
      </w:r>
      <w:r w:rsidR="00DF028D">
        <w:rPr>
          <w:lang w:eastAsia="en-SG"/>
        </w:rPr>
        <w:t xml:space="preserve">Hence, there are a range of cases in which Model Law does not apply, including the insolvency any business trusts and partnerships. </w:t>
      </w:r>
    </w:p>
    <w:p w14:paraId="175922CE" w14:textId="04414ABB" w:rsidR="00D14667" w:rsidRDefault="00F704F3" w:rsidP="005761ED">
      <w:pPr>
        <w:pStyle w:val="BodyParagraphs"/>
        <w:spacing w:after="240" w:line="360" w:lineRule="auto"/>
        <w:ind w:left="567" w:hanging="567"/>
        <w:rPr>
          <w:lang w:eastAsia="en-SG"/>
        </w:rPr>
      </w:pPr>
      <w:r>
        <w:rPr>
          <w:lang w:eastAsia="en-SG"/>
        </w:rPr>
        <w:t xml:space="preserve">The common law will continue to be relevant in such cases. </w:t>
      </w:r>
      <w:r w:rsidR="00DF028D">
        <w:rPr>
          <w:lang w:eastAsia="en-SG"/>
        </w:rPr>
        <w:t xml:space="preserve"> </w:t>
      </w:r>
    </w:p>
    <w:p w14:paraId="53F955BA" w14:textId="77777777" w:rsidR="00032108" w:rsidRDefault="00032108" w:rsidP="00E25908">
      <w:pPr>
        <w:pStyle w:val="Heading1"/>
        <w:rPr>
          <w:sz w:val="36"/>
        </w:rPr>
      </w:pPr>
      <w:bookmarkStart w:id="13" w:name="_Toc160017547"/>
      <w:r>
        <w:t>Conclusion</w:t>
      </w:r>
      <w:bookmarkEnd w:id="13"/>
    </w:p>
    <w:p w14:paraId="42DC816B" w14:textId="77777777" w:rsidR="008D26DB" w:rsidRDefault="000E6188" w:rsidP="00BD1A48">
      <w:pPr>
        <w:pStyle w:val="BodyParagraphs"/>
        <w:spacing w:after="240" w:line="360" w:lineRule="auto"/>
        <w:ind w:left="567" w:hanging="567"/>
        <w:rPr>
          <w:rFonts w:cs="Times New Roman"/>
          <w:color w:val="1F1F1F"/>
        </w:rPr>
      </w:pPr>
      <w:r w:rsidRPr="00BF677F">
        <w:rPr>
          <w:rFonts w:cs="Times New Roman"/>
          <w:color w:val="1F1F1F"/>
        </w:rPr>
        <w:t>D</w:t>
      </w:r>
      <w:r w:rsidR="00032108" w:rsidRPr="00BF677F">
        <w:rPr>
          <w:rFonts w:cs="Times New Roman"/>
          <w:color w:val="1F1F1F"/>
        </w:rPr>
        <w:t>espite the historical dominance of the "modified universalism" principle in common law, its application has witnessed significant fluctuations</w:t>
      </w:r>
      <w:r w:rsidR="00BF677F" w:rsidRPr="00BF677F">
        <w:rPr>
          <w:rFonts w:cs="Times New Roman"/>
          <w:color w:val="1F1F1F"/>
        </w:rPr>
        <w:t xml:space="preserve"> especially in recent times. </w:t>
      </w:r>
    </w:p>
    <w:p w14:paraId="1F5AA68D" w14:textId="512DB65C" w:rsidR="00701466" w:rsidRPr="008761C8" w:rsidRDefault="003F1E96" w:rsidP="005D0E5E">
      <w:pPr>
        <w:pStyle w:val="BodyParagraphs"/>
        <w:spacing w:after="240" w:line="360" w:lineRule="auto"/>
        <w:ind w:left="567" w:hanging="567"/>
        <w:rPr>
          <w:rFonts w:cs="Times New Roman"/>
          <w:color w:val="1F1F1F"/>
        </w:rPr>
      </w:pPr>
      <w:r w:rsidRPr="008761C8">
        <w:rPr>
          <w:rFonts w:cs="Times New Roman"/>
          <w:color w:val="1F1F1F"/>
        </w:rPr>
        <w:t>Lord Hoffman’s expansive interpretation of the “modified universalism” principle was short</w:t>
      </w:r>
      <w:r w:rsidR="008D26DB" w:rsidRPr="008761C8">
        <w:rPr>
          <w:rFonts w:cs="Times New Roman"/>
          <w:color w:val="1F1F1F"/>
        </w:rPr>
        <w:t>-</w:t>
      </w:r>
      <w:r w:rsidRPr="008761C8">
        <w:rPr>
          <w:rFonts w:cs="Times New Roman"/>
          <w:color w:val="1F1F1F"/>
        </w:rPr>
        <w:t>lived</w:t>
      </w:r>
      <w:r w:rsidR="008D26DB" w:rsidRPr="008761C8">
        <w:rPr>
          <w:rFonts w:cs="Times New Roman"/>
          <w:color w:val="1F1F1F"/>
        </w:rPr>
        <w:t xml:space="preserve">, </w:t>
      </w:r>
      <w:r w:rsidR="002F4B8C" w:rsidRPr="008761C8">
        <w:rPr>
          <w:rFonts w:cs="Times New Roman"/>
          <w:color w:val="1F1F1F"/>
        </w:rPr>
        <w:t xml:space="preserve">with the English Courts shifting to a </w:t>
      </w:r>
      <w:r w:rsidRPr="008761C8">
        <w:rPr>
          <w:rFonts w:cs="Times New Roman"/>
          <w:color w:val="1F1F1F"/>
        </w:rPr>
        <w:t>more conservative approach, effectively prioritizing adherence to statutory frameworks and limitations on jurisdiction</w:t>
      </w:r>
      <w:r w:rsidR="002F4B8C" w:rsidRPr="008761C8">
        <w:rPr>
          <w:rFonts w:cs="Times New Roman"/>
          <w:color w:val="1F1F1F"/>
        </w:rPr>
        <w:t>. This has</w:t>
      </w:r>
      <w:r w:rsidR="006A3C66" w:rsidRPr="008761C8">
        <w:rPr>
          <w:rFonts w:cs="Times New Roman"/>
          <w:color w:val="1F1F1F"/>
        </w:rPr>
        <w:t xml:space="preserve"> presented an opportunity for the Singapore courts to forge its own path forward. Unlike the </w:t>
      </w:r>
      <w:r w:rsidR="00032108" w:rsidRPr="008761C8">
        <w:rPr>
          <w:rFonts w:cs="Times New Roman"/>
          <w:color w:val="1F1F1F"/>
        </w:rPr>
        <w:t>English courts</w:t>
      </w:r>
      <w:r w:rsidR="006A3C66" w:rsidRPr="008761C8">
        <w:rPr>
          <w:rFonts w:cs="Times New Roman"/>
          <w:color w:val="1F1F1F"/>
        </w:rPr>
        <w:t xml:space="preserve">, the Singapore </w:t>
      </w:r>
      <w:r w:rsidR="006A3C66" w:rsidRPr="008761C8">
        <w:rPr>
          <w:rFonts w:cs="Times New Roman"/>
          <w:lang w:eastAsia="en-SG"/>
        </w:rPr>
        <w:t>courts</w:t>
      </w:r>
      <w:r w:rsidR="006A3C66" w:rsidRPr="008761C8">
        <w:rPr>
          <w:rFonts w:cs="Times New Roman"/>
          <w:color w:val="1F1F1F"/>
        </w:rPr>
        <w:t xml:space="preserve"> have displayed a greater willingness to embrace Lord Hoffman's expansive interpretation of this principl</w:t>
      </w:r>
      <w:r w:rsidR="005C76DB" w:rsidRPr="008761C8">
        <w:rPr>
          <w:rFonts w:cs="Times New Roman"/>
          <w:color w:val="1F1F1F"/>
        </w:rPr>
        <w:t xml:space="preserve">e, potentially setting the example for other common law jurisdiction seeking to embrace the </w:t>
      </w:r>
      <w:r w:rsidR="00120336" w:rsidRPr="008761C8">
        <w:rPr>
          <w:rFonts w:cs="Times New Roman"/>
          <w:color w:val="1F1F1F"/>
        </w:rPr>
        <w:t xml:space="preserve">more modern, pro-universalist </w:t>
      </w:r>
      <w:r w:rsidR="008761C8" w:rsidRPr="008761C8">
        <w:rPr>
          <w:rFonts w:cs="Times New Roman"/>
          <w:color w:val="1F1F1F"/>
        </w:rPr>
        <w:t xml:space="preserve">philosophy, in the field of cross-border insolvency. </w:t>
      </w:r>
      <w:r w:rsidR="006A3C66" w:rsidRPr="008761C8">
        <w:rPr>
          <w:rFonts w:cs="Times New Roman"/>
          <w:color w:val="1F1F1F"/>
        </w:rPr>
        <w:t xml:space="preserve">However, with the adoption of the UNCITRAL Model Law in Singapore, the role of the common law in cross-border insolvency cases has been significantly reduced, likely relegating it to situations not explicitly covered by the Model Law.  </w:t>
      </w:r>
    </w:p>
    <w:p w14:paraId="6A5C256A" w14:textId="77777777" w:rsidR="00701466" w:rsidRDefault="00701466">
      <w:pPr>
        <w:spacing w:after="160" w:line="259" w:lineRule="auto"/>
        <w:rPr>
          <w:rFonts w:cs="Times New Roman"/>
          <w:color w:val="1F1F1F"/>
        </w:rPr>
      </w:pPr>
      <w:r>
        <w:rPr>
          <w:rFonts w:cs="Times New Roman"/>
          <w:color w:val="1F1F1F"/>
        </w:rPr>
        <w:br w:type="page"/>
      </w:r>
    </w:p>
    <w:p w14:paraId="54811FA6" w14:textId="34ED9472" w:rsidR="00B7247B" w:rsidRDefault="00B7247B" w:rsidP="00B7247B">
      <w:pPr>
        <w:pStyle w:val="Heading1"/>
      </w:pPr>
      <w:r>
        <w:lastRenderedPageBreak/>
        <w:t xml:space="preserve">Bibliography </w:t>
      </w:r>
    </w:p>
    <w:p w14:paraId="4801346C" w14:textId="2536C1B2" w:rsidR="00B7247B" w:rsidRPr="00B7247B" w:rsidRDefault="00B7247B" w:rsidP="00B7247B">
      <w:pPr>
        <w:pStyle w:val="ListParagraph"/>
        <w:spacing w:after="160"/>
        <w:ind w:left="0"/>
        <w:rPr>
          <w:rFonts w:cs="Times New Roman"/>
          <w:b/>
          <w:bCs/>
          <w:szCs w:val="24"/>
        </w:rPr>
      </w:pPr>
      <w:r w:rsidRPr="00B7247B">
        <w:rPr>
          <w:rFonts w:cs="Times New Roman"/>
          <w:b/>
          <w:bCs/>
          <w:szCs w:val="24"/>
        </w:rPr>
        <w:t xml:space="preserve">Cases cited: </w:t>
      </w:r>
    </w:p>
    <w:p w14:paraId="79C63E70" w14:textId="77777777" w:rsidR="00B7247B" w:rsidRPr="00B7247B" w:rsidRDefault="00B7247B" w:rsidP="00B7247B">
      <w:pPr>
        <w:pStyle w:val="ListParagraph"/>
        <w:spacing w:after="160"/>
        <w:ind w:left="567" w:hanging="567"/>
        <w:rPr>
          <w:rFonts w:cs="Times New Roman"/>
          <w:szCs w:val="24"/>
        </w:rPr>
      </w:pPr>
    </w:p>
    <w:p w14:paraId="12BBAD78" w14:textId="24907264" w:rsidR="00B7247B" w:rsidRPr="00B7247B" w:rsidRDefault="00B7247B" w:rsidP="00B7247B">
      <w:pPr>
        <w:pStyle w:val="ListParagraph"/>
        <w:numPr>
          <w:ilvl w:val="0"/>
          <w:numId w:val="10"/>
        </w:numPr>
        <w:spacing w:after="160"/>
        <w:ind w:left="567" w:hanging="567"/>
        <w:rPr>
          <w:rFonts w:cs="Times New Roman"/>
          <w:szCs w:val="24"/>
        </w:rPr>
      </w:pPr>
      <w:r w:rsidRPr="00B7247B">
        <w:rPr>
          <w:rFonts w:eastAsia="Times New Roman" w:cs="Times New Roman"/>
          <w:iCs/>
          <w:color w:val="000000"/>
          <w:szCs w:val="24"/>
        </w:rPr>
        <w:t>Solomons v Ross</w:t>
      </w:r>
      <w:r w:rsidRPr="00B7247B">
        <w:rPr>
          <w:rFonts w:cs="Times New Roman"/>
          <w:iCs/>
          <w:szCs w:val="24"/>
        </w:rPr>
        <w:t xml:space="preserve"> </w:t>
      </w:r>
      <w:r w:rsidRPr="00B7247B">
        <w:rPr>
          <w:rFonts w:cs="Times New Roman"/>
          <w:szCs w:val="24"/>
        </w:rPr>
        <w:t>(1764) 1 H B1 131n</w:t>
      </w:r>
    </w:p>
    <w:p w14:paraId="5B42C0B3"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rPr>
      </w:pPr>
      <w:r w:rsidRPr="00B7247B">
        <w:rPr>
          <w:rFonts w:eastAsia="Times New Roman" w:cs="Times New Roman"/>
          <w:iCs/>
          <w:color w:val="000000"/>
          <w:szCs w:val="24"/>
        </w:rPr>
        <w:t xml:space="preserve">Re HIH Casualty and </w:t>
      </w:r>
      <w:r w:rsidRPr="00B7247B">
        <w:rPr>
          <w:rFonts w:cs="Times New Roman"/>
          <w:szCs w:val="24"/>
        </w:rPr>
        <w:t>General</w:t>
      </w:r>
      <w:r w:rsidRPr="00B7247B">
        <w:rPr>
          <w:rFonts w:eastAsia="Times New Roman" w:cs="Times New Roman"/>
          <w:iCs/>
          <w:color w:val="000000"/>
          <w:szCs w:val="24"/>
        </w:rPr>
        <w:t xml:space="preserve"> Insurance [2008] 1 WLR 852</w:t>
      </w:r>
    </w:p>
    <w:p w14:paraId="0DBDD600"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rPr>
      </w:pPr>
      <w:r w:rsidRPr="00B7247B">
        <w:rPr>
          <w:rFonts w:eastAsia="Times New Roman" w:cs="Times New Roman"/>
          <w:iCs/>
          <w:color w:val="000000"/>
          <w:szCs w:val="24"/>
        </w:rPr>
        <w:t>Cambridge Gas Transport Corporation v The Official Committee of Unsecured Creditors (of Navigator Holdings PLC and others) [2007] 1 AC 508</w:t>
      </w:r>
    </w:p>
    <w:p w14:paraId="6F026857" w14:textId="77777777" w:rsidR="00B7247B" w:rsidRPr="00B7247B" w:rsidRDefault="00B7247B" w:rsidP="00B7247B">
      <w:pPr>
        <w:pStyle w:val="ListParagraph"/>
        <w:numPr>
          <w:ilvl w:val="0"/>
          <w:numId w:val="10"/>
        </w:numPr>
        <w:spacing w:after="160"/>
        <w:ind w:left="567" w:hanging="567"/>
        <w:rPr>
          <w:rFonts w:cs="Times New Roman"/>
          <w:szCs w:val="24"/>
          <w:lang w:val="it-IT"/>
        </w:rPr>
      </w:pPr>
      <w:r w:rsidRPr="00B7247B">
        <w:rPr>
          <w:rFonts w:eastAsia="Times New Roman" w:cs="Times New Roman"/>
          <w:iCs/>
          <w:color w:val="000000"/>
          <w:szCs w:val="24"/>
          <w:lang w:val="it-IT"/>
        </w:rPr>
        <w:t>Rubin v Euro Finance SA</w:t>
      </w:r>
      <w:r w:rsidRPr="00B7247B">
        <w:rPr>
          <w:rFonts w:eastAsia="Times New Roman" w:cs="Times New Roman"/>
          <w:i/>
          <w:color w:val="000000"/>
          <w:szCs w:val="24"/>
          <w:lang w:val="it-IT"/>
        </w:rPr>
        <w:t xml:space="preserve"> </w:t>
      </w:r>
      <w:r w:rsidRPr="00B7247B">
        <w:rPr>
          <w:rFonts w:eastAsia="Times New Roman" w:cs="Times New Roman"/>
          <w:iCs/>
          <w:color w:val="000000"/>
          <w:szCs w:val="24"/>
          <w:lang w:val="it-IT"/>
        </w:rPr>
        <w:t>[2012] UKSC 46</w:t>
      </w:r>
    </w:p>
    <w:p w14:paraId="55EE0330" w14:textId="77777777" w:rsidR="00B7247B" w:rsidRPr="00B7247B" w:rsidRDefault="00B7247B" w:rsidP="00B7247B">
      <w:pPr>
        <w:pStyle w:val="ListParagraph"/>
        <w:numPr>
          <w:ilvl w:val="0"/>
          <w:numId w:val="10"/>
        </w:numPr>
        <w:spacing w:after="160"/>
        <w:ind w:left="567" w:hanging="567"/>
        <w:rPr>
          <w:rFonts w:cs="Times New Roman"/>
          <w:szCs w:val="24"/>
        </w:rPr>
      </w:pPr>
      <w:proofErr w:type="spellStart"/>
      <w:r w:rsidRPr="00B7247B">
        <w:rPr>
          <w:rFonts w:cs="Times New Roman"/>
          <w:szCs w:val="24"/>
        </w:rPr>
        <w:t>Singularis</w:t>
      </w:r>
      <w:proofErr w:type="spellEnd"/>
      <w:r w:rsidRPr="00B7247B">
        <w:rPr>
          <w:rFonts w:cs="Times New Roman"/>
          <w:szCs w:val="24"/>
        </w:rPr>
        <w:t xml:space="preserve"> Holdings Limited v PricewaterhouseCoopers [2014] UKPC 36    </w:t>
      </w:r>
    </w:p>
    <w:p w14:paraId="597A5F8E"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rPr>
      </w:pPr>
      <w:r w:rsidRPr="00B7247B">
        <w:rPr>
          <w:rFonts w:eastAsia="Times New Roman" w:cs="Times New Roman"/>
          <w:iCs/>
          <w:color w:val="000000"/>
          <w:szCs w:val="24"/>
        </w:rPr>
        <w:t>Beluga Chartering GmbH (in liquidation) and others v Beluga Projects (Singapore) Pte Ltd (in liquidation) and another (</w:t>
      </w:r>
      <w:proofErr w:type="spellStart"/>
      <w:r w:rsidRPr="00B7247B">
        <w:rPr>
          <w:rFonts w:eastAsia="Times New Roman" w:cs="Times New Roman"/>
          <w:iCs/>
          <w:color w:val="000000"/>
          <w:szCs w:val="24"/>
        </w:rPr>
        <w:t>deugro</w:t>
      </w:r>
      <w:proofErr w:type="spellEnd"/>
      <w:r w:rsidRPr="00B7247B">
        <w:rPr>
          <w:rFonts w:eastAsia="Times New Roman" w:cs="Times New Roman"/>
          <w:iCs/>
          <w:color w:val="000000"/>
          <w:szCs w:val="24"/>
        </w:rPr>
        <w:t xml:space="preserve"> (Singapore) Pte Ltd, non-party) [2014] 2 SLR 815</w:t>
      </w:r>
    </w:p>
    <w:p w14:paraId="0615E7EE" w14:textId="77777777" w:rsidR="00B7247B" w:rsidRPr="00B7247B" w:rsidRDefault="00B7247B" w:rsidP="00B7247B">
      <w:pPr>
        <w:pStyle w:val="ListParagraph"/>
        <w:numPr>
          <w:ilvl w:val="0"/>
          <w:numId w:val="10"/>
        </w:numPr>
        <w:spacing w:after="160"/>
        <w:ind w:left="567" w:hanging="567"/>
        <w:rPr>
          <w:rFonts w:cs="Times New Roman"/>
          <w:iCs/>
          <w:szCs w:val="24"/>
        </w:rPr>
      </w:pPr>
      <w:r w:rsidRPr="00B7247B">
        <w:rPr>
          <w:rFonts w:eastAsia="Times New Roman" w:cs="Times New Roman"/>
          <w:iCs/>
          <w:color w:val="000000"/>
          <w:szCs w:val="24"/>
        </w:rPr>
        <w:t>Re Opti-Medix Ltd (in liquidation) and another matter [2016] 4 SLR 312</w:t>
      </w:r>
    </w:p>
    <w:p w14:paraId="7744FA39"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rPr>
      </w:pPr>
      <w:r w:rsidRPr="00B7247B">
        <w:rPr>
          <w:rFonts w:eastAsia="Times New Roman" w:cs="Times New Roman"/>
          <w:iCs/>
          <w:color w:val="000000"/>
          <w:szCs w:val="24"/>
        </w:rPr>
        <w:t xml:space="preserve">Re </w:t>
      </w:r>
      <w:proofErr w:type="spellStart"/>
      <w:r w:rsidRPr="00B7247B">
        <w:rPr>
          <w:rFonts w:eastAsia="Times New Roman" w:cs="Times New Roman"/>
          <w:iCs/>
          <w:color w:val="000000"/>
          <w:szCs w:val="24"/>
        </w:rPr>
        <w:t>Taisoo</w:t>
      </w:r>
      <w:proofErr w:type="spellEnd"/>
      <w:r w:rsidRPr="00B7247B">
        <w:rPr>
          <w:rFonts w:eastAsia="Times New Roman" w:cs="Times New Roman"/>
          <w:iCs/>
          <w:color w:val="000000"/>
          <w:szCs w:val="24"/>
        </w:rPr>
        <w:t xml:space="preserve"> Suk [2016] 5 SLR 0787</w:t>
      </w:r>
    </w:p>
    <w:p w14:paraId="3D4FFBC6"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rPr>
      </w:pPr>
      <w:r w:rsidRPr="00B7247B">
        <w:rPr>
          <w:rFonts w:cs="Times New Roman"/>
          <w:szCs w:val="24"/>
        </w:rPr>
        <w:t xml:space="preserve">Re Rooftop Group </w:t>
      </w:r>
      <w:r w:rsidRPr="00B7247B">
        <w:rPr>
          <w:rFonts w:eastAsia="Times New Roman" w:cs="Times New Roman"/>
          <w:iCs/>
          <w:color w:val="000000"/>
          <w:szCs w:val="24"/>
        </w:rPr>
        <w:t>International Pte Ltd [2019] SGHC 280</w:t>
      </w:r>
    </w:p>
    <w:p w14:paraId="3BFA77D2"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lang w:val="x-none"/>
        </w:rPr>
      </w:pPr>
      <w:proofErr w:type="spellStart"/>
      <w:r w:rsidRPr="00B7247B">
        <w:rPr>
          <w:rFonts w:eastAsia="Times New Roman" w:cs="Times New Roman"/>
          <w:iCs/>
          <w:color w:val="000000"/>
          <w:szCs w:val="24"/>
          <w:lang w:val="x-none"/>
        </w:rPr>
        <w:t>Heince</w:t>
      </w:r>
      <w:proofErr w:type="spellEnd"/>
      <w:r w:rsidRPr="00B7247B">
        <w:rPr>
          <w:rFonts w:eastAsia="Times New Roman" w:cs="Times New Roman"/>
          <w:iCs/>
          <w:color w:val="000000"/>
          <w:szCs w:val="24"/>
          <w:lang w:val="x-none"/>
        </w:rPr>
        <w:t xml:space="preserve"> </w:t>
      </w:r>
      <w:proofErr w:type="spellStart"/>
      <w:r w:rsidRPr="00B7247B">
        <w:rPr>
          <w:rFonts w:eastAsia="Times New Roman" w:cs="Times New Roman"/>
          <w:iCs/>
          <w:color w:val="000000"/>
          <w:szCs w:val="24"/>
          <w:lang w:val="x-none"/>
        </w:rPr>
        <w:t>Tombak</w:t>
      </w:r>
      <w:proofErr w:type="spellEnd"/>
      <w:r w:rsidRPr="00B7247B">
        <w:rPr>
          <w:rFonts w:eastAsia="Times New Roman" w:cs="Times New Roman"/>
          <w:iCs/>
          <w:color w:val="000000"/>
          <w:szCs w:val="24"/>
          <w:lang w:val="x-none"/>
        </w:rPr>
        <w:t xml:space="preserve"> Simanjuntak and others v Paulus </w:t>
      </w:r>
      <w:proofErr w:type="spellStart"/>
      <w:r w:rsidRPr="00B7247B">
        <w:rPr>
          <w:rFonts w:eastAsia="Times New Roman" w:cs="Times New Roman"/>
          <w:iCs/>
          <w:color w:val="000000"/>
          <w:szCs w:val="24"/>
          <w:lang w:val="x-none"/>
        </w:rPr>
        <w:t>Tannos</w:t>
      </w:r>
      <w:proofErr w:type="spellEnd"/>
      <w:r w:rsidRPr="00B7247B">
        <w:rPr>
          <w:rFonts w:eastAsia="Times New Roman" w:cs="Times New Roman"/>
          <w:iCs/>
          <w:color w:val="000000"/>
          <w:szCs w:val="24"/>
          <w:lang w:val="x-none"/>
        </w:rPr>
        <w:t xml:space="preserve"> [2019] SGHC 216</w:t>
      </w:r>
    </w:p>
    <w:p w14:paraId="574A6EA3" w14:textId="77777777" w:rsidR="00B7247B" w:rsidRPr="00B7247B" w:rsidRDefault="00B7247B" w:rsidP="00B7247B">
      <w:pPr>
        <w:pStyle w:val="ListParagraph"/>
        <w:numPr>
          <w:ilvl w:val="0"/>
          <w:numId w:val="10"/>
        </w:numPr>
        <w:spacing w:after="160"/>
        <w:ind w:left="567" w:hanging="567"/>
        <w:rPr>
          <w:rFonts w:eastAsia="Times New Roman" w:cs="Times New Roman"/>
          <w:iCs/>
          <w:color w:val="000000"/>
          <w:szCs w:val="24"/>
          <w:lang w:val="x-none"/>
        </w:rPr>
      </w:pPr>
      <w:r w:rsidRPr="00B7247B">
        <w:rPr>
          <w:rFonts w:eastAsia="Times New Roman" w:cs="Times New Roman"/>
          <w:iCs/>
          <w:color w:val="000000"/>
          <w:szCs w:val="24"/>
          <w:lang w:val="x-none"/>
        </w:rPr>
        <w:t xml:space="preserve">Paulus </w:t>
      </w:r>
      <w:proofErr w:type="spellStart"/>
      <w:r w:rsidRPr="00B7247B">
        <w:rPr>
          <w:rFonts w:eastAsia="Times New Roman" w:cs="Times New Roman"/>
          <w:iCs/>
          <w:color w:val="000000"/>
          <w:szCs w:val="24"/>
          <w:lang w:val="x-none"/>
        </w:rPr>
        <w:t>Tannos</w:t>
      </w:r>
      <w:proofErr w:type="spellEnd"/>
      <w:r w:rsidRPr="00B7247B">
        <w:rPr>
          <w:rFonts w:eastAsia="Times New Roman" w:cs="Times New Roman"/>
          <w:iCs/>
          <w:color w:val="000000"/>
          <w:szCs w:val="24"/>
          <w:lang w:val="x-none"/>
        </w:rPr>
        <w:t xml:space="preserve"> v </w:t>
      </w:r>
      <w:proofErr w:type="spellStart"/>
      <w:r w:rsidRPr="00B7247B">
        <w:rPr>
          <w:rFonts w:eastAsia="Times New Roman" w:cs="Times New Roman"/>
          <w:iCs/>
          <w:color w:val="000000"/>
          <w:szCs w:val="24"/>
          <w:lang w:val="x-none"/>
        </w:rPr>
        <w:t>Heince</w:t>
      </w:r>
      <w:proofErr w:type="spellEnd"/>
      <w:r w:rsidRPr="00B7247B">
        <w:rPr>
          <w:rFonts w:eastAsia="Times New Roman" w:cs="Times New Roman"/>
          <w:iCs/>
          <w:color w:val="000000"/>
          <w:szCs w:val="24"/>
          <w:lang w:val="x-none"/>
        </w:rPr>
        <w:t xml:space="preserve"> </w:t>
      </w:r>
      <w:proofErr w:type="spellStart"/>
      <w:r w:rsidRPr="00B7247B">
        <w:rPr>
          <w:rFonts w:eastAsia="Times New Roman" w:cs="Times New Roman"/>
          <w:iCs/>
          <w:color w:val="000000"/>
          <w:szCs w:val="24"/>
          <w:lang w:val="x-none"/>
        </w:rPr>
        <w:t>Tombak</w:t>
      </w:r>
      <w:proofErr w:type="spellEnd"/>
      <w:r w:rsidRPr="00B7247B">
        <w:rPr>
          <w:rFonts w:eastAsia="Times New Roman" w:cs="Times New Roman"/>
          <w:iCs/>
          <w:color w:val="000000"/>
          <w:szCs w:val="24"/>
          <w:lang w:val="x-none"/>
        </w:rPr>
        <w:t xml:space="preserve"> Simanjuntak and others [2020] SGCA 85</w:t>
      </w:r>
    </w:p>
    <w:p w14:paraId="5D8339FB" w14:textId="77777777" w:rsidR="00B7247B" w:rsidRPr="00B7247B" w:rsidRDefault="00B7247B" w:rsidP="00B7247B">
      <w:pPr>
        <w:ind w:left="567" w:hanging="567"/>
        <w:rPr>
          <w:rFonts w:eastAsia="Times New Roman" w:cs="Times New Roman"/>
          <w:iCs/>
          <w:color w:val="000000"/>
          <w:szCs w:val="24"/>
          <w:lang w:val="x-none"/>
        </w:rPr>
      </w:pPr>
    </w:p>
    <w:p w14:paraId="0E543910" w14:textId="77777777" w:rsidR="00B7247B" w:rsidRDefault="00B7247B" w:rsidP="00B7247B">
      <w:pPr>
        <w:ind w:left="567" w:hanging="567"/>
        <w:rPr>
          <w:rFonts w:eastAsia="Times New Roman" w:cs="Times New Roman"/>
          <w:b/>
          <w:bCs/>
          <w:iCs/>
          <w:color w:val="000000"/>
          <w:szCs w:val="24"/>
          <w:lang w:val="x-none"/>
        </w:rPr>
      </w:pPr>
      <w:r w:rsidRPr="00B7247B">
        <w:rPr>
          <w:rFonts w:eastAsia="Times New Roman" w:cs="Times New Roman"/>
          <w:b/>
          <w:bCs/>
          <w:iCs/>
          <w:color w:val="000000"/>
          <w:szCs w:val="24"/>
          <w:lang w:val="x-none"/>
        </w:rPr>
        <w:t>Legislations cited:</w:t>
      </w:r>
    </w:p>
    <w:p w14:paraId="21AED363" w14:textId="77777777" w:rsidR="00B7247B" w:rsidRPr="00B7247B" w:rsidRDefault="00B7247B" w:rsidP="00B7247B">
      <w:pPr>
        <w:ind w:left="567" w:hanging="567"/>
        <w:rPr>
          <w:rFonts w:eastAsia="Times New Roman" w:cs="Times New Roman"/>
          <w:b/>
          <w:bCs/>
          <w:iCs/>
          <w:color w:val="000000"/>
          <w:szCs w:val="24"/>
          <w:lang w:val="x-none"/>
        </w:rPr>
      </w:pPr>
    </w:p>
    <w:p w14:paraId="501DDD59" w14:textId="049E4E74" w:rsidR="00B7247B" w:rsidRPr="00B7247B" w:rsidRDefault="00B7247B" w:rsidP="00B7247B">
      <w:pPr>
        <w:pStyle w:val="ListParagraph"/>
        <w:numPr>
          <w:ilvl w:val="0"/>
          <w:numId w:val="14"/>
        </w:numPr>
        <w:spacing w:after="160"/>
        <w:ind w:left="567" w:hanging="567"/>
        <w:rPr>
          <w:rFonts w:eastAsia="Times New Roman" w:cs="Times New Roman"/>
          <w:iCs/>
          <w:color w:val="000000"/>
          <w:szCs w:val="24"/>
          <w:lang w:val="x-none"/>
        </w:rPr>
      </w:pPr>
      <w:r w:rsidRPr="00B7247B">
        <w:rPr>
          <w:rFonts w:cs="Times New Roman"/>
          <w:color w:val="000000"/>
          <w:szCs w:val="24"/>
          <w:shd w:val="clear" w:color="auto" w:fill="FFFFFF"/>
        </w:rPr>
        <w:t>Insolvency, Restructuring and Dissolution Act 2018</w:t>
      </w:r>
      <w:r>
        <w:rPr>
          <w:rFonts w:cs="Times New Roman"/>
          <w:color w:val="000000"/>
          <w:szCs w:val="24"/>
          <w:shd w:val="clear" w:color="auto" w:fill="FFFFFF"/>
        </w:rPr>
        <w:t xml:space="preserve"> (Singapore)</w:t>
      </w:r>
    </w:p>
    <w:p w14:paraId="2F074B00" w14:textId="22D2A5A9" w:rsidR="00B7247B" w:rsidRPr="00B7247B" w:rsidRDefault="00B7247B" w:rsidP="00B7247B">
      <w:pPr>
        <w:pStyle w:val="ListParagraph"/>
        <w:numPr>
          <w:ilvl w:val="0"/>
          <w:numId w:val="14"/>
        </w:numPr>
        <w:spacing w:after="160"/>
        <w:ind w:left="567" w:hanging="567"/>
        <w:rPr>
          <w:rFonts w:eastAsia="Times New Roman" w:cs="Times New Roman"/>
          <w:iCs/>
          <w:color w:val="000000"/>
          <w:szCs w:val="24"/>
          <w:lang w:val="x-none"/>
        </w:rPr>
      </w:pPr>
      <w:r w:rsidRPr="00B7247B">
        <w:rPr>
          <w:rFonts w:cs="Times New Roman"/>
          <w:color w:val="000000"/>
          <w:szCs w:val="24"/>
          <w:shd w:val="clear" w:color="auto" w:fill="FFFFFF"/>
        </w:rPr>
        <w:t xml:space="preserve">Companies Act 1967 </w:t>
      </w:r>
      <w:r>
        <w:rPr>
          <w:rFonts w:cs="Times New Roman"/>
          <w:color w:val="000000"/>
          <w:szCs w:val="24"/>
          <w:shd w:val="clear" w:color="auto" w:fill="FFFFFF"/>
        </w:rPr>
        <w:t>(Singapore)</w:t>
      </w:r>
    </w:p>
    <w:p w14:paraId="45D50BCD" w14:textId="77777777" w:rsidR="00B7247B" w:rsidRPr="00B7247B" w:rsidRDefault="00B7247B" w:rsidP="00B7247B">
      <w:pPr>
        <w:ind w:left="567" w:hanging="567"/>
        <w:rPr>
          <w:rFonts w:eastAsia="Times New Roman" w:cs="Times New Roman"/>
          <w:b/>
          <w:bCs/>
          <w:iCs/>
          <w:color w:val="000000"/>
          <w:szCs w:val="24"/>
          <w:lang w:val="x-none"/>
        </w:rPr>
      </w:pPr>
    </w:p>
    <w:p w14:paraId="19329848" w14:textId="77777777" w:rsidR="00B7247B" w:rsidRDefault="00B7247B" w:rsidP="00B7247B">
      <w:pPr>
        <w:ind w:left="567" w:hanging="567"/>
        <w:rPr>
          <w:rFonts w:eastAsia="Times New Roman" w:cs="Times New Roman"/>
          <w:b/>
          <w:bCs/>
          <w:iCs/>
          <w:color w:val="000000"/>
          <w:szCs w:val="24"/>
          <w:lang w:val="x-none"/>
        </w:rPr>
      </w:pPr>
      <w:r w:rsidRPr="00B7247B">
        <w:rPr>
          <w:rFonts w:eastAsia="Times New Roman" w:cs="Times New Roman"/>
          <w:b/>
          <w:bCs/>
          <w:iCs/>
          <w:color w:val="000000"/>
          <w:szCs w:val="24"/>
          <w:lang w:val="x-none"/>
        </w:rPr>
        <w:t>References:</w:t>
      </w:r>
    </w:p>
    <w:p w14:paraId="7715B332" w14:textId="77777777" w:rsidR="00B7247B" w:rsidRPr="00B7247B" w:rsidRDefault="00B7247B" w:rsidP="00B7247B">
      <w:pPr>
        <w:ind w:left="567" w:hanging="567"/>
        <w:rPr>
          <w:rFonts w:eastAsia="Times New Roman" w:cs="Times New Roman"/>
          <w:b/>
          <w:bCs/>
          <w:iCs/>
          <w:color w:val="000000"/>
          <w:szCs w:val="24"/>
          <w:lang w:val="x-none"/>
        </w:rPr>
      </w:pPr>
    </w:p>
    <w:p w14:paraId="4508CFB5" w14:textId="0629F866" w:rsidR="00B7247B" w:rsidRPr="00B7247B" w:rsidRDefault="00B7247B" w:rsidP="00B7247B">
      <w:pPr>
        <w:pStyle w:val="ListParagraph"/>
        <w:numPr>
          <w:ilvl w:val="0"/>
          <w:numId w:val="13"/>
        </w:numPr>
        <w:spacing w:after="160"/>
        <w:ind w:left="567" w:hanging="567"/>
        <w:rPr>
          <w:rFonts w:cs="Times New Roman"/>
          <w:szCs w:val="24"/>
          <w:lang w:val="en-US"/>
        </w:rPr>
      </w:pPr>
      <w:r w:rsidRPr="00B7247B">
        <w:rPr>
          <w:rFonts w:cs="Times New Roman"/>
          <w:szCs w:val="24"/>
          <w:lang w:val="en-US"/>
        </w:rPr>
        <w:t>Ian F. Fletcher, The Law of Insolvency (Fifth Edition), Sweet &amp; Maxwell (2017)</w:t>
      </w:r>
    </w:p>
    <w:p w14:paraId="0D59B506" w14:textId="77777777" w:rsidR="00B7247B" w:rsidRPr="00B7247B" w:rsidRDefault="00B7247B" w:rsidP="00B7247B">
      <w:pPr>
        <w:pStyle w:val="ListParagraph"/>
        <w:numPr>
          <w:ilvl w:val="0"/>
          <w:numId w:val="13"/>
        </w:numPr>
        <w:spacing w:after="160"/>
        <w:ind w:left="567" w:hanging="567"/>
        <w:rPr>
          <w:rFonts w:cs="Times New Roman"/>
          <w:szCs w:val="24"/>
        </w:rPr>
      </w:pPr>
      <w:r w:rsidRPr="00B7247B">
        <w:rPr>
          <w:rFonts w:cs="Times New Roman"/>
          <w:szCs w:val="24"/>
        </w:rPr>
        <w:t xml:space="preserve">Tan Kah Wai, A Golden Thread on the Red Dot and the Law on Cross-border Insolvency in Singapore. Tan Kah Wai. (2023) 35 </w:t>
      </w:r>
      <w:proofErr w:type="spellStart"/>
      <w:r w:rsidRPr="00B7247B">
        <w:rPr>
          <w:rFonts w:cs="Times New Roman"/>
          <w:szCs w:val="24"/>
        </w:rPr>
        <w:t>SAcLJ</w:t>
      </w:r>
      <w:proofErr w:type="spellEnd"/>
      <w:r w:rsidRPr="00B7247B">
        <w:rPr>
          <w:rFonts w:cs="Times New Roman"/>
          <w:szCs w:val="24"/>
        </w:rPr>
        <w:t xml:space="preserve"> 364</w:t>
      </w:r>
    </w:p>
    <w:p w14:paraId="0669695C" w14:textId="774E9FBD" w:rsidR="00701466" w:rsidRPr="00B7247B" w:rsidRDefault="00701466" w:rsidP="00B7247B">
      <w:pPr>
        <w:pStyle w:val="BodyParagraphs"/>
        <w:numPr>
          <w:ilvl w:val="0"/>
          <w:numId w:val="0"/>
        </w:numPr>
        <w:spacing w:after="240" w:line="240" w:lineRule="auto"/>
        <w:ind w:left="567" w:hanging="567"/>
        <w:jc w:val="left"/>
        <w:rPr>
          <w:rFonts w:cs="Times New Roman"/>
          <w:color w:val="1F1F1F"/>
          <w:szCs w:val="24"/>
          <w:u w:val="single"/>
        </w:rPr>
      </w:pPr>
    </w:p>
    <w:p w14:paraId="1530FE36" w14:textId="77777777" w:rsidR="00701466" w:rsidRPr="00701466" w:rsidRDefault="00701466" w:rsidP="00701466">
      <w:pPr>
        <w:pStyle w:val="BodyParagraphs"/>
        <w:numPr>
          <w:ilvl w:val="0"/>
          <w:numId w:val="0"/>
        </w:numPr>
        <w:spacing w:after="240" w:line="360" w:lineRule="auto"/>
        <w:jc w:val="left"/>
        <w:rPr>
          <w:u w:val="single"/>
          <w:lang w:eastAsia="en-SG"/>
        </w:rPr>
      </w:pPr>
    </w:p>
    <w:sectPr w:rsidR="00701466" w:rsidRPr="00701466" w:rsidSect="0000511E">
      <w:headerReference w:type="default" r:id="rId8"/>
      <w:headerReference w:type="first" r:id="rId9"/>
      <w:pgSz w:w="11906" w:h="16838"/>
      <w:pgMar w:top="1987" w:right="1987" w:bottom="1987" w:left="198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C98E" w14:textId="77777777" w:rsidR="0000511E" w:rsidRDefault="0000511E" w:rsidP="00266892">
      <w:r>
        <w:separator/>
      </w:r>
    </w:p>
  </w:endnote>
  <w:endnote w:type="continuationSeparator" w:id="0">
    <w:p w14:paraId="32CCBE36" w14:textId="77777777" w:rsidR="0000511E" w:rsidRDefault="0000511E" w:rsidP="0026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D700" w14:textId="77777777" w:rsidR="0000511E" w:rsidRDefault="0000511E" w:rsidP="00266892">
      <w:r>
        <w:separator/>
      </w:r>
    </w:p>
  </w:footnote>
  <w:footnote w:type="continuationSeparator" w:id="0">
    <w:p w14:paraId="4886F96B" w14:textId="77777777" w:rsidR="0000511E" w:rsidRDefault="0000511E" w:rsidP="00266892">
      <w:r>
        <w:continuationSeparator/>
      </w:r>
    </w:p>
  </w:footnote>
  <w:footnote w:id="1">
    <w:p w14:paraId="6B5FFA88" w14:textId="4A00FDFE" w:rsidR="007F499D" w:rsidRPr="000A2D27" w:rsidRDefault="007F499D" w:rsidP="000521DB">
      <w:pPr>
        <w:pStyle w:val="BodyParagraphs"/>
        <w:numPr>
          <w:ilvl w:val="0"/>
          <w:numId w:val="0"/>
        </w:numPr>
        <w:spacing w:afterLines="0" w:after="0" w:line="240" w:lineRule="auto"/>
        <w:rPr>
          <w:rFonts w:cs="Times New Roman"/>
          <w:sz w:val="20"/>
          <w:szCs w:val="20"/>
        </w:rPr>
      </w:pPr>
      <w:r w:rsidRPr="000A2D27">
        <w:rPr>
          <w:rStyle w:val="FootnoteReference"/>
          <w:rFonts w:cs="Times New Roman"/>
          <w:sz w:val="20"/>
          <w:szCs w:val="20"/>
        </w:rPr>
        <w:footnoteRef/>
      </w:r>
      <w:r w:rsidRPr="000A2D27">
        <w:rPr>
          <w:rFonts w:cs="Times New Roman"/>
          <w:sz w:val="20"/>
          <w:szCs w:val="20"/>
        </w:rPr>
        <w:t xml:space="preserve"> </w:t>
      </w:r>
      <w:r w:rsidR="00B13F5B">
        <w:rPr>
          <w:rFonts w:cs="Times New Roman"/>
          <w:sz w:val="20"/>
          <w:szCs w:val="20"/>
        </w:rPr>
        <w:tab/>
      </w:r>
      <w:r w:rsidRPr="000A2D27">
        <w:rPr>
          <w:rFonts w:cs="Times New Roman"/>
          <w:sz w:val="20"/>
          <w:szCs w:val="20"/>
        </w:rPr>
        <w:t xml:space="preserve">For example, in </w:t>
      </w:r>
      <w:r w:rsidRPr="000A2D27">
        <w:rPr>
          <w:rFonts w:cs="Times New Roman"/>
          <w:sz w:val="20"/>
          <w:szCs w:val="20"/>
          <w:u w:val="single"/>
        </w:rPr>
        <w:t>Solomons v Ross</w:t>
      </w:r>
      <w:r w:rsidRPr="000A2D27">
        <w:rPr>
          <w:rFonts w:cs="Times New Roman"/>
          <w:sz w:val="20"/>
          <w:szCs w:val="20"/>
        </w:rPr>
        <w:t xml:space="preserve"> (1764) 1 H B1 131n, the trustees in bankruptcy appointed in Amsterdam were allowed to collect assets in English which has been garnished by an English </w:t>
      </w:r>
      <w:r w:rsidRPr="000A2D27">
        <w:rPr>
          <w:rFonts w:eastAsia="Times New Roman" w:cs="Times New Roman"/>
          <w:color w:val="000000"/>
          <w:sz w:val="20"/>
          <w:szCs w:val="20"/>
        </w:rPr>
        <w:t>creditor</w:t>
      </w:r>
      <w:r w:rsidRPr="000A2D27">
        <w:rPr>
          <w:rFonts w:cs="Times New Roman"/>
          <w:sz w:val="20"/>
          <w:szCs w:val="20"/>
        </w:rPr>
        <w:t xml:space="preserve"> shortly before the trustees were appointed in Amsterdam.</w:t>
      </w:r>
    </w:p>
  </w:footnote>
  <w:footnote w:id="2">
    <w:p w14:paraId="7C5943AD" w14:textId="7E4A5250" w:rsidR="003A66D5" w:rsidRPr="000A2D27" w:rsidRDefault="003A66D5" w:rsidP="000521DB">
      <w:pPr>
        <w:pStyle w:val="BodyParagraphs"/>
        <w:numPr>
          <w:ilvl w:val="0"/>
          <w:numId w:val="0"/>
        </w:numPr>
        <w:spacing w:afterLines="0" w:after="0" w:line="240" w:lineRule="auto"/>
        <w:ind w:left="720" w:hanging="720"/>
        <w:rPr>
          <w:rFonts w:cs="Times New Roman"/>
          <w:sz w:val="20"/>
          <w:szCs w:val="20"/>
        </w:rPr>
      </w:pPr>
      <w:r w:rsidRPr="000A2D27">
        <w:rPr>
          <w:rStyle w:val="FootnoteReference"/>
          <w:rFonts w:cs="Times New Roman"/>
          <w:sz w:val="20"/>
          <w:szCs w:val="20"/>
        </w:rPr>
        <w:footnoteRef/>
      </w:r>
      <w:r w:rsidRPr="000A2D27">
        <w:rPr>
          <w:rFonts w:cs="Times New Roman"/>
          <w:sz w:val="20"/>
          <w:szCs w:val="20"/>
        </w:rPr>
        <w:t xml:space="preserve"> </w:t>
      </w:r>
      <w:r w:rsidRPr="000A2D27">
        <w:rPr>
          <w:rFonts w:eastAsia="Times New Roman" w:cs="Times New Roman"/>
          <w:color w:val="000000"/>
          <w:sz w:val="20"/>
          <w:szCs w:val="20"/>
        </w:rPr>
        <w:t xml:space="preserve">Re HIH Casualty and General Insurance [2008] 1 WLR 852 at [6]. </w:t>
      </w:r>
    </w:p>
  </w:footnote>
  <w:footnote w:id="3">
    <w:p w14:paraId="0A1D3100" w14:textId="7140731E" w:rsidR="003A66D5" w:rsidRPr="000A2D27" w:rsidRDefault="003A66D5" w:rsidP="000521DB">
      <w:pPr>
        <w:pStyle w:val="BodyParagraphs"/>
        <w:numPr>
          <w:ilvl w:val="0"/>
          <w:numId w:val="0"/>
        </w:numPr>
        <w:spacing w:afterLines="0" w:after="0" w:line="240" w:lineRule="auto"/>
        <w:rPr>
          <w:rFonts w:eastAsia="Times New Roman" w:cs="Times New Roman"/>
          <w:color w:val="000000"/>
          <w:sz w:val="20"/>
          <w:szCs w:val="20"/>
        </w:rPr>
      </w:pPr>
      <w:r w:rsidRPr="000A2D27">
        <w:rPr>
          <w:rFonts w:eastAsia="Times New Roman" w:cs="Times New Roman"/>
          <w:color w:val="000000"/>
          <w:sz w:val="20"/>
          <w:szCs w:val="20"/>
          <w:vertAlign w:val="superscript"/>
        </w:rPr>
        <w:footnoteRef/>
      </w:r>
      <w:r w:rsidR="00D60080" w:rsidRPr="000A2D27">
        <w:rPr>
          <w:rFonts w:eastAsia="Times New Roman" w:cs="Times New Roman"/>
          <w:color w:val="000000"/>
          <w:sz w:val="20"/>
          <w:szCs w:val="20"/>
          <w:vertAlign w:val="superscript"/>
        </w:rPr>
        <w:t xml:space="preserve"> </w:t>
      </w:r>
      <w:r w:rsidR="000A2D27" w:rsidRPr="000A2D27">
        <w:rPr>
          <w:rFonts w:eastAsia="Times New Roman" w:cs="Times New Roman"/>
          <w:color w:val="000000"/>
          <w:sz w:val="20"/>
          <w:szCs w:val="20"/>
        </w:rPr>
        <w:tab/>
      </w:r>
      <w:r w:rsidRPr="000A2D27">
        <w:rPr>
          <w:rFonts w:eastAsia="Times New Roman" w:cs="Times New Roman"/>
          <w:color w:val="000000"/>
          <w:sz w:val="20"/>
          <w:szCs w:val="20"/>
        </w:rPr>
        <w:t>Cambridge Gas Transport Corporation v The Official Committee of Unsecured Creditors (of Navigator Holdings PLC and others) [</w:t>
      </w:r>
      <w:r w:rsidR="006577E2" w:rsidRPr="000A2D27">
        <w:rPr>
          <w:rFonts w:eastAsia="Times New Roman" w:cs="Times New Roman"/>
          <w:color w:val="000000"/>
          <w:sz w:val="20"/>
          <w:szCs w:val="20"/>
        </w:rPr>
        <w:t>2007] 1 AC 508</w:t>
      </w:r>
      <w:r w:rsidRPr="000A2D27">
        <w:rPr>
          <w:rFonts w:eastAsia="Times New Roman" w:cs="Times New Roman"/>
          <w:color w:val="000000"/>
          <w:sz w:val="20"/>
          <w:szCs w:val="20"/>
        </w:rPr>
        <w:t xml:space="preserve"> at </w:t>
      </w:r>
      <w:r w:rsidR="00842DA5" w:rsidRPr="000A2D27">
        <w:rPr>
          <w:rFonts w:eastAsia="Times New Roman" w:cs="Times New Roman"/>
          <w:color w:val="000000"/>
          <w:sz w:val="20"/>
          <w:szCs w:val="20"/>
        </w:rPr>
        <w:t>[</w:t>
      </w:r>
      <w:r w:rsidRPr="000A2D27">
        <w:rPr>
          <w:rFonts w:eastAsia="Times New Roman" w:cs="Times New Roman"/>
          <w:color w:val="000000"/>
          <w:sz w:val="20"/>
          <w:szCs w:val="20"/>
        </w:rPr>
        <w:t>16]</w:t>
      </w:r>
    </w:p>
  </w:footnote>
  <w:footnote w:id="4">
    <w:p w14:paraId="74CA0C8F" w14:textId="508D46B3" w:rsidR="006B42A6" w:rsidRPr="000A2D27" w:rsidRDefault="006B42A6"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sidRPr="000A2D27">
        <w:rPr>
          <w:rFonts w:cs="Times New Roman"/>
        </w:rPr>
        <w:tab/>
      </w:r>
      <w:r w:rsidR="00744229" w:rsidRPr="000A2D27">
        <w:rPr>
          <w:rFonts w:eastAsia="Times New Roman" w:cs="Times New Roman"/>
          <w:color w:val="000000"/>
        </w:rPr>
        <w:t xml:space="preserve">Re HIH Casualty and General Insurance [2008] 1 WLR 852 </w:t>
      </w:r>
      <w:r w:rsidRPr="000A2D27">
        <w:rPr>
          <w:rFonts w:cs="Times New Roman"/>
        </w:rPr>
        <w:t xml:space="preserve">at [6]. </w:t>
      </w:r>
    </w:p>
  </w:footnote>
  <w:footnote w:id="5">
    <w:p w14:paraId="568161AB" w14:textId="56DE2428" w:rsidR="00306D4E" w:rsidRPr="000A2D27" w:rsidRDefault="00306D4E"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sidRPr="000A2D27">
        <w:rPr>
          <w:rFonts w:cs="Times New Roman"/>
        </w:rPr>
        <w:tab/>
      </w:r>
      <w:r w:rsidR="00771BDE" w:rsidRPr="000A2D27">
        <w:rPr>
          <w:rFonts w:eastAsia="Times New Roman" w:cs="Times New Roman"/>
          <w:color w:val="000000"/>
        </w:rPr>
        <w:t xml:space="preserve">Re HIH Casualty and General Insurance [2008] 1 WLR 852 </w:t>
      </w:r>
      <w:r w:rsidR="00771BDE" w:rsidRPr="000A2D27">
        <w:rPr>
          <w:rFonts w:cs="Times New Roman"/>
        </w:rPr>
        <w:t xml:space="preserve">at [7]. </w:t>
      </w:r>
    </w:p>
  </w:footnote>
  <w:footnote w:id="6">
    <w:p w14:paraId="38221745" w14:textId="4998CEB7" w:rsidR="00DF0489" w:rsidRPr="000A2D27" w:rsidRDefault="00DF0489" w:rsidP="00193AF1">
      <w:pPr>
        <w:pStyle w:val="FootnoteText"/>
        <w:rPr>
          <w:rFonts w:cs="Times New Roman"/>
        </w:rPr>
      </w:pPr>
      <w:r w:rsidRPr="000A2D27">
        <w:rPr>
          <w:rStyle w:val="FootnoteReference"/>
          <w:rFonts w:cs="Times New Roman"/>
        </w:rPr>
        <w:footnoteRef/>
      </w:r>
      <w:r w:rsidR="00193AF1">
        <w:rPr>
          <w:rFonts w:cs="Times New Roman"/>
        </w:rPr>
        <w:t xml:space="preserve"> </w:t>
      </w:r>
      <w:r w:rsidR="00193AF1">
        <w:rPr>
          <w:rFonts w:cs="Times New Roman"/>
        </w:rPr>
        <w:tab/>
      </w:r>
      <w:r w:rsidRPr="000A2D27">
        <w:rPr>
          <w:rFonts w:eastAsia="Times New Roman" w:cs="Times New Roman"/>
          <w:color w:val="000000"/>
        </w:rPr>
        <w:t xml:space="preserve">Re HIH Casualty and General </w:t>
      </w:r>
      <w:r w:rsidRPr="000A2D27">
        <w:rPr>
          <w:rFonts w:cs="Times New Roman"/>
        </w:rPr>
        <w:t>[2008] 1 WLR 852</w:t>
      </w:r>
      <w:r w:rsidR="001B30D9" w:rsidRPr="000A2D27">
        <w:rPr>
          <w:rFonts w:cs="Times New Roman"/>
        </w:rPr>
        <w:t xml:space="preserve"> at [6].</w:t>
      </w:r>
    </w:p>
  </w:footnote>
  <w:footnote w:id="7">
    <w:p w14:paraId="37EDB6E6" w14:textId="231DF849" w:rsidR="000E30DA" w:rsidRPr="000A2D27" w:rsidRDefault="000E30DA"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sidRPr="000A2D27">
        <w:rPr>
          <w:rFonts w:cs="Times New Roman"/>
        </w:rPr>
        <w:tab/>
      </w:r>
      <w:r w:rsidRPr="000A2D27">
        <w:rPr>
          <w:rFonts w:cs="Times New Roman"/>
        </w:rPr>
        <w:t>Singularis</w:t>
      </w:r>
      <w:r w:rsidR="00E40B62" w:rsidRPr="000A2D27">
        <w:rPr>
          <w:rFonts w:cs="Times New Roman"/>
        </w:rPr>
        <w:t xml:space="preserve"> Holdings Limited v</w:t>
      </w:r>
      <w:r w:rsidRPr="000A2D27">
        <w:rPr>
          <w:rFonts w:cs="Times New Roman"/>
        </w:rPr>
        <w:t xml:space="preserve"> </w:t>
      </w:r>
      <w:r w:rsidR="00E40B62" w:rsidRPr="000A2D27">
        <w:rPr>
          <w:rFonts w:cs="Times New Roman"/>
        </w:rPr>
        <w:t xml:space="preserve">PricewaterhouseCoopers [2014] UKPC at </w:t>
      </w:r>
      <w:r w:rsidRPr="000A2D27">
        <w:rPr>
          <w:rFonts w:cs="Times New Roman"/>
        </w:rPr>
        <w:t xml:space="preserve">[15]. </w:t>
      </w:r>
    </w:p>
  </w:footnote>
  <w:footnote w:id="8">
    <w:p w14:paraId="5FCC4C53" w14:textId="47C6E9B6" w:rsidR="00CB1434" w:rsidRPr="000A2D27" w:rsidRDefault="00CB1434" w:rsidP="000521DB">
      <w:pPr>
        <w:pStyle w:val="FootnoteText"/>
        <w:rPr>
          <w:rFonts w:eastAsia="Times New Roman" w:cs="Times New Roman"/>
          <w:color w:val="000000"/>
        </w:rPr>
      </w:pPr>
      <w:r w:rsidRPr="000A2D27">
        <w:rPr>
          <w:rStyle w:val="FootnoteReference"/>
          <w:rFonts w:cs="Times New Roman"/>
        </w:rPr>
        <w:footnoteRef/>
      </w:r>
      <w:r w:rsidRPr="000A2D27">
        <w:rPr>
          <w:rFonts w:cs="Times New Roman"/>
        </w:rPr>
        <w:t xml:space="preserve"> </w:t>
      </w:r>
      <w:r w:rsidR="00914171" w:rsidRPr="000A2D27">
        <w:rPr>
          <w:rFonts w:cs="Times New Roman"/>
        </w:rPr>
        <w:tab/>
      </w:r>
      <w:r w:rsidR="00D60080" w:rsidRPr="000A2D27">
        <w:rPr>
          <w:rFonts w:eastAsia="Times New Roman" w:cs="Times New Roman"/>
          <w:color w:val="000000"/>
        </w:rPr>
        <w:t xml:space="preserve">Cambridge Gas Transport Corporation v The Official Committee of Unsecured Creditors (of Navigator Holdings PLC and others) [2007] 1 AC </w:t>
      </w:r>
      <w:r w:rsidR="00DC12CE" w:rsidRPr="000A2D27">
        <w:rPr>
          <w:rFonts w:eastAsia="Times New Roman" w:cs="Times New Roman"/>
          <w:color w:val="000000"/>
        </w:rPr>
        <w:t>508</w:t>
      </w:r>
    </w:p>
  </w:footnote>
  <w:footnote w:id="9">
    <w:p w14:paraId="5D14296F" w14:textId="3500B7EB" w:rsidR="00122E71" w:rsidRPr="000A2D27" w:rsidRDefault="00122E71" w:rsidP="000521DB">
      <w:pPr>
        <w:pStyle w:val="FootnoteText"/>
        <w:rPr>
          <w:rFonts w:eastAsia="Times New Roman" w:cs="Times New Roman"/>
          <w:color w:val="000000"/>
        </w:rPr>
      </w:pPr>
      <w:r w:rsidRPr="000A2D27">
        <w:rPr>
          <w:rFonts w:eastAsia="Times New Roman"/>
          <w:color w:val="000000"/>
          <w:vertAlign w:val="superscript"/>
        </w:rPr>
        <w:footnoteRef/>
      </w:r>
      <w:r w:rsidRPr="000A2D27">
        <w:rPr>
          <w:rFonts w:eastAsia="Times New Roman" w:cs="Times New Roman"/>
          <w:color w:val="000000"/>
          <w:vertAlign w:val="superscript"/>
        </w:rPr>
        <w:t xml:space="preserve"> </w:t>
      </w:r>
      <w:r w:rsidR="00914171" w:rsidRPr="000A2D27">
        <w:rPr>
          <w:rFonts w:eastAsia="Times New Roman" w:cs="Times New Roman"/>
          <w:color w:val="000000"/>
        </w:rPr>
        <w:tab/>
        <w:t>Re HIH Casualty and General Insurance [2008] 1 WLR 852</w:t>
      </w:r>
    </w:p>
  </w:footnote>
  <w:footnote w:id="10">
    <w:p w14:paraId="74A37813" w14:textId="779C932D" w:rsidR="00961185" w:rsidRPr="000A2D27" w:rsidRDefault="00961185" w:rsidP="000521DB">
      <w:pPr>
        <w:pStyle w:val="FootnoteText"/>
        <w:rPr>
          <w:rFonts w:cs="Times New Roman"/>
        </w:rPr>
      </w:pPr>
      <w:r w:rsidRPr="000A2D27">
        <w:rPr>
          <w:rFonts w:eastAsia="Times New Roman"/>
          <w:color w:val="000000"/>
          <w:vertAlign w:val="superscript"/>
        </w:rPr>
        <w:footnoteRef/>
      </w:r>
      <w:r w:rsidRPr="000A2D27">
        <w:rPr>
          <w:rFonts w:eastAsia="Times New Roman" w:cs="Times New Roman"/>
          <w:color w:val="000000"/>
        </w:rPr>
        <w:t xml:space="preserve"> </w:t>
      </w:r>
      <w:r w:rsidR="00914171" w:rsidRPr="000A2D27">
        <w:rPr>
          <w:rFonts w:eastAsia="Times New Roman" w:cs="Times New Roman"/>
          <w:color w:val="000000"/>
        </w:rPr>
        <w:tab/>
      </w:r>
      <w:r w:rsidRPr="000A2D27">
        <w:rPr>
          <w:rFonts w:eastAsia="Times New Roman" w:cs="Times New Roman"/>
          <w:color w:val="000000"/>
        </w:rPr>
        <w:t>[2007] 1 AC 508</w:t>
      </w:r>
    </w:p>
  </w:footnote>
  <w:footnote w:id="11">
    <w:p w14:paraId="104F26A5" w14:textId="45997285" w:rsidR="00247910" w:rsidRPr="000A2D27" w:rsidRDefault="00247910"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Pr>
          <w:rFonts w:cs="Times New Roman"/>
        </w:rPr>
        <w:tab/>
      </w:r>
      <w:r w:rsidR="00DC12CE" w:rsidRPr="000A2D27">
        <w:rPr>
          <w:rFonts w:eastAsia="Times New Roman" w:cs="Times New Roman"/>
          <w:color w:val="000000"/>
        </w:rPr>
        <w:t xml:space="preserve">Cambridge Gas Transport Corporation v The Official Committee of Unsecured Creditors (of Navigator Holdings PLC and others) [2007] 1 AC 508 </w:t>
      </w:r>
      <w:r w:rsidRPr="000A2D27">
        <w:rPr>
          <w:rFonts w:cs="Times New Roman"/>
        </w:rPr>
        <w:t xml:space="preserve">at [13]-[14]. </w:t>
      </w:r>
    </w:p>
  </w:footnote>
  <w:footnote w:id="12">
    <w:p w14:paraId="5A1BF787" w14:textId="2ACB2F76" w:rsidR="00184F5F" w:rsidRPr="000A2D27" w:rsidRDefault="00184F5F"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Pr>
          <w:rFonts w:cs="Times New Roman"/>
        </w:rPr>
        <w:tab/>
      </w:r>
      <w:r w:rsidRPr="000A2D27">
        <w:rPr>
          <w:rFonts w:cs="Times New Roman"/>
        </w:rPr>
        <w:t xml:space="preserve">Per Lord Sumption in </w:t>
      </w:r>
      <w:r w:rsidR="002D5485" w:rsidRPr="000A2D27">
        <w:rPr>
          <w:rFonts w:cs="Times New Roman"/>
        </w:rPr>
        <w:t xml:space="preserve">Singularis Holdings Limited v PricewaterhouseCoopers [2014] UKPC </w:t>
      </w:r>
      <w:r w:rsidRPr="000A2D27">
        <w:rPr>
          <w:rFonts w:cs="Times New Roman"/>
        </w:rPr>
        <w:t>at [</w:t>
      </w:r>
      <w:r w:rsidR="0078662D" w:rsidRPr="000A2D27">
        <w:rPr>
          <w:rFonts w:cs="Times New Roman"/>
        </w:rPr>
        <w:t xml:space="preserve">18]. </w:t>
      </w:r>
    </w:p>
  </w:footnote>
  <w:footnote w:id="13">
    <w:p w14:paraId="545D77B4" w14:textId="4FE87EDC" w:rsidR="0084306B" w:rsidRPr="000A2D27" w:rsidRDefault="0084306B"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0A2D27">
        <w:rPr>
          <w:rFonts w:cs="Times New Roman"/>
        </w:rPr>
        <w:tab/>
      </w:r>
      <w:r w:rsidRPr="000A2D27">
        <w:rPr>
          <w:rFonts w:cs="Times New Roman"/>
        </w:rPr>
        <w:t>[2008] 1 WLR 852</w:t>
      </w:r>
    </w:p>
  </w:footnote>
  <w:footnote w:id="14">
    <w:p w14:paraId="0072ACC5" w14:textId="536C9038" w:rsidR="001F1643" w:rsidRPr="000A2D27" w:rsidRDefault="001F1643"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245349">
        <w:rPr>
          <w:rFonts w:cs="Times New Roman"/>
        </w:rPr>
        <w:tab/>
      </w:r>
      <w:r w:rsidR="008A2733" w:rsidRPr="000A2D27">
        <w:rPr>
          <w:rFonts w:cs="Times New Roman"/>
        </w:rPr>
        <w:t>A</w:t>
      </w:r>
      <w:r w:rsidRPr="000A2D27">
        <w:rPr>
          <w:rFonts w:cs="Times New Roman"/>
        </w:rPr>
        <w:t xml:space="preserve">t [7] </w:t>
      </w:r>
      <w:r w:rsidR="00DC12CE" w:rsidRPr="000A2D27">
        <w:rPr>
          <w:rFonts w:cs="Times New Roman"/>
        </w:rPr>
        <w:t xml:space="preserve">- </w:t>
      </w:r>
      <w:r w:rsidRPr="000A2D27">
        <w:rPr>
          <w:rFonts w:cs="Times New Roman"/>
        </w:rPr>
        <w:t>[8]</w:t>
      </w:r>
    </w:p>
  </w:footnote>
  <w:footnote w:id="15">
    <w:p w14:paraId="0B37BC33" w14:textId="717913E2" w:rsidR="0098775F" w:rsidRPr="000A2D27" w:rsidRDefault="0098775F"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245349">
        <w:rPr>
          <w:rFonts w:cs="Times New Roman"/>
        </w:rPr>
        <w:tab/>
      </w:r>
      <w:r w:rsidR="00C325BA" w:rsidRPr="000A2D27">
        <w:rPr>
          <w:rFonts w:cs="Times New Roman"/>
        </w:rPr>
        <w:t xml:space="preserve">At [19]. </w:t>
      </w:r>
    </w:p>
  </w:footnote>
  <w:footnote w:id="16">
    <w:p w14:paraId="61387CC8" w14:textId="4CFCCA19" w:rsidR="00F93396" w:rsidRPr="000A2D27" w:rsidRDefault="00F93396"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245349">
        <w:rPr>
          <w:rFonts w:cs="Times New Roman"/>
        </w:rPr>
        <w:tab/>
      </w:r>
      <w:r w:rsidRPr="000A2D27">
        <w:rPr>
          <w:rFonts w:cs="Times New Roman"/>
        </w:rPr>
        <w:t>At [59].</w:t>
      </w:r>
    </w:p>
  </w:footnote>
  <w:footnote w:id="17">
    <w:p w14:paraId="55452F45" w14:textId="77777777" w:rsidR="006A1CC0" w:rsidRPr="006A1CC0" w:rsidRDefault="00816C52" w:rsidP="006A1CC0">
      <w:pPr>
        <w:spacing w:after="160" w:line="259" w:lineRule="auto"/>
        <w:rPr>
          <w:rFonts w:cs="Times New Roman"/>
          <w:sz w:val="20"/>
          <w:szCs w:val="20"/>
          <w:lang w:val="it-IT"/>
        </w:rPr>
      </w:pPr>
      <w:r w:rsidRPr="000A2D27">
        <w:rPr>
          <w:rStyle w:val="FootnoteReference"/>
          <w:rFonts w:cs="Times New Roman"/>
          <w:sz w:val="20"/>
          <w:szCs w:val="20"/>
        </w:rPr>
        <w:footnoteRef/>
      </w:r>
      <w:r w:rsidRPr="006A1CC0">
        <w:rPr>
          <w:rFonts w:cs="Times New Roman"/>
          <w:sz w:val="20"/>
          <w:szCs w:val="20"/>
          <w:lang w:val="it-IT"/>
        </w:rPr>
        <w:t xml:space="preserve"> </w:t>
      </w:r>
      <w:r w:rsidR="00245349" w:rsidRPr="006A1CC0">
        <w:rPr>
          <w:rFonts w:cs="Times New Roman"/>
          <w:lang w:val="it-IT"/>
        </w:rPr>
        <w:tab/>
      </w:r>
      <w:r w:rsidR="006A1CC0" w:rsidRPr="006A1CC0">
        <w:rPr>
          <w:rFonts w:eastAsia="Times New Roman" w:cs="Times New Roman"/>
          <w:iCs/>
          <w:color w:val="000000"/>
          <w:sz w:val="20"/>
          <w:szCs w:val="20"/>
          <w:lang w:val="it-IT"/>
        </w:rPr>
        <w:t>Rubin v Euro Finance SA</w:t>
      </w:r>
      <w:r w:rsidR="006A1CC0" w:rsidRPr="006A1CC0">
        <w:rPr>
          <w:rFonts w:eastAsia="Times New Roman" w:cs="Times New Roman"/>
          <w:i/>
          <w:color w:val="000000"/>
          <w:sz w:val="20"/>
          <w:szCs w:val="20"/>
          <w:lang w:val="it-IT"/>
        </w:rPr>
        <w:t xml:space="preserve"> </w:t>
      </w:r>
      <w:r w:rsidR="006A1CC0" w:rsidRPr="006A1CC0">
        <w:rPr>
          <w:rFonts w:eastAsia="Times New Roman" w:cs="Times New Roman"/>
          <w:iCs/>
          <w:color w:val="000000"/>
          <w:sz w:val="20"/>
          <w:szCs w:val="20"/>
          <w:lang w:val="it-IT"/>
        </w:rPr>
        <w:t>[2012] UKSC 46</w:t>
      </w:r>
    </w:p>
    <w:p w14:paraId="2DF33504" w14:textId="5A3358F6" w:rsidR="00816C52" w:rsidRPr="006A1CC0" w:rsidRDefault="00816C52" w:rsidP="000521DB">
      <w:pPr>
        <w:pStyle w:val="FootnoteText"/>
        <w:rPr>
          <w:rFonts w:cs="Times New Roman"/>
          <w:lang w:val="it-IT"/>
        </w:rPr>
      </w:pPr>
    </w:p>
  </w:footnote>
  <w:footnote w:id="18">
    <w:p w14:paraId="08FD80B3" w14:textId="15B3AA07" w:rsidR="00B13F5B" w:rsidRDefault="00B13F5B">
      <w:pPr>
        <w:pStyle w:val="FootnoteText"/>
      </w:pPr>
      <w:r>
        <w:rPr>
          <w:rStyle w:val="FootnoteReference"/>
        </w:rPr>
        <w:footnoteRef/>
      </w:r>
      <w:r>
        <w:t xml:space="preserve"> </w:t>
      </w:r>
      <w:r>
        <w:tab/>
        <w:t>At [132].</w:t>
      </w:r>
    </w:p>
  </w:footnote>
  <w:footnote w:id="19">
    <w:p w14:paraId="18520D4F" w14:textId="288E8970" w:rsidR="00616E45" w:rsidRPr="000A2D27" w:rsidRDefault="00616E45"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AF2D6D">
        <w:rPr>
          <w:rFonts w:cs="Times New Roman"/>
        </w:rPr>
        <w:tab/>
      </w:r>
      <w:r w:rsidRPr="000A2D27">
        <w:rPr>
          <w:rFonts w:cs="Times New Roman"/>
        </w:rPr>
        <w:t>At [183]</w:t>
      </w:r>
      <w:r w:rsidR="00B13F5B">
        <w:rPr>
          <w:rFonts w:cs="Times New Roman"/>
        </w:rPr>
        <w:t>.</w:t>
      </w:r>
      <w:r w:rsidRPr="000A2D27">
        <w:rPr>
          <w:rFonts w:cs="Times New Roman"/>
        </w:rPr>
        <w:t xml:space="preserve"> </w:t>
      </w:r>
    </w:p>
  </w:footnote>
  <w:footnote w:id="20">
    <w:p w14:paraId="51690059" w14:textId="1DCECC6B" w:rsidR="000B4DB3" w:rsidRPr="000A2D27" w:rsidRDefault="000B4DB3"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AF2D6D">
        <w:rPr>
          <w:rFonts w:cs="Times New Roman"/>
        </w:rPr>
        <w:tab/>
      </w:r>
      <w:r w:rsidRPr="000A2D27">
        <w:rPr>
          <w:rFonts w:cs="Times New Roman"/>
        </w:rPr>
        <w:t xml:space="preserve">At [186]. </w:t>
      </w:r>
    </w:p>
  </w:footnote>
  <w:footnote w:id="21">
    <w:p w14:paraId="247AE6BA" w14:textId="2184EFF4" w:rsidR="00AD1824" w:rsidRPr="000A2D27" w:rsidRDefault="00AD1824"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AF2D6D">
        <w:rPr>
          <w:rFonts w:cs="Times New Roman"/>
        </w:rPr>
        <w:tab/>
      </w:r>
      <w:r w:rsidRPr="000A2D27">
        <w:rPr>
          <w:rFonts w:cs="Times New Roman"/>
          <w:lang w:val="en-US"/>
        </w:rPr>
        <w:t xml:space="preserve">Ian F. Fletcher, The Law of Insolvency (Fifth Edition), Sweet &amp; Maxwell (2017), paragraph 28-026.   </w:t>
      </w:r>
    </w:p>
  </w:footnote>
  <w:footnote w:id="22">
    <w:p w14:paraId="056987F5" w14:textId="2659E998" w:rsidR="00EA0FF8" w:rsidRPr="00AF2D6D" w:rsidRDefault="00EA0FF8"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AF2D6D">
        <w:rPr>
          <w:rFonts w:cs="Times New Roman"/>
        </w:rPr>
        <w:tab/>
      </w:r>
      <w:r w:rsidRPr="000A2D27">
        <w:rPr>
          <w:rFonts w:cs="Times New Roman"/>
          <w:lang w:val="en-US"/>
        </w:rPr>
        <w:t>[</w:t>
      </w:r>
      <w:r w:rsidR="00DA52A7" w:rsidRPr="000A2D27">
        <w:rPr>
          <w:rFonts w:cs="Times New Roman"/>
          <w:lang w:val="en-US"/>
        </w:rPr>
        <w:t>2014] UKPC 36</w:t>
      </w:r>
    </w:p>
  </w:footnote>
  <w:footnote w:id="23">
    <w:p w14:paraId="02237F6D" w14:textId="0E461276" w:rsidR="00510707" w:rsidRPr="000A2D27" w:rsidRDefault="00510707" w:rsidP="000521DB">
      <w:pPr>
        <w:pStyle w:val="FootnoteText"/>
        <w:rPr>
          <w:rFonts w:cs="Times New Roman"/>
          <w:lang w:val="en-US"/>
        </w:rPr>
      </w:pPr>
      <w:r w:rsidRPr="000A2D27">
        <w:rPr>
          <w:rStyle w:val="FootnoteReference"/>
          <w:rFonts w:cs="Times New Roman"/>
        </w:rPr>
        <w:footnoteRef/>
      </w:r>
      <w:r w:rsidRPr="000A2D27">
        <w:rPr>
          <w:rFonts w:cs="Times New Roman"/>
        </w:rPr>
        <w:t xml:space="preserve"> </w:t>
      </w:r>
      <w:r w:rsidR="00603C35">
        <w:rPr>
          <w:rFonts w:cs="Times New Roman"/>
        </w:rPr>
        <w:tab/>
      </w:r>
      <w:r w:rsidRPr="000A2D27">
        <w:rPr>
          <w:rFonts w:cs="Times New Roman"/>
          <w:lang w:val="en-US"/>
        </w:rPr>
        <w:t xml:space="preserve">At [19]. </w:t>
      </w:r>
      <w:r w:rsidR="00C10D44" w:rsidRPr="000A2D27">
        <w:rPr>
          <w:rFonts w:cs="Times New Roman"/>
          <w:lang w:val="en-US"/>
        </w:rPr>
        <w:t xml:space="preserve">See also </w:t>
      </w:r>
      <w:r w:rsidR="00244F08" w:rsidRPr="000A2D27">
        <w:rPr>
          <w:rFonts w:cs="Times New Roman"/>
          <w:lang w:val="en-US"/>
        </w:rPr>
        <w:t xml:space="preserve">Ian F. </w:t>
      </w:r>
      <w:r w:rsidR="00420CB9" w:rsidRPr="000A2D27">
        <w:rPr>
          <w:rFonts w:cs="Times New Roman"/>
          <w:lang w:val="en-US"/>
        </w:rPr>
        <w:t xml:space="preserve">Fletcher, </w:t>
      </w:r>
      <w:r w:rsidR="00244F08" w:rsidRPr="000A2D27">
        <w:rPr>
          <w:rFonts w:cs="Times New Roman"/>
          <w:lang w:val="en-US"/>
        </w:rPr>
        <w:t>The Law of Insolvency</w:t>
      </w:r>
      <w:r w:rsidR="00D43B97" w:rsidRPr="000A2D27">
        <w:rPr>
          <w:rFonts w:cs="Times New Roman"/>
          <w:lang w:val="en-US"/>
        </w:rPr>
        <w:t xml:space="preserve"> (Fifth Edition)</w:t>
      </w:r>
      <w:r w:rsidR="00051760" w:rsidRPr="000A2D27">
        <w:rPr>
          <w:rFonts w:cs="Times New Roman"/>
          <w:lang w:val="en-US"/>
        </w:rPr>
        <w:t>, Sweet &amp; Maxwell</w:t>
      </w:r>
      <w:r w:rsidR="00D43B97" w:rsidRPr="000A2D27">
        <w:rPr>
          <w:rFonts w:cs="Times New Roman"/>
          <w:lang w:val="en-US"/>
        </w:rPr>
        <w:t xml:space="preserve"> (2017)</w:t>
      </w:r>
      <w:r w:rsidR="00051760" w:rsidRPr="000A2D27">
        <w:rPr>
          <w:rFonts w:cs="Times New Roman"/>
          <w:lang w:val="en-US"/>
        </w:rPr>
        <w:t>,</w:t>
      </w:r>
      <w:r w:rsidR="00244F08" w:rsidRPr="000A2D27">
        <w:rPr>
          <w:rFonts w:cs="Times New Roman"/>
          <w:lang w:val="en-US"/>
        </w:rPr>
        <w:t xml:space="preserve"> </w:t>
      </w:r>
      <w:r w:rsidR="00D9265D" w:rsidRPr="000A2D27">
        <w:rPr>
          <w:rFonts w:cs="Times New Roman"/>
          <w:lang w:val="en-US"/>
        </w:rPr>
        <w:t xml:space="preserve">paragraph 28-005, footnote 5.   </w:t>
      </w:r>
    </w:p>
  </w:footnote>
  <w:footnote w:id="24">
    <w:p w14:paraId="24196A70" w14:textId="01D14405" w:rsidR="00C60E18" w:rsidRDefault="00C60E18">
      <w:pPr>
        <w:pStyle w:val="FootnoteText"/>
      </w:pPr>
      <w:r>
        <w:rPr>
          <w:rStyle w:val="FootnoteReference"/>
        </w:rPr>
        <w:footnoteRef/>
      </w:r>
      <w:r>
        <w:t xml:space="preserve"> </w:t>
      </w:r>
      <w:r>
        <w:tab/>
        <w:t xml:space="preserve">At [64]. </w:t>
      </w:r>
    </w:p>
  </w:footnote>
  <w:footnote w:id="25">
    <w:p w14:paraId="6710185D" w14:textId="542B32FB" w:rsidR="00287768" w:rsidRPr="000A2D27" w:rsidRDefault="00287768" w:rsidP="000521DB">
      <w:pPr>
        <w:pStyle w:val="FootnoteText"/>
        <w:rPr>
          <w:rFonts w:cs="Times New Roman"/>
        </w:rPr>
      </w:pPr>
      <w:r w:rsidRPr="000A2D27">
        <w:rPr>
          <w:rStyle w:val="FootnoteReference"/>
          <w:rFonts w:cs="Times New Roman"/>
        </w:rPr>
        <w:footnoteRef/>
      </w:r>
      <w:r w:rsidR="00603C35">
        <w:rPr>
          <w:rFonts w:cs="Times New Roman"/>
        </w:rPr>
        <w:tab/>
      </w:r>
      <w:r w:rsidRPr="000A2D27">
        <w:rPr>
          <w:rFonts w:cs="Times New Roman"/>
        </w:rPr>
        <w:t xml:space="preserve"> </w:t>
      </w:r>
      <w:r w:rsidRPr="000A2D27">
        <w:rPr>
          <w:rFonts w:cs="Times New Roman"/>
          <w:lang w:val="en-US"/>
        </w:rPr>
        <w:t xml:space="preserve">Ian F. Fletcher, The Law of Insolvency (Fifth Edition), Sweet &amp; Maxwell (2017), paragraph 28-032.   </w:t>
      </w:r>
    </w:p>
  </w:footnote>
  <w:footnote w:id="26">
    <w:p w14:paraId="6AFE94CF" w14:textId="068C356B" w:rsidR="00902AD1" w:rsidRPr="000A2D27" w:rsidRDefault="00902AD1" w:rsidP="000521DB">
      <w:pPr>
        <w:pStyle w:val="FootnoteText"/>
        <w:rPr>
          <w:rFonts w:cs="Times New Roman"/>
        </w:rPr>
      </w:pPr>
      <w:r w:rsidRPr="000A2D27">
        <w:rPr>
          <w:rStyle w:val="FootnoteReference"/>
          <w:rFonts w:cs="Times New Roman"/>
        </w:rPr>
        <w:footnoteRef/>
      </w:r>
      <w:r w:rsidRPr="000A2D27">
        <w:rPr>
          <w:rFonts w:cs="Times New Roman"/>
        </w:rPr>
        <w:t xml:space="preserve"> </w:t>
      </w:r>
      <w:r w:rsidR="00603C35">
        <w:rPr>
          <w:rFonts w:cs="Times New Roman"/>
        </w:rPr>
        <w:tab/>
      </w:r>
      <w:r w:rsidR="00E14EB8" w:rsidRPr="000A2D27">
        <w:rPr>
          <w:rFonts w:cs="Times New Roman"/>
        </w:rPr>
        <w:t>[2016] SGHC 195</w:t>
      </w:r>
    </w:p>
  </w:footnote>
  <w:footnote w:id="27">
    <w:p w14:paraId="438A56C6" w14:textId="2AF4CF28" w:rsidR="00F277C4" w:rsidRPr="000A2D27" w:rsidRDefault="00F277C4" w:rsidP="000521DB">
      <w:pPr>
        <w:pStyle w:val="FootnoteText"/>
        <w:rPr>
          <w:rFonts w:cs="Times New Roman"/>
        </w:rPr>
      </w:pPr>
      <w:r w:rsidRPr="000A2D27">
        <w:rPr>
          <w:rStyle w:val="FootnoteReference"/>
          <w:rFonts w:cs="Times New Roman"/>
        </w:rPr>
        <w:footnoteRef/>
      </w:r>
      <w:r w:rsidRPr="000A2D27">
        <w:rPr>
          <w:rFonts w:cs="Times New Roman"/>
        </w:rPr>
        <w:t xml:space="preserve"> At [16]</w:t>
      </w:r>
    </w:p>
  </w:footnote>
  <w:footnote w:id="28">
    <w:p w14:paraId="492E0A44" w14:textId="6344E50E" w:rsidR="00B5279A" w:rsidRPr="0064762C" w:rsidRDefault="00B5279A" w:rsidP="009F1CB9">
      <w:pPr>
        <w:spacing w:line="259" w:lineRule="auto"/>
        <w:rPr>
          <w:lang w:val="x-none"/>
        </w:rPr>
      </w:pPr>
      <w:r>
        <w:rPr>
          <w:rStyle w:val="FootnoteReference"/>
        </w:rPr>
        <w:footnoteRef/>
      </w:r>
      <w:r>
        <w:t xml:space="preserve"> </w:t>
      </w:r>
      <w:r w:rsidR="0064762C">
        <w:tab/>
      </w:r>
      <w:r w:rsidR="0064762C" w:rsidRPr="0064762C">
        <w:rPr>
          <w:rFonts w:cs="Times New Roman"/>
          <w:sz w:val="20"/>
          <w:szCs w:val="20"/>
        </w:rPr>
        <w:t xml:space="preserve">Paulus </w:t>
      </w:r>
      <w:r w:rsidR="0064762C" w:rsidRPr="0064762C">
        <w:rPr>
          <w:rFonts w:cs="Times New Roman"/>
          <w:sz w:val="20"/>
          <w:szCs w:val="20"/>
        </w:rPr>
        <w:t>Tannos v Heince Tombak Simanjuntak and others [2020] SGCA 85</w:t>
      </w:r>
    </w:p>
  </w:footnote>
  <w:footnote w:id="29">
    <w:p w14:paraId="15C0326F" w14:textId="31B71348" w:rsidR="00F05EEA" w:rsidRPr="000A2D27" w:rsidRDefault="00F05EEA" w:rsidP="009F1CB9">
      <w:pPr>
        <w:pStyle w:val="FootnoteText"/>
        <w:rPr>
          <w:rFonts w:cs="Times New Roman"/>
        </w:rPr>
      </w:pPr>
      <w:r w:rsidRPr="000A2D27">
        <w:rPr>
          <w:rFonts w:cs="Times New Roman"/>
        </w:rPr>
        <w:footnoteRef/>
      </w:r>
      <w:r w:rsidRPr="000A2D27">
        <w:rPr>
          <w:rFonts w:cs="Times New Roman"/>
        </w:rPr>
        <w:t xml:space="preserve"> </w:t>
      </w:r>
      <w:r w:rsidR="0064762C">
        <w:rPr>
          <w:rFonts w:cs="Times New Roman"/>
        </w:rPr>
        <w:tab/>
      </w:r>
      <w:r w:rsidR="000A0A16" w:rsidRPr="000A2D27">
        <w:rPr>
          <w:rFonts w:cs="Times New Roman"/>
        </w:rPr>
        <w:t>Tan Kah Wai</w:t>
      </w:r>
      <w:r w:rsidR="00CF0821" w:rsidRPr="000A2D27">
        <w:rPr>
          <w:rFonts w:cs="Times New Roman"/>
        </w:rPr>
        <w:t xml:space="preserve">, A Golden Thread on the Red </w:t>
      </w:r>
      <w:r w:rsidR="00CF0821" w:rsidRPr="000A2D27">
        <w:rPr>
          <w:rFonts w:cs="Times New Roman"/>
        </w:rPr>
        <w:t>Dot</w:t>
      </w:r>
      <w:r w:rsidR="00594967" w:rsidRPr="000A2D27">
        <w:rPr>
          <w:rFonts w:cs="Times New Roman"/>
        </w:rPr>
        <w:t xml:space="preserve"> and the Law on Cross-border Insolvency in Singapore. Tan Kah Wai. (2023) 35 </w:t>
      </w:r>
      <w:r w:rsidR="00594967" w:rsidRPr="000A2D27">
        <w:rPr>
          <w:rFonts w:cs="Times New Roman"/>
        </w:rPr>
        <w:t>SAcLJ 364</w:t>
      </w:r>
    </w:p>
  </w:footnote>
  <w:footnote w:id="30">
    <w:p w14:paraId="32956139" w14:textId="02530E88" w:rsidR="0020574F" w:rsidRDefault="0020574F">
      <w:pPr>
        <w:pStyle w:val="FootnoteText"/>
      </w:pPr>
      <w:r>
        <w:rPr>
          <w:rStyle w:val="FootnoteReference"/>
        </w:rPr>
        <w:footnoteRef/>
      </w:r>
      <w:r>
        <w:t xml:space="preserve"> </w:t>
      </w:r>
      <w:r>
        <w:tab/>
      </w:r>
      <w:r w:rsidR="005761ED">
        <w:t xml:space="preserve">Article 2(c), Third Schedule, </w:t>
      </w:r>
      <w:r>
        <w:t>Insolvency, Restructuring and Dissolution Act 2018</w:t>
      </w:r>
      <w:r w:rsidR="005761ED">
        <w:t xml:space="preserve"> (Singapore). </w:t>
      </w:r>
      <w:r>
        <w:t xml:space="preserve"> </w:t>
      </w:r>
    </w:p>
  </w:footnote>
  <w:footnote w:id="31">
    <w:p w14:paraId="1C28A316" w14:textId="011F6AB9" w:rsidR="005761ED" w:rsidRDefault="005761ED">
      <w:pPr>
        <w:pStyle w:val="FootnoteText"/>
      </w:pPr>
      <w:r>
        <w:rPr>
          <w:rStyle w:val="FootnoteReference"/>
        </w:rPr>
        <w:footnoteRef/>
      </w:r>
      <w:r>
        <w:t xml:space="preserve"> </w:t>
      </w:r>
      <w:r>
        <w:tab/>
        <w:t xml:space="preserve">Section 4, Companies Act 1967 (Singapore).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78565"/>
      <w:docPartObj>
        <w:docPartGallery w:val="Page Numbers (Top of Page)"/>
        <w:docPartUnique/>
      </w:docPartObj>
    </w:sdtPr>
    <w:sdtEndPr>
      <w:rPr>
        <w:noProof/>
      </w:rPr>
    </w:sdtEndPr>
    <w:sdtContent>
      <w:p w14:paraId="339BEF5F" w14:textId="77777777" w:rsidR="00D31AB9" w:rsidRDefault="00D31AB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3ACBD5" w14:textId="77777777" w:rsidR="00D31AB9" w:rsidRDefault="00D31AB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3D9F" w14:textId="77777777" w:rsidR="00D31AB9" w:rsidRPr="003C0E14" w:rsidRDefault="00D31AB9" w:rsidP="00D31AB9">
    <w:pPr>
      <w:pStyle w:val="Header"/>
      <w:ind w:right="734"/>
      <w:jc w:val="right"/>
      <w:rPr>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5EB"/>
    <w:multiLevelType w:val="hybridMultilevel"/>
    <w:tmpl w:val="CCF2087E"/>
    <w:lvl w:ilvl="0" w:tplc="284AF710">
      <w:start w:val="1"/>
      <w:numFmt w:val="decimal"/>
      <w:lvlText w:val="%1."/>
      <w:lvlJc w:val="left"/>
      <w:pPr>
        <w:ind w:left="720" w:hanging="360"/>
      </w:pPr>
      <w:rPr>
        <w:rFonts w:eastAsia="Times New Roman" w:hint="default"/>
        <w:b w:val="0"/>
        <w:bCs/>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DD2ADF"/>
    <w:multiLevelType w:val="hybridMultilevel"/>
    <w:tmpl w:val="4470FBF2"/>
    <w:lvl w:ilvl="0" w:tplc="0D142930">
      <w:start w:val="1"/>
      <w:numFmt w:val="decimal"/>
      <w:lvlText w:val="%1."/>
      <w:lvlJc w:val="left"/>
      <w:pPr>
        <w:ind w:left="720" w:hanging="360"/>
      </w:pPr>
      <w:rPr>
        <w:rFonts w:ascii="Times New Roman" w:eastAsiaTheme="minorHAnsi" w:hAnsi="Times New Roman" w:cs="Times New Roman" w:hint="default"/>
        <w:b w:val="0"/>
        <w:bCs/>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A9E2ED5"/>
    <w:multiLevelType w:val="multilevel"/>
    <w:tmpl w:val="175A1DBC"/>
    <w:lvl w:ilvl="0">
      <w:start w:val="1"/>
      <w:numFmt w:val="upperRoman"/>
      <w:lvlText w:val="%1."/>
      <w:lvlJc w:val="left"/>
      <w:pPr>
        <w:ind w:left="720" w:hanging="720"/>
      </w:pPr>
      <w:rPr>
        <w:rFonts w:hint="default"/>
      </w:rPr>
    </w:lvl>
    <w:lvl w:ilvl="1">
      <w:start w:val="1"/>
      <w:numFmt w:val="upperLetter"/>
      <w:pStyle w:val="Heading2"/>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2F422EE5"/>
    <w:multiLevelType w:val="multilevel"/>
    <w:tmpl w:val="1B68A62A"/>
    <w:lvl w:ilvl="0">
      <w:start w:val="1"/>
      <w:numFmt w:val="decimal"/>
      <w:pStyle w:val="BodyParagraphs"/>
      <w:lvlText w:val="%1."/>
      <w:lvlJc w:val="left"/>
      <w:pPr>
        <w:ind w:left="720" w:hanging="720"/>
      </w:pPr>
      <w:rPr>
        <w:rFonts w:hint="default"/>
        <w:b w:val="0"/>
        <w:bCs w:val="0"/>
        <w:i w:val="0"/>
        <w:iCs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9466A5B"/>
    <w:multiLevelType w:val="hybridMultilevel"/>
    <w:tmpl w:val="6374C63E"/>
    <w:lvl w:ilvl="0" w:tplc="C54ED01C">
      <w:start w:val="1"/>
      <w:numFmt w:val="upperRoman"/>
      <w:pStyle w:val="Heading1"/>
      <w:lvlText w:val="%1."/>
      <w:lvlJc w:val="left"/>
      <w:pPr>
        <w:ind w:left="1080" w:hanging="72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8C447A5"/>
    <w:multiLevelType w:val="hybridMultilevel"/>
    <w:tmpl w:val="FBCA0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75266219">
    <w:abstractNumId w:val="3"/>
  </w:num>
  <w:num w:numId="2" w16cid:durableId="1276518859">
    <w:abstractNumId w:val="2"/>
  </w:num>
  <w:num w:numId="3" w16cid:durableId="1596943269">
    <w:abstractNumId w:val="4"/>
  </w:num>
  <w:num w:numId="4" w16cid:durableId="1076711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9269835">
    <w:abstractNumId w:val="3"/>
  </w:num>
  <w:num w:numId="6" w16cid:durableId="26832971">
    <w:abstractNumId w:val="3"/>
  </w:num>
  <w:num w:numId="7" w16cid:durableId="480772870">
    <w:abstractNumId w:val="3"/>
  </w:num>
  <w:num w:numId="8" w16cid:durableId="1348482269">
    <w:abstractNumId w:val="3"/>
  </w:num>
  <w:num w:numId="9" w16cid:durableId="1607157847">
    <w:abstractNumId w:val="3"/>
  </w:num>
  <w:num w:numId="10" w16cid:durableId="1058673845">
    <w:abstractNumId w:val="0"/>
  </w:num>
  <w:num w:numId="11" w16cid:durableId="824517375">
    <w:abstractNumId w:val="3"/>
  </w:num>
  <w:num w:numId="12" w16cid:durableId="1682389583">
    <w:abstractNumId w:val="3"/>
  </w:num>
  <w:num w:numId="13" w16cid:durableId="807088938">
    <w:abstractNumId w:val="5"/>
  </w:num>
  <w:num w:numId="14" w16cid:durableId="9244165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92"/>
    <w:rsid w:val="000025A3"/>
    <w:rsid w:val="00002C9B"/>
    <w:rsid w:val="0000511E"/>
    <w:rsid w:val="000065A0"/>
    <w:rsid w:val="0001060D"/>
    <w:rsid w:val="00011F06"/>
    <w:rsid w:val="00012BAB"/>
    <w:rsid w:val="00032108"/>
    <w:rsid w:val="00032D98"/>
    <w:rsid w:val="00037B0D"/>
    <w:rsid w:val="0004168A"/>
    <w:rsid w:val="00051760"/>
    <w:rsid w:val="000521DB"/>
    <w:rsid w:val="00055D5E"/>
    <w:rsid w:val="00057F19"/>
    <w:rsid w:val="00060C83"/>
    <w:rsid w:val="00061337"/>
    <w:rsid w:val="000729C9"/>
    <w:rsid w:val="000757AB"/>
    <w:rsid w:val="00083181"/>
    <w:rsid w:val="00085782"/>
    <w:rsid w:val="000857F3"/>
    <w:rsid w:val="00090FB5"/>
    <w:rsid w:val="000A0A16"/>
    <w:rsid w:val="000A1779"/>
    <w:rsid w:val="000A2A16"/>
    <w:rsid w:val="000A2D27"/>
    <w:rsid w:val="000B1801"/>
    <w:rsid w:val="000B3CC1"/>
    <w:rsid w:val="000B4DB3"/>
    <w:rsid w:val="000B69CC"/>
    <w:rsid w:val="000B6A21"/>
    <w:rsid w:val="000C29C7"/>
    <w:rsid w:val="000C6538"/>
    <w:rsid w:val="000C7E6F"/>
    <w:rsid w:val="000D2103"/>
    <w:rsid w:val="000D33A6"/>
    <w:rsid w:val="000E30DA"/>
    <w:rsid w:val="000E55BC"/>
    <w:rsid w:val="000E6188"/>
    <w:rsid w:val="000E755A"/>
    <w:rsid w:val="000F1EB6"/>
    <w:rsid w:val="001103F4"/>
    <w:rsid w:val="00110E13"/>
    <w:rsid w:val="001111E5"/>
    <w:rsid w:val="0011187D"/>
    <w:rsid w:val="001144E0"/>
    <w:rsid w:val="00114E67"/>
    <w:rsid w:val="00120336"/>
    <w:rsid w:val="00121648"/>
    <w:rsid w:val="00122E71"/>
    <w:rsid w:val="0012447B"/>
    <w:rsid w:val="001269F8"/>
    <w:rsid w:val="00157503"/>
    <w:rsid w:val="00161C4E"/>
    <w:rsid w:val="00161E37"/>
    <w:rsid w:val="00163420"/>
    <w:rsid w:val="00176DEF"/>
    <w:rsid w:val="0018414B"/>
    <w:rsid w:val="00184F5F"/>
    <w:rsid w:val="00186952"/>
    <w:rsid w:val="00193AF1"/>
    <w:rsid w:val="00194F3F"/>
    <w:rsid w:val="00197A01"/>
    <w:rsid w:val="001A1351"/>
    <w:rsid w:val="001A13F6"/>
    <w:rsid w:val="001A2B7D"/>
    <w:rsid w:val="001A4189"/>
    <w:rsid w:val="001B1E8E"/>
    <w:rsid w:val="001B30D9"/>
    <w:rsid w:val="001B549B"/>
    <w:rsid w:val="001B59B2"/>
    <w:rsid w:val="001D1F3A"/>
    <w:rsid w:val="001E0F4F"/>
    <w:rsid w:val="001E7C14"/>
    <w:rsid w:val="001F1643"/>
    <w:rsid w:val="001F1DC1"/>
    <w:rsid w:val="0020574F"/>
    <w:rsid w:val="00216825"/>
    <w:rsid w:val="00221563"/>
    <w:rsid w:val="00230012"/>
    <w:rsid w:val="002342A5"/>
    <w:rsid w:val="00237C72"/>
    <w:rsid w:val="00241601"/>
    <w:rsid w:val="00241B80"/>
    <w:rsid w:val="00241C33"/>
    <w:rsid w:val="00244F08"/>
    <w:rsid w:val="00245349"/>
    <w:rsid w:val="00245958"/>
    <w:rsid w:val="00247910"/>
    <w:rsid w:val="002516B3"/>
    <w:rsid w:val="00251A43"/>
    <w:rsid w:val="00252A76"/>
    <w:rsid w:val="00260702"/>
    <w:rsid w:val="00262A35"/>
    <w:rsid w:val="00265158"/>
    <w:rsid w:val="00266892"/>
    <w:rsid w:val="00271E9F"/>
    <w:rsid w:val="00277B68"/>
    <w:rsid w:val="0028213A"/>
    <w:rsid w:val="00287768"/>
    <w:rsid w:val="00287808"/>
    <w:rsid w:val="002966AB"/>
    <w:rsid w:val="00296EF4"/>
    <w:rsid w:val="00296FF8"/>
    <w:rsid w:val="002A6677"/>
    <w:rsid w:val="002B22EE"/>
    <w:rsid w:val="002C1FA8"/>
    <w:rsid w:val="002C5B1A"/>
    <w:rsid w:val="002D2285"/>
    <w:rsid w:val="002D2663"/>
    <w:rsid w:val="002D3117"/>
    <w:rsid w:val="002D436A"/>
    <w:rsid w:val="002D5485"/>
    <w:rsid w:val="002D78DC"/>
    <w:rsid w:val="002E480A"/>
    <w:rsid w:val="002E48AD"/>
    <w:rsid w:val="002E6245"/>
    <w:rsid w:val="002F11B0"/>
    <w:rsid w:val="002F43C5"/>
    <w:rsid w:val="002F4B8C"/>
    <w:rsid w:val="002F5406"/>
    <w:rsid w:val="002F6277"/>
    <w:rsid w:val="00300636"/>
    <w:rsid w:val="00306D4E"/>
    <w:rsid w:val="00307BAD"/>
    <w:rsid w:val="00310986"/>
    <w:rsid w:val="00312C59"/>
    <w:rsid w:val="003225AF"/>
    <w:rsid w:val="00324AFD"/>
    <w:rsid w:val="003350BC"/>
    <w:rsid w:val="0034537E"/>
    <w:rsid w:val="003514E3"/>
    <w:rsid w:val="00351809"/>
    <w:rsid w:val="00351AA6"/>
    <w:rsid w:val="0035220A"/>
    <w:rsid w:val="0036714D"/>
    <w:rsid w:val="00372D87"/>
    <w:rsid w:val="00380DBC"/>
    <w:rsid w:val="003877CC"/>
    <w:rsid w:val="00387D68"/>
    <w:rsid w:val="00395CA7"/>
    <w:rsid w:val="003A3F36"/>
    <w:rsid w:val="003A66D5"/>
    <w:rsid w:val="003B3937"/>
    <w:rsid w:val="003C3E1A"/>
    <w:rsid w:val="003C41B5"/>
    <w:rsid w:val="003D1192"/>
    <w:rsid w:val="003D7DDB"/>
    <w:rsid w:val="003E23F2"/>
    <w:rsid w:val="003F1E96"/>
    <w:rsid w:val="003F3A1F"/>
    <w:rsid w:val="003F4DBF"/>
    <w:rsid w:val="003F6C69"/>
    <w:rsid w:val="00401CB7"/>
    <w:rsid w:val="0041041F"/>
    <w:rsid w:val="0041082A"/>
    <w:rsid w:val="004131E3"/>
    <w:rsid w:val="00414D18"/>
    <w:rsid w:val="00415DAD"/>
    <w:rsid w:val="00417FD6"/>
    <w:rsid w:val="00420CB9"/>
    <w:rsid w:val="00425594"/>
    <w:rsid w:val="00431472"/>
    <w:rsid w:val="00435A37"/>
    <w:rsid w:val="00436422"/>
    <w:rsid w:val="0044514A"/>
    <w:rsid w:val="00451DE5"/>
    <w:rsid w:val="004570B6"/>
    <w:rsid w:val="00462758"/>
    <w:rsid w:val="00462AB0"/>
    <w:rsid w:val="00471302"/>
    <w:rsid w:val="00477FAF"/>
    <w:rsid w:val="00480030"/>
    <w:rsid w:val="00482E84"/>
    <w:rsid w:val="00483666"/>
    <w:rsid w:val="0049044F"/>
    <w:rsid w:val="00491427"/>
    <w:rsid w:val="00497208"/>
    <w:rsid w:val="004B0A9E"/>
    <w:rsid w:val="004B1347"/>
    <w:rsid w:val="004B39DB"/>
    <w:rsid w:val="004D1ED2"/>
    <w:rsid w:val="004D6BF4"/>
    <w:rsid w:val="004D7FEC"/>
    <w:rsid w:val="004E1900"/>
    <w:rsid w:val="004E2639"/>
    <w:rsid w:val="004E7F84"/>
    <w:rsid w:val="004F3230"/>
    <w:rsid w:val="004F4CFD"/>
    <w:rsid w:val="004F4FE0"/>
    <w:rsid w:val="00501AF5"/>
    <w:rsid w:val="00503628"/>
    <w:rsid w:val="00505A74"/>
    <w:rsid w:val="00506BD0"/>
    <w:rsid w:val="0051039F"/>
    <w:rsid w:val="00510707"/>
    <w:rsid w:val="00511094"/>
    <w:rsid w:val="00512F58"/>
    <w:rsid w:val="0051425D"/>
    <w:rsid w:val="005207BF"/>
    <w:rsid w:val="00523293"/>
    <w:rsid w:val="00523EAE"/>
    <w:rsid w:val="005259A5"/>
    <w:rsid w:val="005426DE"/>
    <w:rsid w:val="0054621F"/>
    <w:rsid w:val="00546E9D"/>
    <w:rsid w:val="00547DAF"/>
    <w:rsid w:val="00547E33"/>
    <w:rsid w:val="00553E8D"/>
    <w:rsid w:val="00556E1B"/>
    <w:rsid w:val="00562046"/>
    <w:rsid w:val="005761ED"/>
    <w:rsid w:val="00590E0E"/>
    <w:rsid w:val="00593860"/>
    <w:rsid w:val="00594967"/>
    <w:rsid w:val="005A0D35"/>
    <w:rsid w:val="005A297F"/>
    <w:rsid w:val="005B43E1"/>
    <w:rsid w:val="005B5939"/>
    <w:rsid w:val="005B7741"/>
    <w:rsid w:val="005C07F3"/>
    <w:rsid w:val="005C18E0"/>
    <w:rsid w:val="005C1ACB"/>
    <w:rsid w:val="005C5E2D"/>
    <w:rsid w:val="005C76DB"/>
    <w:rsid w:val="005D04C9"/>
    <w:rsid w:val="005D0F2F"/>
    <w:rsid w:val="005D17F0"/>
    <w:rsid w:val="005D422A"/>
    <w:rsid w:val="005D4BFA"/>
    <w:rsid w:val="005D52EE"/>
    <w:rsid w:val="005E3416"/>
    <w:rsid w:val="005E6DC9"/>
    <w:rsid w:val="005F0AEA"/>
    <w:rsid w:val="005F25A1"/>
    <w:rsid w:val="005F77D5"/>
    <w:rsid w:val="00602F1B"/>
    <w:rsid w:val="00603C35"/>
    <w:rsid w:val="0060611D"/>
    <w:rsid w:val="00611755"/>
    <w:rsid w:val="006150D6"/>
    <w:rsid w:val="00616E45"/>
    <w:rsid w:val="00617E17"/>
    <w:rsid w:val="006207BF"/>
    <w:rsid w:val="00624DC8"/>
    <w:rsid w:val="00626080"/>
    <w:rsid w:val="006408AB"/>
    <w:rsid w:val="00642BC1"/>
    <w:rsid w:val="0064762C"/>
    <w:rsid w:val="00651B23"/>
    <w:rsid w:val="006577E2"/>
    <w:rsid w:val="00673805"/>
    <w:rsid w:val="00677DF5"/>
    <w:rsid w:val="006865B4"/>
    <w:rsid w:val="00697B88"/>
    <w:rsid w:val="006A1CC0"/>
    <w:rsid w:val="006A2E3F"/>
    <w:rsid w:val="006A3C66"/>
    <w:rsid w:val="006A78CE"/>
    <w:rsid w:val="006B42A6"/>
    <w:rsid w:val="006B5B5A"/>
    <w:rsid w:val="006B66B6"/>
    <w:rsid w:val="006B72FC"/>
    <w:rsid w:val="006C0343"/>
    <w:rsid w:val="006C0EB5"/>
    <w:rsid w:val="006C3423"/>
    <w:rsid w:val="006D3A81"/>
    <w:rsid w:val="006D5045"/>
    <w:rsid w:val="006D57B4"/>
    <w:rsid w:val="006D6E92"/>
    <w:rsid w:val="006D7AC7"/>
    <w:rsid w:val="006E03A4"/>
    <w:rsid w:val="006E03DF"/>
    <w:rsid w:val="006E12F6"/>
    <w:rsid w:val="006E2DCD"/>
    <w:rsid w:val="006E3502"/>
    <w:rsid w:val="006E699A"/>
    <w:rsid w:val="006E7FA4"/>
    <w:rsid w:val="006F0945"/>
    <w:rsid w:val="006F79DE"/>
    <w:rsid w:val="00701466"/>
    <w:rsid w:val="007027B3"/>
    <w:rsid w:val="00704647"/>
    <w:rsid w:val="0070497F"/>
    <w:rsid w:val="0070723D"/>
    <w:rsid w:val="007102EF"/>
    <w:rsid w:val="00711954"/>
    <w:rsid w:val="00712E84"/>
    <w:rsid w:val="00715D20"/>
    <w:rsid w:val="00733045"/>
    <w:rsid w:val="007332E7"/>
    <w:rsid w:val="00733489"/>
    <w:rsid w:val="00734B14"/>
    <w:rsid w:val="00737768"/>
    <w:rsid w:val="00737E66"/>
    <w:rsid w:val="00744229"/>
    <w:rsid w:val="00745414"/>
    <w:rsid w:val="00745953"/>
    <w:rsid w:val="0075027F"/>
    <w:rsid w:val="007530F7"/>
    <w:rsid w:val="00753697"/>
    <w:rsid w:val="00754478"/>
    <w:rsid w:val="0075521A"/>
    <w:rsid w:val="00755620"/>
    <w:rsid w:val="00756BB0"/>
    <w:rsid w:val="00762F36"/>
    <w:rsid w:val="00763586"/>
    <w:rsid w:val="00763DF6"/>
    <w:rsid w:val="007644B0"/>
    <w:rsid w:val="007676DB"/>
    <w:rsid w:val="00771242"/>
    <w:rsid w:val="00771BDE"/>
    <w:rsid w:val="00772007"/>
    <w:rsid w:val="00784214"/>
    <w:rsid w:val="0078509D"/>
    <w:rsid w:val="007854EB"/>
    <w:rsid w:val="00785DEF"/>
    <w:rsid w:val="0078662D"/>
    <w:rsid w:val="0079731C"/>
    <w:rsid w:val="007B0F8C"/>
    <w:rsid w:val="007B1F29"/>
    <w:rsid w:val="007B250C"/>
    <w:rsid w:val="007B3AA6"/>
    <w:rsid w:val="007B6260"/>
    <w:rsid w:val="007C1D7C"/>
    <w:rsid w:val="007C28B3"/>
    <w:rsid w:val="007C3A67"/>
    <w:rsid w:val="007C5132"/>
    <w:rsid w:val="007C6CB9"/>
    <w:rsid w:val="007D0857"/>
    <w:rsid w:val="007D0A53"/>
    <w:rsid w:val="007D3849"/>
    <w:rsid w:val="007D3895"/>
    <w:rsid w:val="007E06F9"/>
    <w:rsid w:val="007E33EA"/>
    <w:rsid w:val="007E4F07"/>
    <w:rsid w:val="007E7F52"/>
    <w:rsid w:val="007F1FAA"/>
    <w:rsid w:val="007F4993"/>
    <w:rsid w:val="007F499D"/>
    <w:rsid w:val="008026A9"/>
    <w:rsid w:val="00806F71"/>
    <w:rsid w:val="00812871"/>
    <w:rsid w:val="00814634"/>
    <w:rsid w:val="00816C52"/>
    <w:rsid w:val="00820868"/>
    <w:rsid w:val="00821102"/>
    <w:rsid w:val="00824643"/>
    <w:rsid w:val="0082549B"/>
    <w:rsid w:val="008267FA"/>
    <w:rsid w:val="00826F6E"/>
    <w:rsid w:val="00831C09"/>
    <w:rsid w:val="00832F9F"/>
    <w:rsid w:val="00834384"/>
    <w:rsid w:val="00840A3E"/>
    <w:rsid w:val="00842DA5"/>
    <w:rsid w:val="0084306B"/>
    <w:rsid w:val="008558F2"/>
    <w:rsid w:val="00860625"/>
    <w:rsid w:val="008653C8"/>
    <w:rsid w:val="00867E87"/>
    <w:rsid w:val="008746B9"/>
    <w:rsid w:val="00875CF9"/>
    <w:rsid w:val="008761C8"/>
    <w:rsid w:val="00882B7E"/>
    <w:rsid w:val="008A2733"/>
    <w:rsid w:val="008A2E19"/>
    <w:rsid w:val="008A32A1"/>
    <w:rsid w:val="008B7E25"/>
    <w:rsid w:val="008D26DB"/>
    <w:rsid w:val="008D3B94"/>
    <w:rsid w:val="008E77C0"/>
    <w:rsid w:val="0090228C"/>
    <w:rsid w:val="00902AD1"/>
    <w:rsid w:val="00904818"/>
    <w:rsid w:val="009117DC"/>
    <w:rsid w:val="00911D8B"/>
    <w:rsid w:val="00912676"/>
    <w:rsid w:val="00914171"/>
    <w:rsid w:val="00915E3D"/>
    <w:rsid w:val="009212F9"/>
    <w:rsid w:val="00935844"/>
    <w:rsid w:val="00941158"/>
    <w:rsid w:val="00942DAE"/>
    <w:rsid w:val="00952B77"/>
    <w:rsid w:val="00955798"/>
    <w:rsid w:val="00960AA3"/>
    <w:rsid w:val="00961185"/>
    <w:rsid w:val="00965C21"/>
    <w:rsid w:val="009812E7"/>
    <w:rsid w:val="009848A9"/>
    <w:rsid w:val="0098775F"/>
    <w:rsid w:val="009B0EF5"/>
    <w:rsid w:val="009B19A6"/>
    <w:rsid w:val="009B55D8"/>
    <w:rsid w:val="009B6E6A"/>
    <w:rsid w:val="009C1B50"/>
    <w:rsid w:val="009C37F1"/>
    <w:rsid w:val="009C5C41"/>
    <w:rsid w:val="009D0119"/>
    <w:rsid w:val="009E6EF5"/>
    <w:rsid w:val="009F1B72"/>
    <w:rsid w:val="009F1CB9"/>
    <w:rsid w:val="00A01546"/>
    <w:rsid w:val="00A01C0F"/>
    <w:rsid w:val="00A17909"/>
    <w:rsid w:val="00A22F64"/>
    <w:rsid w:val="00A231A6"/>
    <w:rsid w:val="00A370C0"/>
    <w:rsid w:val="00A43685"/>
    <w:rsid w:val="00A443DE"/>
    <w:rsid w:val="00A45E29"/>
    <w:rsid w:val="00A462C3"/>
    <w:rsid w:val="00A50A64"/>
    <w:rsid w:val="00A54E48"/>
    <w:rsid w:val="00A56C88"/>
    <w:rsid w:val="00A65BCA"/>
    <w:rsid w:val="00A80576"/>
    <w:rsid w:val="00A81701"/>
    <w:rsid w:val="00A81C0E"/>
    <w:rsid w:val="00A87BBE"/>
    <w:rsid w:val="00A91B5F"/>
    <w:rsid w:val="00A92793"/>
    <w:rsid w:val="00A92D42"/>
    <w:rsid w:val="00A96818"/>
    <w:rsid w:val="00AB4046"/>
    <w:rsid w:val="00AB41B1"/>
    <w:rsid w:val="00AC5129"/>
    <w:rsid w:val="00AC5CBC"/>
    <w:rsid w:val="00AD1824"/>
    <w:rsid w:val="00AD241A"/>
    <w:rsid w:val="00AD72ED"/>
    <w:rsid w:val="00AD7A65"/>
    <w:rsid w:val="00AE3CA8"/>
    <w:rsid w:val="00AE425D"/>
    <w:rsid w:val="00AE7D9D"/>
    <w:rsid w:val="00AF2D6D"/>
    <w:rsid w:val="00AF5C82"/>
    <w:rsid w:val="00AF7D5D"/>
    <w:rsid w:val="00B0093F"/>
    <w:rsid w:val="00B02B76"/>
    <w:rsid w:val="00B04A17"/>
    <w:rsid w:val="00B063B1"/>
    <w:rsid w:val="00B06E38"/>
    <w:rsid w:val="00B07196"/>
    <w:rsid w:val="00B1018A"/>
    <w:rsid w:val="00B1037B"/>
    <w:rsid w:val="00B13485"/>
    <w:rsid w:val="00B13F5B"/>
    <w:rsid w:val="00B20939"/>
    <w:rsid w:val="00B22587"/>
    <w:rsid w:val="00B22D93"/>
    <w:rsid w:val="00B4180A"/>
    <w:rsid w:val="00B5279A"/>
    <w:rsid w:val="00B553D2"/>
    <w:rsid w:val="00B6340F"/>
    <w:rsid w:val="00B644C3"/>
    <w:rsid w:val="00B7247B"/>
    <w:rsid w:val="00B82744"/>
    <w:rsid w:val="00B931D5"/>
    <w:rsid w:val="00B931FD"/>
    <w:rsid w:val="00B941C0"/>
    <w:rsid w:val="00B97429"/>
    <w:rsid w:val="00BA1F5A"/>
    <w:rsid w:val="00BA290B"/>
    <w:rsid w:val="00BA34CF"/>
    <w:rsid w:val="00BA5AA8"/>
    <w:rsid w:val="00BA7FCE"/>
    <w:rsid w:val="00BB472B"/>
    <w:rsid w:val="00BD0D0E"/>
    <w:rsid w:val="00BD1392"/>
    <w:rsid w:val="00BD1A87"/>
    <w:rsid w:val="00BD6078"/>
    <w:rsid w:val="00BD75E0"/>
    <w:rsid w:val="00BE1A51"/>
    <w:rsid w:val="00BF1599"/>
    <w:rsid w:val="00BF248E"/>
    <w:rsid w:val="00BF2742"/>
    <w:rsid w:val="00BF35A0"/>
    <w:rsid w:val="00BF3806"/>
    <w:rsid w:val="00BF677F"/>
    <w:rsid w:val="00C00576"/>
    <w:rsid w:val="00C04131"/>
    <w:rsid w:val="00C046B6"/>
    <w:rsid w:val="00C10D44"/>
    <w:rsid w:val="00C10E47"/>
    <w:rsid w:val="00C14A9D"/>
    <w:rsid w:val="00C17B18"/>
    <w:rsid w:val="00C17D63"/>
    <w:rsid w:val="00C31A93"/>
    <w:rsid w:val="00C321B1"/>
    <w:rsid w:val="00C325BA"/>
    <w:rsid w:val="00C34FE4"/>
    <w:rsid w:val="00C35558"/>
    <w:rsid w:val="00C425E2"/>
    <w:rsid w:val="00C5078D"/>
    <w:rsid w:val="00C5543A"/>
    <w:rsid w:val="00C56E0A"/>
    <w:rsid w:val="00C60E18"/>
    <w:rsid w:val="00C64C73"/>
    <w:rsid w:val="00C75C00"/>
    <w:rsid w:val="00C763A7"/>
    <w:rsid w:val="00C76DD1"/>
    <w:rsid w:val="00C82C8A"/>
    <w:rsid w:val="00C83F1A"/>
    <w:rsid w:val="00C92900"/>
    <w:rsid w:val="00C9517D"/>
    <w:rsid w:val="00C954F6"/>
    <w:rsid w:val="00C95551"/>
    <w:rsid w:val="00CA1A89"/>
    <w:rsid w:val="00CA2FE6"/>
    <w:rsid w:val="00CB1434"/>
    <w:rsid w:val="00CC6919"/>
    <w:rsid w:val="00CD1854"/>
    <w:rsid w:val="00CD249D"/>
    <w:rsid w:val="00CE3A9E"/>
    <w:rsid w:val="00CF0821"/>
    <w:rsid w:val="00CF4ADE"/>
    <w:rsid w:val="00D013F2"/>
    <w:rsid w:val="00D060B4"/>
    <w:rsid w:val="00D14667"/>
    <w:rsid w:val="00D26925"/>
    <w:rsid w:val="00D31AB9"/>
    <w:rsid w:val="00D35C6E"/>
    <w:rsid w:val="00D417C7"/>
    <w:rsid w:val="00D43B97"/>
    <w:rsid w:val="00D52F9F"/>
    <w:rsid w:val="00D60080"/>
    <w:rsid w:val="00D73AE1"/>
    <w:rsid w:val="00D75874"/>
    <w:rsid w:val="00D75B8B"/>
    <w:rsid w:val="00D8314B"/>
    <w:rsid w:val="00D8318D"/>
    <w:rsid w:val="00D9265D"/>
    <w:rsid w:val="00D92C37"/>
    <w:rsid w:val="00DA498E"/>
    <w:rsid w:val="00DA52A7"/>
    <w:rsid w:val="00DB69F5"/>
    <w:rsid w:val="00DB7FBE"/>
    <w:rsid w:val="00DC12CE"/>
    <w:rsid w:val="00DD75BB"/>
    <w:rsid w:val="00DE5037"/>
    <w:rsid w:val="00DE63E2"/>
    <w:rsid w:val="00DF028D"/>
    <w:rsid w:val="00DF0489"/>
    <w:rsid w:val="00DF19DB"/>
    <w:rsid w:val="00DF33A0"/>
    <w:rsid w:val="00DF72B7"/>
    <w:rsid w:val="00E00428"/>
    <w:rsid w:val="00E041D7"/>
    <w:rsid w:val="00E06A9B"/>
    <w:rsid w:val="00E12868"/>
    <w:rsid w:val="00E13AAB"/>
    <w:rsid w:val="00E14EB8"/>
    <w:rsid w:val="00E1540D"/>
    <w:rsid w:val="00E2129B"/>
    <w:rsid w:val="00E25908"/>
    <w:rsid w:val="00E35078"/>
    <w:rsid w:val="00E35D8D"/>
    <w:rsid w:val="00E373E7"/>
    <w:rsid w:val="00E40B62"/>
    <w:rsid w:val="00E442D1"/>
    <w:rsid w:val="00E465C5"/>
    <w:rsid w:val="00E5260C"/>
    <w:rsid w:val="00E53650"/>
    <w:rsid w:val="00E73C17"/>
    <w:rsid w:val="00E74B2F"/>
    <w:rsid w:val="00E92926"/>
    <w:rsid w:val="00E96536"/>
    <w:rsid w:val="00E96715"/>
    <w:rsid w:val="00EA0FF8"/>
    <w:rsid w:val="00EA1CCF"/>
    <w:rsid w:val="00EB0786"/>
    <w:rsid w:val="00EB4D35"/>
    <w:rsid w:val="00EB5538"/>
    <w:rsid w:val="00EB606D"/>
    <w:rsid w:val="00EB6478"/>
    <w:rsid w:val="00EC1CC6"/>
    <w:rsid w:val="00EC7BB5"/>
    <w:rsid w:val="00ED1234"/>
    <w:rsid w:val="00ED5F45"/>
    <w:rsid w:val="00ED61FB"/>
    <w:rsid w:val="00ED628D"/>
    <w:rsid w:val="00EE1570"/>
    <w:rsid w:val="00EE1790"/>
    <w:rsid w:val="00EE7E2F"/>
    <w:rsid w:val="00EF6FAE"/>
    <w:rsid w:val="00EF753E"/>
    <w:rsid w:val="00F05EEA"/>
    <w:rsid w:val="00F06EE5"/>
    <w:rsid w:val="00F07E01"/>
    <w:rsid w:val="00F11362"/>
    <w:rsid w:val="00F119B9"/>
    <w:rsid w:val="00F23C17"/>
    <w:rsid w:val="00F24E18"/>
    <w:rsid w:val="00F25D78"/>
    <w:rsid w:val="00F267F5"/>
    <w:rsid w:val="00F277C4"/>
    <w:rsid w:val="00F30FB9"/>
    <w:rsid w:val="00F366AA"/>
    <w:rsid w:val="00F40004"/>
    <w:rsid w:val="00F446D4"/>
    <w:rsid w:val="00F452A8"/>
    <w:rsid w:val="00F47756"/>
    <w:rsid w:val="00F52BB8"/>
    <w:rsid w:val="00F53233"/>
    <w:rsid w:val="00F54FA2"/>
    <w:rsid w:val="00F55845"/>
    <w:rsid w:val="00F664EC"/>
    <w:rsid w:val="00F704F3"/>
    <w:rsid w:val="00F70523"/>
    <w:rsid w:val="00F71168"/>
    <w:rsid w:val="00F756EC"/>
    <w:rsid w:val="00F81714"/>
    <w:rsid w:val="00F93396"/>
    <w:rsid w:val="00F93D15"/>
    <w:rsid w:val="00F974C1"/>
    <w:rsid w:val="00FA12C9"/>
    <w:rsid w:val="00FA197F"/>
    <w:rsid w:val="00FA1D03"/>
    <w:rsid w:val="00FC3927"/>
    <w:rsid w:val="00FC3A2E"/>
    <w:rsid w:val="00FD4D22"/>
    <w:rsid w:val="00FD7D83"/>
    <w:rsid w:val="00FE040B"/>
    <w:rsid w:val="00FE5677"/>
    <w:rsid w:val="00FF59CB"/>
    <w:rsid w:val="00FF6A4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92F32"/>
  <w15:docId w15:val="{77F02F72-EBB5-45DF-9771-32EE712E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6892"/>
    <w:pPr>
      <w:spacing w:after="0" w:line="240" w:lineRule="auto"/>
    </w:pPr>
    <w:rPr>
      <w:rFonts w:ascii="Times New Roman" w:hAnsi="Times New Roman"/>
      <w:kern w:val="0"/>
      <w:sz w:val="24"/>
      <w14:ligatures w14:val="none"/>
    </w:rPr>
  </w:style>
  <w:style w:type="paragraph" w:styleId="Heading1">
    <w:name w:val="heading 1"/>
    <w:basedOn w:val="BodyParagraphs"/>
    <w:next w:val="BodyParagraphs"/>
    <w:link w:val="Heading1Char"/>
    <w:uiPriority w:val="9"/>
    <w:qFormat/>
    <w:rsid w:val="006865B4"/>
    <w:pPr>
      <w:numPr>
        <w:numId w:val="3"/>
      </w:numPr>
      <w:spacing w:after="240" w:line="360" w:lineRule="auto"/>
      <w:ind w:left="567" w:hanging="578"/>
      <w:outlineLvl w:val="0"/>
    </w:pPr>
    <w:rPr>
      <w:rFonts w:cs="Times New Roman"/>
      <w:b/>
      <w:bCs/>
      <w:caps/>
      <w:u w:val="single"/>
    </w:rPr>
  </w:style>
  <w:style w:type="paragraph" w:styleId="Heading2">
    <w:name w:val="heading 2"/>
    <w:basedOn w:val="Normal"/>
    <w:next w:val="BodyParagraphs"/>
    <w:link w:val="Heading2Char"/>
    <w:uiPriority w:val="9"/>
    <w:unhideWhenUsed/>
    <w:qFormat/>
    <w:rsid w:val="00266892"/>
    <w:pPr>
      <w:keepNext/>
      <w:keepLines/>
      <w:numPr>
        <w:ilvl w:val="1"/>
        <w:numId w:val="2"/>
      </w:numPr>
      <w:spacing w:afterLines="100" w:after="100" w:line="480" w:lineRule="auto"/>
      <w:outlineLvl w:val="1"/>
    </w:pPr>
    <w:rPr>
      <w:rFonts w:eastAsiaTheme="majorEastAsia" w:cstheme="majorBidi"/>
      <w:b/>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B4"/>
    <w:rPr>
      <w:rFonts w:ascii="Times New Roman" w:hAnsi="Times New Roman" w:cs="Times New Roman"/>
      <w:b/>
      <w:bCs/>
      <w:caps/>
      <w:kern w:val="0"/>
      <w:sz w:val="24"/>
      <w:u w:val="single"/>
      <w14:ligatures w14:val="none"/>
    </w:rPr>
  </w:style>
  <w:style w:type="character" w:customStyle="1" w:styleId="Heading2Char">
    <w:name w:val="Heading 2 Char"/>
    <w:basedOn w:val="DefaultParagraphFont"/>
    <w:link w:val="Heading2"/>
    <w:uiPriority w:val="9"/>
    <w:rsid w:val="00266892"/>
    <w:rPr>
      <w:rFonts w:ascii="Times New Roman" w:eastAsiaTheme="majorEastAsia" w:hAnsi="Times New Roman" w:cstheme="majorBidi"/>
      <w:b/>
      <w:smallCaps/>
      <w:kern w:val="0"/>
      <w:sz w:val="24"/>
      <w:szCs w:val="26"/>
      <w14:ligatures w14:val="none"/>
    </w:rPr>
  </w:style>
  <w:style w:type="paragraph" w:customStyle="1" w:styleId="BodyParagraphs">
    <w:name w:val="Body Paragraphs"/>
    <w:basedOn w:val="ListParagraph"/>
    <w:link w:val="BodyParagraphsChar"/>
    <w:qFormat/>
    <w:rsid w:val="00266892"/>
    <w:pPr>
      <w:numPr>
        <w:numId w:val="1"/>
      </w:numPr>
      <w:spacing w:afterLines="100" w:after="100" w:line="480" w:lineRule="auto"/>
      <w:contextualSpacing w:val="0"/>
      <w:jc w:val="both"/>
    </w:pPr>
  </w:style>
  <w:style w:type="character" w:customStyle="1" w:styleId="BodyParagraphsChar">
    <w:name w:val="Body Paragraphs Char"/>
    <w:basedOn w:val="DefaultParagraphFont"/>
    <w:link w:val="BodyParagraphs"/>
    <w:rsid w:val="00266892"/>
    <w:rPr>
      <w:rFonts w:ascii="Times New Roman" w:hAnsi="Times New Roman"/>
      <w:kern w:val="0"/>
      <w:sz w:val="24"/>
      <w14:ligatures w14:val="none"/>
    </w:rPr>
  </w:style>
  <w:style w:type="paragraph" w:styleId="Header">
    <w:name w:val="header"/>
    <w:basedOn w:val="Normal"/>
    <w:link w:val="HeaderChar"/>
    <w:uiPriority w:val="99"/>
    <w:unhideWhenUsed/>
    <w:rsid w:val="00266892"/>
    <w:pPr>
      <w:tabs>
        <w:tab w:val="center" w:pos="4513"/>
        <w:tab w:val="right" w:pos="9026"/>
      </w:tabs>
    </w:pPr>
  </w:style>
  <w:style w:type="character" w:customStyle="1" w:styleId="HeaderChar">
    <w:name w:val="Header Char"/>
    <w:basedOn w:val="DefaultParagraphFont"/>
    <w:link w:val="Header"/>
    <w:uiPriority w:val="99"/>
    <w:rsid w:val="00266892"/>
    <w:rPr>
      <w:rFonts w:ascii="Times New Roman" w:hAnsi="Times New Roman"/>
      <w:kern w:val="0"/>
      <w:sz w:val="24"/>
      <w14:ligatures w14:val="none"/>
    </w:rPr>
  </w:style>
  <w:style w:type="paragraph" w:styleId="FootnoteText">
    <w:name w:val="footnote text"/>
    <w:basedOn w:val="Normal"/>
    <w:link w:val="FootnoteTextChar"/>
    <w:uiPriority w:val="99"/>
    <w:semiHidden/>
    <w:unhideWhenUsed/>
    <w:rsid w:val="00266892"/>
    <w:rPr>
      <w:sz w:val="20"/>
      <w:szCs w:val="20"/>
    </w:rPr>
  </w:style>
  <w:style w:type="character" w:customStyle="1" w:styleId="FootnoteTextChar">
    <w:name w:val="Footnote Text Char"/>
    <w:basedOn w:val="DefaultParagraphFont"/>
    <w:link w:val="FootnoteText"/>
    <w:uiPriority w:val="99"/>
    <w:semiHidden/>
    <w:rsid w:val="00266892"/>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266892"/>
    <w:rPr>
      <w:vertAlign w:val="superscript"/>
    </w:rPr>
  </w:style>
  <w:style w:type="paragraph" w:styleId="Quote">
    <w:name w:val="Quote"/>
    <w:basedOn w:val="Normal"/>
    <w:next w:val="Normal"/>
    <w:link w:val="QuoteChar"/>
    <w:uiPriority w:val="29"/>
    <w:qFormat/>
    <w:rsid w:val="00266892"/>
    <w:pPr>
      <w:autoSpaceDE w:val="0"/>
      <w:autoSpaceDN w:val="0"/>
      <w:adjustRightInd w:val="0"/>
      <w:snapToGrid w:val="0"/>
      <w:ind w:left="1440"/>
      <w:jc w:val="both"/>
    </w:pPr>
    <w:rPr>
      <w:rFonts w:eastAsia="Times New Roman" w:cs="Times New Roman"/>
      <w:i/>
      <w:color w:val="000000"/>
      <w:szCs w:val="24"/>
      <w:lang w:val="x-none"/>
    </w:rPr>
  </w:style>
  <w:style w:type="character" w:customStyle="1" w:styleId="QuoteChar">
    <w:name w:val="Quote Char"/>
    <w:basedOn w:val="DefaultParagraphFont"/>
    <w:link w:val="Quote"/>
    <w:uiPriority w:val="29"/>
    <w:rsid w:val="00266892"/>
    <w:rPr>
      <w:rFonts w:ascii="Times New Roman" w:eastAsia="Times New Roman" w:hAnsi="Times New Roman" w:cs="Times New Roman"/>
      <w:i/>
      <w:color w:val="000000"/>
      <w:kern w:val="0"/>
      <w:sz w:val="24"/>
      <w:szCs w:val="24"/>
      <w:lang w:val="x-none"/>
      <w14:ligatures w14:val="none"/>
    </w:rPr>
  </w:style>
  <w:style w:type="paragraph" w:styleId="ListParagraph">
    <w:name w:val="List Paragraph"/>
    <w:basedOn w:val="Normal"/>
    <w:uiPriority w:val="34"/>
    <w:qFormat/>
    <w:rsid w:val="00266892"/>
    <w:pPr>
      <w:ind w:left="720"/>
      <w:contextualSpacing/>
    </w:pPr>
  </w:style>
  <w:style w:type="paragraph" w:styleId="NormalWeb">
    <w:name w:val="Normal (Web)"/>
    <w:basedOn w:val="Normal"/>
    <w:uiPriority w:val="99"/>
    <w:unhideWhenUsed/>
    <w:rsid w:val="00E92926"/>
    <w:pPr>
      <w:spacing w:before="100" w:beforeAutospacing="1" w:after="100" w:afterAutospacing="1"/>
    </w:pPr>
    <w:rPr>
      <w:rFonts w:eastAsia="Times New Roman" w:cs="Times New Roman"/>
      <w:szCs w:val="24"/>
      <w:lang w:eastAsia="en-SG"/>
    </w:rPr>
  </w:style>
  <w:style w:type="character" w:styleId="Strong">
    <w:name w:val="Strong"/>
    <w:basedOn w:val="DefaultParagraphFont"/>
    <w:uiPriority w:val="22"/>
    <w:qFormat/>
    <w:rsid w:val="00E92926"/>
    <w:rPr>
      <w:b/>
      <w:bCs/>
    </w:rPr>
  </w:style>
  <w:style w:type="paragraph" w:styleId="EndnoteText">
    <w:name w:val="endnote text"/>
    <w:basedOn w:val="Normal"/>
    <w:link w:val="EndnoteTextChar"/>
    <w:uiPriority w:val="99"/>
    <w:semiHidden/>
    <w:unhideWhenUsed/>
    <w:rsid w:val="00122E71"/>
    <w:rPr>
      <w:sz w:val="20"/>
      <w:szCs w:val="20"/>
    </w:rPr>
  </w:style>
  <w:style w:type="character" w:customStyle="1" w:styleId="EndnoteTextChar">
    <w:name w:val="Endnote Text Char"/>
    <w:basedOn w:val="DefaultParagraphFont"/>
    <w:link w:val="EndnoteText"/>
    <w:uiPriority w:val="99"/>
    <w:semiHidden/>
    <w:rsid w:val="00122E71"/>
    <w:rPr>
      <w:rFonts w:ascii="Times New Roman" w:hAnsi="Times New Roman"/>
      <w:kern w:val="0"/>
      <w:sz w:val="20"/>
      <w:szCs w:val="20"/>
      <w14:ligatures w14:val="none"/>
    </w:rPr>
  </w:style>
  <w:style w:type="character" w:styleId="EndnoteReference">
    <w:name w:val="endnote reference"/>
    <w:basedOn w:val="DefaultParagraphFont"/>
    <w:uiPriority w:val="99"/>
    <w:semiHidden/>
    <w:unhideWhenUsed/>
    <w:rsid w:val="00122E71"/>
    <w:rPr>
      <w:vertAlign w:val="superscript"/>
    </w:rPr>
  </w:style>
  <w:style w:type="character" w:customStyle="1" w:styleId="font-italic">
    <w:name w:val="font-italic"/>
    <w:basedOn w:val="DefaultParagraphFont"/>
    <w:rsid w:val="00904818"/>
  </w:style>
  <w:style w:type="character" w:styleId="Emphasis">
    <w:name w:val="Emphasis"/>
    <w:basedOn w:val="DefaultParagraphFont"/>
    <w:uiPriority w:val="20"/>
    <w:qFormat/>
    <w:rsid w:val="00594967"/>
    <w:rPr>
      <w:i/>
      <w:iCs/>
    </w:rPr>
  </w:style>
  <w:style w:type="paragraph" w:styleId="TOC9">
    <w:name w:val="toc 9"/>
    <w:basedOn w:val="Normal"/>
    <w:next w:val="Normal"/>
    <w:autoRedefine/>
    <w:uiPriority w:val="39"/>
    <w:semiHidden/>
    <w:unhideWhenUsed/>
    <w:rsid w:val="009F1CB9"/>
    <w:pPr>
      <w:spacing w:after="100"/>
      <w:ind w:left="1920"/>
    </w:pPr>
  </w:style>
  <w:style w:type="paragraph" w:styleId="TOC1">
    <w:name w:val="toc 1"/>
    <w:basedOn w:val="Normal"/>
    <w:next w:val="Normal"/>
    <w:autoRedefine/>
    <w:uiPriority w:val="39"/>
    <w:unhideWhenUsed/>
    <w:rsid w:val="00B13F5B"/>
    <w:pPr>
      <w:tabs>
        <w:tab w:val="left" w:pos="660"/>
        <w:tab w:val="right" w:leader="dot" w:pos="7922"/>
      </w:tabs>
      <w:spacing w:after="100"/>
    </w:pPr>
    <w:rPr>
      <w:b/>
      <w:bCs/>
      <w:noProof/>
    </w:rPr>
  </w:style>
  <w:style w:type="paragraph" w:styleId="TOC2">
    <w:name w:val="toc 2"/>
    <w:basedOn w:val="Normal"/>
    <w:next w:val="Normal"/>
    <w:autoRedefine/>
    <w:uiPriority w:val="39"/>
    <w:unhideWhenUsed/>
    <w:rsid w:val="009F1CB9"/>
    <w:pPr>
      <w:spacing w:after="100"/>
      <w:ind w:left="240"/>
    </w:pPr>
  </w:style>
  <w:style w:type="character" w:styleId="Hyperlink">
    <w:name w:val="Hyperlink"/>
    <w:basedOn w:val="DefaultParagraphFont"/>
    <w:uiPriority w:val="99"/>
    <w:unhideWhenUsed/>
    <w:rsid w:val="009F1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283">
      <w:bodyDiv w:val="1"/>
      <w:marLeft w:val="0"/>
      <w:marRight w:val="0"/>
      <w:marTop w:val="0"/>
      <w:marBottom w:val="0"/>
      <w:divBdr>
        <w:top w:val="none" w:sz="0" w:space="0" w:color="auto"/>
        <w:left w:val="none" w:sz="0" w:space="0" w:color="auto"/>
        <w:bottom w:val="none" w:sz="0" w:space="0" w:color="auto"/>
        <w:right w:val="none" w:sz="0" w:space="0" w:color="auto"/>
      </w:divBdr>
    </w:div>
    <w:div w:id="1209224738">
      <w:bodyDiv w:val="1"/>
      <w:marLeft w:val="0"/>
      <w:marRight w:val="0"/>
      <w:marTop w:val="0"/>
      <w:marBottom w:val="0"/>
      <w:divBdr>
        <w:top w:val="none" w:sz="0" w:space="0" w:color="auto"/>
        <w:left w:val="none" w:sz="0" w:space="0" w:color="auto"/>
        <w:bottom w:val="none" w:sz="0" w:space="0" w:color="auto"/>
        <w:right w:val="none" w:sz="0" w:space="0" w:color="auto"/>
      </w:divBdr>
    </w:div>
    <w:div w:id="1459688445">
      <w:bodyDiv w:val="1"/>
      <w:marLeft w:val="0"/>
      <w:marRight w:val="0"/>
      <w:marTop w:val="0"/>
      <w:marBottom w:val="0"/>
      <w:divBdr>
        <w:top w:val="none" w:sz="0" w:space="0" w:color="auto"/>
        <w:left w:val="none" w:sz="0" w:space="0" w:color="auto"/>
        <w:bottom w:val="none" w:sz="0" w:space="0" w:color="auto"/>
        <w:right w:val="none" w:sz="0" w:space="0" w:color="auto"/>
      </w:divBdr>
    </w:div>
    <w:div w:id="196407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2" ma:contentTypeDescription="Create a new document." ma:contentTypeScope="" ma:versionID="71ec2c4ab317f95ce60361d0e81e8f9f">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b261d60fd61a62b75a1e502085eac7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EC9510DC-1D27-4BA8-91E1-3CCF1D4A780E}">
  <ds:schemaRefs>
    <ds:schemaRef ds:uri="http://schemas.openxmlformats.org/officeDocument/2006/bibliography"/>
  </ds:schemaRefs>
</ds:datastoreItem>
</file>

<file path=customXml/itemProps2.xml><?xml version="1.0" encoding="utf-8"?>
<ds:datastoreItem xmlns:ds="http://schemas.openxmlformats.org/officeDocument/2006/customXml" ds:itemID="{6BEBB467-B31B-40CC-AB95-E05F6B49CC8A}"/>
</file>

<file path=customXml/itemProps3.xml><?xml version="1.0" encoding="utf-8"?>
<ds:datastoreItem xmlns:ds="http://schemas.openxmlformats.org/officeDocument/2006/customXml" ds:itemID="{644274FC-DE78-45D4-8DDD-E5EA536475EA}"/>
</file>

<file path=customXml/itemProps4.xml><?xml version="1.0" encoding="utf-8"?>
<ds:datastoreItem xmlns:ds="http://schemas.openxmlformats.org/officeDocument/2006/customXml" ds:itemID="{AEBCF098-BF23-463D-B054-7EDAB7AE253D}"/>
</file>

<file path=docProps/app.xml><?xml version="1.0" encoding="utf-8"?>
<Properties xmlns="http://schemas.openxmlformats.org/officeDocument/2006/extended-properties" xmlns:vt="http://schemas.openxmlformats.org/officeDocument/2006/docPropsVTypes">
  <Template>Normal</Template>
  <TotalTime>1</TotalTime>
  <Pages>17</Pages>
  <Words>4526</Words>
  <Characters>24344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 Jhien YAM</dc:creator>
  <cp:keywords/>
  <dc:description/>
  <cp:lastModifiedBy>Heather Callow</cp:lastModifiedBy>
  <cp:revision>2</cp:revision>
  <dcterms:created xsi:type="dcterms:W3CDTF">2024-02-28T09:09:00Z</dcterms:created>
  <dcterms:modified xsi:type="dcterms:W3CDTF">2024-02-28T09:09:00Z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