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Administration (Restrictions on Disposal </w:t>
      </w:r>
      <w:proofErr w:type="spellStart"/>
      <w:r w:rsidRPr="006925C1">
        <w:rPr>
          <w:rFonts w:ascii="Avenir Next" w:hAnsi="Avenir Next" w:cs="Arial"/>
          <w:sz w:val="22"/>
          <w:szCs w:val="22"/>
          <w:lang w:val="en-GB"/>
        </w:rPr>
        <w:t>etc</w:t>
      </w:r>
      <w:proofErr w:type="spellEnd"/>
      <w:r w:rsidRPr="006925C1">
        <w:rPr>
          <w:rFonts w:ascii="Avenir Next" w:hAnsi="Avenir Next" w:cs="Arial"/>
          <w:sz w:val="22"/>
          <w:szCs w:val="22"/>
          <w:lang w:val="en-GB"/>
        </w:rPr>
        <w:t xml:space="preserve">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EC29A1" w:rsidRDefault="00AE5B6F" w:rsidP="00B04033">
      <w:pPr>
        <w:pStyle w:val="ListParagraph"/>
        <w:numPr>
          <w:ilvl w:val="0"/>
          <w:numId w:val="1"/>
        </w:numPr>
        <w:ind w:left="426"/>
        <w:jc w:val="both"/>
        <w:rPr>
          <w:rFonts w:ascii="Avenir Next" w:hAnsi="Avenir Next" w:cs="Arial"/>
          <w:sz w:val="22"/>
          <w:szCs w:val="22"/>
          <w:highlight w:val="yellow"/>
          <w:lang w:val="en-GB"/>
        </w:rPr>
      </w:pPr>
      <w:proofErr w:type="gramStart"/>
      <w:r w:rsidRPr="00EC29A1">
        <w:rPr>
          <w:rFonts w:ascii="Avenir Next" w:hAnsi="Avenir Next" w:cs="Arial"/>
          <w:sz w:val="22"/>
          <w:szCs w:val="22"/>
          <w:highlight w:val="yellow"/>
          <w:lang w:val="en-GB"/>
        </w:rPr>
        <w:t>w</w:t>
      </w:r>
      <w:r w:rsidR="00C91062" w:rsidRPr="00EC29A1">
        <w:rPr>
          <w:rFonts w:ascii="Avenir Next" w:hAnsi="Avenir Next" w:cs="Arial"/>
          <w:sz w:val="22"/>
          <w:szCs w:val="22"/>
          <w:highlight w:val="yellow"/>
          <w:lang w:val="en-GB"/>
        </w:rPr>
        <w:t>ithin</w:t>
      </w:r>
      <w:proofErr w:type="gramEnd"/>
      <w:r w:rsidR="00C91062" w:rsidRPr="00EC29A1">
        <w:rPr>
          <w:rFonts w:ascii="Avenir Next" w:hAnsi="Avenir Next" w:cs="Arial"/>
          <w:sz w:val="22"/>
          <w:szCs w:val="22"/>
          <w:highlight w:val="yellow"/>
          <w:lang w:val="en-GB"/>
        </w:rPr>
        <w:t xml:space="preserve"> </w:t>
      </w:r>
      <w:r w:rsidR="00733A34" w:rsidRPr="00EC29A1">
        <w:rPr>
          <w:rFonts w:ascii="Avenir Next" w:hAnsi="Avenir Next" w:cs="Arial"/>
          <w:sz w:val="22"/>
          <w:szCs w:val="22"/>
          <w:highlight w:val="yellow"/>
          <w:lang w:val="en-GB"/>
        </w:rPr>
        <w:t>eight</w:t>
      </w:r>
      <w:r w:rsidR="00C91062" w:rsidRPr="00EC29A1">
        <w:rPr>
          <w:rFonts w:ascii="Avenir Next" w:hAnsi="Avenir Next" w:cs="Arial"/>
          <w:sz w:val="22"/>
          <w:szCs w:val="22"/>
          <w:highlight w:val="yellow"/>
          <w:lang w:val="en-GB"/>
        </w:rPr>
        <w:t xml:space="preserve"> weeks of the commencement of the administration</w:t>
      </w:r>
      <w:r w:rsidR="00763348" w:rsidRPr="00EC29A1">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w</w:t>
      </w:r>
      <w:r w:rsidR="00C91062" w:rsidRPr="00197F24">
        <w:rPr>
          <w:rFonts w:ascii="Avenir Next" w:hAnsi="Avenir Next" w:cs="Arial"/>
          <w:sz w:val="22"/>
          <w:szCs w:val="22"/>
          <w:lang w:val="en-GB"/>
        </w:rPr>
        <w:t>ithin</w:t>
      </w:r>
      <w:proofErr w:type="gramEnd"/>
      <w:r w:rsidR="00C91062" w:rsidRPr="00197F24">
        <w:rPr>
          <w:rFonts w:ascii="Avenir Next" w:hAnsi="Avenir Next" w:cs="Arial"/>
          <w:sz w:val="22"/>
          <w:szCs w:val="22"/>
          <w:lang w:val="en-GB"/>
        </w:rPr>
        <w:t xml:space="preserve">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o</w:t>
      </w:r>
      <w:r w:rsidR="00C91062" w:rsidRPr="00197F24">
        <w:rPr>
          <w:rFonts w:ascii="Avenir Next" w:hAnsi="Avenir Next" w:cs="Arial"/>
          <w:sz w:val="22"/>
          <w:szCs w:val="22"/>
          <w:lang w:val="en-GB"/>
        </w:rPr>
        <w:t>n</w:t>
      </w:r>
      <w:proofErr w:type="gramEnd"/>
      <w:r w:rsidR="00C91062" w:rsidRPr="00197F24">
        <w:rPr>
          <w:rFonts w:ascii="Avenir Next" w:hAnsi="Avenir Next" w:cs="Arial"/>
          <w:sz w:val="22"/>
          <w:szCs w:val="22"/>
          <w:lang w:val="en-GB"/>
        </w:rPr>
        <w:t xml:space="preserve">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7E38D6" w:rsidRDefault="00E443D7" w:rsidP="00C55824">
      <w:pPr>
        <w:pStyle w:val="ListParagraph"/>
        <w:numPr>
          <w:ilvl w:val="0"/>
          <w:numId w:val="2"/>
        </w:numPr>
        <w:ind w:left="426"/>
        <w:jc w:val="both"/>
        <w:rPr>
          <w:rFonts w:ascii="Avenir Next" w:hAnsi="Avenir Next" w:cs="Arial"/>
          <w:sz w:val="22"/>
          <w:szCs w:val="22"/>
          <w:highlight w:val="yellow"/>
          <w:lang w:val="en-GB"/>
        </w:rPr>
      </w:pPr>
      <w:r w:rsidRPr="007E38D6">
        <w:rPr>
          <w:rFonts w:ascii="Avenir Next" w:hAnsi="Avenir Next" w:cs="Arial"/>
          <w:sz w:val="22"/>
          <w:szCs w:val="22"/>
          <w:highlight w:val="yellow"/>
          <w:lang w:val="en-GB"/>
        </w:rPr>
        <w:t>One year</w:t>
      </w:r>
      <w:r w:rsidR="00763348" w:rsidRPr="007E38D6">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7E38D6" w:rsidRDefault="00AE5B6F" w:rsidP="00B04033">
      <w:pPr>
        <w:pStyle w:val="ListParagraph"/>
        <w:numPr>
          <w:ilvl w:val="0"/>
          <w:numId w:val="3"/>
        </w:numPr>
        <w:ind w:left="426"/>
        <w:jc w:val="both"/>
        <w:rPr>
          <w:rFonts w:ascii="Avenir Next" w:hAnsi="Avenir Next" w:cs="Arial"/>
          <w:sz w:val="22"/>
          <w:szCs w:val="22"/>
          <w:highlight w:val="yellow"/>
          <w:lang w:val="en-GB"/>
        </w:rPr>
      </w:pPr>
      <w:r w:rsidRPr="007E38D6">
        <w:rPr>
          <w:rFonts w:ascii="Avenir Next" w:hAnsi="Avenir Next" w:cs="Arial"/>
          <w:sz w:val="22"/>
          <w:szCs w:val="22"/>
          <w:highlight w:val="yellow"/>
          <w:lang w:val="en-GB"/>
        </w:rPr>
        <w:t>T</w:t>
      </w:r>
      <w:r w:rsidR="008D1616" w:rsidRPr="007E38D6">
        <w:rPr>
          <w:rFonts w:ascii="Avenir Next" w:hAnsi="Avenir Next" w:cs="Arial"/>
          <w:sz w:val="22"/>
          <w:szCs w:val="22"/>
          <w:highlight w:val="yellow"/>
          <w:lang w:val="en-GB"/>
        </w:rPr>
        <w:t>he company is, or is likely to become, unable to pay their debts, as defined under s</w:t>
      </w:r>
      <w:r w:rsidR="00E833F4" w:rsidRPr="007E38D6">
        <w:rPr>
          <w:rFonts w:ascii="Avenir Next" w:hAnsi="Avenir Next" w:cs="Arial"/>
          <w:sz w:val="22"/>
          <w:szCs w:val="22"/>
          <w:highlight w:val="yellow"/>
          <w:lang w:val="en-GB"/>
        </w:rPr>
        <w:t>ection</w:t>
      </w:r>
      <w:r w:rsidR="008D1616" w:rsidRPr="007E38D6">
        <w:rPr>
          <w:rFonts w:ascii="Avenir Next" w:hAnsi="Avenir Next" w:cs="Arial"/>
          <w:sz w:val="22"/>
          <w:szCs w:val="22"/>
          <w:highlight w:val="yellow"/>
          <w:lang w:val="en-GB"/>
        </w:rPr>
        <w:t xml:space="preserve"> 123 of the Insolvency Act 1986</w:t>
      </w:r>
      <w:r w:rsidR="00763348" w:rsidRPr="007E38D6">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7E38D6" w:rsidRDefault="00C91062" w:rsidP="00B04033">
      <w:pPr>
        <w:pStyle w:val="ListParagraph"/>
        <w:numPr>
          <w:ilvl w:val="0"/>
          <w:numId w:val="4"/>
        </w:numPr>
        <w:ind w:left="426"/>
        <w:jc w:val="both"/>
        <w:rPr>
          <w:rFonts w:ascii="Avenir Next" w:hAnsi="Avenir Next" w:cs="Arial"/>
          <w:sz w:val="22"/>
          <w:szCs w:val="22"/>
          <w:highlight w:val="yellow"/>
          <w:lang w:val="en-GB"/>
        </w:rPr>
      </w:pPr>
      <w:r w:rsidRPr="007E38D6">
        <w:rPr>
          <w:rFonts w:ascii="Avenir Next" w:hAnsi="Avenir Next" w:cs="Arial"/>
          <w:sz w:val="22"/>
          <w:szCs w:val="22"/>
          <w:highlight w:val="yellow"/>
          <w:lang w:val="en-GB"/>
        </w:rPr>
        <w:t>The purchaser</w:t>
      </w:r>
      <w:r w:rsidR="00763348" w:rsidRPr="007E38D6">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057E2A" w:rsidRDefault="00BA1CFD" w:rsidP="00B04033">
      <w:pPr>
        <w:pStyle w:val="ListParagraph"/>
        <w:numPr>
          <w:ilvl w:val="0"/>
          <w:numId w:val="5"/>
        </w:numPr>
        <w:ind w:left="426"/>
        <w:jc w:val="both"/>
        <w:rPr>
          <w:rFonts w:ascii="Avenir Next" w:hAnsi="Avenir Next" w:cs="Arial"/>
          <w:sz w:val="22"/>
          <w:szCs w:val="22"/>
          <w:highlight w:val="yellow"/>
          <w:lang w:val="en-GB"/>
        </w:rPr>
      </w:pPr>
      <w:r w:rsidRPr="00057E2A">
        <w:rPr>
          <w:rFonts w:ascii="Avenir Next" w:hAnsi="Avenir Next" w:cs="Arial"/>
          <w:sz w:val="22"/>
          <w:szCs w:val="22"/>
          <w:highlight w:val="yellow"/>
          <w:lang w:val="en-GB"/>
        </w:rPr>
        <w:t>Administration</w:t>
      </w:r>
      <w:r w:rsidR="00763348" w:rsidRPr="00057E2A">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057E2A" w:rsidRDefault="00221444" w:rsidP="00221444">
      <w:pPr>
        <w:pStyle w:val="ListParagraph"/>
        <w:numPr>
          <w:ilvl w:val="0"/>
          <w:numId w:val="6"/>
        </w:numPr>
        <w:ind w:left="426"/>
        <w:jc w:val="both"/>
        <w:rPr>
          <w:rFonts w:ascii="Avenir Next" w:hAnsi="Avenir Next" w:cs="Arial"/>
          <w:sz w:val="22"/>
          <w:szCs w:val="22"/>
          <w:highlight w:val="yellow"/>
          <w:lang w:val="en-GB"/>
        </w:rPr>
      </w:pPr>
      <w:r w:rsidRPr="00057E2A">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057E2A" w:rsidRDefault="00BA1CFD" w:rsidP="00B04033">
      <w:pPr>
        <w:pStyle w:val="ListParagraph"/>
        <w:numPr>
          <w:ilvl w:val="0"/>
          <w:numId w:val="7"/>
        </w:numPr>
        <w:ind w:left="426"/>
        <w:jc w:val="both"/>
        <w:rPr>
          <w:rFonts w:ascii="Avenir Next" w:hAnsi="Avenir Next" w:cs="Arial"/>
          <w:sz w:val="22"/>
          <w:szCs w:val="22"/>
          <w:highlight w:val="yellow"/>
          <w:lang w:val="en-GB"/>
        </w:rPr>
      </w:pPr>
      <w:r w:rsidRPr="00057E2A">
        <w:rPr>
          <w:rFonts w:ascii="Avenir Next" w:hAnsi="Avenir Next" w:cs="Arial"/>
          <w:sz w:val="22"/>
          <w:szCs w:val="22"/>
          <w:highlight w:val="yellow"/>
          <w:lang w:val="en-GB"/>
        </w:rPr>
        <w:lastRenderedPageBreak/>
        <w:t>Being found guilty of an indictable offence in Great Britain</w:t>
      </w:r>
      <w:r w:rsidR="00763348" w:rsidRPr="00057E2A">
        <w:rPr>
          <w:rFonts w:ascii="Avenir Next" w:hAnsi="Avenir Next" w:cs="Arial"/>
          <w:sz w:val="22"/>
          <w:szCs w:val="22"/>
          <w:highlight w:val="yellow"/>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1A2998A8" w:rsidR="00876F56" w:rsidRDefault="00BA1CFD" w:rsidP="00B04033">
      <w:pPr>
        <w:pStyle w:val="ListParagraph"/>
        <w:numPr>
          <w:ilvl w:val="0"/>
          <w:numId w:val="7"/>
        </w:numPr>
        <w:ind w:left="426"/>
        <w:jc w:val="both"/>
        <w:rPr>
          <w:rFonts w:ascii="Avenir Next" w:hAnsi="Avenir Next" w:cs="Arial"/>
          <w:sz w:val="22"/>
          <w:szCs w:val="22"/>
          <w:highlight w:val="yellow"/>
          <w:lang w:val="en-GB"/>
        </w:rPr>
      </w:pPr>
      <w:r w:rsidRPr="00057E2A">
        <w:rPr>
          <w:rFonts w:ascii="Avenir Next" w:hAnsi="Avenir Next" w:cs="Arial"/>
          <w:sz w:val="22"/>
          <w:szCs w:val="22"/>
          <w:highlight w:val="yellow"/>
          <w:lang w:val="en-GB"/>
        </w:rPr>
        <w:t>Being found guilty of an indictable offence overseas</w:t>
      </w:r>
      <w:r w:rsidR="00763348" w:rsidRPr="00057E2A">
        <w:rPr>
          <w:rFonts w:ascii="Avenir Next" w:hAnsi="Avenir Next" w:cs="Arial"/>
          <w:sz w:val="22"/>
          <w:szCs w:val="22"/>
          <w:highlight w:val="yellow"/>
          <w:lang w:val="en-GB"/>
        </w:rPr>
        <w:t>.</w:t>
      </w:r>
    </w:p>
    <w:p w14:paraId="7E0B88E4" w14:textId="77777777" w:rsidR="00057E2A" w:rsidRPr="00057E2A" w:rsidRDefault="00057E2A" w:rsidP="00057E2A">
      <w:pPr>
        <w:pStyle w:val="ListParagraph"/>
        <w:rPr>
          <w:rFonts w:ascii="Avenir Next" w:hAnsi="Avenir Next" w:cs="Arial"/>
          <w:sz w:val="22"/>
          <w:szCs w:val="22"/>
          <w:highlight w:val="yellow"/>
          <w:lang w:val="en-GB"/>
        </w:rPr>
      </w:pPr>
    </w:p>
    <w:p w14:paraId="48D22518" w14:textId="4D6A1C75" w:rsidR="00057E2A" w:rsidRPr="00057E2A" w:rsidRDefault="00057E2A" w:rsidP="00057E2A">
      <w:pPr>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[Note: in both of these cases it must be an indictable offence </w:t>
      </w:r>
      <w:r w:rsidRPr="00A107B1">
        <w:rPr>
          <w:rFonts w:ascii="Avenir Next" w:hAnsi="Avenir Next" w:cs="Arial"/>
          <w:i/>
          <w:sz w:val="22"/>
          <w:szCs w:val="22"/>
          <w:highlight w:val="yellow"/>
          <w:lang w:val="en-GB"/>
        </w:rPr>
        <w:t>in connection with the promotion, formation, management, liquidation or striking off of a company, or with the receivership of a company's property</w:t>
      </w:r>
      <w:r w:rsidR="00483909">
        <w:rPr>
          <w:rFonts w:ascii="Avenir Next" w:hAnsi="Avenir Next" w:cs="Arial"/>
          <w:sz w:val="22"/>
          <w:szCs w:val="22"/>
          <w:highlight w:val="yellow"/>
          <w:lang w:val="en-GB"/>
        </w:rPr>
        <w:t xml:space="preserve"> – not just any indictable office.] </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w:t>
      </w:r>
      <w:proofErr w:type="gramStart"/>
      <w:r w:rsidRPr="00197F24">
        <w:rPr>
          <w:rFonts w:ascii="Avenir Next" w:hAnsi="Avenir Next" w:cs="Arial"/>
          <w:sz w:val="22"/>
          <w:szCs w:val="22"/>
          <w:lang w:val="en-GB"/>
        </w:rPr>
        <w:t>Appoint</w:t>
      </w:r>
      <w:proofErr w:type="gramEnd"/>
      <w:r w:rsidRPr="00197F24">
        <w:rPr>
          <w:rFonts w:ascii="Avenir Next" w:hAnsi="Avenir Next" w:cs="Arial"/>
          <w:sz w:val="22"/>
          <w:szCs w:val="22"/>
          <w:lang w:val="en-GB"/>
        </w:rPr>
        <w:t xml:space="preserve">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483909" w:rsidRDefault="00450393" w:rsidP="00450393">
      <w:pPr>
        <w:pStyle w:val="ListParagraph"/>
        <w:numPr>
          <w:ilvl w:val="0"/>
          <w:numId w:val="8"/>
        </w:numPr>
        <w:ind w:left="426"/>
        <w:jc w:val="both"/>
        <w:rPr>
          <w:rFonts w:ascii="Avenir Next" w:hAnsi="Avenir Next" w:cs="Arial"/>
          <w:sz w:val="22"/>
          <w:szCs w:val="22"/>
          <w:highlight w:val="yellow"/>
          <w:lang w:val="en-GB"/>
        </w:rPr>
      </w:pPr>
      <w:r w:rsidRPr="00483909">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483909" w:rsidRDefault="00E833F4" w:rsidP="00B04033">
      <w:pPr>
        <w:pStyle w:val="ListParagraph"/>
        <w:numPr>
          <w:ilvl w:val="0"/>
          <w:numId w:val="9"/>
        </w:numPr>
        <w:ind w:left="426"/>
        <w:jc w:val="both"/>
        <w:rPr>
          <w:rFonts w:ascii="Avenir Next" w:hAnsi="Avenir Next" w:cs="Arial"/>
          <w:sz w:val="22"/>
          <w:szCs w:val="22"/>
          <w:highlight w:val="yellow"/>
          <w:lang w:val="en-GB"/>
        </w:rPr>
      </w:pPr>
      <w:r w:rsidRPr="00483909">
        <w:rPr>
          <w:rFonts w:ascii="Avenir Next" w:hAnsi="Avenir Next" w:cs="Arial"/>
          <w:sz w:val="22"/>
          <w:szCs w:val="22"/>
          <w:highlight w:val="yellow"/>
          <w:lang w:val="en-GB"/>
        </w:rPr>
        <w:t>A</w:t>
      </w:r>
      <w:r w:rsidR="000D10C6" w:rsidRPr="00483909">
        <w:rPr>
          <w:rFonts w:ascii="Avenir Next" w:hAnsi="Avenir Next" w:cs="Arial"/>
          <w:sz w:val="22"/>
          <w:szCs w:val="22"/>
          <w:highlight w:val="yellow"/>
          <w:lang w:val="en-GB"/>
        </w:rPr>
        <w:t xml:space="preserve">n insolvency officeholder from an EU Member State will be automatically recognised by the courts in the UK whether the officeholder was appointed before or after </w:t>
      </w:r>
      <w:proofErr w:type="spellStart"/>
      <w:r w:rsidR="000D10C6" w:rsidRPr="00483909">
        <w:rPr>
          <w:rFonts w:ascii="Avenir Next" w:hAnsi="Avenir Next" w:cs="Arial"/>
          <w:sz w:val="22"/>
          <w:szCs w:val="22"/>
          <w:highlight w:val="yellow"/>
          <w:lang w:val="en-GB"/>
        </w:rPr>
        <w:t>Brexit</w:t>
      </w:r>
      <w:proofErr w:type="spellEnd"/>
      <w:r w:rsidR="000D10C6" w:rsidRPr="00483909">
        <w:rPr>
          <w:rFonts w:ascii="Avenir Next" w:hAnsi="Avenir Next" w:cs="Arial"/>
          <w:sz w:val="22"/>
          <w:szCs w:val="22"/>
          <w:highlight w:val="yellow"/>
          <w:lang w:val="en-GB"/>
        </w:rPr>
        <w: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is automatically recognised by the courts in the UK if appointed before </w:t>
      </w:r>
      <w:proofErr w:type="spellStart"/>
      <w:r w:rsidRPr="00197F24">
        <w:rPr>
          <w:rFonts w:ascii="Avenir Next" w:hAnsi="Avenir Next" w:cs="Arial"/>
          <w:sz w:val="22"/>
          <w:szCs w:val="22"/>
          <w:lang w:val="en-GB"/>
        </w:rPr>
        <w:t>Brexit</w:t>
      </w:r>
      <w:proofErr w:type="spellEnd"/>
      <w:r w:rsidRPr="00197F24">
        <w:rPr>
          <w:rFonts w:ascii="Avenir Next" w:hAnsi="Avenir Next" w:cs="Arial"/>
          <w:sz w:val="22"/>
          <w:szCs w:val="22"/>
          <w:lang w:val="en-GB"/>
        </w:rPr>
        <w: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 xml:space="preserve">appointed after </w:t>
      </w:r>
      <w:proofErr w:type="spellStart"/>
      <w:r w:rsidR="00AC317D" w:rsidRPr="00197F24">
        <w:rPr>
          <w:rFonts w:ascii="Avenir Next" w:hAnsi="Avenir Next" w:cs="Arial"/>
          <w:sz w:val="22"/>
          <w:szCs w:val="22"/>
          <w:lang w:val="en-GB"/>
        </w:rPr>
        <w:t>Brexit</w:t>
      </w:r>
      <w:proofErr w:type="spellEnd"/>
      <w:r w:rsidR="00AC317D" w:rsidRPr="00197F24">
        <w:rPr>
          <w:rFonts w:ascii="Avenir Next" w:hAnsi="Avenir Next" w:cs="Arial"/>
          <w:sz w:val="22"/>
          <w:szCs w:val="22"/>
          <w:lang w:val="en-GB"/>
        </w:rPr>
        <w:t xml:space="preserve">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483909" w:rsidRDefault="000D4CFA" w:rsidP="004C7A8F">
      <w:pPr>
        <w:pStyle w:val="ListParagraph"/>
        <w:numPr>
          <w:ilvl w:val="0"/>
          <w:numId w:val="10"/>
        </w:numPr>
        <w:ind w:left="426"/>
        <w:jc w:val="both"/>
        <w:rPr>
          <w:rFonts w:ascii="Avenir Next" w:hAnsi="Avenir Next" w:cs="Arial"/>
          <w:sz w:val="22"/>
          <w:szCs w:val="22"/>
          <w:highlight w:val="yellow"/>
          <w:lang w:val="en-GB"/>
        </w:rPr>
      </w:pPr>
      <w:r w:rsidRPr="00483909">
        <w:rPr>
          <w:rFonts w:ascii="Avenir Next" w:hAnsi="Avenir Next" w:cs="Arial"/>
          <w:sz w:val="22"/>
          <w:szCs w:val="22"/>
          <w:highlight w:val="yellow"/>
          <w:lang w:val="en-GB"/>
        </w:rPr>
        <w:t>Twelve</w:t>
      </w:r>
      <w:r w:rsidR="004C7A8F" w:rsidRPr="00483909">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w:t>
      </w:r>
      <w:proofErr w:type="gramStart"/>
      <w:r>
        <w:rPr>
          <w:rFonts w:ascii="Avenir Next" w:hAnsi="Avenir Next" w:cs="Arial"/>
          <w:sz w:val="22"/>
          <w:szCs w:val="22"/>
          <w:lang w:val="en-GB"/>
        </w:rPr>
        <w:t>(iv) section</w:t>
      </w:r>
      <w:proofErr w:type="gramEnd"/>
      <w:r>
        <w:rPr>
          <w:rFonts w:ascii="Avenir Next" w:hAnsi="Avenir Next" w:cs="Arial"/>
          <w:sz w:val="22"/>
          <w:szCs w:val="22"/>
          <w:lang w:val="en-GB"/>
        </w:rPr>
        <w:t xml:space="preserve">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1DDA6F5" w14:textId="28CA06C4" w:rsidR="00483909" w:rsidRPr="00F72B95" w:rsidRDefault="00483909" w:rsidP="00483909">
      <w:pPr>
        <w:pStyle w:val="ListParagraph"/>
        <w:numPr>
          <w:ilvl w:val="0"/>
          <w:numId w:val="18"/>
        </w:numPr>
        <w:jc w:val="both"/>
        <w:rPr>
          <w:rFonts w:ascii="Avenir Next" w:hAnsi="Avenir Next" w:cs="Arial"/>
          <w:sz w:val="22"/>
          <w:szCs w:val="22"/>
          <w:highlight w:val="yellow"/>
          <w:lang w:val="en-GB"/>
        </w:rPr>
      </w:pPr>
      <w:r w:rsidRPr="00F72B95">
        <w:rPr>
          <w:rFonts w:ascii="Avenir Next" w:hAnsi="Avenir Next" w:cs="Arial"/>
          <w:sz w:val="22"/>
          <w:szCs w:val="22"/>
          <w:highlight w:val="yellow"/>
          <w:lang w:val="en-GB"/>
        </w:rPr>
        <w:t>section 245 of the Insolvency Act 1986 - The liquidator of the company</w:t>
      </w:r>
    </w:p>
    <w:p w14:paraId="3107D059" w14:textId="5592F8DA" w:rsidR="00483909" w:rsidRPr="00F72B95" w:rsidRDefault="00483909" w:rsidP="00483909">
      <w:pPr>
        <w:pStyle w:val="ListParagraph"/>
        <w:numPr>
          <w:ilvl w:val="0"/>
          <w:numId w:val="18"/>
        </w:numPr>
        <w:jc w:val="both"/>
        <w:rPr>
          <w:rFonts w:ascii="Avenir Next" w:hAnsi="Avenir Next" w:cs="Arial"/>
          <w:sz w:val="22"/>
          <w:szCs w:val="22"/>
          <w:highlight w:val="yellow"/>
          <w:lang w:val="en-GB"/>
        </w:rPr>
      </w:pPr>
      <w:proofErr w:type="gramStart"/>
      <w:r w:rsidRPr="00F72B95">
        <w:rPr>
          <w:rFonts w:ascii="Avenir Next" w:hAnsi="Avenir Next" w:cs="Arial"/>
          <w:sz w:val="22"/>
          <w:szCs w:val="22"/>
          <w:highlight w:val="yellow"/>
          <w:lang w:val="en-GB"/>
        </w:rPr>
        <w:t>section</w:t>
      </w:r>
      <w:proofErr w:type="gramEnd"/>
      <w:r w:rsidRPr="00F72B95">
        <w:rPr>
          <w:rFonts w:ascii="Avenir Next" w:hAnsi="Avenir Next" w:cs="Arial"/>
          <w:sz w:val="22"/>
          <w:szCs w:val="22"/>
          <w:highlight w:val="yellow"/>
          <w:lang w:val="en-GB"/>
        </w:rPr>
        <w:t xml:space="preserve"> 6 of the Company Directors Disqualification Act 1986 </w:t>
      </w:r>
      <w:r w:rsidR="00EA3860" w:rsidRPr="00F72B95">
        <w:rPr>
          <w:rFonts w:ascii="Avenir Next" w:hAnsi="Avenir Next" w:cs="Arial"/>
          <w:sz w:val="22"/>
          <w:szCs w:val="22"/>
          <w:highlight w:val="yellow"/>
          <w:lang w:val="en-GB"/>
        </w:rPr>
        <w:t>–</w:t>
      </w:r>
      <w:r w:rsidRPr="00F72B95">
        <w:rPr>
          <w:rFonts w:ascii="Avenir Next" w:hAnsi="Avenir Next" w:cs="Arial"/>
          <w:sz w:val="22"/>
          <w:szCs w:val="22"/>
          <w:highlight w:val="yellow"/>
          <w:lang w:val="en-GB"/>
        </w:rPr>
        <w:t xml:space="preserve"> </w:t>
      </w:r>
      <w:r w:rsidR="00EA3860" w:rsidRPr="00F72B95">
        <w:rPr>
          <w:rFonts w:ascii="Avenir Next" w:hAnsi="Avenir Next" w:cs="Arial"/>
          <w:sz w:val="22"/>
          <w:szCs w:val="22"/>
          <w:highlight w:val="yellow"/>
          <w:lang w:val="en-GB"/>
        </w:rPr>
        <w:t xml:space="preserve">Secretary of State  (or Official Receiver on instructions of Secretary of State). </w:t>
      </w:r>
    </w:p>
    <w:p w14:paraId="199CE770" w14:textId="4396D06A" w:rsidR="00483909" w:rsidRPr="00F72B95" w:rsidRDefault="00483909" w:rsidP="00483909">
      <w:pPr>
        <w:pStyle w:val="ListParagraph"/>
        <w:numPr>
          <w:ilvl w:val="0"/>
          <w:numId w:val="18"/>
        </w:numPr>
        <w:jc w:val="both"/>
        <w:rPr>
          <w:rFonts w:ascii="Avenir Next" w:hAnsi="Avenir Next" w:cs="Arial"/>
          <w:sz w:val="22"/>
          <w:szCs w:val="22"/>
          <w:highlight w:val="yellow"/>
          <w:lang w:val="en-GB"/>
        </w:rPr>
      </w:pPr>
      <w:r w:rsidRPr="00F72B95">
        <w:rPr>
          <w:rFonts w:ascii="Avenir Next" w:hAnsi="Avenir Next" w:cs="Arial"/>
          <w:sz w:val="22"/>
          <w:szCs w:val="22"/>
          <w:highlight w:val="yellow"/>
          <w:lang w:val="en-GB"/>
        </w:rPr>
        <w:t>section 246ZB of the Insolvency Act 1986</w:t>
      </w:r>
      <w:r w:rsidR="00EA3860" w:rsidRPr="00F72B95">
        <w:rPr>
          <w:rFonts w:ascii="Avenir Next" w:hAnsi="Avenir Next" w:cs="Arial"/>
          <w:sz w:val="22"/>
          <w:szCs w:val="22"/>
          <w:highlight w:val="yellow"/>
          <w:lang w:val="en-GB"/>
        </w:rPr>
        <w:t xml:space="preserve"> - The liquidator of the company </w:t>
      </w:r>
      <w:r w:rsidRPr="00F72B95">
        <w:rPr>
          <w:rFonts w:ascii="Avenir Next" w:hAnsi="Avenir Next" w:cs="Arial"/>
          <w:sz w:val="22"/>
          <w:szCs w:val="22"/>
          <w:highlight w:val="yellow"/>
          <w:lang w:val="en-GB"/>
        </w:rPr>
        <w:t xml:space="preserve"> </w:t>
      </w:r>
    </w:p>
    <w:p w14:paraId="6DCADDE1" w14:textId="7024CE01" w:rsidR="00197F24" w:rsidRPr="00F72B95" w:rsidRDefault="00483909" w:rsidP="00483909">
      <w:pPr>
        <w:pStyle w:val="ListParagraph"/>
        <w:numPr>
          <w:ilvl w:val="0"/>
          <w:numId w:val="18"/>
        </w:numPr>
        <w:jc w:val="both"/>
        <w:rPr>
          <w:rFonts w:ascii="Avenir Next" w:hAnsi="Avenir Next" w:cs="Arial"/>
          <w:sz w:val="22"/>
          <w:szCs w:val="22"/>
          <w:highlight w:val="yellow"/>
          <w:lang w:val="en-GB"/>
        </w:rPr>
      </w:pPr>
      <w:proofErr w:type="gramStart"/>
      <w:r w:rsidRPr="00F72B95">
        <w:rPr>
          <w:rFonts w:ascii="Avenir Next" w:hAnsi="Avenir Next" w:cs="Arial"/>
          <w:sz w:val="22"/>
          <w:szCs w:val="22"/>
          <w:highlight w:val="yellow"/>
          <w:lang w:val="en-GB"/>
        </w:rPr>
        <w:t>section</w:t>
      </w:r>
      <w:proofErr w:type="gramEnd"/>
      <w:r w:rsidRPr="00F72B95">
        <w:rPr>
          <w:rFonts w:ascii="Avenir Next" w:hAnsi="Avenir Next" w:cs="Arial"/>
          <w:sz w:val="22"/>
          <w:szCs w:val="22"/>
          <w:highlight w:val="yellow"/>
          <w:lang w:val="en-GB"/>
        </w:rPr>
        <w:t xml:space="preserve"> 127 of the Insolvency Act 1986</w:t>
      </w:r>
      <w:r w:rsidR="00EA3860" w:rsidRPr="00F72B95">
        <w:rPr>
          <w:rFonts w:ascii="Avenir Next" w:hAnsi="Avenir Next" w:cs="Arial"/>
          <w:sz w:val="22"/>
          <w:szCs w:val="22"/>
          <w:highlight w:val="yellow"/>
          <w:lang w:val="en-GB"/>
        </w:rPr>
        <w:t xml:space="preserve"> – The liquidator of the company </w:t>
      </w:r>
      <w:r w:rsidR="00140E97" w:rsidRPr="00F72B95">
        <w:rPr>
          <w:rFonts w:ascii="Avenir Next" w:hAnsi="Avenir Next" w:cs="Arial"/>
          <w:sz w:val="22"/>
          <w:szCs w:val="22"/>
          <w:highlight w:val="yellow"/>
          <w:lang w:val="en-GB"/>
        </w:rPr>
        <w:t xml:space="preserve">will take steps to enforce section 127. The insolvent company or a party to the asset disposition may bring an application for validation under section 127.  </w:t>
      </w:r>
    </w:p>
    <w:p w14:paraId="358F47EE" w14:textId="77777777" w:rsidR="00483909" w:rsidRPr="00483909" w:rsidRDefault="00483909" w:rsidP="00483909">
      <w:pPr>
        <w:pStyle w:val="ListParagraph"/>
        <w:ind w:left="1080"/>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6A7288FC" w14:textId="5FE607F1" w:rsidR="008B58D5"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16CB91E7" w14:textId="4CEEB610" w:rsidR="00F72B95" w:rsidRDefault="00F72B95" w:rsidP="008B58D5">
      <w:pPr>
        <w:jc w:val="both"/>
        <w:rPr>
          <w:rFonts w:ascii="Avenir Next" w:hAnsi="Avenir Next" w:cs="Arial"/>
          <w:sz w:val="22"/>
          <w:szCs w:val="22"/>
          <w:lang w:val="en-GB"/>
        </w:rPr>
      </w:pPr>
    </w:p>
    <w:p w14:paraId="7CCB69DD" w14:textId="454723F1" w:rsidR="00F72B95" w:rsidRPr="00A107B1" w:rsidRDefault="00F72B95" w:rsidP="008B58D5">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 xml:space="preserve">Debts that have fallen due before the moratorium, or that fall due during the moratorium, except in so far as they consist of amounts payable in respect of: </w:t>
      </w:r>
    </w:p>
    <w:p w14:paraId="36D44751" w14:textId="77777777" w:rsidR="00F72B95" w:rsidRPr="00A107B1" w:rsidRDefault="00F72B95" w:rsidP="008B58D5">
      <w:pPr>
        <w:jc w:val="both"/>
        <w:rPr>
          <w:rFonts w:ascii="Avenir Next" w:hAnsi="Avenir Next" w:cs="Arial"/>
          <w:sz w:val="22"/>
          <w:szCs w:val="22"/>
          <w:highlight w:val="yellow"/>
          <w:lang w:val="en-GB"/>
        </w:rPr>
      </w:pPr>
    </w:p>
    <w:p w14:paraId="2C8862F0" w14:textId="4ADCCE54" w:rsidR="00F72B95" w:rsidRPr="00A107B1" w:rsidRDefault="00F72B95" w:rsidP="00F72B95">
      <w:pPr>
        <w:pStyle w:val="legclearfix"/>
        <w:numPr>
          <w:ilvl w:val="0"/>
          <w:numId w:val="19"/>
        </w:numPr>
        <w:shd w:val="clear" w:color="auto" w:fill="FFFFFF"/>
        <w:spacing w:before="0" w:beforeAutospacing="0" w:after="120" w:afterAutospacing="0" w:line="360" w:lineRule="atLeast"/>
        <w:rPr>
          <w:rFonts w:ascii="Avenir Next" w:hAnsi="Avenir Next" w:cs="Arial"/>
          <w:sz w:val="22"/>
          <w:szCs w:val="22"/>
          <w:highlight w:val="yellow"/>
          <w:lang w:val="en-GB"/>
        </w:rPr>
      </w:pPr>
      <w:r w:rsidRPr="00A107B1">
        <w:rPr>
          <w:rFonts w:ascii="Avenir Next" w:hAnsi="Avenir Next"/>
          <w:sz w:val="22"/>
          <w:szCs w:val="22"/>
          <w:highlight w:val="yellow"/>
          <w:lang w:val="en-GB"/>
        </w:rPr>
        <w:t>goods or services supplied during the moratorium,</w:t>
      </w:r>
    </w:p>
    <w:p w14:paraId="0748638A" w14:textId="3A42EAB3" w:rsidR="00F72B95" w:rsidRPr="00A107B1" w:rsidRDefault="00F72B95" w:rsidP="00F72B95">
      <w:pPr>
        <w:pStyle w:val="legclearfix"/>
        <w:numPr>
          <w:ilvl w:val="0"/>
          <w:numId w:val="19"/>
        </w:numPr>
        <w:shd w:val="clear" w:color="auto" w:fill="FFFFFF"/>
        <w:spacing w:before="0" w:beforeAutospacing="0" w:after="120" w:afterAutospacing="0" w:line="360" w:lineRule="atLeast"/>
        <w:rPr>
          <w:rFonts w:ascii="Avenir Next" w:hAnsi="Avenir Next" w:cs="Arial"/>
          <w:sz w:val="22"/>
          <w:szCs w:val="22"/>
          <w:highlight w:val="yellow"/>
          <w:lang w:val="en-GB"/>
        </w:rPr>
      </w:pPr>
      <w:r w:rsidRPr="00A107B1">
        <w:rPr>
          <w:rFonts w:ascii="Avenir Next" w:hAnsi="Avenir Next"/>
          <w:sz w:val="22"/>
          <w:szCs w:val="22"/>
          <w:highlight w:val="yellow"/>
          <w:lang w:val="en-GB"/>
        </w:rPr>
        <w:t>rent in respect of a period during the moratorium,</w:t>
      </w:r>
    </w:p>
    <w:p w14:paraId="7F1F4A25" w14:textId="7AC3A3DB" w:rsidR="00F72B95" w:rsidRPr="00A107B1" w:rsidRDefault="00F72B95" w:rsidP="00F72B95">
      <w:pPr>
        <w:pStyle w:val="legclearfix"/>
        <w:numPr>
          <w:ilvl w:val="0"/>
          <w:numId w:val="19"/>
        </w:numPr>
        <w:shd w:val="clear" w:color="auto" w:fill="FFFFFF"/>
        <w:spacing w:before="0" w:beforeAutospacing="0" w:after="120" w:afterAutospacing="0" w:line="360" w:lineRule="atLeast"/>
        <w:rPr>
          <w:rFonts w:ascii="Avenir Next" w:hAnsi="Avenir Next" w:cs="Arial"/>
          <w:sz w:val="22"/>
          <w:szCs w:val="22"/>
          <w:highlight w:val="yellow"/>
          <w:lang w:val="en-GB"/>
        </w:rPr>
      </w:pPr>
      <w:r w:rsidRPr="00A107B1">
        <w:rPr>
          <w:rFonts w:ascii="Avenir Next" w:hAnsi="Avenir Next"/>
          <w:sz w:val="22"/>
          <w:szCs w:val="22"/>
          <w:highlight w:val="yellow"/>
          <w:lang w:val="en-GB"/>
        </w:rPr>
        <w:t>wages or salary arising under a contract of employment,</w:t>
      </w:r>
    </w:p>
    <w:p w14:paraId="6E6C634D" w14:textId="0F3B0F8E" w:rsidR="00F72B95" w:rsidRPr="00A107B1" w:rsidRDefault="00F72B95" w:rsidP="00F72B95">
      <w:pPr>
        <w:pStyle w:val="legclearfix"/>
        <w:numPr>
          <w:ilvl w:val="0"/>
          <w:numId w:val="19"/>
        </w:numPr>
        <w:shd w:val="clear" w:color="auto" w:fill="FFFFFF"/>
        <w:spacing w:before="0" w:beforeAutospacing="0" w:after="120" w:afterAutospacing="0" w:line="360" w:lineRule="atLeast"/>
        <w:rPr>
          <w:rFonts w:ascii="Avenir Next" w:hAnsi="Avenir Next" w:cs="Arial"/>
          <w:sz w:val="22"/>
          <w:szCs w:val="22"/>
          <w:highlight w:val="yellow"/>
          <w:lang w:val="en-GB"/>
        </w:rPr>
      </w:pPr>
      <w:r w:rsidRPr="00A107B1">
        <w:rPr>
          <w:rFonts w:ascii="Avenir Next" w:hAnsi="Avenir Next"/>
          <w:sz w:val="22"/>
          <w:szCs w:val="22"/>
          <w:highlight w:val="yellow"/>
          <w:lang w:val="en-GB"/>
        </w:rPr>
        <w:t>redundancy payments, or</w:t>
      </w:r>
    </w:p>
    <w:p w14:paraId="4F2A7689" w14:textId="2A065D2F" w:rsidR="00F72B95" w:rsidRPr="00A107B1" w:rsidRDefault="00F72B95" w:rsidP="00F72B95">
      <w:pPr>
        <w:pStyle w:val="legclearfix"/>
        <w:numPr>
          <w:ilvl w:val="0"/>
          <w:numId w:val="19"/>
        </w:numPr>
        <w:shd w:val="clear" w:color="auto" w:fill="FFFFFF"/>
        <w:spacing w:before="0" w:beforeAutospacing="0" w:after="120" w:afterAutospacing="0" w:line="360" w:lineRule="atLeast"/>
        <w:rPr>
          <w:rFonts w:ascii="Avenir Next" w:hAnsi="Avenir Next" w:cs="Arial"/>
          <w:sz w:val="22"/>
          <w:szCs w:val="22"/>
          <w:highlight w:val="yellow"/>
          <w:lang w:val="en-GB"/>
        </w:rPr>
      </w:pPr>
      <w:proofErr w:type="gramStart"/>
      <w:r w:rsidRPr="00A107B1">
        <w:rPr>
          <w:rFonts w:ascii="Avenir Next" w:hAnsi="Avenir Next"/>
          <w:sz w:val="22"/>
          <w:szCs w:val="22"/>
          <w:highlight w:val="yellow"/>
          <w:lang w:val="en-GB"/>
        </w:rPr>
        <w:t>debts</w:t>
      </w:r>
      <w:proofErr w:type="gramEnd"/>
      <w:r w:rsidRPr="00A107B1">
        <w:rPr>
          <w:rFonts w:ascii="Avenir Next" w:hAnsi="Avenir Next"/>
          <w:sz w:val="22"/>
          <w:szCs w:val="22"/>
          <w:highlight w:val="yellow"/>
          <w:lang w:val="en-GB"/>
        </w:rPr>
        <w:t xml:space="preserve"> or other liabilities arising under a contract or other instrument involving financial services.</w:t>
      </w:r>
    </w:p>
    <w:p w14:paraId="170A9E71" w14:textId="2B123F76" w:rsidR="00962045" w:rsidRPr="0063381C" w:rsidRDefault="00F72B95" w:rsidP="00F72B95">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 xml:space="preserve"> </w:t>
      </w:r>
      <w:r w:rsidR="00DF75F8"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916445D" w14:textId="0E45AFFA" w:rsidR="00CA1719" w:rsidRDefault="00CA1719" w:rsidP="00197F24">
      <w:pPr>
        <w:jc w:val="both"/>
        <w:rPr>
          <w:rFonts w:ascii="Avenir Next" w:hAnsi="Avenir Next" w:cs="Arial"/>
          <w:color w:val="7B7B7B" w:themeColor="accent3" w:themeShade="BF"/>
          <w:sz w:val="22"/>
          <w:szCs w:val="22"/>
          <w:lang w:val="en-GB"/>
        </w:rPr>
      </w:pPr>
    </w:p>
    <w:p w14:paraId="5DD4CA7F" w14:textId="04DF4D44" w:rsidR="00CA1719" w:rsidRPr="00A107B1" w:rsidRDefault="002E7548" w:rsidP="00CA1719">
      <w:pPr>
        <w:jc w:val="both"/>
        <w:rPr>
          <w:rFonts w:ascii="Avenir Next" w:hAnsi="Avenir Next" w:cs="Arial"/>
          <w:sz w:val="22"/>
          <w:szCs w:val="22"/>
          <w:highlight w:val="yellow"/>
          <w:lang w:val="en-GB"/>
        </w:rPr>
      </w:pPr>
      <w:r>
        <w:rPr>
          <w:rFonts w:ascii="Avenir Next" w:hAnsi="Avenir Next" w:cs="Arial"/>
          <w:sz w:val="22"/>
          <w:szCs w:val="22"/>
          <w:highlight w:val="yellow"/>
          <w:lang w:val="en-GB"/>
        </w:rPr>
        <w:t>To a large extent, y</w:t>
      </w:r>
      <w:r w:rsidR="00CA1719" w:rsidRPr="00A107B1">
        <w:rPr>
          <w:rFonts w:ascii="Avenir Next" w:hAnsi="Avenir Next" w:cs="Arial"/>
          <w:sz w:val="22"/>
          <w:szCs w:val="22"/>
          <w:highlight w:val="yellow"/>
          <w:lang w:val="en-GB"/>
        </w:rPr>
        <w:t xml:space="preserve">es, </w:t>
      </w:r>
      <w:r>
        <w:rPr>
          <w:rFonts w:ascii="Avenir Next" w:hAnsi="Avenir Next" w:cs="Arial"/>
          <w:sz w:val="22"/>
          <w:szCs w:val="22"/>
          <w:highlight w:val="yellow"/>
          <w:lang w:val="en-GB"/>
        </w:rPr>
        <w:t xml:space="preserve">as </w:t>
      </w:r>
      <w:r w:rsidR="00CA1719" w:rsidRPr="00A107B1">
        <w:rPr>
          <w:rFonts w:ascii="Avenir Next" w:hAnsi="Avenir Next" w:cs="Arial"/>
          <w:sz w:val="22"/>
          <w:szCs w:val="22"/>
          <w:highlight w:val="yellow"/>
          <w:lang w:val="en-GB"/>
        </w:rPr>
        <w:t xml:space="preserve">sections 233, 233 A and 233B of the Insolvency Act 1986 have the effect of </w:t>
      </w:r>
      <w:r w:rsidR="00287400">
        <w:rPr>
          <w:rFonts w:ascii="Avenir Next" w:hAnsi="Avenir Next" w:cs="Arial"/>
          <w:sz w:val="22"/>
          <w:szCs w:val="22"/>
          <w:highlight w:val="yellow"/>
          <w:lang w:val="en-GB"/>
        </w:rPr>
        <w:t>(subject to certain exceptions)</w:t>
      </w:r>
      <w:r w:rsidR="00CA1719" w:rsidRPr="00A107B1">
        <w:rPr>
          <w:rFonts w:ascii="Avenir Next" w:hAnsi="Avenir Next" w:cs="Arial"/>
          <w:sz w:val="22"/>
          <w:szCs w:val="22"/>
          <w:highlight w:val="yellow"/>
          <w:lang w:val="en-GB"/>
        </w:rPr>
        <w:t xml:space="preserve"> making automatic termination upon administration clauses in supplier contracts void unless the company or insolvency office-holder consents to the termination or, on application to the court, the court is satisfied that the continuation of the contract would cause the supplier hardship, and grants permission for termination (section 233B).</w:t>
      </w:r>
    </w:p>
    <w:p w14:paraId="476957FB" w14:textId="77777777" w:rsidR="00CA1719" w:rsidRPr="00A107B1" w:rsidRDefault="00CA1719" w:rsidP="00A107B1">
      <w:pPr>
        <w:jc w:val="both"/>
        <w:rPr>
          <w:rFonts w:ascii="Avenir Next" w:hAnsi="Avenir Next" w:cs="Arial"/>
          <w:sz w:val="22"/>
          <w:szCs w:val="22"/>
          <w:highlight w:val="yellow"/>
          <w:lang w:val="en-GB"/>
        </w:rPr>
      </w:pPr>
    </w:p>
    <w:p w14:paraId="758252C4" w14:textId="3E9654DD" w:rsidR="00CA1719" w:rsidRPr="00A107B1" w:rsidRDefault="00C24DC3" w:rsidP="00A107B1">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The statutory regime recognizes that a</w:t>
      </w:r>
      <w:r w:rsidR="00CA1719" w:rsidRPr="00A107B1">
        <w:rPr>
          <w:rFonts w:ascii="Avenir Next" w:hAnsi="Avenir Next" w:cs="Arial"/>
          <w:sz w:val="22"/>
          <w:szCs w:val="22"/>
          <w:highlight w:val="yellow"/>
          <w:lang w:val="en-GB"/>
        </w:rPr>
        <w:t xml:space="preserve">n administrator will frequently need to obtain or retain certain essential supplies. Section 233 of the Act applies to a supply of gas, electricity, water and communications services. The definition of communications services includes the supply of goods and services such as point of sale terminals, computer hardware and software, information, advice, and technical assistance, data storage and processing </w:t>
      </w:r>
      <w:r w:rsidR="00CA1719" w:rsidRPr="00A107B1">
        <w:rPr>
          <w:rFonts w:ascii="Avenir Next" w:hAnsi="Avenir Next" w:cs="Arial"/>
          <w:sz w:val="22"/>
          <w:szCs w:val="22"/>
          <w:highlight w:val="yellow"/>
          <w:lang w:val="en-GB"/>
        </w:rPr>
        <w:lastRenderedPageBreak/>
        <w:t xml:space="preserve">and website hosting. Suppliers are not permitted to require payment of outstanding debts in order to secure a new or continued supply to the company in administration. </w:t>
      </w:r>
    </w:p>
    <w:p w14:paraId="23AE1D58" w14:textId="5F1E4088" w:rsidR="00CA1719" w:rsidRPr="00A107B1" w:rsidRDefault="00CA1719" w:rsidP="00A107B1">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 xml:space="preserve">Section 233B complements </w:t>
      </w:r>
      <w:r w:rsidR="00A107B1">
        <w:rPr>
          <w:rFonts w:ascii="Avenir Next" w:hAnsi="Avenir Next" w:cs="Arial"/>
          <w:sz w:val="22"/>
          <w:szCs w:val="22"/>
          <w:highlight w:val="yellow"/>
          <w:lang w:val="en-GB"/>
        </w:rPr>
        <w:t>s233 by broaden</w:t>
      </w:r>
      <w:r w:rsidR="00C24DC3" w:rsidRPr="00A107B1">
        <w:rPr>
          <w:rFonts w:ascii="Avenir Next" w:hAnsi="Avenir Next" w:cs="Arial"/>
          <w:sz w:val="22"/>
          <w:szCs w:val="22"/>
          <w:highlight w:val="yellow"/>
          <w:lang w:val="en-GB"/>
        </w:rPr>
        <w:t>ing</w:t>
      </w:r>
      <w:r w:rsidRPr="00A107B1">
        <w:rPr>
          <w:rFonts w:ascii="Avenir Next" w:hAnsi="Avenir Next" w:cs="Arial"/>
          <w:sz w:val="22"/>
          <w:szCs w:val="22"/>
          <w:highlight w:val="yellow"/>
          <w:lang w:val="en-GB"/>
        </w:rPr>
        <w:t xml:space="preserve"> the restriction on termination to all other suppliers (with a limited number of exceptions, for example, insurers; banks; electronic money institutions; recognised investment exchanges and clearing houses; securitisation companies; and overseas companies with corresponding functions).</w:t>
      </w:r>
    </w:p>
    <w:p w14:paraId="197D0B76" w14:textId="1E09C703" w:rsidR="00C24DC3" w:rsidRPr="00A107B1" w:rsidRDefault="00C24DC3" w:rsidP="00A107B1">
      <w:pPr>
        <w:jc w:val="both"/>
        <w:rPr>
          <w:rFonts w:ascii="Avenir Next" w:hAnsi="Avenir Next" w:cs="Arial"/>
          <w:sz w:val="22"/>
          <w:szCs w:val="22"/>
          <w:highlight w:val="yellow"/>
          <w:lang w:val="en-GB"/>
        </w:rPr>
      </w:pPr>
    </w:p>
    <w:p w14:paraId="69A8816C" w14:textId="6364596E" w:rsidR="00CA1719" w:rsidRPr="00A107B1" w:rsidRDefault="00C24DC3" w:rsidP="00A107B1">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 xml:space="preserve">The effect of this statutory regime is that to a large extent an administrator who wishes to continue to operate the business of the company in administration require suppliers of goods and services to continue to supply those goods and services during the administration.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287400" w:rsidRDefault="00087F21" w:rsidP="002A37BB">
      <w:pPr>
        <w:jc w:val="both"/>
        <w:rPr>
          <w:rFonts w:ascii="Avenir Next" w:hAnsi="Avenir Next" w:cs="Arial"/>
          <w:sz w:val="22"/>
          <w:szCs w:val="22"/>
          <w:lang w:val="en-GB"/>
        </w:rPr>
      </w:pPr>
      <w:r w:rsidRPr="00287400">
        <w:rPr>
          <w:rFonts w:ascii="Avenir Next" w:hAnsi="Avenir Next" w:cs="Arial"/>
          <w:sz w:val="22"/>
          <w:szCs w:val="22"/>
          <w:lang w:val="en-GB"/>
        </w:rPr>
        <w:t xml:space="preserve">Explain the </w:t>
      </w:r>
      <w:r w:rsidR="00461F95" w:rsidRPr="00287400">
        <w:rPr>
          <w:rFonts w:ascii="Avenir Next" w:hAnsi="Avenir Next" w:cs="Arial"/>
          <w:sz w:val="22"/>
          <w:szCs w:val="22"/>
          <w:lang w:val="en-GB"/>
        </w:rPr>
        <w:t>order of priority of payments in a liquidation</w:t>
      </w:r>
      <w:r w:rsidR="00F70126" w:rsidRPr="00287400">
        <w:rPr>
          <w:rFonts w:ascii="Avenir Next" w:hAnsi="Avenir Next" w:cs="Arial"/>
          <w:sz w:val="22"/>
          <w:szCs w:val="22"/>
          <w:lang w:val="en-GB"/>
        </w:rPr>
        <w:t xml:space="preserve"> and explain the nature of </w:t>
      </w:r>
      <w:r w:rsidR="00311816" w:rsidRPr="00287400">
        <w:rPr>
          <w:rFonts w:ascii="Avenir Next" w:hAnsi="Avenir Next" w:cs="Arial"/>
          <w:sz w:val="22"/>
          <w:szCs w:val="22"/>
          <w:lang w:val="en-GB"/>
        </w:rPr>
        <w:t xml:space="preserve">the rights enjoyed by </w:t>
      </w:r>
      <w:r w:rsidR="00F70126" w:rsidRPr="00287400">
        <w:rPr>
          <w:rFonts w:ascii="Avenir Next" w:hAnsi="Avenir Next" w:cs="Arial"/>
          <w:sz w:val="22"/>
          <w:szCs w:val="22"/>
          <w:lang w:val="en-GB"/>
        </w:rPr>
        <w:t xml:space="preserve">each </w:t>
      </w:r>
      <w:r w:rsidR="00311816" w:rsidRPr="00287400">
        <w:rPr>
          <w:rFonts w:ascii="Avenir Next" w:hAnsi="Avenir Next" w:cs="Arial"/>
          <w:sz w:val="22"/>
          <w:szCs w:val="22"/>
          <w:lang w:val="en-GB"/>
        </w:rPr>
        <w:t xml:space="preserve">class of </w:t>
      </w:r>
      <w:r w:rsidR="00F70126" w:rsidRPr="00287400">
        <w:rPr>
          <w:rFonts w:ascii="Avenir Next" w:hAnsi="Avenir Next" w:cs="Arial"/>
          <w:sz w:val="22"/>
          <w:szCs w:val="22"/>
          <w:lang w:val="en-GB"/>
        </w:rPr>
        <w:t>creditor</w:t>
      </w:r>
      <w:r w:rsidR="00311816" w:rsidRPr="00287400">
        <w:rPr>
          <w:rFonts w:ascii="Avenir Next" w:hAnsi="Avenir Next" w:cs="Arial"/>
          <w:sz w:val="22"/>
          <w:szCs w:val="22"/>
          <w:lang w:val="en-GB"/>
        </w:rPr>
        <w:t xml:space="preserve"> or expense</w:t>
      </w:r>
      <w:r w:rsidR="00763348" w:rsidRPr="00287400">
        <w:rPr>
          <w:rFonts w:ascii="Avenir Next" w:hAnsi="Avenir Next" w:cs="Arial"/>
          <w:sz w:val="22"/>
          <w:szCs w:val="22"/>
          <w:lang w:val="en-GB"/>
        </w:rPr>
        <w:t>.</w:t>
      </w:r>
      <w:r w:rsidR="00871C74" w:rsidRPr="00287400">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287400">
        <w:rPr>
          <w:rFonts w:ascii="Avenir Next" w:hAnsi="Avenir Next" w:cs="Arial"/>
          <w:sz w:val="22"/>
          <w:szCs w:val="22"/>
          <w:lang w:val="en-GB"/>
        </w:rPr>
        <w:t>12-week</w:t>
      </w:r>
      <w:r w:rsidR="00871C74" w:rsidRPr="00287400">
        <w:rPr>
          <w:rFonts w:ascii="Avenir Next" w:hAnsi="Avenir Next" w:cs="Arial"/>
          <w:sz w:val="22"/>
          <w:szCs w:val="22"/>
          <w:lang w:val="en-GB"/>
        </w:rPr>
        <w:t xml:space="preserve"> period prior to the commencement of the liquidation?</w:t>
      </w:r>
    </w:p>
    <w:p w14:paraId="2F029E55" w14:textId="1280FB99" w:rsidR="00DF75F8" w:rsidRPr="00A107B1" w:rsidRDefault="00DF75F8" w:rsidP="002A37BB">
      <w:pPr>
        <w:jc w:val="both"/>
        <w:rPr>
          <w:rFonts w:ascii="Avenir Next" w:hAnsi="Avenir Next" w:cs="Arial"/>
          <w:sz w:val="22"/>
          <w:szCs w:val="22"/>
          <w:highlight w:val="yellow"/>
          <w:lang w:val="en-GB"/>
        </w:rPr>
      </w:pPr>
    </w:p>
    <w:p w14:paraId="0534DD6C" w14:textId="4BD4B5EB" w:rsidR="00C24DC3" w:rsidRPr="00A107B1" w:rsidRDefault="00C24DC3" w:rsidP="00287400">
      <w:pPr>
        <w:shd w:val="clear" w:color="auto" w:fill="FFFFFF"/>
        <w:jc w:val="both"/>
        <w:textAlignment w:val="baseline"/>
        <w:rPr>
          <w:rFonts w:ascii="Avenir Next" w:hAnsi="Avenir Next" w:cs="Arial"/>
          <w:sz w:val="22"/>
          <w:szCs w:val="22"/>
          <w:highlight w:val="yellow"/>
          <w:lang w:val="en-GB"/>
        </w:rPr>
      </w:pPr>
      <w:r w:rsidRPr="00A107B1">
        <w:rPr>
          <w:rFonts w:ascii="Avenir Next" w:hAnsi="Avenir Next" w:cs="Arial"/>
          <w:sz w:val="22"/>
          <w:szCs w:val="22"/>
          <w:highlight w:val="yellow"/>
          <w:lang w:val="en-GB"/>
        </w:rPr>
        <w:t>An insolvent company does not have sufficient assets to pay in full all the liabilities that it owes to its creditors. Accordingly, one of the primary functions of liquidation is to realise the assets of the insolvent company and to distribute the cash realisations made from those assets among the insolvent company's</w:t>
      </w:r>
      <w:r w:rsidR="00287400">
        <w:rPr>
          <w:rFonts w:ascii="Avenir Next" w:hAnsi="Avenir Next" w:cs="Arial"/>
          <w:sz w:val="22"/>
          <w:szCs w:val="22"/>
          <w:highlight w:val="yellow"/>
          <w:lang w:val="en-GB"/>
        </w:rPr>
        <w:t xml:space="preserve"> creditors. In broad terms </w:t>
      </w:r>
      <w:r w:rsidRPr="00A107B1">
        <w:rPr>
          <w:rFonts w:ascii="Avenir Next" w:hAnsi="Avenir Next" w:cs="Arial"/>
          <w:sz w:val="22"/>
          <w:szCs w:val="22"/>
          <w:highlight w:val="yellow"/>
          <w:lang w:val="en-GB"/>
        </w:rPr>
        <w:t>the order of priority of payment to creditors can be stated as:</w:t>
      </w:r>
    </w:p>
    <w:p w14:paraId="14CA3359" w14:textId="77777777" w:rsidR="00D83DD2" w:rsidRPr="00A107B1" w:rsidRDefault="00D83DD2" w:rsidP="00C24DC3">
      <w:pPr>
        <w:shd w:val="clear" w:color="auto" w:fill="FFFFFF"/>
        <w:textAlignment w:val="baseline"/>
        <w:rPr>
          <w:rFonts w:ascii="Avenir Next" w:hAnsi="Avenir Next" w:cs="Arial"/>
          <w:sz w:val="22"/>
          <w:szCs w:val="22"/>
          <w:highlight w:val="yellow"/>
          <w:lang w:val="en-GB"/>
        </w:rPr>
      </w:pPr>
    </w:p>
    <w:p w14:paraId="263ED8A3" w14:textId="6704BD9C" w:rsidR="00D83DD2" w:rsidRPr="00A107B1" w:rsidRDefault="00C24DC3" w:rsidP="00D83DD2">
      <w:pPr>
        <w:numPr>
          <w:ilvl w:val="0"/>
          <w:numId w:val="21"/>
        </w:numPr>
        <w:shd w:val="clear" w:color="auto" w:fill="FFFFFF"/>
        <w:textAlignment w:val="baseline"/>
        <w:rPr>
          <w:rFonts w:ascii="Avenir Next" w:hAnsi="Avenir Next" w:cs="Arial"/>
          <w:sz w:val="22"/>
          <w:szCs w:val="22"/>
          <w:highlight w:val="yellow"/>
          <w:lang w:val="en-GB"/>
        </w:rPr>
      </w:pPr>
      <w:r w:rsidRPr="00A107B1">
        <w:rPr>
          <w:rFonts w:ascii="Avenir Next" w:hAnsi="Avenir Next" w:cs="Arial"/>
          <w:sz w:val="22"/>
          <w:szCs w:val="22"/>
          <w:highlight w:val="yellow"/>
          <w:lang w:val="en-GB"/>
        </w:rPr>
        <w:t>Expenses of the relevant insolvency process.</w:t>
      </w:r>
    </w:p>
    <w:p w14:paraId="41049DF5" w14:textId="77777777" w:rsidR="00C24DC3" w:rsidRPr="00A107B1" w:rsidRDefault="00C24DC3" w:rsidP="00D83DD2">
      <w:pPr>
        <w:numPr>
          <w:ilvl w:val="0"/>
          <w:numId w:val="21"/>
        </w:numPr>
        <w:shd w:val="clear" w:color="auto" w:fill="FFFFFF"/>
        <w:textAlignment w:val="baseline"/>
        <w:rPr>
          <w:rFonts w:ascii="Avenir Next" w:hAnsi="Avenir Next" w:cs="Arial"/>
          <w:sz w:val="22"/>
          <w:szCs w:val="22"/>
          <w:highlight w:val="yellow"/>
          <w:lang w:val="en-GB"/>
        </w:rPr>
      </w:pPr>
      <w:r w:rsidRPr="00A107B1">
        <w:rPr>
          <w:rFonts w:ascii="Avenir Next" w:hAnsi="Avenir Next" w:cs="Arial"/>
          <w:sz w:val="22"/>
          <w:szCs w:val="22"/>
          <w:highlight w:val="yellow"/>
          <w:lang w:val="en-GB"/>
        </w:rPr>
        <w:t>Payments to a category of creditors who are unsecured but whose claims are given a special statutory priority (known as preferential creditors).</w:t>
      </w:r>
    </w:p>
    <w:p w14:paraId="692CA7C7" w14:textId="77777777" w:rsidR="00C24DC3" w:rsidRPr="00A107B1" w:rsidRDefault="00C24DC3" w:rsidP="00D83DD2">
      <w:pPr>
        <w:numPr>
          <w:ilvl w:val="0"/>
          <w:numId w:val="21"/>
        </w:numPr>
        <w:shd w:val="clear" w:color="auto" w:fill="FFFFFF"/>
        <w:textAlignment w:val="baseline"/>
        <w:rPr>
          <w:rFonts w:ascii="Avenir Next" w:hAnsi="Avenir Next" w:cs="Arial"/>
          <w:sz w:val="22"/>
          <w:szCs w:val="22"/>
          <w:highlight w:val="yellow"/>
          <w:lang w:val="en-GB"/>
        </w:rPr>
      </w:pPr>
      <w:r w:rsidRPr="00A107B1">
        <w:rPr>
          <w:rFonts w:ascii="Avenir Next" w:hAnsi="Avenir Next" w:cs="Arial"/>
          <w:sz w:val="22"/>
          <w:szCs w:val="22"/>
          <w:highlight w:val="yellow"/>
          <w:lang w:val="en-GB"/>
        </w:rPr>
        <w:t>Claims of creditors who hold security that, when it was created, was floating charge security.</w:t>
      </w:r>
    </w:p>
    <w:p w14:paraId="712D6D15" w14:textId="77777777" w:rsidR="00C24DC3" w:rsidRPr="00A107B1" w:rsidRDefault="00C24DC3" w:rsidP="00D83DD2">
      <w:pPr>
        <w:numPr>
          <w:ilvl w:val="0"/>
          <w:numId w:val="21"/>
        </w:numPr>
        <w:shd w:val="clear" w:color="auto" w:fill="FFFFFF"/>
        <w:textAlignment w:val="baseline"/>
        <w:rPr>
          <w:rFonts w:ascii="Avenir Next" w:hAnsi="Avenir Next" w:cs="Arial"/>
          <w:sz w:val="22"/>
          <w:szCs w:val="22"/>
          <w:highlight w:val="yellow"/>
          <w:lang w:val="en-GB"/>
        </w:rPr>
      </w:pPr>
      <w:r w:rsidRPr="00A107B1">
        <w:rPr>
          <w:rFonts w:ascii="Avenir Next" w:hAnsi="Avenir Next" w:cs="Arial"/>
          <w:sz w:val="22"/>
          <w:szCs w:val="22"/>
          <w:highlight w:val="yellow"/>
          <w:lang w:val="en-GB"/>
        </w:rPr>
        <w:t>Unsecured creditors.</w:t>
      </w:r>
    </w:p>
    <w:p w14:paraId="7737FDF5" w14:textId="023BCFA6" w:rsidR="00C24DC3" w:rsidRPr="00A107B1" w:rsidRDefault="00C24DC3" w:rsidP="00087F21">
      <w:pPr>
        <w:jc w:val="both"/>
        <w:rPr>
          <w:rFonts w:ascii="Avenir Next" w:hAnsi="Avenir Next" w:cs="Arial"/>
          <w:sz w:val="22"/>
          <w:szCs w:val="22"/>
          <w:highlight w:val="yellow"/>
          <w:lang w:val="en-GB"/>
        </w:rPr>
      </w:pPr>
    </w:p>
    <w:p w14:paraId="72FD6F83" w14:textId="59BEF117" w:rsidR="00D83DD2" w:rsidRPr="00A107B1" w:rsidRDefault="00D83DD2" w:rsidP="00087F21">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 xml:space="preserve">The preferential creditor class at (2) includes debts owed in relation to pension schemes, wages and salaries of employees, holiday pay and others. </w:t>
      </w:r>
    </w:p>
    <w:p w14:paraId="0D33D620" w14:textId="5AD0781C" w:rsidR="00D83DD2" w:rsidRPr="00A107B1" w:rsidRDefault="00D83DD2" w:rsidP="00087F21">
      <w:pPr>
        <w:jc w:val="both"/>
        <w:rPr>
          <w:rFonts w:ascii="Avenir Next" w:hAnsi="Avenir Next" w:cs="Arial"/>
          <w:sz w:val="22"/>
          <w:szCs w:val="22"/>
          <w:highlight w:val="yellow"/>
          <w:lang w:val="en-GB"/>
        </w:rPr>
      </w:pPr>
    </w:p>
    <w:p w14:paraId="0A9CB7CC" w14:textId="44A7D19A" w:rsidR="00D83DD2" w:rsidRPr="00A107B1" w:rsidRDefault="00D83DD2" w:rsidP="00087F21">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 xml:space="preserve">The class at (3) does not include holders of a valid fixed charge (created as a fixed charge) over a company's asset as such a creditor is entitled to the proceeds of the realisation of that asset in satisfaction of the liability due to it from the company </w:t>
      </w:r>
      <w:r w:rsidRPr="00287400">
        <w:rPr>
          <w:rFonts w:ascii="Avenir Next" w:hAnsi="Avenir Next" w:cs="Arial"/>
          <w:i/>
          <w:sz w:val="22"/>
          <w:szCs w:val="22"/>
          <w:highlight w:val="yellow"/>
          <w:lang w:val="en-GB"/>
        </w:rPr>
        <w:t>outside</w:t>
      </w:r>
      <w:r w:rsidRPr="00A107B1">
        <w:rPr>
          <w:rFonts w:ascii="Avenir Next" w:hAnsi="Avenir Next" w:cs="Arial"/>
          <w:sz w:val="22"/>
          <w:szCs w:val="22"/>
          <w:highlight w:val="yellow"/>
          <w:lang w:val="en-GB"/>
        </w:rPr>
        <w:t xml:space="preserve"> of the liquidation. The class at (3) relates to charges created as floating charges which crystallise on insolvency to a fixed charge over the specific assets of a class. </w:t>
      </w:r>
    </w:p>
    <w:p w14:paraId="589BD001" w14:textId="77777777" w:rsidR="00D83DD2" w:rsidRPr="00A107B1" w:rsidRDefault="00D83DD2" w:rsidP="00087F21">
      <w:pPr>
        <w:jc w:val="both"/>
        <w:rPr>
          <w:rFonts w:ascii="Avenir Next" w:hAnsi="Avenir Next" w:cs="Arial"/>
          <w:sz w:val="22"/>
          <w:szCs w:val="22"/>
          <w:highlight w:val="yellow"/>
          <w:lang w:val="en-GB"/>
        </w:rPr>
      </w:pPr>
    </w:p>
    <w:p w14:paraId="785AFBF0" w14:textId="47ADA840" w:rsidR="00D83DD2" w:rsidRPr="00A107B1" w:rsidRDefault="00D83DD2" w:rsidP="00087F21">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Unsecured creditors (at (4) above) only receive a distribution after each category at (1) to (3) has been paid (in broad terms) in full. Ordinarily, money is distributed to each unsecured creditor in proportion to the debts due to each creditor (a </w:t>
      </w:r>
      <w:proofErr w:type="spellStart"/>
      <w:r w:rsidRPr="00287400">
        <w:rPr>
          <w:rFonts w:ascii="Avenir Next" w:hAnsi="Avenir Next"/>
          <w:i/>
          <w:sz w:val="22"/>
          <w:szCs w:val="22"/>
          <w:highlight w:val="yellow"/>
          <w:lang w:val="en-GB"/>
        </w:rPr>
        <w:t>pari</w:t>
      </w:r>
      <w:proofErr w:type="spellEnd"/>
      <w:r w:rsidRPr="00287400">
        <w:rPr>
          <w:rFonts w:ascii="Avenir Next" w:hAnsi="Avenir Next"/>
          <w:i/>
          <w:sz w:val="22"/>
          <w:szCs w:val="22"/>
          <w:highlight w:val="yellow"/>
          <w:lang w:val="en-GB"/>
        </w:rPr>
        <w:t xml:space="preserve"> </w:t>
      </w:r>
      <w:proofErr w:type="spellStart"/>
      <w:r w:rsidRPr="00287400">
        <w:rPr>
          <w:rFonts w:ascii="Avenir Next" w:hAnsi="Avenir Next"/>
          <w:i/>
          <w:sz w:val="22"/>
          <w:szCs w:val="22"/>
          <w:highlight w:val="yellow"/>
          <w:lang w:val="en-GB"/>
        </w:rPr>
        <w:t>passu</w:t>
      </w:r>
      <w:proofErr w:type="spellEnd"/>
      <w:r w:rsidRPr="00A107B1">
        <w:rPr>
          <w:rFonts w:ascii="Avenir Next" w:hAnsi="Avenir Next" w:cs="Arial"/>
          <w:sz w:val="22"/>
          <w:szCs w:val="22"/>
          <w:highlight w:val="yellow"/>
          <w:lang w:val="en-GB"/>
        </w:rPr>
        <w:t xml:space="preserve"> distribution).</w:t>
      </w:r>
    </w:p>
    <w:p w14:paraId="6C1C7B7C" w14:textId="771C94FA" w:rsidR="0040659F" w:rsidRDefault="0040659F" w:rsidP="00087F21">
      <w:pPr>
        <w:jc w:val="both"/>
        <w:rPr>
          <w:rFonts w:ascii="Arial" w:hAnsi="Arial" w:cs="Arial"/>
          <w:color w:val="3D3D3D"/>
          <w:sz w:val="27"/>
          <w:szCs w:val="27"/>
          <w:shd w:val="clear" w:color="auto" w:fill="FFFFFF"/>
        </w:rPr>
      </w:pPr>
    </w:p>
    <w:p w14:paraId="3CBDA584" w14:textId="6D938D01" w:rsidR="00287400" w:rsidRDefault="0040659F" w:rsidP="00087F21">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In terms of Part A1 of the Insolvency Act 1986, broadly speaking, the types of debts that must be paid as they fall due before or during a moratorium for the moratorium to continue will be given a "super-</w:t>
      </w:r>
      <w:r w:rsidRPr="00A107B1">
        <w:rPr>
          <w:rFonts w:ascii="Avenir Next" w:hAnsi="Avenir Next"/>
          <w:sz w:val="22"/>
          <w:szCs w:val="22"/>
          <w:highlight w:val="yellow"/>
          <w:lang w:val="en-GB"/>
        </w:rPr>
        <w:t>priority</w:t>
      </w:r>
      <w:r w:rsidRPr="00A107B1">
        <w:rPr>
          <w:rFonts w:ascii="Avenir Next" w:hAnsi="Avenir Next" w:cs="Arial"/>
          <w:sz w:val="22"/>
          <w:szCs w:val="22"/>
          <w:highlight w:val="yellow"/>
          <w:lang w:val="en-GB"/>
        </w:rPr>
        <w:t>" status in formal </w:t>
      </w:r>
      <w:r w:rsidRPr="00A107B1">
        <w:rPr>
          <w:rFonts w:ascii="Avenir Next" w:hAnsi="Avenir Next"/>
          <w:sz w:val="22"/>
          <w:szCs w:val="22"/>
          <w:highlight w:val="yellow"/>
          <w:lang w:val="en-GB"/>
        </w:rPr>
        <w:t>insolvency</w:t>
      </w:r>
      <w:r w:rsidRPr="00A107B1">
        <w:rPr>
          <w:rFonts w:ascii="Avenir Next" w:hAnsi="Avenir Next" w:cs="Arial"/>
          <w:sz w:val="22"/>
          <w:szCs w:val="22"/>
          <w:highlight w:val="yellow"/>
          <w:lang w:val="en-GB"/>
        </w:rPr>
        <w:t xml:space="preserve"> proceedings that commence within 12 weeks of the end of a moratorium. </w:t>
      </w:r>
    </w:p>
    <w:p w14:paraId="50955A18" w14:textId="77777777" w:rsidR="00287400" w:rsidRPr="00A107B1" w:rsidRDefault="00287400" w:rsidP="00087F21">
      <w:pPr>
        <w:jc w:val="both"/>
        <w:rPr>
          <w:rFonts w:ascii="Avenir Next" w:hAnsi="Avenir Next" w:cs="Arial"/>
          <w:sz w:val="22"/>
          <w:szCs w:val="22"/>
          <w:highlight w:val="yellow"/>
          <w:lang w:val="en-GB"/>
        </w:rPr>
      </w:pPr>
    </w:p>
    <w:p w14:paraId="40EDD632" w14:textId="3806031A" w:rsidR="0040659F" w:rsidRPr="00A107B1" w:rsidRDefault="0040659F" w:rsidP="00087F21">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If a winding-up petition is presented or winding-up resolution is passed during a 12-week period after the end of a moratorium, prescribed Official Receiver fees and expenses, moratorium debts and </w:t>
      </w:r>
      <w:r w:rsidRPr="00A107B1">
        <w:rPr>
          <w:rFonts w:ascii="Avenir Next" w:hAnsi="Avenir Next"/>
          <w:sz w:val="22"/>
          <w:szCs w:val="22"/>
          <w:highlight w:val="yellow"/>
          <w:lang w:val="en-GB"/>
        </w:rPr>
        <w:t>priority</w:t>
      </w:r>
      <w:r w:rsidRPr="00A107B1">
        <w:rPr>
          <w:rFonts w:ascii="Avenir Next" w:hAnsi="Avenir Next" w:cs="Arial"/>
          <w:sz w:val="22"/>
          <w:szCs w:val="22"/>
          <w:highlight w:val="yellow"/>
          <w:lang w:val="en-GB"/>
        </w:rPr>
        <w:t> pre-moratorium debts will have absolute </w:t>
      </w:r>
      <w:r w:rsidRPr="00A107B1">
        <w:rPr>
          <w:rFonts w:ascii="Avenir Next" w:hAnsi="Avenir Next"/>
          <w:sz w:val="22"/>
          <w:szCs w:val="22"/>
          <w:highlight w:val="yellow"/>
          <w:lang w:val="en-GB"/>
        </w:rPr>
        <w:t>priority</w:t>
      </w:r>
      <w:r w:rsidRPr="00A107B1">
        <w:rPr>
          <w:rFonts w:ascii="Avenir Next" w:hAnsi="Avenir Next" w:cs="Arial"/>
          <w:sz w:val="22"/>
          <w:szCs w:val="22"/>
          <w:highlight w:val="yellow"/>
          <w:lang w:val="en-GB"/>
        </w:rPr>
        <w:t> over "all other claims" in the liquidation, including liquidatio</w:t>
      </w:r>
      <w:r w:rsidRPr="00287400">
        <w:rPr>
          <w:rFonts w:ascii="Avenir Next" w:hAnsi="Avenir Next" w:cs="Arial"/>
          <w:sz w:val="22"/>
          <w:szCs w:val="22"/>
          <w:highlight w:val="yellow"/>
          <w:lang w:val="en-GB"/>
        </w:rPr>
        <w:t>n</w:t>
      </w:r>
      <w:r w:rsidRPr="00287400">
        <w:rPr>
          <w:rFonts w:ascii="Arial" w:hAnsi="Arial" w:cs="Arial"/>
          <w:color w:val="3D3D3D"/>
          <w:sz w:val="27"/>
          <w:szCs w:val="27"/>
          <w:highlight w:val="yellow"/>
          <w:shd w:val="clear" w:color="auto" w:fill="FFFFFF"/>
        </w:rPr>
        <w:t xml:space="preserve"> </w:t>
      </w:r>
      <w:r w:rsidRPr="00287400">
        <w:rPr>
          <w:rFonts w:ascii="Avenir Next" w:hAnsi="Avenir Next" w:cs="Arial"/>
          <w:sz w:val="22"/>
          <w:szCs w:val="22"/>
          <w:highlight w:val="yellow"/>
          <w:lang w:val="en-GB"/>
        </w:rPr>
        <w:t>expenses</w:t>
      </w:r>
      <w:r w:rsidRPr="00A107B1">
        <w:rPr>
          <w:rFonts w:ascii="Avenir Next" w:hAnsi="Avenir Next" w:cs="Arial"/>
          <w:sz w:val="22"/>
          <w:szCs w:val="22"/>
          <w:highlight w:val="yellow"/>
          <w:lang w:val="en-GB"/>
        </w:rPr>
        <w:t xml:space="preserve">, preferential debts and debt secured by a floating charge (although this will not affect the protection of fixed charge </w:t>
      </w:r>
      <w:r w:rsidRPr="00A107B1">
        <w:rPr>
          <w:rFonts w:ascii="Avenir Next" w:hAnsi="Avenir Next" w:cs="Arial"/>
          <w:sz w:val="22"/>
          <w:szCs w:val="22"/>
          <w:highlight w:val="yellow"/>
          <w:lang w:val="en-GB"/>
        </w:rPr>
        <w:lastRenderedPageBreak/>
        <w:t>security) (</w:t>
      </w:r>
      <w:r w:rsidRPr="00A107B1">
        <w:rPr>
          <w:rFonts w:ascii="Avenir Next" w:hAnsi="Avenir Next"/>
          <w:i/>
          <w:iCs/>
          <w:sz w:val="22"/>
          <w:szCs w:val="22"/>
          <w:highlight w:val="yellow"/>
          <w:lang w:val="en-GB"/>
        </w:rPr>
        <w:t>section 174A(2), I</w:t>
      </w:r>
      <w:r w:rsidR="00287400">
        <w:rPr>
          <w:rFonts w:ascii="Avenir Next" w:hAnsi="Avenir Next"/>
          <w:i/>
          <w:iCs/>
          <w:sz w:val="22"/>
          <w:szCs w:val="22"/>
          <w:highlight w:val="yellow"/>
          <w:lang w:val="en-GB"/>
        </w:rPr>
        <w:t xml:space="preserve">nsolvency </w:t>
      </w:r>
      <w:r w:rsidRPr="00A107B1">
        <w:rPr>
          <w:rFonts w:ascii="Avenir Next" w:hAnsi="Avenir Next"/>
          <w:i/>
          <w:iCs/>
          <w:sz w:val="22"/>
          <w:szCs w:val="22"/>
          <w:highlight w:val="yellow"/>
          <w:lang w:val="en-GB"/>
        </w:rPr>
        <w:t>A</w:t>
      </w:r>
      <w:r w:rsidR="00287400">
        <w:rPr>
          <w:rFonts w:ascii="Avenir Next" w:hAnsi="Avenir Next"/>
          <w:i/>
          <w:iCs/>
          <w:sz w:val="22"/>
          <w:szCs w:val="22"/>
          <w:highlight w:val="yellow"/>
          <w:lang w:val="en-GB"/>
        </w:rPr>
        <w:t>ct</w:t>
      </w:r>
      <w:r w:rsidRPr="00A107B1">
        <w:rPr>
          <w:rFonts w:ascii="Avenir Next" w:hAnsi="Avenir Next"/>
          <w:i/>
          <w:iCs/>
          <w:sz w:val="22"/>
          <w:szCs w:val="22"/>
          <w:highlight w:val="yellow"/>
          <w:lang w:val="en-GB"/>
        </w:rPr>
        <w:t xml:space="preserve"> 1986</w:t>
      </w:r>
      <w:r w:rsidRPr="00A107B1">
        <w:rPr>
          <w:rFonts w:ascii="Avenir Next" w:hAnsi="Avenir Next" w:cs="Arial"/>
          <w:sz w:val="22"/>
          <w:szCs w:val="22"/>
          <w:highlight w:val="yellow"/>
          <w:lang w:val="en-GB"/>
        </w:rPr>
        <w:t>). Prescribed Official Receiver fees and expenses take top </w:t>
      </w:r>
      <w:r w:rsidRPr="00A107B1">
        <w:rPr>
          <w:rFonts w:ascii="Avenir Next" w:hAnsi="Avenir Next"/>
          <w:sz w:val="22"/>
          <w:szCs w:val="22"/>
          <w:highlight w:val="yellow"/>
          <w:lang w:val="en-GB"/>
        </w:rPr>
        <w:t>priority</w:t>
      </w:r>
      <w:r w:rsidRPr="00A107B1">
        <w:rPr>
          <w:rFonts w:ascii="Avenir Next" w:hAnsi="Avenir Next" w:cs="Arial"/>
          <w:sz w:val="22"/>
          <w:szCs w:val="22"/>
          <w:highlight w:val="yellow"/>
          <w:lang w:val="en-GB"/>
        </w:rPr>
        <w:t>, followed by moratorium debts and </w:t>
      </w:r>
      <w:r w:rsidRPr="00A107B1">
        <w:rPr>
          <w:rFonts w:ascii="Avenir Next" w:hAnsi="Avenir Next"/>
          <w:sz w:val="22"/>
          <w:szCs w:val="22"/>
          <w:highlight w:val="yellow"/>
          <w:lang w:val="en-GB"/>
        </w:rPr>
        <w:t>priority</w:t>
      </w:r>
      <w:r w:rsidRPr="00A107B1">
        <w:rPr>
          <w:rFonts w:ascii="Avenir Next" w:hAnsi="Avenir Next" w:cs="Arial"/>
          <w:sz w:val="22"/>
          <w:szCs w:val="22"/>
          <w:highlight w:val="yellow"/>
          <w:lang w:val="en-GB"/>
        </w:rPr>
        <w:t xml:space="preserve"> pre-moratorium debts. </w:t>
      </w:r>
    </w:p>
    <w:p w14:paraId="35AE79AD" w14:textId="77777777" w:rsidR="0040659F" w:rsidRPr="00A107B1" w:rsidRDefault="0040659F" w:rsidP="00087F21">
      <w:pPr>
        <w:jc w:val="both"/>
        <w:rPr>
          <w:rFonts w:ascii="Avenir Next" w:hAnsi="Avenir Next" w:cs="Arial"/>
          <w:sz w:val="22"/>
          <w:szCs w:val="22"/>
          <w:highlight w:val="yellow"/>
          <w:lang w:val="en-GB"/>
        </w:rPr>
      </w:pPr>
    </w:p>
    <w:p w14:paraId="13D02BD9" w14:textId="6ABDA948" w:rsidR="0040659F" w:rsidRPr="00A107B1" w:rsidRDefault="0040659F" w:rsidP="0040659F">
      <w:pPr>
        <w:jc w:val="both"/>
        <w:rPr>
          <w:rFonts w:ascii="Avenir Next" w:hAnsi="Avenir Next" w:cs="Arial"/>
          <w:sz w:val="22"/>
          <w:szCs w:val="22"/>
          <w:highlight w:val="yellow"/>
          <w:lang w:val="en-GB"/>
        </w:rPr>
      </w:pPr>
      <w:r w:rsidRPr="00A107B1">
        <w:rPr>
          <w:rFonts w:ascii="Avenir Next" w:hAnsi="Avenir Next" w:cs="Arial"/>
          <w:sz w:val="22"/>
          <w:szCs w:val="22"/>
          <w:highlight w:val="yellow"/>
          <w:lang w:val="en-GB"/>
        </w:rPr>
        <w:t>The effect of this provision is that these "super-priority" debts are paid out ahead of classes (1) to (4) above. The statute sets out the priority of the super-priority debts vis-à-vis each other</w:t>
      </w:r>
      <w:r w:rsidR="00287400">
        <w:rPr>
          <w:rFonts w:ascii="Avenir Next" w:hAnsi="Avenir Next" w:cs="Arial"/>
          <w:sz w:val="22"/>
          <w:szCs w:val="22"/>
          <w:highlight w:val="yellow"/>
          <w:lang w:val="en-GB"/>
        </w:rPr>
        <w:t xml:space="preserve">. </w:t>
      </w:r>
    </w:p>
    <w:p w14:paraId="322E47FC" w14:textId="77777777" w:rsidR="00C24DC3" w:rsidRDefault="00C24DC3" w:rsidP="00087F21">
      <w:pPr>
        <w:jc w:val="both"/>
        <w:rPr>
          <w:rFonts w:ascii="Avenir Next" w:hAnsi="Avenir Next" w:cs="Arial"/>
          <w:color w:val="7B7B7B" w:themeColor="accent3" w:themeShade="BF"/>
          <w:sz w:val="22"/>
          <w:szCs w:val="22"/>
          <w:lang w:val="en-GB"/>
        </w:rPr>
      </w:pPr>
    </w:p>
    <w:p w14:paraId="55C402CC" w14:textId="3EADF21E"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287400" w:rsidRDefault="00880059" w:rsidP="00880059">
      <w:pPr>
        <w:pStyle w:val="NormalWeb"/>
        <w:spacing w:before="0" w:beforeAutospacing="0" w:after="0" w:afterAutospacing="0"/>
        <w:jc w:val="both"/>
        <w:rPr>
          <w:rFonts w:ascii="Avenir Next" w:hAnsi="Avenir Next" w:cs="Arial"/>
          <w:sz w:val="22"/>
          <w:szCs w:val="22"/>
          <w:lang w:val="en-GB"/>
        </w:rPr>
      </w:pPr>
      <w:bookmarkStart w:id="0" w:name="_Hlk17745211"/>
      <w:r w:rsidRPr="00287400">
        <w:rPr>
          <w:rFonts w:ascii="Avenir Next" w:hAnsi="Avenir Next" w:cs="Arial"/>
          <w:sz w:val="22"/>
          <w:szCs w:val="22"/>
          <w:lang w:val="en-GB"/>
        </w:rPr>
        <w:t>Prior to going into compulsory liquidation on 28 February 2024, under pressure from its bank, Ambitus Bank plc, and in order to prevent it from demanding repayment of the company’s loans, Blazer Laser Limited (the Company), granted a debenture in favour of Ambitus Bank plc in June 2023. The debenture contained a floating charge over the whole of the Company’s undertaking.</w:t>
      </w:r>
    </w:p>
    <w:p w14:paraId="7ACCFAD5" w14:textId="77777777" w:rsidR="00880059" w:rsidRPr="00287400" w:rsidRDefault="00880059" w:rsidP="00880059">
      <w:pPr>
        <w:pStyle w:val="NormalWeb"/>
        <w:spacing w:before="0" w:beforeAutospacing="0" w:after="0" w:afterAutospacing="0"/>
        <w:rPr>
          <w:rFonts w:ascii="Avenir Next" w:hAnsi="Avenir Next" w:cs="Arial"/>
          <w:sz w:val="22"/>
          <w:szCs w:val="22"/>
          <w:lang w:val="en-GB"/>
        </w:rPr>
      </w:pPr>
    </w:p>
    <w:p w14:paraId="24BFB471" w14:textId="2143FDC2" w:rsidR="00880059" w:rsidRPr="00287400" w:rsidRDefault="00880059" w:rsidP="00880059">
      <w:pPr>
        <w:pStyle w:val="NormalWeb"/>
        <w:spacing w:before="0" w:beforeAutospacing="0" w:after="0" w:afterAutospacing="0"/>
        <w:jc w:val="both"/>
        <w:rPr>
          <w:rFonts w:ascii="Avenir Next" w:hAnsi="Avenir Next" w:cs="Arial"/>
          <w:sz w:val="22"/>
          <w:szCs w:val="22"/>
          <w:lang w:val="en-GB"/>
        </w:rPr>
      </w:pPr>
      <w:r w:rsidRPr="00287400">
        <w:rPr>
          <w:rFonts w:ascii="Avenir Next" w:hAnsi="Avenir Next" w:cs="Arial"/>
          <w:sz w:val="22"/>
          <w:szCs w:val="22"/>
          <w:lang w:val="en-GB"/>
        </w:rPr>
        <w:t>The winding up order followed a creditor’s winding up petition issued on 13 January 2024.</w:t>
      </w:r>
    </w:p>
    <w:p w14:paraId="697A1EA7" w14:textId="77777777" w:rsidR="00880059" w:rsidRPr="00287400" w:rsidRDefault="00880059" w:rsidP="00880059">
      <w:pPr>
        <w:pStyle w:val="NormalWeb"/>
        <w:spacing w:before="0" w:beforeAutospacing="0" w:after="0" w:afterAutospacing="0"/>
        <w:rPr>
          <w:rFonts w:ascii="Avenir Next" w:hAnsi="Avenir Next" w:cs="Arial"/>
          <w:sz w:val="22"/>
          <w:szCs w:val="22"/>
          <w:lang w:val="en-GB"/>
        </w:rPr>
      </w:pPr>
    </w:p>
    <w:p w14:paraId="0CF6D113" w14:textId="46D43A08" w:rsidR="00880059" w:rsidRPr="00287400" w:rsidRDefault="00880059" w:rsidP="00880059">
      <w:pPr>
        <w:pStyle w:val="NormalWeb"/>
        <w:spacing w:before="0" w:beforeAutospacing="0" w:after="0" w:afterAutospacing="0"/>
        <w:jc w:val="both"/>
        <w:rPr>
          <w:rFonts w:ascii="Avenir Next" w:hAnsi="Avenir Next" w:cs="Arial"/>
          <w:sz w:val="22"/>
          <w:szCs w:val="22"/>
          <w:lang w:val="en-GB"/>
        </w:rPr>
      </w:pPr>
      <w:r w:rsidRPr="00287400">
        <w:rPr>
          <w:rFonts w:ascii="Avenir Next" w:hAnsi="Avenir Next" w:cs="Arial"/>
          <w:sz w:val="22"/>
          <w:szCs w:val="22"/>
          <w:lang w:val="en-GB"/>
        </w:rPr>
        <w:t xml:space="preserve">Sometime in January 2023, as the Company continued to suffer cash flow problems, the directors approved the sale of two </w:t>
      </w:r>
      <w:r w:rsidR="0002443E" w:rsidRPr="00287400">
        <w:rPr>
          <w:rFonts w:ascii="Avenir Next" w:hAnsi="Avenir Next" w:cs="Arial"/>
          <w:sz w:val="22"/>
          <w:szCs w:val="22"/>
          <w:lang w:val="en-GB"/>
        </w:rPr>
        <w:t>laser cutting</w:t>
      </w:r>
      <w:r w:rsidRPr="00287400">
        <w:rPr>
          <w:rFonts w:ascii="Avenir Next" w:hAnsi="Avenir Next" w:cs="Arial"/>
          <w:sz w:val="22"/>
          <w:szCs w:val="22"/>
          <w:lang w:val="en-GB"/>
        </w:rPr>
        <w:t xml:space="preserve"> machines to Angela Bannister (a director) for GBP 40,000 in cash. The machines had been bought for GBP 100,000 a year before.</w:t>
      </w:r>
    </w:p>
    <w:p w14:paraId="73BF88A9" w14:textId="77777777" w:rsidR="00880059" w:rsidRPr="00287400" w:rsidRDefault="00880059" w:rsidP="00880059">
      <w:pPr>
        <w:pStyle w:val="NormalWeb"/>
        <w:spacing w:before="0" w:beforeAutospacing="0" w:after="0" w:afterAutospacing="0"/>
        <w:rPr>
          <w:rFonts w:ascii="Avenir Next" w:hAnsi="Avenir Next" w:cs="Arial"/>
          <w:sz w:val="22"/>
          <w:szCs w:val="22"/>
          <w:lang w:val="en-GB"/>
        </w:rPr>
      </w:pPr>
    </w:p>
    <w:p w14:paraId="15EAB588" w14:textId="77777777" w:rsidR="00880059" w:rsidRPr="00287400" w:rsidRDefault="00880059" w:rsidP="00880059">
      <w:pPr>
        <w:pStyle w:val="NormalWeb"/>
        <w:spacing w:before="0" w:beforeAutospacing="0" w:after="0" w:afterAutospacing="0"/>
        <w:jc w:val="both"/>
        <w:rPr>
          <w:rFonts w:ascii="Avenir Next" w:hAnsi="Avenir Next" w:cs="Arial"/>
          <w:sz w:val="22"/>
          <w:szCs w:val="22"/>
          <w:lang w:val="en-GB"/>
        </w:rPr>
      </w:pPr>
      <w:r w:rsidRPr="00287400">
        <w:rPr>
          <w:rFonts w:ascii="Avenir Next" w:hAnsi="Avenir Next" w:cs="Arial"/>
          <w:sz w:val="22"/>
          <w:szCs w:val="22"/>
          <w:lang w:val="en-GB"/>
        </w:rPr>
        <w:t xml:space="preserve">A month before the winding up order was made, Angela Bannister received an email from Aluminium </w:t>
      </w:r>
      <w:proofErr w:type="spellStart"/>
      <w:r w:rsidRPr="00287400">
        <w:rPr>
          <w:rFonts w:ascii="Avenir Next" w:hAnsi="Avenir Next" w:cs="Arial"/>
          <w:sz w:val="22"/>
          <w:szCs w:val="22"/>
          <w:lang w:val="en-GB"/>
        </w:rPr>
        <w:t>Alumini</w:t>
      </w:r>
      <w:proofErr w:type="spellEnd"/>
      <w:r w:rsidRPr="00287400">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cash on delivery basis, for further supplies which amounted to further payment of GBP 8,000 up to the date of the winding up order. </w:t>
      </w:r>
    </w:p>
    <w:p w14:paraId="6842D8E1" w14:textId="77777777" w:rsidR="00880059" w:rsidRPr="00287400"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287400" w:rsidRDefault="00880059" w:rsidP="00880059">
      <w:pPr>
        <w:pStyle w:val="NormalWeb"/>
        <w:spacing w:before="0" w:beforeAutospacing="0" w:after="0" w:afterAutospacing="0"/>
        <w:jc w:val="both"/>
        <w:rPr>
          <w:rFonts w:ascii="Avenir Next" w:hAnsi="Avenir Next" w:cs="Arial"/>
          <w:sz w:val="22"/>
          <w:szCs w:val="22"/>
          <w:lang w:val="en-GB"/>
        </w:rPr>
      </w:pPr>
      <w:r w:rsidRPr="00287400">
        <w:rPr>
          <w:rFonts w:ascii="Avenir Next" w:hAnsi="Avenir Next" w:cs="Arial"/>
          <w:sz w:val="22"/>
          <w:szCs w:val="22"/>
          <w:lang w:val="en-GB"/>
        </w:rPr>
        <w:t>The liquidator has asked for advice whether any action may be taken in respect of the floating charge in favour of Ambitus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595134E7" w:rsidR="007E2919"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403E552D" w:rsidR="007E2919" w:rsidRPr="00086E61" w:rsidRDefault="007E2919" w:rsidP="00086E61">
      <w:pPr>
        <w:pStyle w:val="NormalWeb"/>
        <w:spacing w:before="0" w:beforeAutospacing="0" w:after="0" w:afterAutospacing="0"/>
        <w:jc w:val="both"/>
        <w:rPr>
          <w:rFonts w:ascii="Avenir Next" w:hAnsi="Avenir Next" w:cs="Arial"/>
          <w:sz w:val="22"/>
          <w:szCs w:val="22"/>
          <w:highlight w:val="yellow"/>
          <w:lang w:val="en-GB"/>
        </w:rPr>
      </w:pPr>
    </w:p>
    <w:p w14:paraId="7428FE81" w14:textId="253F566C" w:rsidR="00CF1EE6" w:rsidRPr="00086E61" w:rsidRDefault="0016046C" w:rsidP="00086E61">
      <w:pPr>
        <w:pStyle w:val="NormalWeb"/>
        <w:spacing w:before="0" w:beforeAutospacing="0" w:after="0" w:afterAutospacing="0"/>
        <w:jc w:val="both"/>
        <w:rPr>
          <w:rFonts w:ascii="Avenir Next" w:hAnsi="Avenir Next" w:cs="Arial"/>
          <w:sz w:val="22"/>
          <w:szCs w:val="22"/>
          <w:highlight w:val="yellow"/>
          <w:lang w:val="en-GB"/>
        </w:rPr>
      </w:pPr>
      <w:r w:rsidRPr="00086E61">
        <w:rPr>
          <w:rFonts w:ascii="Avenir Next" w:hAnsi="Avenir Next" w:cs="Arial"/>
          <w:sz w:val="22"/>
          <w:szCs w:val="22"/>
          <w:highlight w:val="yellow"/>
          <w:lang w:val="en-GB"/>
        </w:rPr>
        <w:t xml:space="preserve">The chronology provides that the company was experiencing cash flow problems in January 2023 and six months later it entered into the debenture with Ambitus Bank and created the floating charge over its assets. </w:t>
      </w:r>
      <w:r w:rsidR="00CF1EE6" w:rsidRPr="00086E61">
        <w:rPr>
          <w:rFonts w:ascii="Avenir Next" w:hAnsi="Avenir Next" w:cs="Arial"/>
          <w:sz w:val="22"/>
          <w:szCs w:val="22"/>
          <w:highlight w:val="yellow"/>
          <w:lang w:val="en-GB"/>
        </w:rPr>
        <w:t xml:space="preserve">The liquidator may seek to invalidate the floating charge by making an application under section 245 of the Act as the </w:t>
      </w:r>
      <w:r w:rsidR="009A1B4D" w:rsidRPr="00086E61">
        <w:rPr>
          <w:rFonts w:ascii="Avenir Next" w:hAnsi="Avenir Next" w:cs="Arial"/>
          <w:sz w:val="22"/>
          <w:szCs w:val="22"/>
          <w:highlight w:val="yellow"/>
          <w:lang w:val="en-GB"/>
        </w:rPr>
        <w:t xml:space="preserve">floating </w:t>
      </w:r>
      <w:r w:rsidR="00CF1EE6" w:rsidRPr="00086E61">
        <w:rPr>
          <w:rFonts w:ascii="Avenir Next" w:hAnsi="Avenir Next" w:cs="Arial"/>
          <w:sz w:val="22"/>
          <w:szCs w:val="22"/>
          <w:highlight w:val="yellow"/>
          <w:lang w:val="en-GB"/>
        </w:rPr>
        <w:t xml:space="preserve">charge was created within the relevant time (12 months prior to onset of insolvency for unconnected persons). However the liquidator must prove that in June 2023 when the charge was created the company was unable to pay its debts (as per section 123 of the Act) or became unable to do so in consequence of the transaction. The existence of cash flow difficulties in January 2023 may assist in establishing the former (although it is unlikely the floating charge caused the latter). </w:t>
      </w:r>
      <w:r w:rsidR="009A1B4D" w:rsidRPr="00086E61">
        <w:rPr>
          <w:rFonts w:ascii="Avenir Next" w:hAnsi="Avenir Next" w:cs="Arial"/>
          <w:sz w:val="22"/>
          <w:szCs w:val="22"/>
          <w:highlight w:val="yellow"/>
          <w:lang w:val="en-GB"/>
        </w:rPr>
        <w:t xml:space="preserve">Section 245 does not prevent lenders who are providing fresh funding to the company from taking a floating charge for that new funding. However that is not the case </w:t>
      </w:r>
      <w:r w:rsidR="009A1B4D" w:rsidRPr="00086E61">
        <w:rPr>
          <w:rFonts w:ascii="Avenir Next" w:hAnsi="Avenir Next" w:cs="Arial"/>
          <w:sz w:val="22"/>
          <w:szCs w:val="22"/>
          <w:highlight w:val="yellow"/>
          <w:lang w:val="en-GB"/>
        </w:rPr>
        <w:lastRenderedPageBreak/>
        <w:t>here as no fresh funding was provided</w:t>
      </w:r>
      <w:r w:rsidR="003B3A6E" w:rsidRPr="00086E61">
        <w:rPr>
          <w:rFonts w:ascii="Avenir Next" w:hAnsi="Avenir Next" w:cs="Arial"/>
          <w:sz w:val="22"/>
          <w:szCs w:val="22"/>
          <w:highlight w:val="yellow"/>
          <w:lang w:val="en-GB"/>
        </w:rPr>
        <w:t xml:space="preserve"> but rather the bank agreed to forbear on its rights under the loan agreement</w:t>
      </w:r>
      <w:r w:rsidR="009A1B4D" w:rsidRPr="00086E61">
        <w:rPr>
          <w:rFonts w:ascii="Avenir Next" w:hAnsi="Avenir Next" w:cs="Arial"/>
          <w:sz w:val="22"/>
          <w:szCs w:val="22"/>
          <w:highlight w:val="yellow"/>
          <w:lang w:val="en-GB"/>
        </w:rPr>
        <w:t xml:space="preserve">. </w:t>
      </w:r>
    </w:p>
    <w:p w14:paraId="5AEB4215" w14:textId="4B886055" w:rsidR="00CF1EE6" w:rsidRPr="00086E61" w:rsidRDefault="00CF1EE6" w:rsidP="00086E61">
      <w:pPr>
        <w:pStyle w:val="NormalWeb"/>
        <w:spacing w:before="0" w:beforeAutospacing="0" w:after="0" w:afterAutospacing="0"/>
        <w:jc w:val="both"/>
        <w:rPr>
          <w:rFonts w:ascii="Avenir Next" w:hAnsi="Avenir Next" w:cs="Arial"/>
          <w:sz w:val="22"/>
          <w:szCs w:val="22"/>
          <w:highlight w:val="yellow"/>
          <w:lang w:val="en-GB"/>
        </w:rPr>
      </w:pPr>
    </w:p>
    <w:p w14:paraId="69B6F786" w14:textId="77777777" w:rsidR="003B3A6E" w:rsidRPr="00086E61" w:rsidRDefault="00CF1EE6" w:rsidP="00086E61">
      <w:pPr>
        <w:pStyle w:val="NormalWeb"/>
        <w:spacing w:before="0" w:beforeAutospacing="0" w:after="0" w:afterAutospacing="0"/>
        <w:jc w:val="both"/>
        <w:rPr>
          <w:rFonts w:ascii="Avenir Next" w:hAnsi="Avenir Next" w:cs="Arial"/>
          <w:sz w:val="22"/>
          <w:szCs w:val="22"/>
          <w:highlight w:val="yellow"/>
          <w:lang w:val="en-GB"/>
        </w:rPr>
      </w:pPr>
      <w:r w:rsidRPr="00086E61">
        <w:rPr>
          <w:rFonts w:ascii="Avenir Next" w:hAnsi="Avenir Next" w:cs="Arial"/>
          <w:sz w:val="22"/>
          <w:szCs w:val="22"/>
          <w:highlight w:val="yellow"/>
          <w:lang w:val="en-GB"/>
        </w:rPr>
        <w:t>Th</w:t>
      </w:r>
      <w:r w:rsidR="009A1B4D" w:rsidRPr="00086E61">
        <w:rPr>
          <w:rFonts w:ascii="Avenir Next" w:hAnsi="Avenir Next" w:cs="Arial"/>
          <w:sz w:val="22"/>
          <w:szCs w:val="22"/>
          <w:highlight w:val="yellow"/>
          <w:lang w:val="en-GB"/>
        </w:rPr>
        <w:t xml:space="preserve">is creation of the floating charge could also potentially </w:t>
      </w:r>
      <w:r w:rsidRPr="00086E61">
        <w:rPr>
          <w:rFonts w:ascii="Avenir Next" w:hAnsi="Avenir Next" w:cs="Arial"/>
          <w:sz w:val="22"/>
          <w:szCs w:val="22"/>
          <w:highlight w:val="yellow"/>
          <w:lang w:val="en-GB"/>
        </w:rPr>
        <w:t>constitute a voidable preference under section 239 of the Act as it places the bank in a better position that it would have been in the event of the company going insolvent. While it is undoubtedly the case that the Bank is 'better off' after the transaction, it is not clear that company, in giving the preference, was influenced by a desire to give such preference to the Bank. On the facts provided, the Company may argue that the transaction was entered into by the company in good faith and for the purpose of carrying on its business, and that at the time it did so there were reasonable grounds for believing that the transaction would benefit the company.</w:t>
      </w:r>
    </w:p>
    <w:p w14:paraId="0A9D802E" w14:textId="77777777" w:rsidR="003B3A6E" w:rsidRPr="00086E61" w:rsidRDefault="003B3A6E" w:rsidP="00086E61">
      <w:pPr>
        <w:pStyle w:val="NormalWeb"/>
        <w:spacing w:before="0" w:beforeAutospacing="0" w:after="0" w:afterAutospacing="0"/>
        <w:jc w:val="both"/>
        <w:rPr>
          <w:rFonts w:ascii="Avenir Next" w:hAnsi="Avenir Next" w:cs="Arial"/>
          <w:sz w:val="22"/>
          <w:szCs w:val="22"/>
          <w:highlight w:val="yellow"/>
          <w:lang w:val="en-GB"/>
        </w:rPr>
      </w:pPr>
    </w:p>
    <w:p w14:paraId="35B80C8A" w14:textId="77777777" w:rsidR="003B3A6E" w:rsidRPr="00086E61" w:rsidRDefault="003B3A6E" w:rsidP="00086E61">
      <w:pPr>
        <w:pStyle w:val="NormalWeb"/>
        <w:spacing w:before="0" w:beforeAutospacing="0" w:after="0" w:afterAutospacing="0"/>
        <w:jc w:val="both"/>
        <w:rPr>
          <w:rFonts w:ascii="Avenir Next" w:hAnsi="Avenir Next" w:cs="Arial"/>
          <w:sz w:val="22"/>
          <w:szCs w:val="22"/>
          <w:highlight w:val="yellow"/>
          <w:lang w:val="en-GB"/>
        </w:rPr>
      </w:pPr>
      <w:r w:rsidRPr="00086E61">
        <w:rPr>
          <w:rFonts w:ascii="Avenir Next" w:hAnsi="Avenir Next" w:cs="Arial"/>
          <w:sz w:val="22"/>
          <w:szCs w:val="22"/>
          <w:highlight w:val="yellow"/>
          <w:lang w:val="en-GB"/>
        </w:rPr>
        <w:t xml:space="preserve">In the decision of </w:t>
      </w:r>
      <w:r w:rsidRPr="00287400">
        <w:rPr>
          <w:rFonts w:ascii="Avenir Next" w:hAnsi="Avenir Next" w:cs="Arial"/>
          <w:i/>
          <w:sz w:val="22"/>
          <w:szCs w:val="22"/>
          <w:highlight w:val="yellow"/>
          <w:lang w:val="en-GB"/>
        </w:rPr>
        <w:t>MC Bacon</w:t>
      </w:r>
      <w:r w:rsidRPr="00086E61">
        <w:rPr>
          <w:rFonts w:ascii="Avenir Next" w:hAnsi="Avenir Next" w:cs="Arial"/>
          <w:sz w:val="22"/>
          <w:szCs w:val="22"/>
          <w:highlight w:val="yellow"/>
          <w:lang w:val="en-GB"/>
        </w:rPr>
        <w:t xml:space="preserve"> and subsequent rulings, it has been held that where the company was influenced solely by commercial considerations, specifically attempts to ensure that the company continued trading, there could be no desire to prefer. </w:t>
      </w:r>
    </w:p>
    <w:p w14:paraId="3088BC2E" w14:textId="77777777" w:rsidR="003B3A6E" w:rsidRPr="00086E61" w:rsidRDefault="003B3A6E" w:rsidP="00086E61">
      <w:pPr>
        <w:pStyle w:val="NormalWeb"/>
        <w:spacing w:before="0" w:beforeAutospacing="0" w:after="0" w:afterAutospacing="0"/>
        <w:jc w:val="both"/>
        <w:rPr>
          <w:rFonts w:ascii="Avenir Next" w:hAnsi="Avenir Next" w:cs="Arial"/>
          <w:sz w:val="22"/>
          <w:szCs w:val="22"/>
          <w:highlight w:val="yellow"/>
          <w:lang w:val="en-GB"/>
        </w:rPr>
      </w:pPr>
    </w:p>
    <w:p w14:paraId="08D43CFE" w14:textId="513479D2" w:rsidR="00CF1EE6" w:rsidRDefault="00CF1EE6" w:rsidP="00086E61">
      <w:pPr>
        <w:pStyle w:val="NormalWeb"/>
        <w:spacing w:before="0" w:beforeAutospacing="0" w:after="0" w:afterAutospacing="0"/>
        <w:jc w:val="both"/>
        <w:rPr>
          <w:color w:val="231F20"/>
          <w:w w:val="110"/>
        </w:rPr>
      </w:pPr>
      <w:r w:rsidRPr="00086E61">
        <w:rPr>
          <w:rFonts w:ascii="Avenir Next" w:hAnsi="Avenir Next" w:cs="Arial"/>
          <w:sz w:val="22"/>
          <w:szCs w:val="22"/>
          <w:highlight w:val="yellow"/>
          <w:lang w:val="en-GB"/>
        </w:rPr>
        <w:t xml:space="preserve"> If the company can satisfy the Court to this effect</w:t>
      </w:r>
      <w:r w:rsidR="00287400">
        <w:rPr>
          <w:rFonts w:ascii="Avenir Next" w:hAnsi="Avenir Next" w:cs="Arial"/>
          <w:sz w:val="22"/>
          <w:szCs w:val="22"/>
          <w:highlight w:val="yellow"/>
          <w:lang w:val="en-GB"/>
        </w:rPr>
        <w:t>, no order under section 239</w:t>
      </w:r>
      <w:r w:rsidRPr="00086E61">
        <w:rPr>
          <w:rFonts w:ascii="Avenir Next" w:hAnsi="Avenir Next" w:cs="Arial"/>
          <w:sz w:val="22"/>
          <w:szCs w:val="22"/>
          <w:highlight w:val="yellow"/>
          <w:lang w:val="en-GB"/>
        </w:rPr>
        <w:t xml:space="preserve"> will be made</w:t>
      </w:r>
      <w:r>
        <w:rPr>
          <w:color w:val="231F20"/>
          <w:w w:val="110"/>
        </w:rPr>
        <w:t xml:space="preserve">. </w:t>
      </w:r>
    </w:p>
    <w:p w14:paraId="74C366AC" w14:textId="58735ED3"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162F6282" w:rsidR="00197F24" w:rsidRPr="00086E61" w:rsidRDefault="001D774B" w:rsidP="00197F24">
      <w:pPr>
        <w:jc w:val="both"/>
        <w:rPr>
          <w:rFonts w:ascii="Avenir Next" w:hAnsi="Avenir Next" w:cs="Arial"/>
          <w:sz w:val="22"/>
          <w:szCs w:val="22"/>
          <w:highlight w:val="yellow"/>
          <w:lang w:val="en-GB"/>
        </w:rPr>
      </w:pPr>
      <w:r w:rsidRPr="00086E61">
        <w:rPr>
          <w:rFonts w:ascii="Avenir Next" w:hAnsi="Avenir Next" w:cs="Arial"/>
          <w:sz w:val="22"/>
          <w:szCs w:val="22"/>
          <w:highlight w:val="yellow"/>
          <w:lang w:val="en-GB"/>
        </w:rPr>
        <w:t xml:space="preserve">The sale may constitute a sale at </w:t>
      </w:r>
      <w:proofErr w:type="gramStart"/>
      <w:r w:rsidRPr="00086E61">
        <w:rPr>
          <w:rFonts w:ascii="Avenir Next" w:hAnsi="Avenir Next" w:cs="Arial"/>
          <w:sz w:val="22"/>
          <w:szCs w:val="22"/>
          <w:highlight w:val="yellow"/>
          <w:lang w:val="en-GB"/>
        </w:rPr>
        <w:t>an undervalue</w:t>
      </w:r>
      <w:proofErr w:type="gramEnd"/>
      <w:r w:rsidRPr="00086E61">
        <w:rPr>
          <w:rFonts w:ascii="Avenir Next" w:hAnsi="Avenir Next" w:cs="Arial"/>
          <w:sz w:val="22"/>
          <w:szCs w:val="22"/>
          <w:highlight w:val="yellow"/>
          <w:lang w:val="en-GB"/>
        </w:rPr>
        <w:t xml:space="preserve"> which is a voidable transaction under section 238. In order to be attacked, the sale must have taken place at a “relevant time” which is in the period of two years prior to the commencement of the liquidation or administration. In this case the sale was in January 2023 and the commencement of liquidation was in January 2024 so the sale was within the relevant time. </w:t>
      </w:r>
    </w:p>
    <w:p w14:paraId="422CCD4E" w14:textId="14C6005B" w:rsidR="001D774B" w:rsidRPr="00086E61" w:rsidRDefault="001D774B" w:rsidP="00197F24">
      <w:pPr>
        <w:jc w:val="both"/>
        <w:rPr>
          <w:rFonts w:ascii="Avenir Next" w:hAnsi="Avenir Next" w:cs="Arial"/>
          <w:sz w:val="22"/>
          <w:szCs w:val="22"/>
          <w:highlight w:val="yellow"/>
          <w:lang w:val="en-GB"/>
        </w:rPr>
      </w:pPr>
    </w:p>
    <w:p w14:paraId="7465B167" w14:textId="77777777" w:rsidR="00086E61" w:rsidRDefault="00086E61" w:rsidP="00086E61">
      <w:pPr>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Under section 238, </w:t>
      </w:r>
      <w:r w:rsidR="001D774B" w:rsidRPr="00086E61">
        <w:rPr>
          <w:rFonts w:ascii="Avenir Next" w:hAnsi="Avenir Next" w:cs="Arial"/>
          <w:sz w:val="22"/>
          <w:szCs w:val="22"/>
          <w:highlight w:val="yellow"/>
          <w:lang w:val="en-GB"/>
        </w:rPr>
        <w:t xml:space="preserve">the sale must also have been for a consideration which, in money or money’s worth, was, at the date of the transaction, significantly less than the value, in money or money’s worth, of the consideration provided by the company. As the machines were sold for 40% of the value of one year before, this is likely to meet the test under this section. </w:t>
      </w:r>
    </w:p>
    <w:p w14:paraId="02225E33" w14:textId="77777777" w:rsidR="00086E61" w:rsidRDefault="00086E61" w:rsidP="00086E61">
      <w:pPr>
        <w:jc w:val="both"/>
        <w:rPr>
          <w:rFonts w:ascii="Avenir Next" w:hAnsi="Avenir Next" w:cs="Arial"/>
          <w:sz w:val="22"/>
          <w:szCs w:val="22"/>
          <w:highlight w:val="yellow"/>
          <w:lang w:val="en-GB"/>
        </w:rPr>
      </w:pPr>
    </w:p>
    <w:p w14:paraId="66015A50" w14:textId="0755D03D" w:rsidR="001D774B" w:rsidRPr="00086E61" w:rsidRDefault="001D774B" w:rsidP="00086E61">
      <w:pPr>
        <w:jc w:val="both"/>
        <w:rPr>
          <w:rFonts w:ascii="Avenir Next" w:hAnsi="Avenir Next" w:cs="Arial"/>
          <w:sz w:val="22"/>
          <w:szCs w:val="22"/>
          <w:highlight w:val="yellow"/>
          <w:lang w:val="en-GB"/>
        </w:rPr>
      </w:pPr>
      <w:r w:rsidRPr="00086E61">
        <w:rPr>
          <w:rFonts w:ascii="Avenir Next" w:hAnsi="Avenir Next"/>
          <w:sz w:val="22"/>
          <w:szCs w:val="22"/>
          <w:highlight w:val="yellow"/>
          <w:lang w:val="en-GB"/>
        </w:rPr>
        <w:t>It is a prerequisite of liability under section 238 that, at the time the transaction was entered into, either the company was unable to pay its debts as they fell due within the meaning of section 123 or became unable to pay its debts within the meaning of that section in consequence of the transaction. In the case of a transaction with a connected person, however, the company is presumed to have been insolvent, or to have become insolvent as a result of the transaction, unless the contrary is proved.</w:t>
      </w:r>
      <w:r w:rsidR="002F309A" w:rsidRPr="00086E61">
        <w:rPr>
          <w:rFonts w:ascii="Avenir Next" w:hAnsi="Avenir Next"/>
          <w:sz w:val="22"/>
          <w:szCs w:val="22"/>
          <w:highlight w:val="yellow"/>
          <w:lang w:val="en-GB"/>
        </w:rPr>
        <w:t xml:space="preserve"> In this case, the transaction was with a connected person, being a director of the company and thus, the burden of proving the company was not insolvent at the time of the transaction is on the respondent to the liquidator's application. </w:t>
      </w:r>
    </w:p>
    <w:p w14:paraId="6CEE6091" w14:textId="77777777" w:rsidR="002F309A" w:rsidRPr="00086E61" w:rsidRDefault="002F309A" w:rsidP="001D774B">
      <w:pPr>
        <w:pStyle w:val="BodyText"/>
        <w:kinsoku w:val="0"/>
        <w:overflowPunct w:val="0"/>
        <w:spacing w:line="292" w:lineRule="auto"/>
        <w:ind w:right="218"/>
        <w:jc w:val="both"/>
        <w:rPr>
          <w:rFonts w:ascii="Avenir Next" w:hAnsi="Avenir Next"/>
          <w:sz w:val="22"/>
          <w:szCs w:val="22"/>
          <w:highlight w:val="yellow"/>
          <w:lang w:val="en-GB"/>
        </w:rPr>
      </w:pPr>
    </w:p>
    <w:p w14:paraId="2D74C165" w14:textId="776F4E06" w:rsidR="001D774B" w:rsidRPr="00086E61" w:rsidRDefault="002F309A" w:rsidP="00197F24">
      <w:pPr>
        <w:jc w:val="both"/>
        <w:rPr>
          <w:rFonts w:ascii="Avenir Next" w:hAnsi="Avenir Next" w:cs="Arial"/>
          <w:sz w:val="22"/>
          <w:szCs w:val="22"/>
          <w:highlight w:val="yellow"/>
          <w:lang w:val="en-GB"/>
        </w:rPr>
      </w:pPr>
      <w:r w:rsidRPr="00086E61">
        <w:rPr>
          <w:rFonts w:ascii="Avenir Next" w:hAnsi="Avenir Next" w:cs="Arial"/>
          <w:sz w:val="22"/>
          <w:szCs w:val="22"/>
          <w:highlight w:val="yellow"/>
          <w:lang w:val="en-GB"/>
        </w:rPr>
        <w:t xml:space="preserve">As with section 239 </w:t>
      </w:r>
      <w:r w:rsidR="00287400">
        <w:rPr>
          <w:rFonts w:ascii="Avenir Next" w:hAnsi="Avenir Next" w:cs="Arial"/>
          <w:sz w:val="22"/>
          <w:szCs w:val="22"/>
          <w:highlight w:val="yellow"/>
          <w:lang w:val="en-GB"/>
        </w:rPr>
        <w:t xml:space="preserve">discussed </w:t>
      </w:r>
      <w:r w:rsidRPr="00086E61">
        <w:rPr>
          <w:rFonts w:ascii="Avenir Next" w:hAnsi="Avenir Next" w:cs="Arial"/>
          <w:sz w:val="22"/>
          <w:szCs w:val="22"/>
          <w:highlight w:val="yellow"/>
          <w:lang w:val="en-GB"/>
        </w:rPr>
        <w:t xml:space="preserve">above, if the respondent to an application satisfies the court that the transaction was entered into by the company in good faith and for the purpose of carrying on its business, and that at the time it did so there were reasonable grounds for believing that the transaction would benefit the company, then the court shall not make an order under section 238. However it is difficult to see how it is of benefit to the company to sell its assets at 40% of their value one year after purchase.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31ED9651" w:rsidR="007E2919" w:rsidRDefault="007E2919" w:rsidP="007E2919">
      <w:pPr>
        <w:rPr>
          <w:rFonts w:ascii="Avenir Next" w:hAnsi="Avenir Next" w:cs="Arial"/>
          <w:sz w:val="22"/>
          <w:szCs w:val="22"/>
        </w:rPr>
      </w:pPr>
      <w:r w:rsidRPr="006925C1">
        <w:rPr>
          <w:rFonts w:ascii="Avenir Next" w:hAnsi="Avenir Next" w:cs="Arial"/>
          <w:sz w:val="22"/>
          <w:szCs w:val="22"/>
        </w:rPr>
        <w:lastRenderedPageBreak/>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02AC6158" w14:textId="77777777" w:rsidR="00287400" w:rsidRPr="006925C1" w:rsidRDefault="00287400" w:rsidP="007E2919">
      <w:pPr>
        <w:rPr>
          <w:rFonts w:ascii="Avenir Next" w:hAnsi="Avenir Next" w:cs="Arial"/>
          <w:sz w:val="22"/>
          <w:szCs w:val="22"/>
        </w:rPr>
      </w:pPr>
    </w:p>
    <w:bookmarkEnd w:id="0"/>
    <w:p w14:paraId="289C7326" w14:textId="41ADD7A3" w:rsidR="00086E61" w:rsidRDefault="009320ED" w:rsidP="00086E61">
      <w:pPr>
        <w:jc w:val="both"/>
        <w:rPr>
          <w:rFonts w:ascii="Avenir Next" w:hAnsi="Avenir Next"/>
          <w:sz w:val="22"/>
          <w:szCs w:val="22"/>
          <w:highlight w:val="yellow"/>
          <w:lang w:val="en-GB"/>
        </w:rPr>
      </w:pPr>
      <w:r w:rsidRPr="00086E61">
        <w:rPr>
          <w:rFonts w:ascii="Avenir Next" w:hAnsi="Avenir Next"/>
          <w:sz w:val="22"/>
          <w:szCs w:val="22"/>
          <w:highlight w:val="yellow"/>
          <w:lang w:val="en-GB"/>
        </w:rPr>
        <w:t xml:space="preserve">Any disposition of </w:t>
      </w:r>
      <w:r w:rsidR="00287400">
        <w:rPr>
          <w:rFonts w:ascii="Avenir Next" w:hAnsi="Avenir Next"/>
          <w:sz w:val="22"/>
          <w:szCs w:val="22"/>
          <w:highlight w:val="yellow"/>
          <w:lang w:val="en-GB"/>
        </w:rPr>
        <w:t xml:space="preserve">the </w:t>
      </w:r>
      <w:r w:rsidRPr="00086E61">
        <w:rPr>
          <w:rFonts w:ascii="Avenir Next" w:hAnsi="Avenir Next"/>
          <w:sz w:val="22"/>
          <w:szCs w:val="22"/>
          <w:highlight w:val="yellow"/>
          <w:lang w:val="en-GB"/>
        </w:rPr>
        <w:t xml:space="preserve">company’s property </w:t>
      </w:r>
      <w:r w:rsidR="00287400">
        <w:rPr>
          <w:rFonts w:ascii="Avenir Next" w:hAnsi="Avenir Next"/>
          <w:sz w:val="22"/>
          <w:szCs w:val="22"/>
          <w:highlight w:val="yellow"/>
          <w:lang w:val="en-GB"/>
        </w:rPr>
        <w:t xml:space="preserve">(including cash) </w:t>
      </w:r>
      <w:r w:rsidRPr="00086E61">
        <w:rPr>
          <w:rFonts w:ascii="Avenir Next" w:hAnsi="Avenir Next"/>
          <w:sz w:val="22"/>
          <w:szCs w:val="22"/>
          <w:highlight w:val="yellow"/>
          <w:lang w:val="en-GB"/>
        </w:rPr>
        <w:t>after the petition for</w:t>
      </w:r>
      <w:r w:rsidR="00287400">
        <w:rPr>
          <w:rFonts w:ascii="Avenir Next" w:hAnsi="Avenir Next"/>
          <w:sz w:val="22"/>
          <w:szCs w:val="22"/>
          <w:highlight w:val="yellow"/>
          <w:lang w:val="en-GB"/>
        </w:rPr>
        <w:t xml:space="preserve"> winding up has been presented </w:t>
      </w:r>
      <w:r w:rsidRPr="00086E61">
        <w:rPr>
          <w:rFonts w:ascii="Avenir Next" w:hAnsi="Avenir Next"/>
          <w:sz w:val="22"/>
          <w:szCs w:val="22"/>
          <w:highlight w:val="yellow"/>
          <w:lang w:val="en-GB"/>
        </w:rPr>
        <w:t xml:space="preserve">will be void under section 127 of the Act. </w:t>
      </w:r>
      <w:r w:rsidR="00287400">
        <w:rPr>
          <w:rFonts w:ascii="Avenir Next" w:hAnsi="Avenir Next"/>
          <w:sz w:val="22"/>
          <w:szCs w:val="22"/>
          <w:highlight w:val="yellow"/>
          <w:lang w:val="en-GB"/>
        </w:rPr>
        <w:t xml:space="preserve">As the payments to Aluminium </w:t>
      </w:r>
      <w:proofErr w:type="spellStart"/>
      <w:r w:rsidR="00287400">
        <w:rPr>
          <w:rFonts w:ascii="Avenir Next" w:hAnsi="Avenir Next"/>
          <w:sz w:val="22"/>
          <w:szCs w:val="22"/>
          <w:highlight w:val="yellow"/>
          <w:lang w:val="en-GB"/>
        </w:rPr>
        <w:t>Alumini</w:t>
      </w:r>
      <w:proofErr w:type="spellEnd"/>
      <w:r w:rsidR="00287400">
        <w:rPr>
          <w:rFonts w:ascii="Avenir Next" w:hAnsi="Avenir Next"/>
          <w:sz w:val="22"/>
          <w:szCs w:val="22"/>
          <w:highlight w:val="yellow"/>
          <w:lang w:val="en-GB"/>
        </w:rPr>
        <w:t xml:space="preserve"> were made</w:t>
      </w:r>
      <w:r w:rsidRPr="00086E61">
        <w:rPr>
          <w:rFonts w:ascii="Avenir Next" w:hAnsi="Avenir Next"/>
          <w:sz w:val="22"/>
          <w:szCs w:val="22"/>
          <w:highlight w:val="yellow"/>
          <w:lang w:val="en-GB"/>
        </w:rPr>
        <w:t xml:space="preserve"> after the date of the petition, </w:t>
      </w:r>
      <w:r w:rsidR="00287400">
        <w:rPr>
          <w:rFonts w:ascii="Avenir Next" w:hAnsi="Avenir Next"/>
          <w:sz w:val="22"/>
          <w:szCs w:val="22"/>
          <w:highlight w:val="yellow"/>
          <w:lang w:val="en-GB"/>
        </w:rPr>
        <w:t>they</w:t>
      </w:r>
      <w:r w:rsidRPr="00086E61">
        <w:rPr>
          <w:rFonts w:ascii="Avenir Next" w:hAnsi="Avenir Next"/>
          <w:sz w:val="22"/>
          <w:szCs w:val="22"/>
          <w:highlight w:val="yellow"/>
          <w:lang w:val="en-GB"/>
        </w:rPr>
        <w:t xml:space="preserve"> fall within the provisions of section </w:t>
      </w:r>
      <w:r w:rsidR="00086E61">
        <w:rPr>
          <w:rFonts w:ascii="Avenir Next" w:hAnsi="Avenir Next"/>
          <w:sz w:val="22"/>
          <w:szCs w:val="22"/>
          <w:highlight w:val="yellow"/>
          <w:lang w:val="en-GB"/>
        </w:rPr>
        <w:t xml:space="preserve">127. </w:t>
      </w:r>
    </w:p>
    <w:p w14:paraId="28BD1B52" w14:textId="77777777" w:rsidR="00086E61" w:rsidRDefault="00086E61" w:rsidP="00086E61">
      <w:pPr>
        <w:jc w:val="both"/>
        <w:rPr>
          <w:rFonts w:ascii="Avenir Next" w:hAnsi="Avenir Next"/>
          <w:sz w:val="22"/>
          <w:szCs w:val="22"/>
          <w:highlight w:val="yellow"/>
          <w:lang w:val="en-GB"/>
        </w:rPr>
      </w:pPr>
    </w:p>
    <w:p w14:paraId="71DA25E3" w14:textId="77777777" w:rsidR="00127F2D" w:rsidRDefault="009320ED" w:rsidP="00086E61">
      <w:pPr>
        <w:jc w:val="both"/>
        <w:rPr>
          <w:rFonts w:ascii="Avenir Next" w:hAnsi="Avenir Next"/>
          <w:sz w:val="22"/>
          <w:szCs w:val="22"/>
          <w:lang w:val="en-GB"/>
        </w:rPr>
      </w:pPr>
      <w:r w:rsidRPr="00086E61">
        <w:rPr>
          <w:rFonts w:ascii="Avenir Next" w:hAnsi="Avenir Next"/>
          <w:sz w:val="22"/>
          <w:szCs w:val="22"/>
          <w:highlight w:val="yellow"/>
          <w:lang w:val="en-GB"/>
        </w:rPr>
        <w:t>A party may seek to validate the payments by way of a validation order from the court but such order will only be made where the circumstances indicate that the disposition will be or has been made for the benefit of the general body of unsecured creditors. While the justification for the payments was that the continued supply of meta</w:t>
      </w:r>
      <w:r w:rsidR="00127F2D">
        <w:rPr>
          <w:rFonts w:ascii="Avenir Next" w:hAnsi="Avenir Next"/>
          <w:sz w:val="22"/>
          <w:szCs w:val="22"/>
          <w:highlight w:val="yellow"/>
          <w:lang w:val="en-GB"/>
        </w:rPr>
        <w:t>l was seen as essential by the c</w:t>
      </w:r>
      <w:r w:rsidRPr="00086E61">
        <w:rPr>
          <w:rFonts w:ascii="Avenir Next" w:hAnsi="Avenir Next"/>
          <w:sz w:val="22"/>
          <w:szCs w:val="22"/>
          <w:highlight w:val="yellow"/>
          <w:lang w:val="en-GB"/>
        </w:rPr>
        <w:t xml:space="preserve">ompany, as liquidation of the company had already commenced, the directors of the company owed their obligations to the creditors and not the members and the payments to Aluminium </w:t>
      </w:r>
      <w:proofErr w:type="spellStart"/>
      <w:r w:rsidRPr="00086E61">
        <w:rPr>
          <w:rFonts w:ascii="Avenir Next" w:hAnsi="Avenir Next"/>
          <w:sz w:val="22"/>
          <w:szCs w:val="22"/>
          <w:highlight w:val="yellow"/>
          <w:lang w:val="en-GB"/>
        </w:rPr>
        <w:t>Alumini</w:t>
      </w:r>
      <w:proofErr w:type="spellEnd"/>
      <w:r w:rsidRPr="00086E61">
        <w:rPr>
          <w:rFonts w:ascii="Avenir Next" w:hAnsi="Avenir Next"/>
          <w:sz w:val="22"/>
          <w:szCs w:val="22"/>
          <w:highlight w:val="yellow"/>
          <w:lang w:val="en-GB"/>
        </w:rPr>
        <w:t xml:space="preserve"> were not to the benefit </w:t>
      </w:r>
      <w:r w:rsidR="00127F2D">
        <w:rPr>
          <w:rFonts w:ascii="Avenir Next" w:hAnsi="Avenir Next"/>
          <w:sz w:val="22"/>
          <w:szCs w:val="22"/>
          <w:highlight w:val="yellow"/>
          <w:lang w:val="en-GB"/>
        </w:rPr>
        <w:t xml:space="preserve">of the creditors generally, and an application for a validation order would be unlikely to succeed. </w:t>
      </w:r>
    </w:p>
    <w:p w14:paraId="7B80E383" w14:textId="77777777" w:rsidR="00127F2D" w:rsidRDefault="00127F2D" w:rsidP="00086E61">
      <w:pPr>
        <w:jc w:val="both"/>
        <w:rPr>
          <w:rFonts w:ascii="Avenir Next" w:hAnsi="Avenir Next"/>
          <w:sz w:val="22"/>
          <w:szCs w:val="22"/>
          <w:lang w:val="en-GB"/>
        </w:rPr>
      </w:pPr>
    </w:p>
    <w:p w14:paraId="776ECA34" w14:textId="162A9ACA" w:rsidR="00127F2D" w:rsidRPr="00127F2D" w:rsidRDefault="00127F2D" w:rsidP="00086E61">
      <w:pPr>
        <w:jc w:val="both"/>
        <w:rPr>
          <w:rFonts w:ascii="Avenir Next" w:hAnsi="Avenir Next"/>
          <w:sz w:val="22"/>
          <w:szCs w:val="22"/>
          <w:highlight w:val="yellow"/>
          <w:lang w:val="en-GB"/>
        </w:rPr>
      </w:pPr>
      <w:r w:rsidRPr="00127F2D">
        <w:rPr>
          <w:rFonts w:ascii="Avenir Next" w:hAnsi="Avenir Next"/>
          <w:sz w:val="22"/>
          <w:szCs w:val="22"/>
          <w:highlight w:val="yellow"/>
          <w:lang w:val="en-GB"/>
        </w:rPr>
        <w:t xml:space="preserve">For completeness, section 239 (dealing with preferences) does not apply to dispositions made after commencement of the winding up. </w:t>
      </w:r>
    </w:p>
    <w:p w14:paraId="50986E52" w14:textId="51757731" w:rsidR="009320ED" w:rsidRPr="0004444C" w:rsidRDefault="009320ED" w:rsidP="00086E61">
      <w:pPr>
        <w:rPr>
          <w:rFonts w:ascii="Avenir Next Demi Bold" w:hAnsi="Avenir Next Demi Bold" w:cs="Arial"/>
          <w:b/>
          <w:bCs/>
          <w:sz w:val="22"/>
          <w:szCs w:val="22"/>
          <w:lang w:val="en-GB"/>
        </w:rPr>
      </w:pPr>
    </w:p>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bookmarkStart w:id="1" w:name="_GoBack"/>
      <w:bookmarkEnd w:id="1"/>
    </w:p>
    <w:sectPr w:rsidR="006925C1" w:rsidRPr="006925C1" w:rsidSect="0073158B">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3B3A6E" w:rsidRDefault="003B3A6E" w:rsidP="00241B44">
      <w:r>
        <w:separator/>
      </w:r>
    </w:p>
  </w:endnote>
  <w:endnote w:type="continuationSeparator" w:id="0">
    <w:p w14:paraId="58D3AFD8" w14:textId="77777777" w:rsidR="003B3A6E" w:rsidRDefault="003B3A6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3B3A6E" w:rsidRPr="00FC7B47" w:rsidRDefault="003B3A6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3B3A6E" w:rsidRPr="00FC7B47" w:rsidRDefault="003B3A6E"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3EC2213" w:rsidR="003B3A6E" w:rsidRPr="009B4976" w:rsidRDefault="003B3A6E" w:rsidP="003B3A6E">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127F2D">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1918F0E2" w14:textId="0742A05F" w:rsidR="004E71B1" w:rsidRDefault="004E71B1" w:rsidP="004E71B1">
    <w:pPr>
      <w:pStyle w:val="Footer"/>
      <w:ind w:right="360"/>
      <w:rPr>
        <w:rFonts w:ascii="Avenir Next" w:hAnsi="Avenir Next" w:cs="Arial"/>
        <w:sz w:val="22"/>
        <w:szCs w:val="22"/>
        <w:lang w:val="en-GB"/>
      </w:rPr>
    </w:pPr>
    <w:r>
      <w:rPr>
        <w:rFonts w:ascii="Avenir Next" w:hAnsi="Avenir Next" w:cs="Arial"/>
        <w:sz w:val="22"/>
        <w:szCs w:val="22"/>
        <w:lang w:val="en-GB"/>
      </w:rPr>
      <w:t>FC202323-1444.assessment3B</w:t>
    </w:r>
  </w:p>
  <w:p w14:paraId="4523C8C7" w14:textId="19510302" w:rsidR="003B3A6E" w:rsidRPr="00A84235" w:rsidRDefault="003B3A6E" w:rsidP="00B61EC7">
    <w:pPr>
      <w:pStyle w:val="Footer"/>
      <w:ind w:right="360"/>
      <w:rPr>
        <w:rFonts w:ascii="Avenir Next" w:hAnsi="Avenir Next" w:cs="Arial"/>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CFF9" w14:textId="3B152644" w:rsidR="003B3A6E" w:rsidRDefault="003B3A6E">
    <w:pPr>
      <w:pStyle w:val="Footer"/>
    </w:pPr>
  </w:p>
  <w:p w14:paraId="3569CE21" w14:textId="143AE559" w:rsidR="003B3A6E" w:rsidRDefault="003B3A6E" w:rsidP="00B6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3B3A6E" w:rsidRDefault="003B3A6E" w:rsidP="00241B44">
      <w:r>
        <w:separator/>
      </w:r>
    </w:p>
  </w:footnote>
  <w:footnote w:type="continuationSeparator" w:id="0">
    <w:p w14:paraId="4A2A4F3D" w14:textId="77777777" w:rsidR="003B3A6E" w:rsidRDefault="003B3A6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33EC7"/>
    <w:multiLevelType w:val="hybridMultilevel"/>
    <w:tmpl w:val="9E000EAE"/>
    <w:lvl w:ilvl="0" w:tplc="6C20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0324D"/>
    <w:multiLevelType w:val="hybridMultilevel"/>
    <w:tmpl w:val="EE6072E0"/>
    <w:lvl w:ilvl="0" w:tplc="6C20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D5D68"/>
    <w:multiLevelType w:val="hybridMultilevel"/>
    <w:tmpl w:val="373E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B55CC5"/>
    <w:multiLevelType w:val="multilevel"/>
    <w:tmpl w:val="725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21F2E"/>
    <w:multiLevelType w:val="multilevel"/>
    <w:tmpl w:val="B68EF9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2"/>
  </w:num>
  <w:num w:numId="5">
    <w:abstractNumId w:val="15"/>
  </w:num>
  <w:num w:numId="6">
    <w:abstractNumId w:val="2"/>
  </w:num>
  <w:num w:numId="7">
    <w:abstractNumId w:val="16"/>
  </w:num>
  <w:num w:numId="8">
    <w:abstractNumId w:val="20"/>
  </w:num>
  <w:num w:numId="9">
    <w:abstractNumId w:val="13"/>
  </w:num>
  <w:num w:numId="10">
    <w:abstractNumId w:val="21"/>
  </w:num>
  <w:num w:numId="11">
    <w:abstractNumId w:val="8"/>
  </w:num>
  <w:num w:numId="12">
    <w:abstractNumId w:val="18"/>
  </w:num>
  <w:num w:numId="13">
    <w:abstractNumId w:val="14"/>
  </w:num>
  <w:num w:numId="14">
    <w:abstractNumId w:val="6"/>
  </w:num>
  <w:num w:numId="15">
    <w:abstractNumId w:val="17"/>
  </w:num>
  <w:num w:numId="16">
    <w:abstractNumId w:val="19"/>
  </w:num>
  <w:num w:numId="17">
    <w:abstractNumId w:val="11"/>
  </w:num>
  <w:num w:numId="18">
    <w:abstractNumId w:val="3"/>
  </w:num>
  <w:num w:numId="19">
    <w:abstractNumId w:val="4"/>
  </w:num>
  <w:num w:numId="20">
    <w:abstractNumId w:val="9"/>
  </w:num>
  <w:num w:numId="21">
    <w:abstractNumId w:val="10"/>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57E2A"/>
    <w:rsid w:val="00065166"/>
    <w:rsid w:val="00082609"/>
    <w:rsid w:val="000851CC"/>
    <w:rsid w:val="00086C55"/>
    <w:rsid w:val="00086E61"/>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27F2D"/>
    <w:rsid w:val="00140E97"/>
    <w:rsid w:val="0014171F"/>
    <w:rsid w:val="0014622C"/>
    <w:rsid w:val="00152348"/>
    <w:rsid w:val="0015456D"/>
    <w:rsid w:val="00155FA2"/>
    <w:rsid w:val="0016046C"/>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D774B"/>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87400"/>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7548"/>
    <w:rsid w:val="002F1956"/>
    <w:rsid w:val="002F309A"/>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A6E"/>
    <w:rsid w:val="003B3C5F"/>
    <w:rsid w:val="003C4471"/>
    <w:rsid w:val="003D0A6D"/>
    <w:rsid w:val="003E0B16"/>
    <w:rsid w:val="003E1BBF"/>
    <w:rsid w:val="003E67D1"/>
    <w:rsid w:val="00404329"/>
    <w:rsid w:val="00405DC1"/>
    <w:rsid w:val="0040659F"/>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83909"/>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E71B1"/>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481A"/>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38D6"/>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320ED"/>
    <w:rsid w:val="00942123"/>
    <w:rsid w:val="00951AA8"/>
    <w:rsid w:val="0095207B"/>
    <w:rsid w:val="00962045"/>
    <w:rsid w:val="00980E61"/>
    <w:rsid w:val="00991428"/>
    <w:rsid w:val="00992676"/>
    <w:rsid w:val="009954B2"/>
    <w:rsid w:val="00996691"/>
    <w:rsid w:val="009A1B4D"/>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07B1"/>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1EC7"/>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24DC3"/>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1719"/>
    <w:rsid w:val="00CB09F0"/>
    <w:rsid w:val="00CB1983"/>
    <w:rsid w:val="00CB2CBB"/>
    <w:rsid w:val="00CB7CAC"/>
    <w:rsid w:val="00CC5335"/>
    <w:rsid w:val="00CC5BA4"/>
    <w:rsid w:val="00CD4998"/>
    <w:rsid w:val="00CE1035"/>
    <w:rsid w:val="00CE6E50"/>
    <w:rsid w:val="00CF1EE6"/>
    <w:rsid w:val="00CF2819"/>
    <w:rsid w:val="00CF3708"/>
    <w:rsid w:val="00CF4F9D"/>
    <w:rsid w:val="00CF70DC"/>
    <w:rsid w:val="00D01697"/>
    <w:rsid w:val="00D148DC"/>
    <w:rsid w:val="00D17FDC"/>
    <w:rsid w:val="00D21D8C"/>
    <w:rsid w:val="00D22FBE"/>
    <w:rsid w:val="00D53719"/>
    <w:rsid w:val="00D63EFD"/>
    <w:rsid w:val="00D83DD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3860"/>
    <w:rsid w:val="00EA5B00"/>
    <w:rsid w:val="00EB146B"/>
    <w:rsid w:val="00EB45AC"/>
    <w:rsid w:val="00EC29A1"/>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72B95"/>
    <w:rsid w:val="00F87B04"/>
    <w:rsid w:val="00F97C5B"/>
    <w:rsid w:val="00FA12B9"/>
    <w:rsid w:val="00FA2C05"/>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F72B95"/>
    <w:pPr>
      <w:spacing w:before="100" w:beforeAutospacing="1" w:after="100" w:afterAutospacing="1"/>
    </w:pPr>
    <w:rPr>
      <w:rFonts w:ascii="Times New Roman" w:hAnsi="Times New Roman" w:cs="Times New Roman"/>
      <w:sz w:val="24"/>
    </w:rPr>
  </w:style>
  <w:style w:type="character" w:customStyle="1" w:styleId="legaddition">
    <w:name w:val="legaddition"/>
    <w:basedOn w:val="DefaultParagraphFont"/>
    <w:rsid w:val="00F72B95"/>
  </w:style>
  <w:style w:type="paragraph" w:styleId="BodyText">
    <w:name w:val="Body Text"/>
    <w:basedOn w:val="Normal"/>
    <w:link w:val="BodyTextChar"/>
    <w:uiPriority w:val="1"/>
    <w:unhideWhenUsed/>
    <w:qFormat/>
    <w:rsid w:val="00CA1719"/>
    <w:pPr>
      <w:widowControl w:val="0"/>
      <w:autoSpaceDE w:val="0"/>
      <w:autoSpaceDN w:val="0"/>
      <w:adjustRightInd w:val="0"/>
    </w:pPr>
    <w:rPr>
      <w:rFonts w:ascii="Arial" w:hAnsi="Arial" w:cs="Arial"/>
      <w:szCs w:val="20"/>
    </w:rPr>
  </w:style>
  <w:style w:type="character" w:customStyle="1" w:styleId="BodyTextChar">
    <w:name w:val="Body Text Char"/>
    <w:basedOn w:val="DefaultParagraphFont"/>
    <w:link w:val="BodyText"/>
    <w:uiPriority w:val="1"/>
    <w:rsid w:val="00CA1719"/>
    <w:rPr>
      <w:rFonts w:ascii="Arial" w:eastAsia="Times New Roman" w:hAnsi="Arial" w:cs="Arial"/>
      <w:sz w:val="20"/>
      <w:szCs w:val="20"/>
    </w:rPr>
  </w:style>
  <w:style w:type="character" w:customStyle="1" w:styleId="cohidesearchterm">
    <w:name w:val="co_hidesearchterm"/>
    <w:basedOn w:val="DefaultParagraphFont"/>
    <w:rsid w:val="00C24DC3"/>
  </w:style>
  <w:style w:type="character" w:customStyle="1" w:styleId="coglossaryterm">
    <w:name w:val="co_glossaryterm"/>
    <w:basedOn w:val="DefaultParagraphFont"/>
    <w:rsid w:val="00C24DC3"/>
  </w:style>
  <w:style w:type="character" w:styleId="Emphasis">
    <w:name w:val="Emphasis"/>
    <w:basedOn w:val="DefaultParagraphFont"/>
    <w:uiPriority w:val="20"/>
    <w:qFormat/>
    <w:rsid w:val="00406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2">
      <w:bodyDiv w:val="1"/>
      <w:marLeft w:val="0"/>
      <w:marRight w:val="0"/>
      <w:marTop w:val="0"/>
      <w:marBottom w:val="0"/>
      <w:divBdr>
        <w:top w:val="none" w:sz="0" w:space="0" w:color="auto"/>
        <w:left w:val="none" w:sz="0" w:space="0" w:color="auto"/>
        <w:bottom w:val="none" w:sz="0" w:space="0" w:color="auto"/>
        <w:right w:val="none" w:sz="0" w:space="0" w:color="auto"/>
      </w:divBdr>
    </w:div>
    <w:div w:id="28855592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18950858">
      <w:bodyDiv w:val="1"/>
      <w:marLeft w:val="0"/>
      <w:marRight w:val="0"/>
      <w:marTop w:val="0"/>
      <w:marBottom w:val="0"/>
      <w:divBdr>
        <w:top w:val="none" w:sz="0" w:space="0" w:color="auto"/>
        <w:left w:val="none" w:sz="0" w:space="0" w:color="auto"/>
        <w:bottom w:val="none" w:sz="0" w:space="0" w:color="auto"/>
        <w:right w:val="none" w:sz="0" w:space="0" w:color="auto"/>
      </w:divBdr>
    </w:div>
    <w:div w:id="652217315">
      <w:bodyDiv w:val="1"/>
      <w:marLeft w:val="0"/>
      <w:marRight w:val="0"/>
      <w:marTop w:val="0"/>
      <w:marBottom w:val="0"/>
      <w:divBdr>
        <w:top w:val="none" w:sz="0" w:space="0" w:color="auto"/>
        <w:left w:val="none" w:sz="0" w:space="0" w:color="auto"/>
        <w:bottom w:val="none" w:sz="0" w:space="0" w:color="auto"/>
        <w:right w:val="none" w:sz="0" w:space="0" w:color="auto"/>
      </w:divBdr>
    </w:div>
    <w:div w:id="780952919">
      <w:bodyDiv w:val="1"/>
      <w:marLeft w:val="0"/>
      <w:marRight w:val="0"/>
      <w:marTop w:val="0"/>
      <w:marBottom w:val="0"/>
      <w:divBdr>
        <w:top w:val="none" w:sz="0" w:space="0" w:color="auto"/>
        <w:left w:val="none" w:sz="0" w:space="0" w:color="auto"/>
        <w:bottom w:val="none" w:sz="0" w:space="0" w:color="auto"/>
        <w:right w:val="none" w:sz="0" w:space="0" w:color="auto"/>
      </w:divBdr>
    </w:div>
    <w:div w:id="85029680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57448082">
      <w:bodyDiv w:val="1"/>
      <w:marLeft w:val="0"/>
      <w:marRight w:val="0"/>
      <w:marTop w:val="0"/>
      <w:marBottom w:val="0"/>
      <w:divBdr>
        <w:top w:val="none" w:sz="0" w:space="0" w:color="auto"/>
        <w:left w:val="none" w:sz="0" w:space="0" w:color="auto"/>
        <w:bottom w:val="none" w:sz="0" w:space="0" w:color="auto"/>
        <w:right w:val="none" w:sz="0" w:space="0" w:color="auto"/>
      </w:divBdr>
    </w:div>
    <w:div w:id="1418672007">
      <w:bodyDiv w:val="1"/>
      <w:marLeft w:val="0"/>
      <w:marRight w:val="0"/>
      <w:marTop w:val="0"/>
      <w:marBottom w:val="0"/>
      <w:divBdr>
        <w:top w:val="none" w:sz="0" w:space="0" w:color="auto"/>
        <w:left w:val="none" w:sz="0" w:space="0" w:color="auto"/>
        <w:bottom w:val="none" w:sz="0" w:space="0" w:color="auto"/>
        <w:right w:val="none" w:sz="0" w:space="0" w:color="auto"/>
      </w:divBdr>
    </w:div>
    <w:div w:id="1908688849">
      <w:bodyDiv w:val="1"/>
      <w:marLeft w:val="0"/>
      <w:marRight w:val="0"/>
      <w:marTop w:val="0"/>
      <w:marBottom w:val="0"/>
      <w:divBdr>
        <w:top w:val="none" w:sz="0" w:space="0" w:color="auto"/>
        <w:left w:val="none" w:sz="0" w:space="0" w:color="auto"/>
        <w:bottom w:val="none" w:sz="0" w:space="0" w:color="auto"/>
        <w:right w:val="none" w:sz="0" w:space="0" w:color="auto"/>
      </w:divBdr>
      <w:divsChild>
        <w:div w:id="1217550968">
          <w:marLeft w:val="0"/>
          <w:marRight w:val="0"/>
          <w:marTop w:val="0"/>
          <w:marBottom w:val="0"/>
          <w:divBdr>
            <w:top w:val="none" w:sz="0" w:space="0" w:color="auto"/>
            <w:left w:val="none" w:sz="0" w:space="0" w:color="auto"/>
            <w:bottom w:val="none" w:sz="0" w:space="0" w:color="auto"/>
            <w:right w:val="none" w:sz="0" w:space="0" w:color="auto"/>
          </w:divBdr>
          <w:divsChild>
            <w:div w:id="446235620">
              <w:marLeft w:val="0"/>
              <w:marRight w:val="0"/>
              <w:marTop w:val="0"/>
              <w:marBottom w:val="0"/>
              <w:divBdr>
                <w:top w:val="none" w:sz="0" w:space="0" w:color="auto"/>
                <w:left w:val="none" w:sz="0" w:space="0" w:color="auto"/>
                <w:bottom w:val="none" w:sz="0" w:space="0" w:color="auto"/>
                <w:right w:val="none" w:sz="0" w:space="0" w:color="auto"/>
              </w:divBdr>
            </w:div>
          </w:divsChild>
        </w:div>
        <w:div w:id="1062018623">
          <w:marLeft w:val="0"/>
          <w:marRight w:val="0"/>
          <w:marTop w:val="0"/>
          <w:marBottom w:val="0"/>
          <w:divBdr>
            <w:top w:val="none" w:sz="0" w:space="0" w:color="auto"/>
            <w:left w:val="none" w:sz="0" w:space="0" w:color="auto"/>
            <w:bottom w:val="none" w:sz="0" w:space="0" w:color="auto"/>
            <w:right w:val="none" w:sz="0" w:space="0" w:color="auto"/>
          </w:divBdr>
          <w:divsChild>
            <w:div w:id="449471100">
              <w:marLeft w:val="0"/>
              <w:marRight w:val="0"/>
              <w:marTop w:val="0"/>
              <w:marBottom w:val="0"/>
              <w:divBdr>
                <w:top w:val="none" w:sz="0" w:space="0" w:color="auto"/>
                <w:left w:val="none" w:sz="0" w:space="0" w:color="auto"/>
                <w:bottom w:val="none" w:sz="0" w:space="0" w:color="auto"/>
                <w:right w:val="none" w:sz="0" w:space="0" w:color="auto"/>
              </w:divBdr>
              <w:divsChild>
                <w:div w:id="1302810283">
                  <w:marLeft w:val="0"/>
                  <w:marRight w:val="0"/>
                  <w:marTop w:val="0"/>
                  <w:marBottom w:val="0"/>
                  <w:divBdr>
                    <w:top w:val="none" w:sz="0" w:space="0" w:color="auto"/>
                    <w:left w:val="none" w:sz="0" w:space="0" w:color="auto"/>
                    <w:bottom w:val="none" w:sz="0" w:space="0" w:color="auto"/>
                    <w:right w:val="none" w:sz="0" w:space="0" w:color="auto"/>
                  </w:divBdr>
                  <w:divsChild>
                    <w:div w:id="364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9162">
              <w:marLeft w:val="0"/>
              <w:marRight w:val="0"/>
              <w:marTop w:val="0"/>
              <w:marBottom w:val="0"/>
              <w:divBdr>
                <w:top w:val="none" w:sz="0" w:space="0" w:color="auto"/>
                <w:left w:val="none" w:sz="0" w:space="0" w:color="auto"/>
                <w:bottom w:val="none" w:sz="0" w:space="0" w:color="auto"/>
                <w:right w:val="none" w:sz="0" w:space="0" w:color="auto"/>
              </w:divBdr>
              <w:divsChild>
                <w:div w:id="422190323">
                  <w:marLeft w:val="0"/>
                  <w:marRight w:val="0"/>
                  <w:marTop w:val="0"/>
                  <w:marBottom w:val="0"/>
                  <w:divBdr>
                    <w:top w:val="none" w:sz="0" w:space="0" w:color="auto"/>
                    <w:left w:val="none" w:sz="0" w:space="0" w:color="auto"/>
                    <w:bottom w:val="none" w:sz="0" w:space="0" w:color="auto"/>
                    <w:right w:val="none" w:sz="0" w:space="0" w:color="auto"/>
                  </w:divBdr>
                  <w:divsChild>
                    <w:div w:id="14781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4994">
              <w:marLeft w:val="0"/>
              <w:marRight w:val="0"/>
              <w:marTop w:val="0"/>
              <w:marBottom w:val="0"/>
              <w:divBdr>
                <w:top w:val="none" w:sz="0" w:space="0" w:color="auto"/>
                <w:left w:val="none" w:sz="0" w:space="0" w:color="auto"/>
                <w:bottom w:val="none" w:sz="0" w:space="0" w:color="auto"/>
                <w:right w:val="none" w:sz="0" w:space="0" w:color="auto"/>
              </w:divBdr>
              <w:divsChild>
                <w:div w:id="1719012046">
                  <w:marLeft w:val="0"/>
                  <w:marRight w:val="0"/>
                  <w:marTop w:val="0"/>
                  <w:marBottom w:val="0"/>
                  <w:divBdr>
                    <w:top w:val="none" w:sz="0" w:space="0" w:color="auto"/>
                    <w:left w:val="none" w:sz="0" w:space="0" w:color="auto"/>
                    <w:bottom w:val="none" w:sz="0" w:space="0" w:color="auto"/>
                    <w:right w:val="none" w:sz="0" w:space="0" w:color="auto"/>
                  </w:divBdr>
                  <w:divsChild>
                    <w:div w:id="7665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2264">
              <w:marLeft w:val="0"/>
              <w:marRight w:val="0"/>
              <w:marTop w:val="0"/>
              <w:marBottom w:val="0"/>
              <w:divBdr>
                <w:top w:val="none" w:sz="0" w:space="0" w:color="auto"/>
                <w:left w:val="none" w:sz="0" w:space="0" w:color="auto"/>
                <w:bottom w:val="none" w:sz="0" w:space="0" w:color="auto"/>
                <w:right w:val="none" w:sz="0" w:space="0" w:color="auto"/>
              </w:divBdr>
              <w:divsChild>
                <w:div w:id="93088493">
                  <w:marLeft w:val="0"/>
                  <w:marRight w:val="0"/>
                  <w:marTop w:val="0"/>
                  <w:marBottom w:val="0"/>
                  <w:divBdr>
                    <w:top w:val="none" w:sz="0" w:space="0" w:color="auto"/>
                    <w:left w:val="none" w:sz="0" w:space="0" w:color="auto"/>
                    <w:bottom w:val="none" w:sz="0" w:space="0" w:color="auto"/>
                    <w:right w:val="none" w:sz="0" w:space="0" w:color="auto"/>
                  </w:divBdr>
                  <w:divsChild>
                    <w:div w:id="17772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840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purl.org/dc/terms/"/>
    <ds:schemaRef ds:uri="http://schemas.openxmlformats.org/package/2006/metadata/core-properties"/>
    <ds:schemaRef ds:uri="http://schemas.microsoft.com/office/2006/documentManagement/types"/>
    <ds:schemaRef ds:uri="ee216d15-0d94-4154-823d-f705f9e225b9"/>
    <ds:schemaRef ds:uri="http://purl.org/dc/elements/1.1/"/>
    <ds:schemaRef ds:uri="http://schemas.microsoft.com/office/2006/metadata/properties"/>
    <ds:schemaRef ds:uri="http://schemas.microsoft.com/office/infopath/2007/PartnerControls"/>
    <ds:schemaRef ds:uri="aa83e3e4-888c-4ce0-bc3e-c79df2587106"/>
    <ds:schemaRef ds:uri="http://www.w3.org/XML/1998/namespace"/>
    <ds:schemaRef ds:uri="http://purl.org/dc/dcmitype/"/>
  </ds:schemaRefs>
</ds:datastoreItem>
</file>

<file path=customXml/itemProps4.xml><?xml version="1.0" encoding="utf-8"?>
<ds:datastoreItem xmlns:ds="http://schemas.openxmlformats.org/officeDocument/2006/customXml" ds:itemID="{05C56D82-73C1-4308-A6CA-401E20EF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Gareth Murphy</cp:lastModifiedBy>
  <cp:revision>3</cp:revision>
  <cp:lastPrinted>2019-08-27T05:42:00Z</cp:lastPrinted>
  <dcterms:created xsi:type="dcterms:W3CDTF">2024-02-26T07:55:00Z</dcterms:created>
  <dcterms:modified xsi:type="dcterms:W3CDTF">2024-02-28T03:10:00Z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iManageFooter">
    <vt:lpwstr>14326883.2.GMURPHY.</vt:lpwstr>
  </property>
</Properties>
</file>