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w:t>
      </w:r>
      <w:proofErr w:type="gramStart"/>
      <w:r w:rsidR="00800B76" w:rsidRPr="008E3C96">
        <w:rPr>
          <w:rFonts w:ascii="Avenir Next" w:hAnsi="Avenir Next" w:cs="Arial"/>
          <w:sz w:val="22"/>
          <w:szCs w:val="22"/>
          <w:lang w:val="en-GB"/>
        </w:rPr>
        <w:t>a</w:t>
      </w:r>
      <w:proofErr w:type="gramEnd"/>
      <w:r w:rsidR="00800B76" w:rsidRPr="008E3C96">
        <w:rPr>
          <w:rFonts w:ascii="Avenir Next" w:hAnsi="Avenir Next" w:cs="Arial"/>
          <w:sz w:val="22"/>
          <w:szCs w:val="22"/>
          <w:lang w:val="en-GB"/>
        </w:rPr>
        <w:t xml:space="preserve">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w:t>
      </w:r>
      <w:proofErr w:type="gramStart"/>
      <w:r w:rsidRPr="008E3C96">
        <w:rPr>
          <w:rFonts w:ascii="Avenir Next" w:hAnsi="Avenir Next" w:cs="Arial"/>
          <w:sz w:val="22"/>
          <w:szCs w:val="22"/>
          <w:lang w:val="en-GB"/>
        </w:rPr>
        <w:t>again</w:t>
      </w:r>
      <w:proofErr w:type="gramEnd"/>
      <w:r w:rsidRPr="008E3C96">
        <w:rPr>
          <w:rFonts w:ascii="Avenir Next" w:hAnsi="Avenir Next" w:cs="Arial"/>
          <w:sz w:val="22"/>
          <w:szCs w:val="22"/>
          <w:lang w:val="en-GB"/>
        </w:rPr>
        <w:t xml:space="preserve">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w:t>
      </w:r>
      <w:proofErr w:type="gramStart"/>
      <w:r w:rsidRPr="008E3C96">
        <w:rPr>
          <w:rFonts w:ascii="Avenir Next" w:hAnsi="Avenir Next" w:cs="Arial"/>
          <w:sz w:val="22"/>
          <w:szCs w:val="22"/>
          <w:lang w:val="en-GB"/>
        </w:rPr>
        <w:t>are</w:t>
      </w:r>
      <w:proofErr w:type="gramEnd"/>
      <w:r w:rsidRPr="008E3C9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 xml:space="preserve">mark your selection on the answer </w:t>
      </w:r>
      <w:r w:rsidRPr="008E3C96">
        <w:rPr>
          <w:rFonts w:ascii="Avenir Next" w:hAnsi="Avenir Next" w:cs="Arial"/>
          <w:sz w:val="22"/>
          <w:szCs w:val="22"/>
          <w:highlight w:val="yellow"/>
          <w:lang w:val="en-GB"/>
        </w:rPr>
        <w:lastRenderedPageBreak/>
        <w:t>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CD5CF4" w:rsidRDefault="00F746D8" w:rsidP="00F746D8">
      <w:pPr>
        <w:pStyle w:val="ListParagraph"/>
        <w:numPr>
          <w:ilvl w:val="0"/>
          <w:numId w:val="26"/>
        </w:numPr>
        <w:ind w:left="426"/>
        <w:jc w:val="both"/>
        <w:rPr>
          <w:rFonts w:ascii="Avenir Next" w:hAnsi="Avenir Next" w:cs="Arial"/>
          <w:sz w:val="22"/>
          <w:szCs w:val="22"/>
          <w:highlight w:val="yellow"/>
          <w:lang w:val="en-GB"/>
        </w:rPr>
      </w:pPr>
      <w:r w:rsidRPr="00CD5CF4">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CD5CF4"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CD5CF4">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lastRenderedPageBreak/>
        <w:t xml:space="preserve">The fundamental choices and underlying policies of the EIR 2000 lacked support from the major stakeholders (businesses, public authorities, insolvency practitioners, </w:t>
      </w:r>
      <w:proofErr w:type="gramStart"/>
      <w:r w:rsidRPr="00AF277F">
        <w:rPr>
          <w:rFonts w:ascii="Avenir Next" w:hAnsi="Avenir Next" w:cs="Arial"/>
          <w:iCs/>
          <w:sz w:val="22"/>
          <w:szCs w:val="22"/>
          <w:lang w:val="en-GB"/>
        </w:rPr>
        <w:t>etc</w:t>
      </w:r>
      <w:r>
        <w:rPr>
          <w:rFonts w:ascii="Avenir Next" w:hAnsi="Avenir Next" w:cs="Arial"/>
          <w:iCs/>
          <w:sz w:val="22"/>
          <w:szCs w:val="22"/>
          <w:lang w:val="en-GB"/>
        </w:rPr>
        <w:t>etera</w:t>
      </w:r>
      <w:proofErr w:type="gramEnd"/>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CD5CF4" w:rsidRDefault="00F746D8" w:rsidP="00F746D8">
      <w:pPr>
        <w:pStyle w:val="ListParagraph"/>
        <w:numPr>
          <w:ilvl w:val="0"/>
          <w:numId w:val="27"/>
        </w:numPr>
        <w:ind w:left="426"/>
        <w:jc w:val="both"/>
        <w:rPr>
          <w:rFonts w:ascii="Avenir Next" w:hAnsi="Avenir Next"/>
          <w:sz w:val="22"/>
          <w:highlight w:val="yellow"/>
          <w:lang w:val="en-GB"/>
        </w:rPr>
      </w:pPr>
      <w:r w:rsidRPr="00CD5CF4">
        <w:rPr>
          <w:rFonts w:ascii="Avenir Next" w:hAnsi="Avenir Next"/>
          <w:sz w:val="22"/>
          <w:highlight w:val="yellow"/>
          <w:lang w:val="en-GB"/>
        </w:rPr>
        <w:t xml:space="preserve">The EIR 2000 </w:t>
      </w:r>
      <w:r w:rsidRPr="00CD5CF4">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CD5CF4">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CD5CF4" w:rsidRDefault="00F746D8" w:rsidP="00F746D8">
      <w:pPr>
        <w:pStyle w:val="ListParagraph"/>
        <w:numPr>
          <w:ilvl w:val="0"/>
          <w:numId w:val="5"/>
        </w:numPr>
        <w:ind w:left="426"/>
        <w:jc w:val="both"/>
        <w:rPr>
          <w:rFonts w:ascii="Avenir Next" w:hAnsi="Avenir Next" w:cs="Arial"/>
          <w:sz w:val="22"/>
          <w:szCs w:val="22"/>
          <w:highlight w:val="yellow"/>
          <w:lang w:val="en-GB"/>
        </w:rPr>
      </w:pPr>
      <w:r w:rsidRPr="00CD5CF4">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80300D" w:rsidRDefault="00F746D8" w:rsidP="00F746D8">
      <w:pPr>
        <w:pStyle w:val="ListParagraph"/>
        <w:numPr>
          <w:ilvl w:val="0"/>
          <w:numId w:val="28"/>
        </w:numPr>
        <w:ind w:left="426"/>
        <w:jc w:val="both"/>
        <w:rPr>
          <w:rFonts w:ascii="Avenir Next" w:hAnsi="Avenir Next" w:cs="Arial"/>
          <w:sz w:val="22"/>
          <w:szCs w:val="22"/>
          <w:highlight w:val="yellow"/>
          <w:lang w:val="en-GB"/>
        </w:rPr>
      </w:pPr>
      <w:r w:rsidRPr="0080300D">
        <w:rPr>
          <w:rFonts w:ascii="Avenir Next" w:hAnsi="Avenir Next" w:cs="Arial"/>
          <w:sz w:val="22"/>
          <w:szCs w:val="22"/>
          <w:highlight w:val="yellow"/>
          <w:lang w:val="en-GB"/>
        </w:rPr>
        <w:t>Article 3 states that the courts of the Member State within the territory of which the debtor has its centre of main</w:t>
      </w:r>
      <w:r w:rsidR="003E1D56" w:rsidRPr="0080300D">
        <w:rPr>
          <w:rFonts w:ascii="Avenir Next" w:hAnsi="Avenir Next" w:cs="Arial"/>
          <w:sz w:val="22"/>
          <w:szCs w:val="22"/>
          <w:highlight w:val="yellow"/>
          <w:lang w:val="en-GB"/>
        </w:rPr>
        <w:t xml:space="preserve"> interest</w:t>
      </w:r>
      <w:r w:rsidRPr="0080300D">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80300D">
        <w:rPr>
          <w:rFonts w:ascii="Avenir Next" w:hAnsi="Avenir Next" w:cs="Arial"/>
          <w:sz w:val="22"/>
          <w:szCs w:val="22"/>
          <w:highlight w:val="yellow"/>
          <w:lang w:val="en-GB"/>
        </w:rPr>
        <w:lastRenderedPageBreak/>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80300D" w:rsidRDefault="00F746D8" w:rsidP="00F746D8">
      <w:pPr>
        <w:pStyle w:val="ListParagraph"/>
        <w:numPr>
          <w:ilvl w:val="0"/>
          <w:numId w:val="31"/>
        </w:numPr>
        <w:ind w:left="426"/>
        <w:jc w:val="both"/>
        <w:rPr>
          <w:rFonts w:ascii="Avenir Next" w:hAnsi="Avenir Next" w:cs="Arial"/>
          <w:sz w:val="22"/>
          <w:szCs w:val="22"/>
          <w:highlight w:val="yellow"/>
          <w:lang w:val="en-GB"/>
        </w:rPr>
      </w:pPr>
      <w:r w:rsidRPr="0080300D">
        <w:rPr>
          <w:rFonts w:ascii="Avenir Next" w:hAnsi="Avenir Next" w:cs="Arial"/>
          <w:sz w:val="22"/>
          <w:szCs w:val="22"/>
          <w:highlight w:val="yellow"/>
          <w:lang w:val="en-GB"/>
        </w:rPr>
        <w:t>Article 31 EIR Recast (entitled “</w:t>
      </w:r>
      <w:r w:rsidRPr="0080300D">
        <w:rPr>
          <w:rFonts w:ascii="Avenir Next" w:hAnsi="Avenir Next" w:cs="Arial"/>
          <w:bCs/>
          <w:sz w:val="22"/>
          <w:szCs w:val="22"/>
          <w:highlight w:val="yellow"/>
          <w:lang w:val="en-GB"/>
        </w:rPr>
        <w:t>Honouring of an obligation to a debtor”</w:t>
      </w:r>
      <w:r w:rsidRPr="0080300D">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F746D8">
      <w:pPr>
        <w:pStyle w:val="ListParagraph"/>
        <w:numPr>
          <w:ilvl w:val="0"/>
          <w:numId w:val="8"/>
        </w:numPr>
        <w:ind w:left="426"/>
        <w:jc w:val="both"/>
        <w:rPr>
          <w:rFonts w:ascii="Avenir Next" w:hAnsi="Avenir Next" w:cs="Arial"/>
          <w:sz w:val="22"/>
          <w:szCs w:val="22"/>
          <w:lang w:val="en-GB"/>
        </w:rPr>
      </w:pPr>
      <w:r w:rsidRPr="00FD66F9">
        <w:rPr>
          <w:rFonts w:ascii="Avenir Next" w:hAnsi="Avenir Next"/>
          <w:sz w:val="22"/>
          <w:highlight w:val="yellow"/>
          <w:lang w:val="en-GB"/>
        </w:rPr>
        <w:t xml:space="preserve">The </w:t>
      </w:r>
      <w:r w:rsidRPr="00FD66F9">
        <w:rPr>
          <w:rFonts w:ascii="Avenir Next" w:hAnsi="Avenir Next" w:cs="Arial"/>
          <w:sz w:val="22"/>
          <w:szCs w:val="22"/>
          <w:highlight w:val="yellow"/>
          <w:lang w:val="en-GB"/>
        </w:rPr>
        <w:t>concept is too vague; it may result in higher capital costs; it may lead to manipulation; and it is difficult to assess by creditors</w:t>
      </w:r>
      <w:r w:rsidRPr="00AD35E0">
        <w:rPr>
          <w:rFonts w:ascii="Avenir Next" w:hAnsi="Avenir Next" w:cs="Arial"/>
          <w:sz w:val="22"/>
          <w:szCs w:val="22"/>
          <w:lang w:val="en-GB"/>
        </w:rPr>
        <w:t xml:space="preserve">.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FD66F9" w:rsidRDefault="00F746D8" w:rsidP="00F746D8">
      <w:pPr>
        <w:pStyle w:val="ListParagraph"/>
        <w:numPr>
          <w:ilvl w:val="0"/>
          <w:numId w:val="32"/>
        </w:numPr>
        <w:ind w:left="426"/>
        <w:jc w:val="both"/>
        <w:rPr>
          <w:rFonts w:ascii="Avenir Next" w:hAnsi="Avenir Next" w:cs="Arial"/>
          <w:sz w:val="22"/>
          <w:szCs w:val="22"/>
          <w:highlight w:val="yellow"/>
          <w:lang w:val="en-GB"/>
        </w:rPr>
      </w:pPr>
      <w:r w:rsidRPr="00FD66F9">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proofErr w:type="spellStart"/>
      <w:r>
        <w:rPr>
          <w:rFonts w:ascii="Avenir Next" w:hAnsi="Avenir Next" w:cs="Arial"/>
          <w:sz w:val="22"/>
          <w:szCs w:val="22"/>
          <w:lang w:val="en-GB"/>
        </w:rPr>
        <w:t>Carala</w:t>
      </w:r>
      <w:proofErr w:type="spellEnd"/>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w:t>
      </w:r>
      <w:proofErr w:type="spellStart"/>
      <w:r>
        <w:rPr>
          <w:rFonts w:ascii="Avenir Next" w:hAnsi="Avenir Next" w:cs="Arial"/>
          <w:sz w:val="22"/>
          <w:szCs w:val="22"/>
          <w:lang w:val="en-GB"/>
        </w:rPr>
        <w:t>Carala’s</w:t>
      </w:r>
      <w:proofErr w:type="spellEnd"/>
      <w:r>
        <w:rPr>
          <w:rFonts w:ascii="Avenir Next" w:hAnsi="Avenir Next" w:cs="Arial"/>
          <w:sz w:val="22"/>
          <w:szCs w:val="22"/>
          <w:lang w:val="en-GB"/>
        </w:rPr>
        <w:t xml:space="preserve">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FD66F9" w:rsidRDefault="00F746D8" w:rsidP="00F746D8">
      <w:pPr>
        <w:pStyle w:val="ListParagraph"/>
        <w:numPr>
          <w:ilvl w:val="0"/>
          <w:numId w:val="9"/>
        </w:numPr>
        <w:ind w:left="426"/>
        <w:jc w:val="both"/>
        <w:rPr>
          <w:rFonts w:ascii="Avenir Next" w:hAnsi="Avenir Next" w:cs="Arial"/>
          <w:sz w:val="22"/>
          <w:szCs w:val="22"/>
          <w:highlight w:val="yellow"/>
          <w:lang w:val="en-GB"/>
        </w:rPr>
      </w:pPr>
      <w:r w:rsidRPr="00FD66F9">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proofErr w:type="spellStart"/>
      <w:r w:rsidR="009651D2">
        <w:rPr>
          <w:rFonts w:ascii="Avenir Next" w:hAnsi="Avenir Next" w:cs="Arial"/>
          <w:i/>
          <w:iCs/>
          <w:sz w:val="22"/>
          <w:szCs w:val="22"/>
          <w:lang w:val="en-GB"/>
        </w:rPr>
        <w:t>lex</w:t>
      </w:r>
      <w:proofErr w:type="spellEnd"/>
      <w:r w:rsidR="009651D2">
        <w:rPr>
          <w:rFonts w:ascii="Avenir Next" w:hAnsi="Avenir Next" w:cs="Arial"/>
          <w:i/>
          <w:iCs/>
          <w:sz w:val="22"/>
          <w:szCs w:val="22"/>
          <w:lang w:val="en-GB"/>
        </w:rPr>
        <w:t xml:space="preserve"> </w:t>
      </w:r>
      <w:proofErr w:type="spellStart"/>
      <w:r w:rsidR="009651D2">
        <w:rPr>
          <w:rFonts w:ascii="Avenir Next" w:hAnsi="Avenir Next" w:cs="Arial"/>
          <w:i/>
          <w:iCs/>
          <w:sz w:val="22"/>
          <w:szCs w:val="22"/>
          <w:lang w:val="en-GB"/>
        </w:rPr>
        <w:t>concursus</w:t>
      </w:r>
      <w:proofErr w:type="spellEnd"/>
      <w:r w:rsidR="009651D2">
        <w:rPr>
          <w:rFonts w:ascii="Avenir Next" w:hAnsi="Avenir Next" w:cs="Arial"/>
          <w:i/>
          <w:iCs/>
          <w:sz w:val="22"/>
          <w:szCs w:val="22"/>
          <w:lang w:val="en-GB"/>
        </w:rPr>
        <w:t xml:space="preserve">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22C610C9" w14:textId="1E307A7D" w:rsidR="00DE03AF" w:rsidRPr="00C6075A" w:rsidRDefault="00DE0859" w:rsidP="002A37BB">
      <w:pPr>
        <w:jc w:val="both"/>
        <w:rPr>
          <w:rFonts w:ascii="Avenir Next" w:hAnsi="Avenir Next" w:cs="Arial"/>
          <w:sz w:val="22"/>
          <w:szCs w:val="22"/>
          <w:highlight w:val="yellow"/>
          <w:lang w:val="en-GB"/>
        </w:rPr>
      </w:pPr>
      <w:r w:rsidRPr="00C6075A">
        <w:rPr>
          <w:rFonts w:ascii="Avenir Next" w:hAnsi="Avenir Next" w:cs="Arial"/>
          <w:sz w:val="22"/>
          <w:szCs w:val="22"/>
          <w:highlight w:val="yellow"/>
          <w:lang w:val="en-GB"/>
        </w:rPr>
        <w:t>Statement 1: The concept of restructuring</w:t>
      </w:r>
      <w:r w:rsidR="00C6075A" w:rsidRPr="00C6075A">
        <w:rPr>
          <w:rFonts w:ascii="Avenir Next" w:hAnsi="Avenir Next" w:cs="Arial"/>
          <w:sz w:val="22"/>
          <w:szCs w:val="22"/>
          <w:highlight w:val="yellow"/>
          <w:lang w:val="en-GB"/>
        </w:rPr>
        <w:t xml:space="preserve"> and corporate rescue</w:t>
      </w:r>
      <w:r w:rsidRPr="00C6075A">
        <w:rPr>
          <w:rFonts w:ascii="Avenir Next" w:hAnsi="Avenir Next" w:cs="Arial"/>
          <w:sz w:val="22"/>
          <w:szCs w:val="22"/>
          <w:highlight w:val="yellow"/>
          <w:lang w:val="en-GB"/>
        </w:rPr>
        <w:t xml:space="preserve"> – </w:t>
      </w:r>
      <w:r w:rsidR="00C6075A" w:rsidRPr="00C6075A">
        <w:rPr>
          <w:rFonts w:ascii="Avenir Next" w:hAnsi="Avenir Next" w:cs="Arial"/>
          <w:sz w:val="22"/>
          <w:szCs w:val="22"/>
          <w:highlight w:val="yellow"/>
          <w:lang w:val="en-GB"/>
        </w:rPr>
        <w:t xml:space="preserve">Expressly referred to at preamble paragraph (10) and </w:t>
      </w:r>
      <w:r w:rsidRPr="00C6075A">
        <w:rPr>
          <w:rFonts w:ascii="Avenir Next" w:hAnsi="Avenir Next" w:cs="Arial"/>
          <w:sz w:val="22"/>
          <w:szCs w:val="22"/>
          <w:highlight w:val="yellow"/>
          <w:lang w:val="en-GB"/>
        </w:rPr>
        <w:t>Article 1</w:t>
      </w:r>
      <w:r w:rsidR="002144D0" w:rsidRPr="00C6075A">
        <w:rPr>
          <w:rFonts w:ascii="Avenir Next" w:hAnsi="Avenir Next" w:cs="Arial"/>
          <w:sz w:val="22"/>
          <w:szCs w:val="22"/>
          <w:highlight w:val="yellow"/>
          <w:lang w:val="en-GB"/>
        </w:rPr>
        <w:t xml:space="preserve"> </w:t>
      </w:r>
      <w:r w:rsidR="00C6075A" w:rsidRPr="00C6075A">
        <w:rPr>
          <w:rFonts w:ascii="Avenir Next" w:hAnsi="Avenir Next" w:cs="Arial"/>
          <w:sz w:val="22"/>
          <w:szCs w:val="22"/>
          <w:highlight w:val="yellow"/>
          <w:lang w:val="en-GB"/>
        </w:rPr>
        <w:t xml:space="preserve">of </w:t>
      </w:r>
      <w:r w:rsidR="002144D0" w:rsidRPr="00C6075A">
        <w:rPr>
          <w:rFonts w:ascii="Avenir Next" w:hAnsi="Avenir Next" w:cs="Arial"/>
          <w:sz w:val="22"/>
          <w:szCs w:val="22"/>
          <w:highlight w:val="yellow"/>
          <w:lang w:val="en-GB"/>
        </w:rPr>
        <w:t xml:space="preserve">EIR </w:t>
      </w:r>
      <w:r w:rsidR="00C6075A" w:rsidRPr="00C6075A">
        <w:rPr>
          <w:rFonts w:ascii="Avenir Next" w:hAnsi="Avenir Next" w:cs="Arial"/>
          <w:sz w:val="22"/>
          <w:szCs w:val="22"/>
          <w:highlight w:val="yellow"/>
          <w:lang w:val="en-GB"/>
        </w:rPr>
        <w:t>2015</w:t>
      </w:r>
      <w:r w:rsidR="002144D0" w:rsidRPr="00C6075A">
        <w:rPr>
          <w:rFonts w:ascii="Avenir Next" w:hAnsi="Avenir Next" w:cs="Arial"/>
          <w:sz w:val="22"/>
          <w:szCs w:val="22"/>
          <w:highlight w:val="yellow"/>
          <w:lang w:val="en-GB"/>
        </w:rPr>
        <w:t xml:space="preserve"> </w:t>
      </w:r>
      <w:r w:rsidRPr="00C6075A">
        <w:rPr>
          <w:rFonts w:ascii="Avenir Next" w:hAnsi="Avenir Next" w:cs="Arial"/>
          <w:sz w:val="22"/>
          <w:szCs w:val="22"/>
          <w:highlight w:val="yellow"/>
          <w:lang w:val="en-GB"/>
        </w:rPr>
        <w:t xml:space="preserve"> </w:t>
      </w:r>
    </w:p>
    <w:p w14:paraId="7A424CB0" w14:textId="45009368" w:rsidR="00DE0859" w:rsidRPr="00C6075A" w:rsidRDefault="00DE0859" w:rsidP="002A37BB">
      <w:pPr>
        <w:jc w:val="both"/>
        <w:rPr>
          <w:rFonts w:ascii="Avenir Next" w:hAnsi="Avenir Next" w:cs="Arial"/>
          <w:sz w:val="22"/>
          <w:szCs w:val="22"/>
          <w:highlight w:val="yellow"/>
        </w:rPr>
      </w:pPr>
    </w:p>
    <w:p w14:paraId="160356A5" w14:textId="5F80B41A" w:rsidR="00DE0859" w:rsidRDefault="00DE0859" w:rsidP="00DE0859">
      <w:pPr>
        <w:jc w:val="both"/>
        <w:rPr>
          <w:rFonts w:ascii="Avenir Next" w:hAnsi="Avenir Next" w:cs="Arial"/>
          <w:sz w:val="22"/>
          <w:szCs w:val="22"/>
          <w:lang w:val="en-GB"/>
        </w:rPr>
      </w:pPr>
      <w:r w:rsidRPr="00C6075A">
        <w:rPr>
          <w:rFonts w:ascii="Avenir Next" w:hAnsi="Avenir Next" w:cs="Arial"/>
          <w:sz w:val="22"/>
          <w:szCs w:val="22"/>
          <w:highlight w:val="yellow"/>
          <w:lang w:val="en-GB"/>
        </w:rPr>
        <w:t xml:space="preserve">Statement 2: The </w:t>
      </w:r>
      <w:r w:rsidR="002144D0" w:rsidRPr="00C6075A">
        <w:rPr>
          <w:rFonts w:ascii="Avenir Next" w:hAnsi="Avenir Next" w:cs="Arial"/>
          <w:sz w:val="22"/>
          <w:szCs w:val="22"/>
          <w:highlight w:val="yellow"/>
          <w:lang w:val="en-GB"/>
        </w:rPr>
        <w:t xml:space="preserve">exception to the rule that </w:t>
      </w:r>
      <w:proofErr w:type="spellStart"/>
      <w:r w:rsidR="002144D0" w:rsidRPr="00C6075A">
        <w:rPr>
          <w:rFonts w:ascii="Avenir Next" w:hAnsi="Avenir Next" w:cs="Arial"/>
          <w:i/>
          <w:sz w:val="22"/>
          <w:szCs w:val="22"/>
          <w:highlight w:val="yellow"/>
          <w:lang w:val="en-GB"/>
        </w:rPr>
        <w:t>lex</w:t>
      </w:r>
      <w:proofErr w:type="spellEnd"/>
      <w:r w:rsidR="002144D0" w:rsidRPr="00C6075A">
        <w:rPr>
          <w:rFonts w:ascii="Avenir Next" w:hAnsi="Avenir Next" w:cs="Arial"/>
          <w:i/>
          <w:sz w:val="22"/>
          <w:szCs w:val="22"/>
          <w:highlight w:val="yellow"/>
          <w:lang w:val="en-GB"/>
        </w:rPr>
        <w:t xml:space="preserve"> </w:t>
      </w:r>
      <w:proofErr w:type="spellStart"/>
      <w:r w:rsidR="002144D0" w:rsidRPr="00C6075A">
        <w:rPr>
          <w:rFonts w:ascii="Avenir Next" w:hAnsi="Avenir Next" w:cs="Arial"/>
          <w:i/>
          <w:sz w:val="22"/>
          <w:szCs w:val="22"/>
          <w:highlight w:val="yellow"/>
          <w:lang w:val="en-GB"/>
        </w:rPr>
        <w:t>concursus</w:t>
      </w:r>
      <w:proofErr w:type="spellEnd"/>
      <w:r w:rsidR="002144D0" w:rsidRPr="00C6075A">
        <w:rPr>
          <w:rFonts w:ascii="Avenir Next" w:hAnsi="Avenir Next" w:cs="Arial"/>
          <w:sz w:val="22"/>
          <w:szCs w:val="22"/>
          <w:highlight w:val="yellow"/>
          <w:lang w:val="en-GB"/>
        </w:rPr>
        <w:t xml:space="preserve"> determines the effects of insolvency proceedings on proceedings brought by individual creditors</w:t>
      </w:r>
      <w:r w:rsidR="00896A5A" w:rsidRPr="00C6075A">
        <w:rPr>
          <w:rFonts w:ascii="Avenir Next" w:hAnsi="Avenir Next" w:cs="Arial"/>
          <w:sz w:val="22"/>
          <w:szCs w:val="22"/>
          <w:highlight w:val="yellow"/>
          <w:lang w:val="en-GB"/>
        </w:rPr>
        <w:t xml:space="preserve">. </w:t>
      </w:r>
      <w:r w:rsidR="00C6075A" w:rsidRPr="00C6075A">
        <w:rPr>
          <w:rFonts w:ascii="Avenir Next" w:hAnsi="Avenir Next" w:cs="Arial"/>
          <w:sz w:val="22"/>
          <w:szCs w:val="22"/>
          <w:highlight w:val="yellow"/>
          <w:lang w:val="en-GB"/>
        </w:rPr>
        <w:t xml:space="preserve">This is referred to at </w:t>
      </w:r>
      <w:r w:rsidR="00C6075A">
        <w:rPr>
          <w:rFonts w:ascii="Avenir Next" w:hAnsi="Avenir Next" w:cs="Arial"/>
          <w:sz w:val="22"/>
          <w:szCs w:val="22"/>
          <w:highlight w:val="yellow"/>
          <w:lang w:val="en-GB"/>
        </w:rPr>
        <w:lastRenderedPageBreak/>
        <w:t xml:space="preserve">paragraph (73) of the Preamble to </w:t>
      </w:r>
      <w:proofErr w:type="spellStart"/>
      <w:r w:rsidR="00C6075A">
        <w:rPr>
          <w:rFonts w:ascii="Avenir Next" w:hAnsi="Avenir Next" w:cs="Arial"/>
          <w:sz w:val="22"/>
          <w:szCs w:val="22"/>
          <w:highlight w:val="yellow"/>
          <w:lang w:val="en-GB"/>
        </w:rPr>
        <w:t>and</w:t>
      </w:r>
      <w:proofErr w:type="spellEnd"/>
      <w:r w:rsidR="00C6075A">
        <w:rPr>
          <w:rFonts w:ascii="Avenir Next" w:hAnsi="Avenir Next" w:cs="Arial"/>
          <w:sz w:val="22"/>
          <w:szCs w:val="22"/>
          <w:highlight w:val="yellow"/>
          <w:lang w:val="en-GB"/>
        </w:rPr>
        <w:t xml:space="preserve"> Article 18 of the EIR 2015 which</w:t>
      </w:r>
      <w:r w:rsidR="002144D0" w:rsidRPr="00896A5A">
        <w:rPr>
          <w:rFonts w:ascii="Avenir Next" w:hAnsi="Avenir Next" w:cs="Arial"/>
          <w:sz w:val="22"/>
          <w:szCs w:val="22"/>
          <w:highlight w:val="yellow"/>
          <w:lang w:val="en-GB"/>
        </w:rPr>
        <w:t xml:space="preserve"> </w:t>
      </w:r>
      <w:r w:rsidR="00896A5A" w:rsidRPr="00896A5A">
        <w:rPr>
          <w:rFonts w:ascii="Avenir Next" w:hAnsi="Avenir Next" w:cs="Arial"/>
          <w:sz w:val="22"/>
          <w:szCs w:val="22"/>
          <w:highlight w:val="yellow"/>
          <w:lang w:val="en-GB"/>
        </w:rPr>
        <w:t>subjects the effects of insolvency to the law of the Member State in which the lawsuit is pending (</w:t>
      </w:r>
      <w:proofErr w:type="spellStart"/>
      <w:r w:rsidR="00896A5A" w:rsidRPr="00896A5A">
        <w:rPr>
          <w:rFonts w:ascii="Avenir Next" w:hAnsi="Avenir Next" w:cs="Arial"/>
          <w:i/>
          <w:sz w:val="22"/>
          <w:szCs w:val="22"/>
          <w:highlight w:val="yellow"/>
          <w:lang w:val="en-GB"/>
        </w:rPr>
        <w:t>lex</w:t>
      </w:r>
      <w:proofErr w:type="spellEnd"/>
      <w:r w:rsidR="00896A5A" w:rsidRPr="00896A5A">
        <w:rPr>
          <w:rFonts w:ascii="Avenir Next" w:hAnsi="Avenir Next" w:cs="Arial"/>
          <w:i/>
          <w:sz w:val="22"/>
          <w:szCs w:val="22"/>
          <w:highlight w:val="yellow"/>
          <w:lang w:val="en-GB"/>
        </w:rPr>
        <w:t xml:space="preserve"> </w:t>
      </w:r>
      <w:proofErr w:type="spellStart"/>
      <w:r w:rsidR="00896A5A" w:rsidRPr="00896A5A">
        <w:rPr>
          <w:rFonts w:ascii="Avenir Next" w:hAnsi="Avenir Next" w:cs="Arial"/>
          <w:i/>
          <w:sz w:val="22"/>
          <w:szCs w:val="22"/>
          <w:highlight w:val="yellow"/>
          <w:lang w:val="en-GB"/>
        </w:rPr>
        <w:t>fori</w:t>
      </w:r>
      <w:proofErr w:type="spellEnd"/>
      <w:r w:rsidR="00896A5A" w:rsidRPr="00896A5A">
        <w:rPr>
          <w:rFonts w:ascii="Avenir Next" w:hAnsi="Avenir Next" w:cs="Arial"/>
          <w:i/>
          <w:sz w:val="22"/>
          <w:szCs w:val="22"/>
          <w:highlight w:val="yellow"/>
          <w:lang w:val="en-GB"/>
        </w:rPr>
        <w:t xml:space="preserve"> </w:t>
      </w:r>
      <w:proofErr w:type="spellStart"/>
      <w:r w:rsidR="00896A5A" w:rsidRPr="00896A5A">
        <w:rPr>
          <w:rFonts w:ascii="Avenir Next" w:hAnsi="Avenir Next" w:cs="Arial"/>
          <w:i/>
          <w:sz w:val="22"/>
          <w:szCs w:val="22"/>
          <w:highlight w:val="yellow"/>
          <w:lang w:val="en-GB"/>
        </w:rPr>
        <w:t>processus</w:t>
      </w:r>
      <w:proofErr w:type="spellEnd"/>
      <w:r w:rsidR="00896A5A" w:rsidRPr="00896A5A">
        <w:rPr>
          <w:rFonts w:ascii="Avenir Next" w:hAnsi="Avenir Next" w:cs="Arial"/>
          <w:sz w:val="22"/>
          <w:szCs w:val="22"/>
          <w:highlight w:val="yellow"/>
          <w:lang w:val="en-GB"/>
        </w:rPr>
        <w:t>) or in which the arbitral tribunal is seated (</w:t>
      </w:r>
      <w:proofErr w:type="spellStart"/>
      <w:r w:rsidR="00896A5A" w:rsidRPr="00896A5A">
        <w:rPr>
          <w:rFonts w:ascii="Avenir Next" w:hAnsi="Avenir Next" w:cs="Arial"/>
          <w:i/>
          <w:sz w:val="22"/>
          <w:szCs w:val="22"/>
          <w:highlight w:val="yellow"/>
          <w:lang w:val="en-GB"/>
        </w:rPr>
        <w:t>lex</w:t>
      </w:r>
      <w:proofErr w:type="spellEnd"/>
      <w:r w:rsidR="00896A5A" w:rsidRPr="00896A5A">
        <w:rPr>
          <w:rFonts w:ascii="Avenir Next" w:hAnsi="Avenir Next" w:cs="Arial"/>
          <w:i/>
          <w:sz w:val="22"/>
          <w:szCs w:val="22"/>
          <w:highlight w:val="yellow"/>
          <w:lang w:val="en-GB"/>
        </w:rPr>
        <w:t xml:space="preserve"> loci </w:t>
      </w:r>
      <w:proofErr w:type="spellStart"/>
      <w:r w:rsidR="00896A5A" w:rsidRPr="00896A5A">
        <w:rPr>
          <w:rFonts w:ascii="Avenir Next" w:hAnsi="Avenir Next" w:cs="Arial"/>
          <w:i/>
          <w:sz w:val="22"/>
          <w:szCs w:val="22"/>
          <w:highlight w:val="yellow"/>
          <w:lang w:val="en-GB"/>
        </w:rPr>
        <w:t>arbitri</w:t>
      </w:r>
      <w:proofErr w:type="spellEnd"/>
      <w:r w:rsidR="00896A5A" w:rsidRPr="00896A5A">
        <w:rPr>
          <w:rFonts w:ascii="Avenir Next" w:hAnsi="Avenir Next" w:cs="Arial"/>
          <w:sz w:val="22"/>
          <w:szCs w:val="22"/>
          <w:highlight w:val="yellow"/>
          <w:lang w:val="en-GB"/>
        </w:rPr>
        <w:t>).</w:t>
      </w:r>
      <w:r w:rsidR="00896A5A">
        <w:rPr>
          <w:rFonts w:ascii="Avenir Next" w:hAnsi="Avenir Next" w:cs="Arial"/>
          <w:sz w:val="22"/>
          <w:szCs w:val="22"/>
          <w:lang w:val="en-GB"/>
        </w:rPr>
        <w:t xml:space="preserve"> </w:t>
      </w:r>
    </w:p>
    <w:p w14:paraId="191FA2CE" w14:textId="0FF361C5" w:rsidR="00DE0859" w:rsidRPr="006723E9" w:rsidRDefault="00DE0859" w:rsidP="00896A5A">
      <w:pPr>
        <w:jc w:val="both"/>
        <w:rPr>
          <w:rFonts w:ascii="Avenir Next Demi Bold" w:hAnsi="Avenir Next Demi Bold" w:cs="Arial"/>
          <w:b/>
          <w:bCs/>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00538ED0"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6E115202" w14:textId="031BBFBA" w:rsidR="004A61A5" w:rsidRPr="00ED695F" w:rsidRDefault="004A61A5" w:rsidP="007E3AA9">
      <w:pPr>
        <w:jc w:val="both"/>
        <w:rPr>
          <w:rFonts w:ascii="Avenir Next" w:hAnsi="Avenir Next" w:cs="Arial"/>
          <w:sz w:val="22"/>
          <w:szCs w:val="22"/>
          <w:highlight w:val="yellow"/>
          <w:lang w:val="en-GB"/>
        </w:rPr>
      </w:pPr>
    </w:p>
    <w:p w14:paraId="33505631" w14:textId="262A25EA" w:rsidR="00C6075A" w:rsidRPr="00ED695F" w:rsidRDefault="00C6075A" w:rsidP="007E3AA9">
      <w:pPr>
        <w:pStyle w:val="ListParagraph"/>
        <w:numPr>
          <w:ilvl w:val="0"/>
          <w:numId w:val="35"/>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An </w:t>
      </w:r>
      <w:r w:rsidR="00177A1C" w:rsidRPr="00ED695F">
        <w:rPr>
          <w:rFonts w:ascii="Avenir Next" w:hAnsi="Avenir Next" w:cs="Arial"/>
          <w:sz w:val="22"/>
          <w:szCs w:val="22"/>
          <w:highlight w:val="yellow"/>
          <w:lang w:val="en-GB"/>
        </w:rPr>
        <w:t xml:space="preserve">exception to the general rule of applying the </w:t>
      </w:r>
      <w:proofErr w:type="spellStart"/>
      <w:r w:rsidR="00C206BD" w:rsidRPr="00C206BD">
        <w:rPr>
          <w:rFonts w:ascii="Avenir Next" w:hAnsi="Avenir Next" w:cs="Arial"/>
          <w:i/>
          <w:sz w:val="22"/>
          <w:szCs w:val="22"/>
          <w:highlight w:val="yellow"/>
          <w:lang w:val="en-GB"/>
        </w:rPr>
        <w:t>lex</w:t>
      </w:r>
      <w:proofErr w:type="spellEnd"/>
      <w:r w:rsidR="00C206BD" w:rsidRPr="00C206BD">
        <w:rPr>
          <w:rFonts w:ascii="Avenir Next" w:hAnsi="Avenir Next" w:cs="Arial"/>
          <w:i/>
          <w:sz w:val="22"/>
          <w:szCs w:val="22"/>
          <w:highlight w:val="yellow"/>
          <w:lang w:val="en-GB"/>
        </w:rPr>
        <w:t xml:space="preserve"> </w:t>
      </w:r>
      <w:proofErr w:type="spellStart"/>
      <w:r w:rsidR="00C206BD" w:rsidRPr="00C206BD">
        <w:rPr>
          <w:rFonts w:ascii="Avenir Next" w:hAnsi="Avenir Next" w:cs="Arial"/>
          <w:i/>
          <w:sz w:val="22"/>
          <w:szCs w:val="22"/>
          <w:highlight w:val="yellow"/>
          <w:lang w:val="en-GB"/>
        </w:rPr>
        <w:t>concursus</w:t>
      </w:r>
      <w:proofErr w:type="spellEnd"/>
      <w:r w:rsidR="00C206BD" w:rsidRPr="00ED695F">
        <w:rPr>
          <w:rFonts w:ascii="Avenir Next" w:hAnsi="Avenir Next" w:cs="Arial"/>
          <w:sz w:val="22"/>
          <w:szCs w:val="22"/>
          <w:highlight w:val="yellow"/>
          <w:lang w:val="en-GB"/>
        </w:rPr>
        <w:t xml:space="preserve"> </w:t>
      </w:r>
      <w:r w:rsidRPr="00ED695F">
        <w:rPr>
          <w:rFonts w:ascii="Avenir Next" w:hAnsi="Avenir Next" w:cs="Arial"/>
          <w:sz w:val="22"/>
          <w:szCs w:val="22"/>
          <w:highlight w:val="yellow"/>
          <w:lang w:val="en-GB"/>
        </w:rPr>
        <w:t xml:space="preserve">(which is a departure from the universal approach) </w:t>
      </w:r>
      <w:r w:rsidR="00177A1C" w:rsidRPr="00ED695F">
        <w:rPr>
          <w:rFonts w:ascii="Avenir Next" w:hAnsi="Avenir Next" w:cs="Arial"/>
          <w:sz w:val="22"/>
          <w:szCs w:val="22"/>
          <w:highlight w:val="yellow"/>
          <w:lang w:val="en-GB"/>
        </w:rPr>
        <w:t>can be found in Article 13 of the EIR Recast (entitled “Contracts of employment”), which states that the effects of insolvency proceedings on employment contracts and relationships shall be governed solely by the law of the Member State applicable to the contract of employment (</w:t>
      </w:r>
      <w:proofErr w:type="spellStart"/>
      <w:r w:rsidR="00177A1C" w:rsidRPr="00C206BD">
        <w:rPr>
          <w:rFonts w:ascii="Avenir Next" w:hAnsi="Avenir Next" w:cs="Arial"/>
          <w:i/>
          <w:sz w:val="22"/>
          <w:szCs w:val="22"/>
          <w:highlight w:val="yellow"/>
          <w:lang w:val="en-GB"/>
        </w:rPr>
        <w:t>lex</w:t>
      </w:r>
      <w:proofErr w:type="spellEnd"/>
      <w:r w:rsidR="00177A1C" w:rsidRPr="00C206BD">
        <w:rPr>
          <w:rFonts w:ascii="Avenir Next" w:hAnsi="Avenir Next" w:cs="Arial"/>
          <w:i/>
          <w:sz w:val="22"/>
          <w:szCs w:val="22"/>
          <w:highlight w:val="yellow"/>
          <w:lang w:val="en-GB"/>
        </w:rPr>
        <w:t xml:space="preserve"> </w:t>
      </w:r>
      <w:proofErr w:type="spellStart"/>
      <w:r w:rsidR="00177A1C" w:rsidRPr="00C206BD">
        <w:rPr>
          <w:rFonts w:ascii="Avenir Next" w:hAnsi="Avenir Next" w:cs="Arial"/>
          <w:i/>
          <w:sz w:val="22"/>
          <w:szCs w:val="22"/>
          <w:highlight w:val="yellow"/>
          <w:lang w:val="en-GB"/>
        </w:rPr>
        <w:t>contractus</w:t>
      </w:r>
      <w:proofErr w:type="spellEnd"/>
      <w:r w:rsidR="00177A1C" w:rsidRPr="00ED695F">
        <w:rPr>
          <w:rFonts w:ascii="Avenir Next" w:hAnsi="Avenir Next" w:cs="Arial"/>
          <w:sz w:val="22"/>
          <w:szCs w:val="22"/>
          <w:highlight w:val="yellow"/>
          <w:lang w:val="en-GB"/>
        </w:rPr>
        <w:t>).</w:t>
      </w:r>
      <w:r w:rsidRPr="00ED695F">
        <w:rPr>
          <w:rFonts w:ascii="Avenir Next" w:hAnsi="Avenir Next" w:cs="Arial"/>
          <w:sz w:val="22"/>
          <w:szCs w:val="22"/>
          <w:highlight w:val="yellow"/>
          <w:lang w:val="en-GB"/>
        </w:rPr>
        <w:t xml:space="preserve"> This is acknowledged in Recital (22) as a special rule to address the </w:t>
      </w:r>
      <w:proofErr w:type="spellStart"/>
      <w:r w:rsidRPr="00ED695F">
        <w:rPr>
          <w:rFonts w:ascii="Avenir Next" w:hAnsi="Avenir Next" w:cs="Arial"/>
          <w:sz w:val="22"/>
          <w:szCs w:val="22"/>
          <w:highlight w:val="yellow"/>
          <w:lang w:val="en-GB"/>
        </w:rPr>
        <w:t>imp</w:t>
      </w:r>
      <w:r w:rsidR="00C206BD">
        <w:rPr>
          <w:rFonts w:ascii="Avenir Next" w:hAnsi="Avenir Next" w:cs="Arial"/>
          <w:sz w:val="22"/>
          <w:szCs w:val="22"/>
          <w:highlight w:val="yellow"/>
          <w:lang w:val="en-GB"/>
        </w:rPr>
        <w:t>ract</w:t>
      </w:r>
      <w:r w:rsidRPr="00ED695F">
        <w:rPr>
          <w:rFonts w:ascii="Avenir Next" w:hAnsi="Avenir Next" w:cs="Arial"/>
          <w:sz w:val="22"/>
          <w:szCs w:val="22"/>
          <w:highlight w:val="yellow"/>
          <w:lang w:val="en-GB"/>
        </w:rPr>
        <w:t>ability</w:t>
      </w:r>
      <w:proofErr w:type="spellEnd"/>
      <w:r w:rsidRPr="00ED695F">
        <w:rPr>
          <w:rFonts w:ascii="Avenir Next" w:hAnsi="Avenir Next" w:cs="Arial"/>
          <w:sz w:val="22"/>
          <w:szCs w:val="22"/>
          <w:highlight w:val="yellow"/>
          <w:lang w:val="en-GB"/>
        </w:rPr>
        <w:t xml:space="preserve"> of introducing insolvency proceedings with universal scope throughout the Union. </w:t>
      </w:r>
    </w:p>
    <w:p w14:paraId="03A0E32E" w14:textId="77777777" w:rsidR="00C6075A" w:rsidRPr="00ED695F" w:rsidRDefault="00C6075A" w:rsidP="00C6075A">
      <w:pPr>
        <w:pStyle w:val="ListParagraph"/>
        <w:rPr>
          <w:rFonts w:ascii="Avenir Next" w:hAnsi="Avenir Next" w:cs="Arial"/>
          <w:sz w:val="22"/>
          <w:szCs w:val="22"/>
          <w:highlight w:val="yellow"/>
          <w:lang w:val="en-GB"/>
        </w:rPr>
      </w:pPr>
    </w:p>
    <w:p w14:paraId="6773C298" w14:textId="3DEE44F7" w:rsidR="00177A1C" w:rsidRPr="00ED695F" w:rsidRDefault="00C6075A" w:rsidP="007E3AA9">
      <w:pPr>
        <w:pStyle w:val="ListParagraph"/>
        <w:numPr>
          <w:ilvl w:val="0"/>
          <w:numId w:val="35"/>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As similarly recognised in Recital (22) of the EIR Recast, </w:t>
      </w:r>
      <w:r w:rsidR="00177A1C" w:rsidRPr="00ED695F">
        <w:rPr>
          <w:rFonts w:ascii="Avenir Next" w:hAnsi="Avenir Next" w:cs="Arial"/>
          <w:sz w:val="22"/>
          <w:szCs w:val="22"/>
          <w:highlight w:val="yellow"/>
          <w:lang w:val="en-GB"/>
        </w:rPr>
        <w:t xml:space="preserve">Article 8 of the EIR Recast provides an exception to the general rule of application of </w:t>
      </w:r>
      <w:proofErr w:type="spellStart"/>
      <w:r w:rsidR="00177A1C" w:rsidRPr="00C206BD">
        <w:rPr>
          <w:rFonts w:ascii="Avenir Next" w:hAnsi="Avenir Next" w:cs="Arial"/>
          <w:i/>
          <w:sz w:val="22"/>
          <w:szCs w:val="22"/>
          <w:highlight w:val="yellow"/>
          <w:lang w:val="en-GB"/>
        </w:rPr>
        <w:t>lex</w:t>
      </w:r>
      <w:proofErr w:type="spellEnd"/>
      <w:r w:rsidR="00177A1C" w:rsidRPr="00C206BD">
        <w:rPr>
          <w:rFonts w:ascii="Avenir Next" w:hAnsi="Avenir Next" w:cs="Arial"/>
          <w:i/>
          <w:sz w:val="22"/>
          <w:szCs w:val="22"/>
          <w:highlight w:val="yellow"/>
          <w:lang w:val="en-GB"/>
        </w:rPr>
        <w:t xml:space="preserve"> </w:t>
      </w:r>
      <w:proofErr w:type="spellStart"/>
      <w:r w:rsidR="00177A1C" w:rsidRPr="00C206BD">
        <w:rPr>
          <w:rFonts w:ascii="Avenir Next" w:hAnsi="Avenir Next" w:cs="Arial"/>
          <w:i/>
          <w:sz w:val="22"/>
          <w:szCs w:val="22"/>
          <w:highlight w:val="yellow"/>
          <w:lang w:val="en-GB"/>
        </w:rPr>
        <w:t>concursus</w:t>
      </w:r>
      <w:proofErr w:type="spellEnd"/>
      <w:r w:rsidRPr="00ED695F">
        <w:rPr>
          <w:rFonts w:ascii="Avenir Next" w:hAnsi="Avenir Next" w:cs="Arial"/>
          <w:sz w:val="22"/>
          <w:szCs w:val="22"/>
          <w:highlight w:val="yellow"/>
          <w:lang w:val="en-GB"/>
        </w:rPr>
        <w:t xml:space="preserve"> and is another special rule to address the </w:t>
      </w:r>
      <w:proofErr w:type="spellStart"/>
      <w:r w:rsidRPr="00ED695F">
        <w:rPr>
          <w:rFonts w:ascii="Avenir Next" w:hAnsi="Avenir Next" w:cs="Arial"/>
          <w:sz w:val="22"/>
          <w:szCs w:val="22"/>
          <w:highlight w:val="yellow"/>
          <w:lang w:val="en-GB"/>
        </w:rPr>
        <w:t>im</w:t>
      </w:r>
      <w:r w:rsidR="00C206BD">
        <w:rPr>
          <w:rFonts w:ascii="Avenir Next" w:hAnsi="Avenir Next" w:cs="Arial"/>
          <w:sz w:val="22"/>
          <w:szCs w:val="22"/>
          <w:highlight w:val="yellow"/>
          <w:lang w:val="en-GB"/>
        </w:rPr>
        <w:t>pract</w:t>
      </w:r>
      <w:r w:rsidRPr="00ED695F">
        <w:rPr>
          <w:rFonts w:ascii="Avenir Next" w:hAnsi="Avenir Next" w:cs="Arial"/>
          <w:sz w:val="22"/>
          <w:szCs w:val="22"/>
          <w:highlight w:val="yellow"/>
          <w:lang w:val="en-GB"/>
        </w:rPr>
        <w:t>ability</w:t>
      </w:r>
      <w:proofErr w:type="spellEnd"/>
      <w:r w:rsidRPr="00ED695F">
        <w:rPr>
          <w:rFonts w:ascii="Avenir Next" w:hAnsi="Avenir Next" w:cs="Arial"/>
          <w:sz w:val="22"/>
          <w:szCs w:val="22"/>
          <w:highlight w:val="yellow"/>
          <w:lang w:val="en-GB"/>
        </w:rPr>
        <w:t xml:space="preserve"> of introducing insolvency proceedings with universal scope throughout the Union</w:t>
      </w:r>
      <w:r w:rsidR="00177A1C" w:rsidRPr="00ED695F">
        <w:rPr>
          <w:rFonts w:ascii="Avenir Next" w:hAnsi="Avenir Next" w:cs="Arial"/>
          <w:sz w:val="22"/>
          <w:szCs w:val="22"/>
          <w:highlight w:val="yellow"/>
          <w:lang w:val="en-GB"/>
        </w:rPr>
        <w:t>. Under this exception, the opening of insolvency proceedings shall not affect the rights in rem of creditors or third parties in respect of tangible or intangible, movable or immovable assets, both specific assets and collections of indefinite assets as a whole which change from time to time, belonging to the debtor and which are situated within the territory of another Member State at the time of the opening of proceedings. Thus, rights in rem are entirely insulated from the effects of the opening of insolvency proceedings. The proprietor of a right in rem should therefore be able to continue to assert its right to segregation or separate settlement of the collateral security (Recital 68 of the EIR Recast). Such a right can still be affected, however, by the opening of secondary insolvency proceedings</w:t>
      </w:r>
      <w:r w:rsidRPr="00ED695F">
        <w:rPr>
          <w:rFonts w:ascii="Avenir Next" w:hAnsi="Avenir Next" w:cs="Arial"/>
          <w:sz w:val="22"/>
          <w:szCs w:val="22"/>
          <w:highlight w:val="yellow"/>
          <w:lang w:val="en-GB"/>
        </w:rPr>
        <w:t xml:space="preserve">. </w:t>
      </w:r>
    </w:p>
    <w:p w14:paraId="422418C7" w14:textId="77777777" w:rsidR="00C6075A" w:rsidRPr="00ED695F" w:rsidRDefault="00C6075A" w:rsidP="00C6075A">
      <w:pPr>
        <w:pStyle w:val="ListParagraph"/>
        <w:rPr>
          <w:rFonts w:ascii="Avenir Next" w:hAnsi="Avenir Next" w:cs="Arial"/>
          <w:sz w:val="22"/>
          <w:szCs w:val="22"/>
          <w:highlight w:val="yellow"/>
          <w:lang w:val="en-GB"/>
        </w:rPr>
      </w:pPr>
    </w:p>
    <w:p w14:paraId="08EFA7AC" w14:textId="77777777" w:rsidR="00C6075A" w:rsidRPr="00ED695F" w:rsidRDefault="00C6075A" w:rsidP="00C6075A">
      <w:pPr>
        <w:jc w:val="both"/>
        <w:rPr>
          <w:rFonts w:ascii="Avenir Next" w:hAnsi="Avenir Next" w:cs="Arial"/>
          <w:sz w:val="22"/>
          <w:szCs w:val="22"/>
          <w:highlight w:val="yellow"/>
          <w:lang w:val="en-GB"/>
        </w:rPr>
      </w:pPr>
    </w:p>
    <w:p w14:paraId="0DC8B004" w14:textId="0B64F535" w:rsidR="00C6075A" w:rsidRPr="00ED695F" w:rsidRDefault="00C6075A" w:rsidP="00C6075A">
      <w:pPr>
        <w:pStyle w:val="ListParagraph"/>
        <w:numPr>
          <w:ilvl w:val="0"/>
          <w:numId w:val="35"/>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As per</w:t>
      </w:r>
      <w:r w:rsidR="00243EEE" w:rsidRPr="00ED695F">
        <w:rPr>
          <w:rFonts w:ascii="Avenir Next" w:hAnsi="Avenir Next" w:cs="Arial"/>
          <w:sz w:val="22"/>
          <w:szCs w:val="22"/>
          <w:highlight w:val="yellow"/>
          <w:lang w:val="en-GB"/>
        </w:rPr>
        <w:t xml:space="preserve"> Article 16</w:t>
      </w:r>
      <w:r w:rsidRPr="00ED695F">
        <w:rPr>
          <w:rFonts w:ascii="Avenir Next" w:hAnsi="Avenir Next" w:cs="Arial"/>
          <w:sz w:val="22"/>
          <w:szCs w:val="22"/>
          <w:highlight w:val="yellow"/>
          <w:lang w:val="en-GB"/>
        </w:rPr>
        <w:t xml:space="preserve"> Recitals paragraphs 23,</w:t>
      </w:r>
      <w:r w:rsidR="00ED695F">
        <w:rPr>
          <w:rFonts w:ascii="Avenir Next" w:hAnsi="Avenir Next" w:cs="Arial"/>
          <w:sz w:val="22"/>
          <w:szCs w:val="22"/>
          <w:highlight w:val="yellow"/>
          <w:lang w:val="en-GB"/>
        </w:rPr>
        <w:t xml:space="preserve"> </w:t>
      </w:r>
      <w:r w:rsidRPr="00ED695F">
        <w:rPr>
          <w:rFonts w:ascii="Avenir Next" w:hAnsi="Avenir Next" w:cs="Arial"/>
          <w:sz w:val="22"/>
          <w:szCs w:val="22"/>
          <w:highlight w:val="yellow"/>
          <w:lang w:val="en-GB"/>
        </w:rPr>
        <w:t xml:space="preserve">37-52 (and others) and Chapter III of the EIR Recast, in order to protect the diversity of interests and mitigate difficulties arising from divergent national laws, the EIR Recast allows for the opening of secondary proceedings, which run in parallel to main insolvency proceedings and produce effects only on assets situated within a state of secondary proceedings (Recital 23). Mandatory rules of coordination with the main insolvency proceedings satisfy the need for unity in the EU but this is still a departure from the universal approach. </w:t>
      </w:r>
    </w:p>
    <w:p w14:paraId="6948B395" w14:textId="1E0C4551"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ED695F" w:rsidRDefault="006723E9" w:rsidP="002A37BB">
      <w:pPr>
        <w:jc w:val="both"/>
        <w:rPr>
          <w:rFonts w:ascii="Avenir Next" w:hAnsi="Avenir Next" w:cs="Arial"/>
          <w:sz w:val="22"/>
          <w:szCs w:val="22"/>
          <w:highlight w:val="yellow"/>
          <w:lang w:val="en-GB"/>
        </w:rPr>
      </w:pPr>
    </w:p>
    <w:p w14:paraId="67E24F60" w14:textId="5A3F628E" w:rsidR="000A3278" w:rsidRPr="00ED695F" w:rsidRDefault="00177A1C" w:rsidP="00ED695F">
      <w:pPr>
        <w:pStyle w:val="ListParagraph"/>
        <w:numPr>
          <w:ilvl w:val="0"/>
          <w:numId w:val="43"/>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Under Recital 9 of the EIR Recast, in respect of the national procedures contained in Annex A</w:t>
      </w:r>
      <w:r w:rsidR="00243EEE" w:rsidRPr="00ED695F">
        <w:rPr>
          <w:rFonts w:ascii="Avenir Next" w:hAnsi="Avenir Next" w:cs="Arial"/>
          <w:sz w:val="22"/>
          <w:szCs w:val="22"/>
          <w:highlight w:val="yellow"/>
          <w:lang w:val="en-GB"/>
        </w:rPr>
        <w:t xml:space="preserve"> to EIR 2015</w:t>
      </w:r>
      <w:r w:rsidRPr="00ED695F">
        <w:rPr>
          <w:rFonts w:ascii="Avenir Next" w:hAnsi="Avenir Next" w:cs="Arial"/>
          <w:sz w:val="22"/>
          <w:szCs w:val="22"/>
          <w:highlight w:val="yellow"/>
          <w:lang w:val="en-GB"/>
        </w:rPr>
        <w:t xml:space="preserve">, it is explained that the EIR </w:t>
      </w:r>
      <w:r w:rsidR="00243EEE" w:rsidRPr="00ED695F">
        <w:rPr>
          <w:rFonts w:ascii="Avenir Next" w:hAnsi="Avenir Next" w:cs="Arial"/>
          <w:sz w:val="22"/>
          <w:szCs w:val="22"/>
          <w:highlight w:val="yellow"/>
          <w:lang w:val="en-GB"/>
        </w:rPr>
        <w:t>2015</w:t>
      </w:r>
      <w:r w:rsidRPr="00ED695F">
        <w:rPr>
          <w:rFonts w:ascii="Avenir Next" w:hAnsi="Avenir Next" w:cs="Arial"/>
          <w:sz w:val="22"/>
          <w:szCs w:val="22"/>
          <w:highlight w:val="yellow"/>
          <w:lang w:val="en-GB"/>
        </w:rPr>
        <w:t xml:space="preserve"> should apply without any further examination by the courts of another Member State as to whether the </w:t>
      </w:r>
      <w:r w:rsidRPr="00ED695F">
        <w:rPr>
          <w:rFonts w:ascii="Avenir Next" w:hAnsi="Avenir Next" w:cs="Arial"/>
          <w:sz w:val="22"/>
          <w:szCs w:val="22"/>
          <w:highlight w:val="yellow"/>
          <w:lang w:val="en-GB"/>
        </w:rPr>
        <w:lastRenderedPageBreak/>
        <w:t>conditions</w:t>
      </w:r>
      <w:r w:rsidRPr="00ED695F">
        <w:rPr>
          <w:color w:val="231F20"/>
          <w:spacing w:val="-23"/>
          <w:w w:val="110"/>
          <w:highlight w:val="yellow"/>
        </w:rPr>
        <w:t xml:space="preserve"> </w:t>
      </w:r>
      <w:r w:rsidRPr="00ED695F">
        <w:rPr>
          <w:rFonts w:ascii="Avenir Next" w:hAnsi="Avenir Next" w:cs="Arial"/>
          <w:sz w:val="22"/>
          <w:szCs w:val="22"/>
          <w:highlight w:val="yellow"/>
          <w:lang w:val="en-GB"/>
        </w:rPr>
        <w:t>set out in the regulation are met</w:t>
      </w:r>
      <w:r w:rsidR="00B75156" w:rsidRPr="00ED695F">
        <w:rPr>
          <w:rFonts w:ascii="Avenir Next" w:hAnsi="Avenir Next" w:cs="Arial"/>
          <w:sz w:val="22"/>
          <w:szCs w:val="22"/>
          <w:highlight w:val="yellow"/>
          <w:lang w:val="en-GB"/>
        </w:rPr>
        <w:t>. National insolvency procedures not listed in Annex A are therefore not covered by the EIR Recast.</w:t>
      </w:r>
    </w:p>
    <w:p w14:paraId="4F645DD8" w14:textId="77777777" w:rsidR="00ED695F" w:rsidRDefault="00ED695F" w:rsidP="00ED695F">
      <w:pPr>
        <w:jc w:val="both"/>
        <w:rPr>
          <w:rFonts w:ascii="Avenir Next" w:hAnsi="Avenir Next" w:cs="Arial"/>
          <w:sz w:val="22"/>
          <w:szCs w:val="22"/>
          <w:highlight w:val="yellow"/>
          <w:lang w:val="en-GB"/>
        </w:rPr>
      </w:pPr>
    </w:p>
    <w:p w14:paraId="7FA9D097" w14:textId="00CFF630" w:rsidR="00243EEE" w:rsidRPr="00ED695F" w:rsidRDefault="00243EEE" w:rsidP="00ED695F">
      <w:pPr>
        <w:pStyle w:val="ListParagraph"/>
        <w:numPr>
          <w:ilvl w:val="0"/>
          <w:numId w:val="43"/>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Recital 22 of the EIR Recast provides that national proceedings covering only assets situated in the State of the opening of proceedings should also be allowed alongside main insolvency proceedings with universal scope. This is developed in Recital 23 whereby the EIR Recast allows for the opening of secondary proceedings, which run in parallel to main insolvency proceedings and produce effects only on assets situated within a state of secondary proceedings. </w:t>
      </w:r>
    </w:p>
    <w:p w14:paraId="3B0D80A0" w14:textId="77777777" w:rsidR="00243EEE" w:rsidRPr="00ED695F" w:rsidRDefault="00243EEE" w:rsidP="00ED695F">
      <w:pPr>
        <w:jc w:val="both"/>
        <w:rPr>
          <w:rFonts w:ascii="Avenir Next" w:hAnsi="Avenir Next" w:cs="Arial"/>
          <w:sz w:val="22"/>
          <w:szCs w:val="22"/>
          <w:highlight w:val="yellow"/>
          <w:lang w:val="en-GB"/>
        </w:rPr>
      </w:pPr>
    </w:p>
    <w:p w14:paraId="1A7BEC63" w14:textId="2B84BF97" w:rsidR="00B75156" w:rsidRPr="00ED695F" w:rsidRDefault="00EF4EED" w:rsidP="00ED695F">
      <w:pPr>
        <w:pStyle w:val="ListParagraph"/>
        <w:numPr>
          <w:ilvl w:val="0"/>
          <w:numId w:val="43"/>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Some entities are explicitly excluded from the personal scope of the EIR Recast. Thus, according to Article 1(2) of the EIR Recast, it does not apply to proceedings that concern: (a) insurance undertakings, (b) credit institutions, (c) investment firms and other firms, institutions and undertakings to the extent that they are covered by Directive 2001/24/EC, or (d) collective investment undertakings. The listed entities are subject to special arrangements and national supervisory authorities have wide-ranging powers of intervention in the event of their insolvency (Recital 19 of the EIR Recast). This is dictated by the importance of such institutions for the EU financial system as a whole and the need for special measures to minimise the negative effects of their failures, particularly acute in the wake of the global financial crisis.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ED695F" w:rsidRDefault="000A373F" w:rsidP="002A37BB">
      <w:pPr>
        <w:jc w:val="both"/>
        <w:rPr>
          <w:rFonts w:ascii="Avenir Next" w:hAnsi="Avenir Next" w:cs="Arial"/>
          <w:sz w:val="22"/>
          <w:szCs w:val="22"/>
          <w:highlight w:val="yellow"/>
          <w:lang w:val="en-GB"/>
        </w:rPr>
      </w:pPr>
    </w:p>
    <w:p w14:paraId="742EA317" w14:textId="5BF7E8DE" w:rsidR="001D3921" w:rsidRPr="00ED695F" w:rsidRDefault="001D3921" w:rsidP="001D3921">
      <w:pPr>
        <w:pStyle w:val="ListParagraph"/>
        <w:numPr>
          <w:ilvl w:val="0"/>
          <w:numId w:val="37"/>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Synthetic Secondary Proceedings: Pursuant </w:t>
      </w:r>
      <w:r w:rsidR="00EF4EED" w:rsidRPr="00ED695F">
        <w:rPr>
          <w:rFonts w:ascii="Avenir Next" w:hAnsi="Avenir Next" w:cs="Arial"/>
          <w:sz w:val="22"/>
          <w:szCs w:val="22"/>
          <w:highlight w:val="yellow"/>
          <w:lang w:val="en-GB"/>
        </w:rPr>
        <w:t>to Article 38(2) of the EIR Recast, where the insolvency practitioner in the main insolvency proceedings has given an undertaking in accordance with Article 36, the court asked to open secondary proceedings should not, at the request of the insolvency practitioner, open them if it is satisfied that the undertaking adequately protects the general interests of local creditors. If an undertaking is given in full compliance with Article 36 of the EIR Recast and if it adequately protects the general interests of local creditors, the court seized of a request to open secondary insolvency proceedings must not open such proceedings (Article 38(2) of the EIR Recast).</w:t>
      </w:r>
    </w:p>
    <w:p w14:paraId="50AD6537" w14:textId="77777777" w:rsidR="001D3921" w:rsidRPr="00ED695F" w:rsidRDefault="001D3921" w:rsidP="001D3921">
      <w:pPr>
        <w:pStyle w:val="ListParagraph"/>
        <w:jc w:val="both"/>
        <w:rPr>
          <w:rFonts w:ascii="Avenir Next" w:hAnsi="Avenir Next" w:cs="Arial"/>
          <w:sz w:val="22"/>
          <w:szCs w:val="22"/>
          <w:highlight w:val="yellow"/>
          <w:lang w:val="en-GB"/>
        </w:rPr>
      </w:pPr>
    </w:p>
    <w:p w14:paraId="1B3DEE85" w14:textId="4005D3B4" w:rsidR="00EF4EED" w:rsidRPr="00ED695F" w:rsidRDefault="001D3921" w:rsidP="002A37BB">
      <w:pPr>
        <w:pStyle w:val="ListParagraph"/>
        <w:numPr>
          <w:ilvl w:val="0"/>
          <w:numId w:val="37"/>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Temporary Stay of Secondary Insolvency Proceedings: </w:t>
      </w:r>
      <w:r w:rsidR="00B478C0" w:rsidRPr="00ED695F">
        <w:rPr>
          <w:rFonts w:ascii="Avenir Next" w:hAnsi="Avenir Next" w:cs="Arial"/>
          <w:sz w:val="22"/>
          <w:szCs w:val="22"/>
          <w:highlight w:val="yellow"/>
          <w:lang w:val="en-GB"/>
        </w:rPr>
        <w:t>the EIR Recast provides for the possibility for the court to temporarily stay the opening of secondary insolvency proceedings, when a temporary stay of individual enforcement proceedings has been granted in the main insolvency proceedings. The stay of the opening of secondary proceedings therefore preserves the efficiency of the stay granted in the main insolvency proceedings (Recital 45 of the EIR Recast).</w:t>
      </w:r>
    </w:p>
    <w:p w14:paraId="350893E4" w14:textId="4F7799D3" w:rsidR="00EF4EED" w:rsidRDefault="00EF4EED" w:rsidP="002A37BB">
      <w:pPr>
        <w:jc w:val="both"/>
        <w:rPr>
          <w:color w:val="231F20"/>
          <w:w w:val="110"/>
        </w:rPr>
      </w:pPr>
    </w:p>
    <w:p w14:paraId="170A9E71" w14:textId="12E6A304"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393C6D1D" w14:textId="0EB90AA5" w:rsidR="007B79D8" w:rsidRPr="007B79D8"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722484D9" w14:textId="77777777" w:rsidR="00C206BD" w:rsidRDefault="00745D6F" w:rsidP="00C206BD">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2C1D242C" w14:textId="77777777" w:rsidR="00C206BD" w:rsidRDefault="00C206BD" w:rsidP="00C206BD">
      <w:pPr>
        <w:jc w:val="both"/>
        <w:rPr>
          <w:rFonts w:ascii="Avenir Next" w:hAnsi="Avenir Next" w:cs="Arial"/>
          <w:sz w:val="22"/>
          <w:szCs w:val="22"/>
          <w:lang w:val="en-GB"/>
        </w:rPr>
      </w:pPr>
    </w:p>
    <w:p w14:paraId="784CC2FC" w14:textId="77777777" w:rsidR="00C206BD" w:rsidRDefault="00E55814" w:rsidP="00C206BD">
      <w:pPr>
        <w:jc w:val="both"/>
        <w:rPr>
          <w:rFonts w:ascii="Avenir Next" w:hAnsi="Avenir Next"/>
          <w:sz w:val="22"/>
          <w:szCs w:val="22"/>
          <w:highlight w:val="yellow"/>
          <w:lang w:val="en-GB"/>
        </w:rPr>
      </w:pPr>
      <w:r w:rsidRPr="00ED695F">
        <w:rPr>
          <w:rFonts w:ascii="Avenir Next" w:hAnsi="Avenir Next"/>
          <w:sz w:val="22"/>
          <w:szCs w:val="22"/>
          <w:highlight w:val="yellow"/>
          <w:lang w:val="en-GB"/>
        </w:rPr>
        <w:t xml:space="preserve">While the EIR 2000 was generally regarded functioning well in general, the European Commission recognised in the creation </w:t>
      </w:r>
      <w:proofErr w:type="gramStart"/>
      <w:r w:rsidRPr="00ED695F">
        <w:rPr>
          <w:rFonts w:ascii="Avenir Next" w:hAnsi="Avenir Next"/>
          <w:sz w:val="22"/>
          <w:szCs w:val="22"/>
          <w:highlight w:val="yellow"/>
          <w:lang w:val="en-GB"/>
        </w:rPr>
        <w:t xml:space="preserve">of </w:t>
      </w:r>
      <w:r w:rsidR="007B79D8" w:rsidRPr="00ED695F">
        <w:rPr>
          <w:rFonts w:ascii="Avenir Next" w:hAnsi="Avenir Next"/>
          <w:sz w:val="22"/>
          <w:szCs w:val="22"/>
          <w:highlight w:val="yellow"/>
          <w:lang w:val="en-GB"/>
        </w:rPr>
        <w:t xml:space="preserve"> EIR</w:t>
      </w:r>
      <w:proofErr w:type="gramEnd"/>
      <w:r w:rsidR="007B79D8" w:rsidRPr="00ED695F">
        <w:rPr>
          <w:rFonts w:ascii="Avenir Next" w:hAnsi="Avenir Next"/>
          <w:sz w:val="22"/>
          <w:szCs w:val="22"/>
          <w:highlight w:val="yellow"/>
          <w:lang w:val="en-GB"/>
        </w:rPr>
        <w:t xml:space="preserve"> 2015</w:t>
      </w:r>
      <w:r w:rsidR="00C87790" w:rsidRPr="00ED695F">
        <w:rPr>
          <w:rFonts w:ascii="Avenir Next" w:hAnsi="Avenir Next"/>
          <w:sz w:val="22"/>
          <w:szCs w:val="22"/>
          <w:highlight w:val="yellow"/>
          <w:lang w:val="en-GB"/>
        </w:rPr>
        <w:t xml:space="preserve"> that it</w:t>
      </w:r>
      <w:r w:rsidRPr="00ED695F">
        <w:rPr>
          <w:rFonts w:ascii="Avenir Next" w:hAnsi="Avenir Next"/>
          <w:sz w:val="22"/>
          <w:szCs w:val="22"/>
          <w:highlight w:val="yellow"/>
          <w:lang w:val="en-GB"/>
        </w:rPr>
        <w:t xml:space="preserve"> "would be desirable to improve the application of certain of its provisions in order to enhance the effective administration of cross-border insolvency proceedings" (Recital (1).</w:t>
      </w:r>
    </w:p>
    <w:p w14:paraId="203045BB" w14:textId="77777777" w:rsidR="00C206BD" w:rsidRDefault="00C206BD" w:rsidP="00C206BD">
      <w:pPr>
        <w:jc w:val="both"/>
        <w:rPr>
          <w:rFonts w:ascii="Avenir Next" w:hAnsi="Avenir Next"/>
          <w:sz w:val="22"/>
          <w:szCs w:val="22"/>
          <w:highlight w:val="yellow"/>
          <w:lang w:val="en-GB"/>
        </w:rPr>
      </w:pPr>
    </w:p>
    <w:p w14:paraId="3B2DAD8C" w14:textId="77777777" w:rsidR="00C206BD" w:rsidRDefault="00C87790" w:rsidP="00C206BD">
      <w:pPr>
        <w:jc w:val="both"/>
        <w:rPr>
          <w:rFonts w:ascii="Avenir Next" w:hAnsi="Avenir Next"/>
          <w:sz w:val="22"/>
          <w:szCs w:val="22"/>
          <w:highlight w:val="yellow"/>
          <w:lang w:val="en-GB"/>
        </w:rPr>
      </w:pPr>
      <w:r w:rsidRPr="00ED695F">
        <w:rPr>
          <w:rFonts w:ascii="Avenir Next" w:hAnsi="Avenir Next"/>
          <w:sz w:val="22"/>
          <w:szCs w:val="22"/>
          <w:highlight w:val="yellow"/>
          <w:lang w:val="en-GB"/>
        </w:rPr>
        <w:t xml:space="preserve">The European Commission identified that it should </w:t>
      </w:r>
      <w:r w:rsidR="00E55814" w:rsidRPr="00ED695F">
        <w:rPr>
          <w:rFonts w:ascii="Avenir Next" w:hAnsi="Avenir Next"/>
          <w:sz w:val="22"/>
          <w:szCs w:val="22"/>
          <w:highlight w:val="yellow"/>
          <w:lang w:val="en-GB"/>
        </w:rPr>
        <w:t>respond</w:t>
      </w:r>
      <w:r w:rsidR="007B79D8" w:rsidRPr="00ED695F">
        <w:rPr>
          <w:rFonts w:ascii="Avenir Next" w:hAnsi="Avenir Next"/>
          <w:sz w:val="22"/>
          <w:szCs w:val="22"/>
          <w:highlight w:val="yellow"/>
          <w:lang w:val="en-GB"/>
        </w:rPr>
        <w:t xml:space="preserve"> to the need of </w:t>
      </w:r>
      <w:r w:rsidR="00E55814" w:rsidRPr="00ED695F">
        <w:rPr>
          <w:rFonts w:ascii="Avenir Next" w:hAnsi="Avenir Next"/>
          <w:sz w:val="22"/>
          <w:szCs w:val="22"/>
          <w:highlight w:val="yellow"/>
          <w:lang w:val="en-GB"/>
        </w:rPr>
        <w:t xml:space="preserve">insolvency practitioners by: </w:t>
      </w:r>
    </w:p>
    <w:p w14:paraId="4ED9DDD5" w14:textId="77777777" w:rsidR="00C206BD" w:rsidRPr="00C206BD" w:rsidRDefault="007B79D8" w:rsidP="00C206BD">
      <w:pPr>
        <w:pStyle w:val="ListParagraph"/>
        <w:numPr>
          <w:ilvl w:val="0"/>
          <w:numId w:val="46"/>
        </w:numPr>
        <w:jc w:val="both"/>
        <w:rPr>
          <w:rFonts w:ascii="Avenir Next" w:hAnsi="Avenir Next"/>
          <w:sz w:val="22"/>
          <w:szCs w:val="22"/>
          <w:highlight w:val="yellow"/>
          <w:lang w:val="en-GB"/>
        </w:rPr>
      </w:pPr>
      <w:r w:rsidRPr="00C206BD">
        <w:rPr>
          <w:rFonts w:ascii="Avenir Next" w:hAnsi="Avenir Next"/>
          <w:sz w:val="22"/>
          <w:szCs w:val="22"/>
          <w:highlight w:val="yellow"/>
          <w:lang w:val="en-GB"/>
        </w:rPr>
        <w:t xml:space="preserve">broadening </w:t>
      </w:r>
      <w:r w:rsidR="00C87790" w:rsidRPr="00C206BD">
        <w:rPr>
          <w:rFonts w:ascii="Avenir Next" w:hAnsi="Avenir Next"/>
          <w:sz w:val="22"/>
          <w:szCs w:val="22"/>
          <w:highlight w:val="yellow"/>
          <w:lang w:val="en-GB"/>
        </w:rPr>
        <w:t xml:space="preserve">the </w:t>
      </w:r>
      <w:r w:rsidRPr="00C206BD">
        <w:rPr>
          <w:rFonts w:ascii="Avenir Next" w:hAnsi="Avenir Next"/>
          <w:sz w:val="22"/>
          <w:szCs w:val="22"/>
          <w:highlight w:val="yellow"/>
          <w:lang w:val="en-GB"/>
        </w:rPr>
        <w:t>sc</w:t>
      </w:r>
      <w:r w:rsidR="00E55814" w:rsidRPr="00C206BD">
        <w:rPr>
          <w:rFonts w:ascii="Avenir Next" w:hAnsi="Avenir Next"/>
          <w:sz w:val="22"/>
          <w:szCs w:val="22"/>
          <w:highlight w:val="yellow"/>
          <w:lang w:val="en-GB"/>
        </w:rPr>
        <w:t>ope</w:t>
      </w:r>
      <w:r w:rsidR="00C87790" w:rsidRPr="00C206BD">
        <w:rPr>
          <w:rFonts w:ascii="Avenir Next" w:hAnsi="Avenir Next"/>
          <w:sz w:val="22"/>
          <w:szCs w:val="22"/>
          <w:highlight w:val="yellow"/>
          <w:lang w:val="en-GB"/>
        </w:rPr>
        <w:t xml:space="preserve"> of EIR 2000</w:t>
      </w:r>
      <w:r w:rsidR="00E55814" w:rsidRPr="00C206BD">
        <w:rPr>
          <w:rFonts w:ascii="Avenir Next" w:hAnsi="Avenir Next"/>
          <w:sz w:val="22"/>
          <w:szCs w:val="22"/>
          <w:highlight w:val="yellow"/>
          <w:lang w:val="en-GB"/>
        </w:rPr>
        <w:t xml:space="preserve"> to include restructuring proceedings, </w:t>
      </w:r>
      <w:r w:rsidRPr="00C206BD">
        <w:rPr>
          <w:rFonts w:ascii="Avenir Next" w:hAnsi="Avenir Next"/>
          <w:sz w:val="22"/>
          <w:szCs w:val="22"/>
          <w:highlight w:val="yellow"/>
          <w:lang w:val="en-GB"/>
        </w:rPr>
        <w:t xml:space="preserve"> </w:t>
      </w:r>
    </w:p>
    <w:p w14:paraId="7D354DC2" w14:textId="77777777" w:rsidR="00C206BD" w:rsidRPr="00C206BD" w:rsidRDefault="00E55814" w:rsidP="00C206BD">
      <w:pPr>
        <w:pStyle w:val="ListParagraph"/>
        <w:numPr>
          <w:ilvl w:val="0"/>
          <w:numId w:val="46"/>
        </w:numPr>
        <w:jc w:val="both"/>
        <w:rPr>
          <w:rFonts w:ascii="Avenir Next" w:hAnsi="Avenir Next"/>
          <w:sz w:val="22"/>
          <w:szCs w:val="22"/>
          <w:highlight w:val="yellow"/>
          <w:lang w:val="en-GB"/>
        </w:rPr>
      </w:pPr>
      <w:r w:rsidRPr="00C206BD">
        <w:rPr>
          <w:rFonts w:ascii="Avenir Next" w:hAnsi="Avenir Next"/>
          <w:sz w:val="22"/>
          <w:szCs w:val="22"/>
          <w:highlight w:val="yellow"/>
          <w:lang w:val="en-GB"/>
        </w:rPr>
        <w:t xml:space="preserve">introducing </w:t>
      </w:r>
      <w:r w:rsidR="007B79D8" w:rsidRPr="00C206BD">
        <w:rPr>
          <w:rFonts w:ascii="Avenir Next" w:hAnsi="Avenir Next"/>
          <w:sz w:val="22"/>
          <w:szCs w:val="22"/>
          <w:highlight w:val="yellow"/>
          <w:lang w:val="en-GB"/>
        </w:rPr>
        <w:t>stronger rules for co-operation between insolvency practitioners and courts,</w:t>
      </w:r>
    </w:p>
    <w:p w14:paraId="798320FE" w14:textId="77777777" w:rsidR="00C206BD" w:rsidRPr="00C206BD" w:rsidRDefault="00E55814" w:rsidP="00C206BD">
      <w:pPr>
        <w:pStyle w:val="ListParagraph"/>
        <w:numPr>
          <w:ilvl w:val="0"/>
          <w:numId w:val="46"/>
        </w:numPr>
        <w:jc w:val="both"/>
        <w:rPr>
          <w:rFonts w:ascii="Avenir Next" w:hAnsi="Avenir Next"/>
          <w:sz w:val="22"/>
          <w:szCs w:val="22"/>
          <w:highlight w:val="yellow"/>
          <w:lang w:val="en-GB"/>
        </w:rPr>
      </w:pPr>
      <w:r w:rsidRPr="00C206BD">
        <w:rPr>
          <w:rFonts w:ascii="Avenir Next" w:hAnsi="Avenir Next"/>
          <w:sz w:val="22"/>
          <w:szCs w:val="22"/>
          <w:highlight w:val="yellow"/>
          <w:lang w:val="en-GB"/>
        </w:rPr>
        <w:t xml:space="preserve">considering the </w:t>
      </w:r>
      <w:r w:rsidR="007B79D8" w:rsidRPr="00C206BD">
        <w:rPr>
          <w:rFonts w:ascii="Avenir Next" w:hAnsi="Avenir Next"/>
          <w:sz w:val="22"/>
          <w:szCs w:val="22"/>
          <w:highlight w:val="yellow"/>
          <w:lang w:val="en-GB"/>
        </w:rPr>
        <w:t xml:space="preserve">possibility of proceedings with regard to members </w:t>
      </w:r>
      <w:r w:rsidRPr="00C206BD">
        <w:rPr>
          <w:rFonts w:ascii="Avenir Next" w:hAnsi="Avenir Next"/>
          <w:sz w:val="22"/>
          <w:szCs w:val="22"/>
          <w:highlight w:val="yellow"/>
          <w:lang w:val="en-GB"/>
        </w:rPr>
        <w:t>of the same group of companies</w:t>
      </w:r>
      <w:r w:rsidR="00C87790" w:rsidRPr="00C206BD">
        <w:rPr>
          <w:rFonts w:ascii="Avenir Next" w:hAnsi="Avenir Next"/>
          <w:sz w:val="22"/>
          <w:szCs w:val="22"/>
          <w:highlight w:val="yellow"/>
          <w:lang w:val="en-GB"/>
        </w:rPr>
        <w:t xml:space="preserve"> (see Recital (6) below)</w:t>
      </w:r>
      <w:r w:rsidRPr="00C206BD">
        <w:rPr>
          <w:rFonts w:ascii="Avenir Next" w:hAnsi="Avenir Next"/>
          <w:sz w:val="22"/>
          <w:szCs w:val="22"/>
          <w:highlight w:val="yellow"/>
          <w:lang w:val="en-GB"/>
        </w:rPr>
        <w:t xml:space="preserve">, </w:t>
      </w:r>
      <w:r w:rsidR="007B79D8" w:rsidRPr="00C206BD">
        <w:rPr>
          <w:rFonts w:ascii="Avenir Next" w:hAnsi="Avenir Next"/>
          <w:sz w:val="22"/>
          <w:szCs w:val="22"/>
          <w:highlight w:val="yellow"/>
          <w:lang w:val="en-GB"/>
        </w:rPr>
        <w:t xml:space="preserve"> </w:t>
      </w:r>
    </w:p>
    <w:p w14:paraId="312E2CA7" w14:textId="77777777" w:rsidR="00C206BD" w:rsidRPr="00C206BD" w:rsidRDefault="00E55814" w:rsidP="00C206BD">
      <w:pPr>
        <w:pStyle w:val="ListParagraph"/>
        <w:numPr>
          <w:ilvl w:val="0"/>
          <w:numId w:val="46"/>
        </w:numPr>
        <w:jc w:val="both"/>
        <w:rPr>
          <w:rFonts w:ascii="Avenir Next" w:hAnsi="Avenir Next"/>
          <w:sz w:val="22"/>
          <w:szCs w:val="22"/>
          <w:highlight w:val="yellow"/>
          <w:lang w:val="en-GB"/>
        </w:rPr>
      </w:pPr>
      <w:r w:rsidRPr="00C206BD">
        <w:rPr>
          <w:rFonts w:ascii="Avenir Next" w:hAnsi="Avenir Next"/>
          <w:sz w:val="22"/>
          <w:szCs w:val="22"/>
          <w:highlight w:val="yellow"/>
          <w:lang w:val="en-GB"/>
        </w:rPr>
        <w:t xml:space="preserve">improving provisions relating to creditor information and the </w:t>
      </w:r>
      <w:r w:rsidR="007B79D8" w:rsidRPr="00C206BD">
        <w:rPr>
          <w:rFonts w:ascii="Avenir Next" w:hAnsi="Avenir Next"/>
          <w:sz w:val="22"/>
          <w:szCs w:val="22"/>
          <w:highlight w:val="yellow"/>
          <w:lang w:val="en-GB"/>
        </w:rPr>
        <w:t xml:space="preserve">interconnectivity of insolvency </w:t>
      </w:r>
      <w:r w:rsidRPr="00C206BD">
        <w:rPr>
          <w:rFonts w:ascii="Avenir Next" w:hAnsi="Avenir Next"/>
          <w:sz w:val="22"/>
          <w:szCs w:val="22"/>
          <w:highlight w:val="yellow"/>
          <w:lang w:val="en-GB"/>
        </w:rPr>
        <w:t>registers; and</w:t>
      </w:r>
    </w:p>
    <w:p w14:paraId="24F47A1E" w14:textId="5C32B1DD" w:rsidR="00C206BD" w:rsidRPr="00C206BD" w:rsidRDefault="00C206BD" w:rsidP="00C206BD">
      <w:pPr>
        <w:pStyle w:val="ListParagraph"/>
        <w:numPr>
          <w:ilvl w:val="0"/>
          <w:numId w:val="46"/>
        </w:numPr>
        <w:jc w:val="both"/>
        <w:rPr>
          <w:rFonts w:ascii="Avenir Next" w:hAnsi="Avenir Next"/>
          <w:sz w:val="22"/>
          <w:szCs w:val="22"/>
          <w:highlight w:val="yellow"/>
          <w:lang w:val="en-GB"/>
        </w:rPr>
      </w:pPr>
      <w:r w:rsidRPr="00C206BD">
        <w:rPr>
          <w:rFonts w:ascii="Avenir Next" w:hAnsi="Avenir Next"/>
          <w:sz w:val="22"/>
          <w:szCs w:val="22"/>
          <w:highlight w:val="yellow"/>
          <w:lang w:val="en-GB"/>
        </w:rPr>
        <w:t>Introducing</w:t>
      </w:r>
      <w:r w:rsidR="00E55814" w:rsidRPr="00C206BD">
        <w:rPr>
          <w:rFonts w:ascii="Avenir Next" w:hAnsi="Avenir Next"/>
          <w:sz w:val="22"/>
          <w:szCs w:val="22"/>
          <w:highlight w:val="yellow"/>
          <w:lang w:val="en-GB"/>
        </w:rPr>
        <w:t xml:space="preserve"> provisions to </w:t>
      </w:r>
      <w:r w:rsidR="007B79D8" w:rsidRPr="00C206BD">
        <w:rPr>
          <w:rFonts w:ascii="Avenir Next" w:hAnsi="Avenir Next"/>
          <w:sz w:val="22"/>
          <w:szCs w:val="22"/>
          <w:highlight w:val="yellow"/>
          <w:lang w:val="en-GB"/>
        </w:rPr>
        <w:t>general</w:t>
      </w:r>
      <w:r w:rsidR="00E55814" w:rsidRPr="00C206BD">
        <w:rPr>
          <w:rFonts w:ascii="Avenir Next" w:hAnsi="Avenir Next"/>
          <w:sz w:val="22"/>
          <w:szCs w:val="22"/>
          <w:highlight w:val="yellow"/>
          <w:lang w:val="en-GB"/>
        </w:rPr>
        <w:t>ly</w:t>
      </w:r>
      <w:r w:rsidR="007B79D8" w:rsidRPr="00C206BD">
        <w:rPr>
          <w:rFonts w:ascii="Avenir Next" w:hAnsi="Avenir Next"/>
          <w:sz w:val="22"/>
          <w:szCs w:val="22"/>
          <w:highlight w:val="yellow"/>
          <w:lang w:val="en-GB"/>
        </w:rPr>
        <w:t xml:space="preserve"> </w:t>
      </w:r>
      <w:r w:rsidR="00E55814" w:rsidRPr="00C206BD">
        <w:rPr>
          <w:rFonts w:ascii="Avenir Next" w:hAnsi="Avenir Next"/>
          <w:sz w:val="22"/>
          <w:szCs w:val="22"/>
          <w:highlight w:val="yellow"/>
          <w:lang w:val="en-GB"/>
        </w:rPr>
        <w:t>modernise</w:t>
      </w:r>
      <w:r w:rsidR="007B79D8" w:rsidRPr="00C206BD">
        <w:rPr>
          <w:rFonts w:ascii="Avenir Next" w:hAnsi="Avenir Next"/>
          <w:sz w:val="22"/>
          <w:szCs w:val="22"/>
          <w:highlight w:val="yellow"/>
          <w:lang w:val="en-GB"/>
        </w:rPr>
        <w:t xml:space="preserve"> the legal rules (</w:t>
      </w:r>
      <w:r w:rsidR="00E55814" w:rsidRPr="00C206BD">
        <w:rPr>
          <w:rFonts w:ascii="Avenir Next" w:hAnsi="Avenir Next"/>
          <w:sz w:val="22"/>
          <w:szCs w:val="22"/>
          <w:highlight w:val="yellow"/>
          <w:lang w:val="en-GB"/>
        </w:rPr>
        <w:t xml:space="preserve">including addressing recent developments such as the need for </w:t>
      </w:r>
      <w:r w:rsidR="007B79D8" w:rsidRPr="00C206BD">
        <w:rPr>
          <w:rFonts w:ascii="Avenir Next" w:hAnsi="Avenir Next"/>
          <w:sz w:val="22"/>
          <w:szCs w:val="22"/>
          <w:highlight w:val="yellow"/>
          <w:lang w:val="en-GB"/>
        </w:rPr>
        <w:t>data-protection).</w:t>
      </w:r>
    </w:p>
    <w:p w14:paraId="1E694298" w14:textId="77777777" w:rsidR="00C206BD" w:rsidRDefault="00C206BD" w:rsidP="00C206BD">
      <w:pPr>
        <w:jc w:val="both"/>
        <w:rPr>
          <w:rFonts w:ascii="Avenir Next" w:hAnsi="Avenir Next"/>
          <w:sz w:val="22"/>
          <w:szCs w:val="22"/>
          <w:highlight w:val="yellow"/>
          <w:lang w:val="en-GB"/>
        </w:rPr>
      </w:pPr>
    </w:p>
    <w:p w14:paraId="5747B7B5" w14:textId="0C5B1CB7" w:rsidR="00C87790" w:rsidRPr="00C206BD" w:rsidRDefault="00C87790" w:rsidP="00C206BD">
      <w:pPr>
        <w:jc w:val="both"/>
        <w:rPr>
          <w:rFonts w:ascii="Avenir Next" w:hAnsi="Avenir Next" w:cs="Arial"/>
          <w:sz w:val="22"/>
          <w:szCs w:val="22"/>
          <w:lang w:val="en-GB"/>
        </w:rPr>
      </w:pPr>
      <w:r w:rsidRPr="00C206BD">
        <w:rPr>
          <w:rFonts w:ascii="Avenir Next" w:hAnsi="Avenir Next"/>
          <w:sz w:val="22"/>
          <w:szCs w:val="22"/>
          <w:highlight w:val="yellow"/>
          <w:lang w:val="en-GB"/>
        </w:rPr>
        <w:t>The preamble at recital (6) to EIR 2015 also outlines the need for the Regulation to include provisions</w:t>
      </w:r>
      <w:r w:rsidR="00636768" w:rsidRPr="00C206BD">
        <w:rPr>
          <w:rFonts w:ascii="Avenir Next" w:hAnsi="Avenir Next"/>
          <w:sz w:val="22"/>
          <w:szCs w:val="22"/>
          <w:highlight w:val="yellow"/>
          <w:lang w:val="en-GB"/>
        </w:rPr>
        <w:t xml:space="preserve"> </w:t>
      </w:r>
      <w:r w:rsidRPr="00C206BD">
        <w:rPr>
          <w:rFonts w:ascii="Avenir Next" w:hAnsi="Avenir Next"/>
          <w:sz w:val="22"/>
          <w:szCs w:val="22"/>
          <w:highlight w:val="yellow"/>
          <w:lang w:val="en-GB"/>
        </w:rPr>
        <w:t>on the coordination of insolvency proceedings which relate to the same debtor or to several members of the same group of companies</w:t>
      </w:r>
      <w:r w:rsidR="00636768" w:rsidRPr="00C206BD">
        <w:rPr>
          <w:rFonts w:ascii="Avenir Next" w:hAnsi="Avenir Next"/>
          <w:sz w:val="22"/>
          <w:szCs w:val="22"/>
          <w:highlight w:val="yellow"/>
          <w:lang w:val="en-GB"/>
        </w:rPr>
        <w:t xml:space="preserve"> (which was not a matter identified in EIR 2000)</w:t>
      </w:r>
      <w:r w:rsidRPr="00C206BD">
        <w:rPr>
          <w:rFonts w:ascii="Avenir Next" w:hAnsi="Avenir Next"/>
          <w:sz w:val="22"/>
          <w:szCs w:val="22"/>
          <w:highlight w:val="yellow"/>
          <w:lang w:val="en-GB"/>
        </w:rPr>
        <w:t xml:space="preserve">. </w:t>
      </w:r>
    </w:p>
    <w:p w14:paraId="19E0749E" w14:textId="633452FD" w:rsidR="007B79D8" w:rsidRDefault="007B79D8" w:rsidP="000A3278">
      <w:pPr>
        <w:jc w:val="both"/>
        <w:rPr>
          <w:rFonts w:ascii="Avenir Next" w:hAnsi="Avenir Next" w:cs="Arial"/>
          <w:color w:val="7B7B7B" w:themeColor="accent3" w:themeShade="BF"/>
          <w:sz w:val="22"/>
          <w:szCs w:val="22"/>
        </w:rPr>
      </w:pPr>
    </w:p>
    <w:p w14:paraId="755D6AFF" w14:textId="411691B4"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27C1045F" w14:textId="5976366A" w:rsidR="008D6048" w:rsidRPr="00ED695F" w:rsidRDefault="00636768" w:rsidP="002A37BB">
      <w:p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Two Praises: </w:t>
      </w:r>
    </w:p>
    <w:p w14:paraId="2712666A" w14:textId="0EAEF2A4" w:rsidR="00636768" w:rsidRPr="00ED695F" w:rsidRDefault="00636768" w:rsidP="002A37BB">
      <w:pPr>
        <w:jc w:val="both"/>
        <w:rPr>
          <w:rFonts w:ascii="Avenir Next" w:hAnsi="Avenir Next" w:cs="Arial"/>
          <w:sz w:val="22"/>
          <w:szCs w:val="22"/>
          <w:highlight w:val="yellow"/>
          <w:lang w:val="en-GB"/>
        </w:rPr>
      </w:pPr>
    </w:p>
    <w:p w14:paraId="37A0A29A" w14:textId="07C2406E" w:rsidR="00636768" w:rsidRDefault="00ED695F" w:rsidP="00636768">
      <w:pPr>
        <w:pStyle w:val="ListParagraph"/>
        <w:numPr>
          <w:ilvl w:val="0"/>
          <w:numId w:val="41"/>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COMI is beneficial in that it allows for the practical recognition of where a company operates by reference to its centre of main interest and not necessarily where a company is incorporated. In an EU context, it allows for companies outside of the EU to be subject to EIR 2015 provided that company has its COMI in a Member State (other than Denmark). The alternatives to COMI do not have this flexibility. </w:t>
      </w:r>
    </w:p>
    <w:p w14:paraId="422E65D9" w14:textId="77777777" w:rsidR="00ED695F" w:rsidRPr="00ED695F" w:rsidRDefault="00ED695F" w:rsidP="00ED695F">
      <w:pPr>
        <w:pStyle w:val="ListParagraph"/>
        <w:jc w:val="both"/>
        <w:rPr>
          <w:rFonts w:ascii="Avenir Next" w:hAnsi="Avenir Next" w:cs="Arial"/>
          <w:sz w:val="22"/>
          <w:szCs w:val="22"/>
          <w:highlight w:val="yellow"/>
          <w:lang w:val="en-GB"/>
        </w:rPr>
      </w:pPr>
    </w:p>
    <w:p w14:paraId="59A34738" w14:textId="012C680F" w:rsidR="00ED695F" w:rsidRPr="00ED695F" w:rsidRDefault="00ED695F" w:rsidP="00ED695F">
      <w:pPr>
        <w:pStyle w:val="ListParagraph"/>
        <w:numPr>
          <w:ilvl w:val="0"/>
          <w:numId w:val="41"/>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Those in favour of COMI would argue that the autonomous meaning of COMI facilitates legal certainty across the EU as, in principle, its application must be uniform in all Member States. Legal certainty and foreseeability for all stakeholders dealing with the debtor, if it goes insolvent, is further encouraged by the objectivity and </w:t>
      </w:r>
      <w:proofErr w:type="spellStart"/>
      <w:r w:rsidRPr="00ED695F">
        <w:rPr>
          <w:rFonts w:ascii="Avenir Next" w:hAnsi="Avenir Next" w:cs="Arial"/>
          <w:sz w:val="22"/>
          <w:szCs w:val="22"/>
          <w:highlight w:val="yellow"/>
          <w:lang w:val="en-GB"/>
        </w:rPr>
        <w:t>ascertainability</w:t>
      </w:r>
      <w:proofErr w:type="spellEnd"/>
      <w:r w:rsidRPr="00ED695F">
        <w:rPr>
          <w:rFonts w:ascii="Avenir Next" w:hAnsi="Avenir Next" w:cs="Arial"/>
          <w:sz w:val="22"/>
          <w:szCs w:val="22"/>
          <w:highlight w:val="yellow"/>
          <w:lang w:val="en-GB"/>
        </w:rPr>
        <w:t xml:space="preserve"> of the place of COMI. In order to make COMI even more predictable, the EIR Recast contains a registered office presumption, namely that the insolvent company’s COMI is presumed to be the jurisdiction (of the country) where such company has been registered. This presumption can be rebutted only if the objective factors indicate that the administration of the debtor’s interest happens in a state different from the state of the registered office (for example, in the case of a “letterbox” company).</w:t>
      </w:r>
    </w:p>
    <w:p w14:paraId="6973350B" w14:textId="046C2EFC" w:rsidR="00636768" w:rsidRPr="00ED695F" w:rsidRDefault="00636768" w:rsidP="00636768">
      <w:pPr>
        <w:jc w:val="both"/>
        <w:rPr>
          <w:rFonts w:ascii="Avenir Next" w:hAnsi="Avenir Next" w:cs="Arial"/>
          <w:sz w:val="22"/>
          <w:szCs w:val="22"/>
          <w:highlight w:val="yellow"/>
          <w:lang w:val="en-GB"/>
        </w:rPr>
      </w:pPr>
    </w:p>
    <w:p w14:paraId="455338DC" w14:textId="4E065E0D" w:rsidR="00636768" w:rsidRPr="00ED695F" w:rsidRDefault="00636768" w:rsidP="00636768">
      <w:p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 xml:space="preserve">Two Shortcomings: </w:t>
      </w:r>
    </w:p>
    <w:p w14:paraId="6552F5EE" w14:textId="20C38696" w:rsidR="00636768" w:rsidRPr="00ED695F" w:rsidRDefault="00636768" w:rsidP="00636768">
      <w:pPr>
        <w:jc w:val="both"/>
        <w:rPr>
          <w:rFonts w:ascii="Avenir Next" w:hAnsi="Avenir Next" w:cs="Arial"/>
          <w:sz w:val="22"/>
          <w:szCs w:val="22"/>
          <w:highlight w:val="yellow"/>
          <w:lang w:val="en-GB"/>
        </w:rPr>
      </w:pPr>
    </w:p>
    <w:p w14:paraId="37956891" w14:textId="7A2C6E90" w:rsidR="00ED695F" w:rsidRDefault="00ED695F" w:rsidP="00ED695F">
      <w:pPr>
        <w:pStyle w:val="ListParagraph"/>
        <w:numPr>
          <w:ilvl w:val="0"/>
          <w:numId w:val="44"/>
        </w:num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Those who criticise COMI argue that it is </w:t>
      </w:r>
      <w:r w:rsidR="00636768" w:rsidRPr="00ED695F">
        <w:rPr>
          <w:rFonts w:ascii="Avenir Next" w:hAnsi="Avenir Next" w:cs="Arial"/>
          <w:sz w:val="22"/>
          <w:szCs w:val="22"/>
          <w:highlight w:val="yellow"/>
          <w:lang w:val="en-GB"/>
        </w:rPr>
        <w:t xml:space="preserve">vague and the interpretations of it did not provide enough guidance to provide a reliable practical interpretations of it did not provide enough guidance to provide a reliable practical test. </w:t>
      </w:r>
      <w:r w:rsidR="00AB652C" w:rsidRPr="00ED695F">
        <w:rPr>
          <w:rFonts w:ascii="Avenir Next" w:hAnsi="Avenir Next" w:cs="Arial"/>
          <w:sz w:val="22"/>
          <w:szCs w:val="22"/>
          <w:highlight w:val="yellow"/>
          <w:lang w:val="en-GB"/>
        </w:rPr>
        <w:t>As a result, creditors may price in risk and uncertainty when dealing with insolvency, resulting in higher capital costs, which is a shortcoming as it goes against the objective of increasing economic activity within the EU and among Member States. This could also jeopardise legal certainty and predictability, contrary to its objectives</w:t>
      </w:r>
      <w:r>
        <w:rPr>
          <w:rFonts w:ascii="Avenir Next" w:hAnsi="Avenir Next" w:cs="Arial"/>
          <w:sz w:val="22"/>
          <w:szCs w:val="22"/>
          <w:highlight w:val="yellow"/>
          <w:lang w:val="en-GB"/>
        </w:rPr>
        <w:t>.</w:t>
      </w:r>
    </w:p>
    <w:p w14:paraId="159A78E9" w14:textId="77777777" w:rsidR="00ED695F" w:rsidRDefault="00ED695F" w:rsidP="00ED695F">
      <w:pPr>
        <w:pStyle w:val="ListParagraph"/>
        <w:jc w:val="both"/>
        <w:rPr>
          <w:rFonts w:ascii="Avenir Next" w:hAnsi="Avenir Next" w:cs="Arial"/>
          <w:sz w:val="22"/>
          <w:szCs w:val="22"/>
          <w:highlight w:val="yellow"/>
          <w:lang w:val="en-GB"/>
        </w:rPr>
      </w:pPr>
    </w:p>
    <w:p w14:paraId="7A39AE1B" w14:textId="0C51C23D" w:rsidR="00F07E35" w:rsidRPr="00ED695F" w:rsidRDefault="009563E2" w:rsidP="00ED695F">
      <w:pPr>
        <w:pStyle w:val="ListParagraph"/>
        <w:numPr>
          <w:ilvl w:val="0"/>
          <w:numId w:val="44"/>
        </w:numPr>
        <w:jc w:val="both"/>
        <w:rPr>
          <w:rFonts w:ascii="Avenir Next" w:hAnsi="Avenir Next" w:cs="Arial"/>
          <w:sz w:val="22"/>
          <w:szCs w:val="22"/>
          <w:highlight w:val="yellow"/>
          <w:lang w:val="en-GB"/>
        </w:rPr>
      </w:pPr>
      <w:r w:rsidRPr="00ED695F">
        <w:rPr>
          <w:rFonts w:ascii="Avenir Next" w:hAnsi="Avenir Next" w:cs="Arial"/>
          <w:sz w:val="22"/>
          <w:szCs w:val="22"/>
          <w:highlight w:val="yellow"/>
          <w:lang w:val="en-GB"/>
        </w:rPr>
        <w:t>Critics of the concept contend that the COMI concept, as envisioned in the EIR Recast, is open to arbitrage and manipulation so could potentially be abused by both creditors and debtors to suit their own needs. One particular concern is where p</w:t>
      </w:r>
      <w:r w:rsidR="00ED695F" w:rsidRPr="00ED695F">
        <w:rPr>
          <w:rFonts w:ascii="Avenir Next" w:hAnsi="Avenir Next" w:cs="Arial"/>
          <w:sz w:val="22"/>
          <w:szCs w:val="22"/>
          <w:highlight w:val="yellow"/>
          <w:lang w:val="en-GB"/>
        </w:rPr>
        <w:t>ractition</w:t>
      </w:r>
      <w:r w:rsidRPr="00ED695F">
        <w:rPr>
          <w:rFonts w:ascii="Avenir Next" w:hAnsi="Avenir Next" w:cs="Arial"/>
          <w:sz w:val="22"/>
          <w:szCs w:val="22"/>
          <w:highlight w:val="yellow"/>
          <w:lang w:val="en-GB"/>
        </w:rPr>
        <w:t>ers actively seek to shift the centre of main interest to what they believe to be a more favourable jurisdiction for an insolvency proceeding</w:t>
      </w:r>
      <w:r w:rsidR="00ED695F" w:rsidRPr="00ED695F">
        <w:rPr>
          <w:rFonts w:ascii="Avenir Next" w:hAnsi="Avenir Next" w:cs="Arial"/>
          <w:sz w:val="22"/>
          <w:szCs w:val="22"/>
          <w:highlight w:val="yellow"/>
          <w:lang w:val="en-GB"/>
        </w:rPr>
        <w:t xml:space="preserve">. This is clearly a shortcoming as may be abused to the detriment of the debtor’s general body of creditors.  </w:t>
      </w:r>
      <w:r w:rsidRPr="00ED695F">
        <w:rPr>
          <w:rFonts w:ascii="Avenir Next" w:hAnsi="Avenir Next" w:cs="Arial"/>
          <w:sz w:val="22"/>
          <w:szCs w:val="22"/>
          <w:highlight w:val="yellow"/>
          <w:lang w:val="en-GB"/>
        </w:rPr>
        <w:t xml:space="preserve">The CJEU has sought to address these concerns by interpreting the COMI test in its decisions of </w:t>
      </w:r>
      <w:proofErr w:type="spellStart"/>
      <w:r w:rsidRPr="00ED695F">
        <w:rPr>
          <w:rFonts w:ascii="Avenir Next" w:hAnsi="Avenir Next" w:cs="Arial"/>
          <w:sz w:val="22"/>
          <w:szCs w:val="22"/>
          <w:highlight w:val="yellow"/>
          <w:lang w:val="en-GB"/>
        </w:rPr>
        <w:t>Eurofood</w:t>
      </w:r>
      <w:proofErr w:type="spellEnd"/>
      <w:r w:rsidRPr="00ED695F">
        <w:rPr>
          <w:rFonts w:ascii="Avenir Next" w:hAnsi="Avenir Next" w:cs="Arial"/>
          <w:sz w:val="22"/>
          <w:szCs w:val="22"/>
          <w:highlight w:val="yellow"/>
          <w:lang w:val="en-GB"/>
        </w:rPr>
        <w:t xml:space="preserve"> IFSC Ltd and </w:t>
      </w:r>
      <w:proofErr w:type="spellStart"/>
      <w:r w:rsidRPr="00ED695F">
        <w:rPr>
          <w:rFonts w:ascii="Avenir Next" w:hAnsi="Avenir Next" w:cs="Arial"/>
          <w:sz w:val="22"/>
          <w:szCs w:val="22"/>
          <w:highlight w:val="yellow"/>
          <w:lang w:val="en-GB"/>
        </w:rPr>
        <w:t>Interedil</w:t>
      </w:r>
      <w:proofErr w:type="spellEnd"/>
      <w:r w:rsidRPr="00ED695F">
        <w:rPr>
          <w:rFonts w:ascii="Avenir Next" w:hAnsi="Avenir Next" w:cs="Arial"/>
          <w:sz w:val="22"/>
          <w:szCs w:val="22"/>
          <w:highlight w:val="yellow"/>
          <w:lang w:val="en-GB"/>
        </w:rPr>
        <w:t>.</w:t>
      </w:r>
    </w:p>
    <w:p w14:paraId="42D4D69A" w14:textId="77777777" w:rsidR="00F07E35" w:rsidRPr="006723E9" w:rsidRDefault="00F07E35">
      <w:pPr>
        <w:ind w:left="720" w:hanging="720"/>
        <w:jc w:val="both"/>
        <w:rPr>
          <w:rFonts w:ascii="Avenir Next Demi Bold" w:hAnsi="Avenir Next Demi Bold" w:cs="Arial"/>
          <w:b/>
          <w:bCs/>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21A352F1" w14:textId="77777777" w:rsidR="00072EE5" w:rsidRDefault="003D4A79" w:rsidP="00072EE5">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7B758966" w14:textId="77777777" w:rsidR="00072EE5" w:rsidRDefault="00072EE5" w:rsidP="00072EE5">
      <w:pPr>
        <w:jc w:val="both"/>
        <w:rPr>
          <w:rFonts w:ascii="Avenir Next" w:hAnsi="Avenir Next" w:cs="Arial"/>
          <w:sz w:val="22"/>
          <w:szCs w:val="22"/>
          <w:lang w:val="en-GB"/>
        </w:rPr>
      </w:pPr>
    </w:p>
    <w:p w14:paraId="1E75CCDD" w14:textId="2CE2DC14" w:rsidR="00072EE5" w:rsidRDefault="00B52C06" w:rsidP="00072EE5">
      <w:pPr>
        <w:pStyle w:val="ListParagraph"/>
        <w:numPr>
          <w:ilvl w:val="0"/>
          <w:numId w:val="45"/>
        </w:num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The </w:t>
      </w:r>
      <w:r w:rsidR="00D00625" w:rsidRPr="00072EE5">
        <w:rPr>
          <w:rFonts w:ascii="Avenir Next" w:hAnsi="Avenir Next"/>
          <w:sz w:val="22"/>
          <w:szCs w:val="22"/>
          <w:highlight w:val="yellow"/>
          <w:lang w:val="en-GB"/>
        </w:rPr>
        <w:t xml:space="preserve">objective of the </w:t>
      </w:r>
      <w:r w:rsidRPr="00072EE5">
        <w:rPr>
          <w:rFonts w:ascii="Avenir Next" w:hAnsi="Avenir Next"/>
          <w:sz w:val="22"/>
          <w:szCs w:val="22"/>
          <w:highlight w:val="yellow"/>
          <w:lang w:val="en-GB"/>
        </w:rPr>
        <w:t xml:space="preserve">Directive </w:t>
      </w:r>
      <w:r w:rsidR="00D00625" w:rsidRPr="00072EE5">
        <w:rPr>
          <w:rFonts w:ascii="Avenir Next" w:hAnsi="Avenir Next"/>
          <w:sz w:val="22"/>
          <w:szCs w:val="22"/>
          <w:highlight w:val="yellow"/>
          <w:lang w:val="en-GB"/>
        </w:rPr>
        <w:t>is to promote</w:t>
      </w:r>
      <w:r w:rsidRPr="00072EE5">
        <w:rPr>
          <w:rFonts w:ascii="Avenir Next" w:hAnsi="Avenir Next"/>
          <w:sz w:val="22"/>
          <w:szCs w:val="22"/>
          <w:highlight w:val="yellow"/>
          <w:lang w:val="en-GB"/>
        </w:rPr>
        <w:t xml:space="preserve"> harmonization of </w:t>
      </w:r>
      <w:r w:rsidR="00D00625" w:rsidRPr="00072EE5">
        <w:rPr>
          <w:rFonts w:ascii="Avenir Next" w:hAnsi="Avenir Next"/>
          <w:sz w:val="22"/>
          <w:szCs w:val="22"/>
          <w:highlight w:val="yellow"/>
          <w:lang w:val="en-GB"/>
        </w:rPr>
        <w:t xml:space="preserve">preventative restructuring only, i.e. measures to prevent or avoid </w:t>
      </w:r>
      <w:r w:rsidRPr="00072EE5">
        <w:rPr>
          <w:rFonts w:ascii="Avenir Next" w:hAnsi="Avenir Next"/>
          <w:sz w:val="22"/>
          <w:szCs w:val="22"/>
          <w:highlight w:val="yellow"/>
          <w:lang w:val="en-GB"/>
        </w:rPr>
        <w:t xml:space="preserve">insolvency. The </w:t>
      </w:r>
      <w:r w:rsidR="00D00625" w:rsidRPr="00072EE5">
        <w:rPr>
          <w:rFonts w:ascii="Avenir Next" w:hAnsi="Avenir Next"/>
          <w:sz w:val="22"/>
          <w:szCs w:val="22"/>
          <w:highlight w:val="yellow"/>
          <w:lang w:val="en-GB"/>
        </w:rPr>
        <w:t xml:space="preserve">objective of the </w:t>
      </w:r>
      <w:r w:rsidRPr="00072EE5">
        <w:rPr>
          <w:rFonts w:ascii="Avenir Next" w:hAnsi="Avenir Next"/>
          <w:sz w:val="22"/>
          <w:szCs w:val="22"/>
          <w:highlight w:val="yellow"/>
          <w:lang w:val="en-GB"/>
        </w:rPr>
        <w:t xml:space="preserve">Regulation on the other hand is </w:t>
      </w:r>
      <w:r w:rsidR="00D00625" w:rsidRPr="00072EE5">
        <w:rPr>
          <w:rFonts w:ascii="Avenir Next" w:hAnsi="Avenir Next"/>
          <w:sz w:val="22"/>
          <w:szCs w:val="22"/>
          <w:highlight w:val="yellow"/>
          <w:lang w:val="en-GB"/>
        </w:rPr>
        <w:t xml:space="preserve">harmonise insolvency procedures between the Member States. </w:t>
      </w:r>
    </w:p>
    <w:p w14:paraId="1621AB8F" w14:textId="77777777" w:rsidR="00072EE5" w:rsidRDefault="00072EE5" w:rsidP="00072EE5">
      <w:pPr>
        <w:pStyle w:val="ListParagraph"/>
        <w:jc w:val="both"/>
        <w:rPr>
          <w:rFonts w:ascii="Avenir Next" w:hAnsi="Avenir Next"/>
          <w:sz w:val="22"/>
          <w:szCs w:val="22"/>
          <w:highlight w:val="yellow"/>
          <w:lang w:val="en-GB"/>
        </w:rPr>
      </w:pPr>
    </w:p>
    <w:p w14:paraId="0DEAE9B2" w14:textId="4A684D99" w:rsidR="00D00625" w:rsidRPr="00072EE5" w:rsidRDefault="00D00625" w:rsidP="00072EE5">
      <w:pPr>
        <w:pStyle w:val="ListParagraph"/>
        <w:numPr>
          <w:ilvl w:val="0"/>
          <w:numId w:val="45"/>
        </w:numPr>
        <w:jc w:val="both"/>
        <w:rPr>
          <w:rFonts w:ascii="Avenir Next" w:hAnsi="Avenir Next"/>
          <w:sz w:val="22"/>
          <w:szCs w:val="22"/>
          <w:highlight w:val="yellow"/>
          <w:lang w:val="en-GB"/>
        </w:rPr>
      </w:pPr>
      <w:r w:rsidRPr="00072EE5">
        <w:rPr>
          <w:rFonts w:ascii="Avenir Next" w:hAnsi="Avenir Next"/>
          <w:sz w:val="22"/>
          <w:szCs w:val="22"/>
          <w:highlight w:val="yellow"/>
          <w:lang w:val="en-GB"/>
        </w:rPr>
        <w:t>The Directive's harmonization method is to impose minimum standards for preventive restructuring mechanisms, whereas the Regulation does not impose any minimum standards but rather applies procedural rules in relation to insolvency proce</w:t>
      </w:r>
      <w:r w:rsidR="00C87790" w:rsidRPr="00072EE5">
        <w:rPr>
          <w:rFonts w:ascii="Avenir Next" w:hAnsi="Avenir Next"/>
          <w:sz w:val="22"/>
          <w:szCs w:val="22"/>
          <w:highlight w:val="yellow"/>
          <w:lang w:val="en-GB"/>
        </w:rPr>
        <w:t>e</w:t>
      </w:r>
      <w:r w:rsidRPr="00072EE5">
        <w:rPr>
          <w:rFonts w:ascii="Avenir Next" w:hAnsi="Avenir Next"/>
          <w:sz w:val="22"/>
          <w:szCs w:val="22"/>
          <w:highlight w:val="yellow"/>
          <w:lang w:val="en-GB"/>
        </w:rPr>
        <w:t xml:space="preserve">dings that fall within its temporal, personal, material and geographical scope. </w:t>
      </w:r>
    </w:p>
    <w:p w14:paraId="73558412" w14:textId="77777777" w:rsidR="00D00625" w:rsidRDefault="00D00625" w:rsidP="002A37BB">
      <w:pPr>
        <w:jc w:val="both"/>
        <w:rPr>
          <w:rFonts w:ascii="Avenir Next" w:hAnsi="Avenir Next" w:cs="Arial"/>
          <w:color w:val="7B7B7B" w:themeColor="accent3" w:themeShade="BF"/>
          <w:sz w:val="22"/>
          <w:szCs w:val="22"/>
        </w:rPr>
      </w:pPr>
    </w:p>
    <w:p w14:paraId="55C402CC" w14:textId="42D4A89E"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0763B084"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16777625" w14:textId="4EA4876F" w:rsidR="00155A6C" w:rsidRDefault="00155A6C" w:rsidP="002A37BB">
      <w:pPr>
        <w:jc w:val="both"/>
        <w:rPr>
          <w:rFonts w:ascii="Avenir Next" w:hAnsi="Avenir Next" w:cs="Arial"/>
          <w:sz w:val="22"/>
          <w:szCs w:val="22"/>
          <w:lang w:val="en-GB"/>
        </w:rPr>
      </w:pPr>
    </w:p>
    <w:p w14:paraId="18EC81B2" w14:textId="40F67D9F" w:rsidR="00155A6C" w:rsidRDefault="00155A6C" w:rsidP="002A37BB">
      <w:pPr>
        <w:jc w:val="both"/>
        <w:rPr>
          <w:rFonts w:ascii="Avenir Next" w:hAnsi="Avenir Next" w:cs="Arial"/>
          <w:sz w:val="22"/>
          <w:szCs w:val="22"/>
          <w:lang w:val="en-GB"/>
        </w:rPr>
      </w:pPr>
      <w:r w:rsidRPr="00D91F6C">
        <w:rPr>
          <w:rFonts w:ascii="Avenir Next" w:hAnsi="Avenir Next" w:cs="Arial"/>
          <w:sz w:val="22"/>
          <w:szCs w:val="22"/>
          <w:highlight w:val="yellow"/>
          <w:lang w:val="en-GB"/>
        </w:rPr>
        <w:t>It does not have jurisdiction as safeguard proceedings are not liste</w:t>
      </w:r>
      <w:r w:rsidR="00C206BD">
        <w:rPr>
          <w:rFonts w:ascii="Avenir Next" w:hAnsi="Avenir Next" w:cs="Arial"/>
          <w:sz w:val="22"/>
          <w:szCs w:val="22"/>
          <w:highlight w:val="yellow"/>
          <w:lang w:val="en-GB"/>
        </w:rPr>
        <w:t>d in Annex A of EIR 2000 and thu</w:t>
      </w:r>
      <w:r w:rsidRPr="00D91F6C">
        <w:rPr>
          <w:rFonts w:ascii="Avenir Next" w:hAnsi="Avenir Next" w:cs="Arial"/>
          <w:sz w:val="22"/>
          <w:szCs w:val="22"/>
          <w:highlight w:val="yellow"/>
          <w:lang w:val="en-GB"/>
        </w:rPr>
        <w:t xml:space="preserve">s do not constitute "insolvency proceedings" as referred to in Article 2(a) of EIR 2000. </w:t>
      </w:r>
      <w:r w:rsidR="00072EE5">
        <w:rPr>
          <w:rFonts w:ascii="Avenir Next" w:hAnsi="Avenir Next" w:cs="Arial"/>
          <w:sz w:val="22"/>
          <w:szCs w:val="22"/>
          <w:highlight w:val="yellow"/>
          <w:lang w:val="en-GB"/>
        </w:rPr>
        <w:t>Such proceedings</w:t>
      </w:r>
      <w:r w:rsidRPr="00D91F6C">
        <w:rPr>
          <w:rFonts w:ascii="Avenir Next" w:hAnsi="Avenir Next" w:cs="Arial"/>
          <w:sz w:val="22"/>
          <w:szCs w:val="22"/>
          <w:highlight w:val="yellow"/>
          <w:lang w:val="en-GB"/>
        </w:rPr>
        <w:t xml:space="preserve"> are included in Annex </w:t>
      </w:r>
      <w:proofErr w:type="gramStart"/>
      <w:r w:rsidRPr="00D91F6C">
        <w:rPr>
          <w:rFonts w:ascii="Avenir Next" w:hAnsi="Avenir Next" w:cs="Arial"/>
          <w:sz w:val="22"/>
          <w:szCs w:val="22"/>
          <w:highlight w:val="yellow"/>
          <w:lang w:val="en-GB"/>
        </w:rPr>
        <w:t>A</w:t>
      </w:r>
      <w:proofErr w:type="gramEnd"/>
      <w:r w:rsidRPr="00D91F6C">
        <w:rPr>
          <w:rFonts w:ascii="Avenir Next" w:hAnsi="Avenir Next" w:cs="Arial"/>
          <w:sz w:val="22"/>
          <w:szCs w:val="22"/>
          <w:highlight w:val="yellow"/>
          <w:lang w:val="en-GB"/>
        </w:rPr>
        <w:t xml:space="preserve"> of EIR Recast (see below).</w:t>
      </w:r>
      <w:r>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E86A075"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2DC67874" w14:textId="106DF247" w:rsidR="00155A6C" w:rsidRDefault="00155A6C"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B815FEE" w14:textId="77777777" w:rsidR="00072EE5" w:rsidRDefault="009B4976" w:rsidP="00072EE5">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1D220EFB" w14:textId="77777777" w:rsidR="00072EE5" w:rsidRDefault="00072EE5" w:rsidP="00072EE5">
      <w:pPr>
        <w:jc w:val="both"/>
        <w:rPr>
          <w:rFonts w:ascii="Avenir Next" w:hAnsi="Avenir Next" w:cs="Arial"/>
          <w:sz w:val="22"/>
          <w:szCs w:val="22"/>
          <w:lang w:val="en-GB"/>
        </w:rPr>
      </w:pPr>
    </w:p>
    <w:p w14:paraId="4E967F19" w14:textId="77777777" w:rsidR="00072EE5" w:rsidRDefault="00F53C89" w:rsidP="00072EE5">
      <w:p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Firstly, it is necessary to look for the “centre of the debtor’s main interest” (Article 1(1) of the EIR Recast), </w:t>
      </w:r>
      <w:proofErr w:type="spellStart"/>
      <w:r w:rsidRPr="00072EE5">
        <w:rPr>
          <w:rFonts w:ascii="Avenir Next" w:hAnsi="Avenir Next"/>
          <w:sz w:val="22"/>
          <w:szCs w:val="22"/>
          <w:highlight w:val="yellow"/>
          <w:lang w:val="en-GB"/>
        </w:rPr>
        <w:t>ie</w:t>
      </w:r>
      <w:proofErr w:type="spellEnd"/>
      <w:r w:rsidRPr="00072EE5">
        <w:rPr>
          <w:rFonts w:ascii="Avenir Next" w:hAnsi="Avenir Next"/>
          <w:sz w:val="22"/>
          <w:szCs w:val="22"/>
          <w:highlight w:val="yellow"/>
          <w:lang w:val="en-GB"/>
        </w:rPr>
        <w:t xml:space="preserve"> the debtor’s COMI. The EIR Recast applies only when the debtor’s COMI is located within the EU (excluding Denmark). The EIR Recast mandates that the centre of main interest shall be the place where the debtor conducts the administration of its interests on a regular basis and which is ascertainable by third parties (Article 3(1) of the EIR Recast). The CJEU in </w:t>
      </w:r>
      <w:proofErr w:type="spellStart"/>
      <w:r w:rsidRPr="00072EE5">
        <w:rPr>
          <w:rFonts w:ascii="Avenir Next" w:hAnsi="Avenir Next" w:cs="Arial"/>
          <w:i/>
          <w:sz w:val="22"/>
          <w:szCs w:val="22"/>
          <w:highlight w:val="yellow"/>
          <w:lang w:val="en-GB"/>
        </w:rPr>
        <w:t>Eurofood</w:t>
      </w:r>
      <w:proofErr w:type="spellEnd"/>
      <w:r w:rsidRPr="00072EE5">
        <w:rPr>
          <w:rFonts w:ascii="Avenir Next" w:hAnsi="Avenir Next" w:cs="Arial"/>
          <w:i/>
          <w:sz w:val="22"/>
          <w:szCs w:val="22"/>
          <w:highlight w:val="yellow"/>
          <w:lang w:val="en-GB"/>
        </w:rPr>
        <w:t xml:space="preserve"> IFSC Ltd</w:t>
      </w:r>
      <w:r w:rsidRPr="00072EE5">
        <w:rPr>
          <w:rFonts w:ascii="Avenir Next" w:hAnsi="Avenir Next" w:cs="Arial"/>
          <w:sz w:val="22"/>
          <w:szCs w:val="22"/>
          <w:highlight w:val="yellow"/>
          <w:lang w:val="en-GB"/>
        </w:rPr>
        <w:t xml:space="preserve"> (Case C-341) held that the term COMI must be </w:t>
      </w:r>
      <w:r w:rsidRPr="00072EE5">
        <w:rPr>
          <w:rFonts w:ascii="Avenir Next" w:hAnsi="Avenir Next"/>
          <w:sz w:val="22"/>
          <w:szCs w:val="22"/>
          <w:highlight w:val="yellow"/>
          <w:lang w:val="en-GB"/>
        </w:rPr>
        <w:t xml:space="preserve">identified by reference to criteria that are both objective and ascertainable by third parties (paragraph 33). </w:t>
      </w:r>
      <w:proofErr w:type="spellStart"/>
      <w:r w:rsidRPr="00072EE5">
        <w:rPr>
          <w:rFonts w:ascii="Avenir Next" w:hAnsi="Avenir Next"/>
          <w:sz w:val="22"/>
          <w:szCs w:val="22"/>
          <w:highlight w:val="yellow"/>
          <w:lang w:val="en-GB"/>
        </w:rPr>
        <w:t>Ascertainability</w:t>
      </w:r>
      <w:proofErr w:type="spellEnd"/>
      <w:r w:rsidRPr="00072EE5">
        <w:rPr>
          <w:rFonts w:ascii="Avenir Next" w:hAnsi="Avenir Next"/>
          <w:sz w:val="22"/>
          <w:szCs w:val="22"/>
          <w:highlight w:val="yellow"/>
          <w:lang w:val="en-GB"/>
        </w:rPr>
        <w:t xml:space="preserve"> or visibility by third parties (mainly creditors) is closely related to the time factor. In other words, the activity of the debtor in a particular Member State should be regular and lasting to create COMI. In the hypothetical case, the COMI of </w:t>
      </w:r>
      <w:proofErr w:type="spellStart"/>
      <w:r w:rsidRPr="005F5A3A">
        <w:rPr>
          <w:rFonts w:ascii="Avenir Next" w:hAnsi="Avenir Next"/>
          <w:sz w:val="22"/>
          <w:szCs w:val="22"/>
          <w:highlight w:val="yellow"/>
          <w:lang w:val="en-GB"/>
        </w:rPr>
        <w:t>Dinosaurus</w:t>
      </w:r>
      <w:proofErr w:type="spellEnd"/>
      <w:r w:rsidRPr="005F5A3A">
        <w:rPr>
          <w:rFonts w:ascii="Avenir Next" w:hAnsi="Avenir Next"/>
          <w:sz w:val="22"/>
          <w:szCs w:val="22"/>
          <w:highlight w:val="yellow"/>
          <w:lang w:val="en-GB"/>
        </w:rPr>
        <w:t xml:space="preserve"> SARL</w:t>
      </w:r>
      <w:r w:rsidRPr="00072EE5">
        <w:rPr>
          <w:rFonts w:ascii="Avenir Next" w:hAnsi="Avenir Next"/>
          <w:sz w:val="22"/>
          <w:szCs w:val="22"/>
          <w:highlight w:val="yellow"/>
          <w:lang w:val="en-GB"/>
        </w:rPr>
        <w:t xml:space="preserve"> is likely to be in France, which is an EU Member State. Thus, the requirement of the geographical scope is satisfied.</w:t>
      </w:r>
    </w:p>
    <w:p w14:paraId="659A12B9" w14:textId="77777777" w:rsidR="00072EE5" w:rsidRDefault="00072EE5" w:rsidP="00072EE5">
      <w:pPr>
        <w:jc w:val="both"/>
        <w:rPr>
          <w:rFonts w:ascii="Avenir Next" w:hAnsi="Avenir Next"/>
          <w:sz w:val="22"/>
          <w:szCs w:val="22"/>
          <w:highlight w:val="yellow"/>
          <w:lang w:val="en-GB"/>
        </w:rPr>
      </w:pPr>
    </w:p>
    <w:p w14:paraId="34293BDE" w14:textId="32148899" w:rsidR="00072EE5" w:rsidRDefault="00F53C89" w:rsidP="00072EE5">
      <w:p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Secondly, one needs to check whether the personal scope of the EIR Recast is complied with. As </w:t>
      </w:r>
      <w:proofErr w:type="spellStart"/>
      <w:r w:rsidRPr="005F5A3A">
        <w:rPr>
          <w:rFonts w:ascii="Avenir Next" w:hAnsi="Avenir Next"/>
          <w:sz w:val="22"/>
          <w:szCs w:val="22"/>
          <w:highlight w:val="yellow"/>
          <w:lang w:val="en-GB"/>
        </w:rPr>
        <w:t>Dinosaurus</w:t>
      </w:r>
      <w:proofErr w:type="spellEnd"/>
      <w:r w:rsidRPr="005F5A3A">
        <w:rPr>
          <w:rFonts w:ascii="Avenir Next" w:hAnsi="Avenir Next"/>
          <w:sz w:val="22"/>
          <w:szCs w:val="22"/>
          <w:highlight w:val="yellow"/>
          <w:lang w:val="en-GB"/>
        </w:rPr>
        <w:t xml:space="preserve"> SARL</w:t>
      </w:r>
      <w:r w:rsidR="00072EE5">
        <w:rPr>
          <w:rFonts w:ascii="Avenir Next" w:hAnsi="Avenir Next"/>
          <w:sz w:val="22"/>
          <w:szCs w:val="22"/>
          <w:highlight w:val="yellow"/>
          <w:lang w:val="en-GB"/>
        </w:rPr>
        <w:t xml:space="preserve"> </w:t>
      </w:r>
      <w:r w:rsidRPr="00072EE5">
        <w:rPr>
          <w:rFonts w:ascii="Avenir Next" w:hAnsi="Avenir Next"/>
          <w:sz w:val="22"/>
          <w:szCs w:val="22"/>
          <w:highlight w:val="yellow"/>
          <w:lang w:val="en-GB"/>
        </w:rPr>
        <w:t>is neither a bank, nor any other excluded” entity, it falls within the personal scope of the EIR Recast.</w:t>
      </w:r>
    </w:p>
    <w:p w14:paraId="67DA003E" w14:textId="77777777" w:rsidR="00072EE5" w:rsidRDefault="00072EE5" w:rsidP="00072EE5">
      <w:pPr>
        <w:jc w:val="both"/>
        <w:rPr>
          <w:rFonts w:ascii="Avenir Next" w:hAnsi="Avenir Next"/>
          <w:sz w:val="22"/>
          <w:szCs w:val="22"/>
          <w:highlight w:val="yellow"/>
          <w:lang w:val="en-GB"/>
        </w:rPr>
      </w:pPr>
    </w:p>
    <w:p w14:paraId="2FB9D927" w14:textId="77777777" w:rsidR="00072EE5" w:rsidRDefault="00F53C89" w:rsidP="00072EE5">
      <w:pPr>
        <w:jc w:val="both"/>
        <w:rPr>
          <w:rFonts w:ascii="Avenir Next" w:hAnsi="Avenir Next" w:cs="Arial"/>
          <w:sz w:val="22"/>
          <w:szCs w:val="22"/>
          <w:highlight w:val="yellow"/>
          <w:lang w:val="en-GB"/>
        </w:rPr>
      </w:pPr>
      <w:r w:rsidRPr="00072EE5">
        <w:rPr>
          <w:rFonts w:ascii="Avenir Next" w:hAnsi="Avenir Next" w:cs="Arial"/>
          <w:sz w:val="22"/>
          <w:szCs w:val="22"/>
          <w:highlight w:val="yellow"/>
          <w:lang w:val="en-GB"/>
        </w:rPr>
        <w:t>Thirdly, in order to fall within the scope of the EIR Recast, an insolvency proceeding has to be listed in Annex A (material scope). The proceeding of "</w:t>
      </w:r>
      <w:proofErr w:type="spellStart"/>
      <w:r w:rsidRPr="00072EE5">
        <w:rPr>
          <w:rFonts w:ascii="Avenir Next" w:hAnsi="Avenir Next" w:cs="Arial"/>
          <w:sz w:val="22"/>
          <w:szCs w:val="22"/>
          <w:highlight w:val="yellow"/>
          <w:lang w:val="en-GB"/>
        </w:rPr>
        <w:t>sauvegarde</w:t>
      </w:r>
      <w:proofErr w:type="spellEnd"/>
      <w:r w:rsidRPr="00072EE5">
        <w:rPr>
          <w:rFonts w:ascii="Avenir Next" w:hAnsi="Avenir Next" w:cs="Arial"/>
          <w:sz w:val="22"/>
          <w:szCs w:val="22"/>
          <w:highlight w:val="yellow"/>
          <w:lang w:val="en-GB"/>
        </w:rPr>
        <w:t>" is mentioned in Annex A which appears to relate the safeguarding proceedings that were commence. If so, it falls within the material scope of the EIR Recast.</w:t>
      </w:r>
    </w:p>
    <w:p w14:paraId="5F4C1DAE" w14:textId="77777777" w:rsidR="00072EE5" w:rsidRDefault="00072EE5" w:rsidP="00072EE5">
      <w:pPr>
        <w:jc w:val="both"/>
        <w:rPr>
          <w:rFonts w:ascii="Avenir Next" w:hAnsi="Avenir Next" w:cs="Arial"/>
          <w:sz w:val="22"/>
          <w:szCs w:val="22"/>
          <w:highlight w:val="yellow"/>
          <w:lang w:val="en-GB"/>
        </w:rPr>
      </w:pPr>
    </w:p>
    <w:p w14:paraId="66BF6128" w14:textId="4DC0B681" w:rsidR="00072EE5" w:rsidRDefault="00F53C89" w:rsidP="00072EE5">
      <w:p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Fourthly, temporal scope must be checked. This scope requires that the insolvency proceeding is opened after 26 June 2017 (the entry of the EIR Recast into force). The facts </w:t>
      </w:r>
      <w:r w:rsidRPr="00072EE5">
        <w:rPr>
          <w:rFonts w:ascii="Avenir Next" w:hAnsi="Avenir Next"/>
          <w:sz w:val="22"/>
          <w:szCs w:val="22"/>
          <w:highlight w:val="yellow"/>
          <w:lang w:val="en-GB"/>
        </w:rPr>
        <w:lastRenderedPageBreak/>
        <w:t xml:space="preserve">of the case indicate that the insolvency proceeding in question was opened on 20 June 2023, </w:t>
      </w:r>
      <w:r w:rsidR="00C206BD">
        <w:rPr>
          <w:rFonts w:ascii="Avenir Next" w:hAnsi="Avenir Next"/>
          <w:sz w:val="22"/>
          <w:szCs w:val="22"/>
          <w:highlight w:val="yellow"/>
          <w:lang w:val="en-GB"/>
        </w:rPr>
        <w:t>which</w:t>
      </w:r>
      <w:bookmarkStart w:id="1" w:name="_GoBack"/>
      <w:bookmarkEnd w:id="1"/>
      <w:r w:rsidRPr="00072EE5">
        <w:rPr>
          <w:rFonts w:ascii="Avenir Next" w:hAnsi="Avenir Next"/>
          <w:sz w:val="22"/>
          <w:szCs w:val="22"/>
          <w:highlight w:val="yellow"/>
          <w:lang w:val="en-GB"/>
        </w:rPr>
        <w:t xml:space="preserve"> is within the temporal scope of the EIR Recast.</w:t>
      </w:r>
    </w:p>
    <w:p w14:paraId="1DF55C57" w14:textId="77777777" w:rsidR="00072EE5" w:rsidRDefault="00072EE5" w:rsidP="00072EE5">
      <w:pPr>
        <w:jc w:val="both"/>
        <w:rPr>
          <w:rFonts w:ascii="Avenir Next" w:hAnsi="Avenir Next"/>
          <w:sz w:val="22"/>
          <w:szCs w:val="22"/>
          <w:highlight w:val="yellow"/>
          <w:lang w:val="en-GB"/>
        </w:rPr>
      </w:pPr>
    </w:p>
    <w:p w14:paraId="02D294CF" w14:textId="7BCE15AC" w:rsidR="00155A6C" w:rsidRPr="00072EE5" w:rsidRDefault="00F53C89" w:rsidP="002A37BB">
      <w:pPr>
        <w:jc w:val="both"/>
        <w:rPr>
          <w:rFonts w:ascii="Avenir Next" w:hAnsi="Avenir Next" w:cs="Arial"/>
          <w:sz w:val="22"/>
          <w:szCs w:val="22"/>
          <w:highlight w:val="yellow"/>
          <w:lang w:val="en-GB"/>
        </w:rPr>
      </w:pPr>
      <w:r w:rsidRPr="00072EE5">
        <w:rPr>
          <w:rFonts w:ascii="Avenir Next" w:hAnsi="Avenir Next"/>
          <w:sz w:val="22"/>
          <w:szCs w:val="22"/>
          <w:highlight w:val="yellow"/>
          <w:lang w:val="en-GB"/>
        </w:rPr>
        <w:t xml:space="preserve">Having studied the facts of the case against the background of the EIR Recast, we can conclude that the EIR Recast is applicable to the insolvency proceeding opened against </w:t>
      </w:r>
      <w:proofErr w:type="spellStart"/>
      <w:r w:rsidRPr="005F5A3A">
        <w:rPr>
          <w:rFonts w:ascii="Avenir Next" w:hAnsi="Avenir Next"/>
          <w:sz w:val="22"/>
          <w:szCs w:val="22"/>
          <w:highlight w:val="yellow"/>
          <w:lang w:val="en-GB"/>
        </w:rPr>
        <w:t>Dinosaurus</w:t>
      </w:r>
      <w:proofErr w:type="spellEnd"/>
      <w:r w:rsidRPr="005F5A3A">
        <w:rPr>
          <w:rFonts w:ascii="Avenir Next" w:hAnsi="Avenir Next"/>
          <w:sz w:val="22"/>
          <w:szCs w:val="22"/>
          <w:highlight w:val="yellow"/>
          <w:lang w:val="en-GB"/>
        </w:rPr>
        <w:t xml:space="preserve"> SARL</w:t>
      </w:r>
      <w:r w:rsidRPr="00072EE5">
        <w:rPr>
          <w:rFonts w:ascii="Avenir Next" w:hAnsi="Avenir Next"/>
          <w:sz w:val="22"/>
          <w:szCs w:val="22"/>
          <w:highlight w:val="yellow"/>
          <w:lang w:val="en-GB"/>
        </w:rPr>
        <w:t>.</w:t>
      </w:r>
    </w:p>
    <w:p w14:paraId="487E70B4" w14:textId="77777777" w:rsidR="00155A6C" w:rsidRDefault="00155A6C" w:rsidP="00155A6C">
      <w:pPr>
        <w:pStyle w:val="BodyText"/>
        <w:kinsoku w:val="0"/>
        <w:overflowPunct w:val="0"/>
        <w:jc w:val="both"/>
        <w:rPr>
          <w:color w:val="231F20"/>
          <w:w w:val="105"/>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75CBDC08" w:rsidR="000A3278" w:rsidRPr="00072EE5" w:rsidRDefault="00417C01" w:rsidP="000A3278">
      <w:p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According to Article 3(2) of EIR </w:t>
      </w:r>
      <w:r w:rsidR="00072EE5" w:rsidRPr="00072EE5">
        <w:rPr>
          <w:rFonts w:ascii="Avenir Next" w:hAnsi="Avenir Next"/>
          <w:sz w:val="22"/>
          <w:szCs w:val="22"/>
          <w:highlight w:val="yellow"/>
          <w:lang w:val="en-GB"/>
        </w:rPr>
        <w:t>Recast</w:t>
      </w:r>
      <w:r w:rsidRPr="00072EE5">
        <w:rPr>
          <w:rFonts w:ascii="Avenir Next" w:hAnsi="Avenir Next"/>
          <w:sz w:val="22"/>
          <w:szCs w:val="22"/>
          <w:highlight w:val="yellow"/>
          <w:lang w:val="en-GB"/>
        </w:rPr>
        <w:t xml:space="preserve">, secondary proceedings are permissible in a Member State where the debtor has an “establishment” rather than </w:t>
      </w:r>
      <w:proofErr w:type="gramStart"/>
      <w:r w:rsidRPr="00072EE5">
        <w:rPr>
          <w:rFonts w:ascii="Avenir Next" w:hAnsi="Avenir Next"/>
          <w:sz w:val="22"/>
          <w:szCs w:val="22"/>
          <w:highlight w:val="yellow"/>
          <w:lang w:val="en-GB"/>
        </w:rPr>
        <w:t>its</w:t>
      </w:r>
      <w:proofErr w:type="gramEnd"/>
      <w:r w:rsidRPr="00072EE5">
        <w:rPr>
          <w:rFonts w:ascii="Avenir Next" w:hAnsi="Avenir Next"/>
          <w:sz w:val="22"/>
          <w:szCs w:val="22"/>
          <w:highlight w:val="yellow"/>
          <w:lang w:val="en-GB"/>
        </w:rPr>
        <w:t xml:space="preserve"> COMI. According to Article 2(10) of the EIR Recast, “establishment” means any place of operations where a debtor carries out or has carried out in the three-month period prior to the request to open main insolvency proceedings a non-transitory economic activity with human means and assets.</w:t>
      </w:r>
    </w:p>
    <w:p w14:paraId="56366132" w14:textId="3DD216C2" w:rsidR="00417C01" w:rsidRPr="00072EE5" w:rsidRDefault="00417C01" w:rsidP="000A3278">
      <w:pPr>
        <w:jc w:val="both"/>
        <w:rPr>
          <w:rFonts w:ascii="Avenir Next" w:hAnsi="Avenir Next"/>
          <w:sz w:val="22"/>
          <w:szCs w:val="22"/>
          <w:highlight w:val="yellow"/>
          <w:lang w:val="en-GB"/>
        </w:rPr>
      </w:pPr>
    </w:p>
    <w:p w14:paraId="3FBFE48C" w14:textId="73B845E2" w:rsidR="00417C01" w:rsidRPr="00072EE5" w:rsidRDefault="00417C01" w:rsidP="000A3278">
      <w:pPr>
        <w:jc w:val="both"/>
        <w:rPr>
          <w:rFonts w:ascii="Avenir Next" w:hAnsi="Avenir Next"/>
          <w:sz w:val="22"/>
          <w:szCs w:val="22"/>
          <w:highlight w:val="yellow"/>
          <w:lang w:val="en-GB"/>
        </w:rPr>
      </w:pPr>
      <w:r w:rsidRPr="00072EE5">
        <w:rPr>
          <w:rFonts w:ascii="Avenir Next" w:hAnsi="Avenir Next"/>
          <w:sz w:val="22"/>
          <w:szCs w:val="22"/>
          <w:highlight w:val="yellow"/>
          <w:lang w:val="en-GB"/>
        </w:rPr>
        <w:t xml:space="preserve">This concept of "establishment" was examined by the CJEU in </w:t>
      </w:r>
      <w:proofErr w:type="spellStart"/>
      <w:r w:rsidRPr="00072EE5">
        <w:rPr>
          <w:rFonts w:ascii="Avenir Next" w:hAnsi="Avenir Next"/>
          <w:i/>
          <w:sz w:val="22"/>
          <w:szCs w:val="22"/>
          <w:highlight w:val="yellow"/>
          <w:lang w:val="en-GB"/>
        </w:rPr>
        <w:t>Interedil</w:t>
      </w:r>
      <w:proofErr w:type="spellEnd"/>
      <w:r w:rsidRPr="00072EE5">
        <w:rPr>
          <w:rFonts w:ascii="Avenir Next" w:hAnsi="Avenir Next"/>
          <w:sz w:val="22"/>
          <w:szCs w:val="22"/>
          <w:highlight w:val="yellow"/>
          <w:lang w:val="en-GB"/>
        </w:rPr>
        <w:t xml:space="preserve">, and based on the facts provided in the hypothetical case, it does not appear that secondary proceedings could be </w:t>
      </w:r>
      <w:r w:rsidR="005F5A3A" w:rsidRPr="00072EE5">
        <w:rPr>
          <w:rFonts w:ascii="Avenir Next" w:hAnsi="Avenir Next"/>
          <w:sz w:val="22"/>
          <w:szCs w:val="22"/>
          <w:highlight w:val="yellow"/>
          <w:lang w:val="en-GB"/>
        </w:rPr>
        <w:t xml:space="preserve">opened </w:t>
      </w:r>
      <w:r w:rsidRPr="00072EE5">
        <w:rPr>
          <w:rFonts w:ascii="Avenir Next" w:hAnsi="Avenir Next"/>
          <w:sz w:val="22"/>
          <w:szCs w:val="22"/>
          <w:highlight w:val="yellow"/>
          <w:lang w:val="en-GB"/>
        </w:rPr>
        <w:t xml:space="preserve">in Italy </w:t>
      </w:r>
      <w:r w:rsidR="005F5A3A" w:rsidRPr="00072EE5">
        <w:rPr>
          <w:rFonts w:ascii="Avenir Next" w:hAnsi="Avenir Next"/>
          <w:sz w:val="22"/>
          <w:szCs w:val="22"/>
          <w:highlight w:val="yellow"/>
          <w:lang w:val="en-GB"/>
        </w:rPr>
        <w:t xml:space="preserve">as there is no evidence the company has an establishment in Italy. </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65CE" w14:textId="77777777" w:rsidR="00ED695F" w:rsidRDefault="00ED695F" w:rsidP="00241B44">
      <w:r>
        <w:separator/>
      </w:r>
    </w:p>
  </w:endnote>
  <w:endnote w:type="continuationSeparator" w:id="0">
    <w:p w14:paraId="5D9B96E7" w14:textId="77777777" w:rsidR="00ED695F" w:rsidRDefault="00ED69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D695F" w:rsidRPr="00FC7B47" w:rsidRDefault="00ED695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D695F" w:rsidRPr="00FC7B47" w:rsidRDefault="00ED695F"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3EFA58E5" w:rsidR="00ED695F" w:rsidRPr="009B4976" w:rsidRDefault="00ED695F"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C206BD">
          <w:rPr>
            <w:rStyle w:val="PageNumber"/>
            <w:rFonts w:ascii="Avenir Next" w:hAnsi="Avenir Next" w:cs="Arial"/>
            <w:noProof/>
            <w:sz w:val="22"/>
            <w:szCs w:val="22"/>
          </w:rPr>
          <w:t>4</w:t>
        </w:r>
        <w:r w:rsidRPr="001B6DDC">
          <w:rPr>
            <w:rStyle w:val="PageNumber"/>
            <w:rFonts w:ascii="Avenir Next" w:hAnsi="Avenir Next" w:cs="Arial"/>
            <w:sz w:val="22"/>
            <w:szCs w:val="22"/>
          </w:rPr>
          <w:fldChar w:fldCharType="end"/>
        </w:r>
      </w:p>
    </w:sdtContent>
  </w:sdt>
  <w:p w14:paraId="30F05E79" w14:textId="7B82E812" w:rsidR="00ED695F" w:rsidRDefault="00C56059" w:rsidP="009B4976">
    <w:pPr>
      <w:pStyle w:val="Footer"/>
      <w:ind w:right="360"/>
      <w:rPr>
        <w:rFonts w:ascii="Avenir Next" w:hAnsi="Avenir Next" w:cs="Arial"/>
        <w:sz w:val="22"/>
        <w:szCs w:val="22"/>
        <w:lang w:val="en-GB"/>
      </w:rPr>
    </w:pPr>
    <w:r>
      <w:rPr>
        <w:rFonts w:ascii="Avenir Next" w:hAnsi="Avenir Next" w:cs="Arial"/>
        <w:sz w:val="22"/>
        <w:szCs w:val="22"/>
        <w:lang w:val="en-GB"/>
      </w:rPr>
      <w:t>FC202323-1444</w:t>
    </w:r>
    <w:r w:rsidR="00ED695F"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6637" w14:textId="77777777" w:rsidR="00ED695F" w:rsidRDefault="00ED695F" w:rsidP="00241B44">
      <w:r>
        <w:separator/>
      </w:r>
    </w:p>
  </w:footnote>
  <w:footnote w:type="continuationSeparator" w:id="0">
    <w:p w14:paraId="0F643B6D" w14:textId="77777777" w:rsidR="00ED695F" w:rsidRDefault="00ED69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5F6408"/>
    <w:multiLevelType w:val="hybridMultilevel"/>
    <w:tmpl w:val="49FCA20E"/>
    <w:lvl w:ilvl="0" w:tplc="5202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6FB62C7"/>
    <w:multiLevelType w:val="hybridMultilevel"/>
    <w:tmpl w:val="237EDA5E"/>
    <w:lvl w:ilvl="0" w:tplc="99DE801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7693F81"/>
    <w:multiLevelType w:val="hybridMultilevel"/>
    <w:tmpl w:val="064E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C9068B0"/>
    <w:multiLevelType w:val="hybridMultilevel"/>
    <w:tmpl w:val="A754BCE4"/>
    <w:lvl w:ilvl="0" w:tplc="5CE2E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C23B55"/>
    <w:multiLevelType w:val="hybridMultilevel"/>
    <w:tmpl w:val="CE8A245C"/>
    <w:lvl w:ilvl="0" w:tplc="6944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400782"/>
    <w:multiLevelType w:val="hybridMultilevel"/>
    <w:tmpl w:val="2E386E08"/>
    <w:lvl w:ilvl="0" w:tplc="48FE8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57B5B"/>
    <w:multiLevelType w:val="hybridMultilevel"/>
    <w:tmpl w:val="1A5CB3E4"/>
    <w:lvl w:ilvl="0" w:tplc="ABD6B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74C67"/>
    <w:multiLevelType w:val="hybridMultilevel"/>
    <w:tmpl w:val="E3BAED80"/>
    <w:lvl w:ilvl="0" w:tplc="AE7EA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4663E"/>
    <w:multiLevelType w:val="hybridMultilevel"/>
    <w:tmpl w:val="B3C62372"/>
    <w:lvl w:ilvl="0" w:tplc="721A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CB450B6"/>
    <w:multiLevelType w:val="hybridMultilevel"/>
    <w:tmpl w:val="253CE7E6"/>
    <w:lvl w:ilvl="0" w:tplc="F786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37DD5"/>
    <w:multiLevelType w:val="hybridMultilevel"/>
    <w:tmpl w:val="DA72F4F8"/>
    <w:lvl w:ilvl="0" w:tplc="6CDA5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6DDD"/>
    <w:multiLevelType w:val="hybridMultilevel"/>
    <w:tmpl w:val="A56A5B40"/>
    <w:lvl w:ilvl="0" w:tplc="5C06C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0"/>
  </w:num>
  <w:num w:numId="4">
    <w:abstractNumId w:val="39"/>
  </w:num>
  <w:num w:numId="5">
    <w:abstractNumId w:val="32"/>
  </w:num>
  <w:num w:numId="6">
    <w:abstractNumId w:val="35"/>
  </w:num>
  <w:num w:numId="7">
    <w:abstractNumId w:val="9"/>
  </w:num>
  <w:num w:numId="8">
    <w:abstractNumId w:val="30"/>
  </w:num>
  <w:num w:numId="9">
    <w:abstractNumId w:val="27"/>
  </w:num>
  <w:num w:numId="10">
    <w:abstractNumId w:val="18"/>
  </w:num>
  <w:num w:numId="11">
    <w:abstractNumId w:val="31"/>
  </w:num>
  <w:num w:numId="12">
    <w:abstractNumId w:val="3"/>
  </w:num>
  <w:num w:numId="13">
    <w:abstractNumId w:val="15"/>
  </w:num>
  <w:num w:numId="14">
    <w:abstractNumId w:val="22"/>
  </w:num>
  <w:num w:numId="15">
    <w:abstractNumId w:val="19"/>
  </w:num>
  <w:num w:numId="16">
    <w:abstractNumId w:val="14"/>
  </w:num>
  <w:num w:numId="17">
    <w:abstractNumId w:val="17"/>
  </w:num>
  <w:num w:numId="18">
    <w:abstractNumId w:val="4"/>
  </w:num>
  <w:num w:numId="19">
    <w:abstractNumId w:val="0"/>
  </w:num>
  <w:num w:numId="20">
    <w:abstractNumId w:val="8"/>
  </w:num>
  <w:num w:numId="21">
    <w:abstractNumId w:val="0"/>
  </w:num>
  <w:num w:numId="22">
    <w:abstractNumId w:val="12"/>
  </w:num>
  <w:num w:numId="23">
    <w:abstractNumId w:val="34"/>
  </w:num>
  <w:num w:numId="24">
    <w:abstractNumId w:val="36"/>
  </w:num>
  <w:num w:numId="25">
    <w:abstractNumId w:val="7"/>
  </w:num>
  <w:num w:numId="26">
    <w:abstractNumId w:val="40"/>
  </w:num>
  <w:num w:numId="27">
    <w:abstractNumId w:val="13"/>
  </w:num>
  <w:num w:numId="28">
    <w:abstractNumId w:val="2"/>
  </w:num>
  <w:num w:numId="29">
    <w:abstractNumId w:val="16"/>
  </w:num>
  <w:num w:numId="30">
    <w:abstractNumId w:val="38"/>
  </w:num>
  <w:num w:numId="31">
    <w:abstractNumId w:val="37"/>
  </w:num>
  <w:num w:numId="32">
    <w:abstractNumId w:val="11"/>
  </w:num>
  <w:num w:numId="33">
    <w:abstractNumId w:val="43"/>
  </w:num>
  <w:num w:numId="34">
    <w:abstractNumId w:val="42"/>
  </w:num>
  <w:num w:numId="35">
    <w:abstractNumId w:val="29"/>
  </w:num>
  <w:num w:numId="36">
    <w:abstractNumId w:val="25"/>
  </w:num>
  <w:num w:numId="37">
    <w:abstractNumId w:val="1"/>
  </w:num>
  <w:num w:numId="38">
    <w:abstractNumId w:val="5"/>
  </w:num>
  <w:num w:numId="39">
    <w:abstractNumId w:val="24"/>
  </w:num>
  <w:num w:numId="40">
    <w:abstractNumId w:val="10"/>
  </w:num>
  <w:num w:numId="41">
    <w:abstractNumId w:val="26"/>
  </w:num>
  <w:num w:numId="42">
    <w:abstractNumId w:val="41"/>
  </w:num>
  <w:num w:numId="43">
    <w:abstractNumId w:val="28"/>
  </w:num>
  <w:num w:numId="44">
    <w:abstractNumId w:val="23"/>
  </w:num>
  <w:num w:numId="45">
    <w:abstractNumId w:val="21"/>
  </w:num>
  <w:num w:numId="4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2EE5"/>
    <w:rsid w:val="000751B0"/>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A6C"/>
    <w:rsid w:val="00155FA2"/>
    <w:rsid w:val="00161F1B"/>
    <w:rsid w:val="00162829"/>
    <w:rsid w:val="00174DC4"/>
    <w:rsid w:val="00175A7D"/>
    <w:rsid w:val="00177A1C"/>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3921"/>
    <w:rsid w:val="001D4862"/>
    <w:rsid w:val="001D6E1C"/>
    <w:rsid w:val="001E25B9"/>
    <w:rsid w:val="001E49E0"/>
    <w:rsid w:val="001E5F8A"/>
    <w:rsid w:val="001E7B5A"/>
    <w:rsid w:val="001F7412"/>
    <w:rsid w:val="00202DFE"/>
    <w:rsid w:val="00203720"/>
    <w:rsid w:val="0020725B"/>
    <w:rsid w:val="002110F1"/>
    <w:rsid w:val="002144D0"/>
    <w:rsid w:val="00222FB5"/>
    <w:rsid w:val="0024116D"/>
    <w:rsid w:val="00241B44"/>
    <w:rsid w:val="00241FA3"/>
    <w:rsid w:val="00243EEE"/>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1387"/>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17C01"/>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61A5"/>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5F5A3A"/>
    <w:rsid w:val="006048C0"/>
    <w:rsid w:val="00610388"/>
    <w:rsid w:val="00611DE6"/>
    <w:rsid w:val="00612CA5"/>
    <w:rsid w:val="006153EC"/>
    <w:rsid w:val="00621A17"/>
    <w:rsid w:val="00627CC9"/>
    <w:rsid w:val="00627DE9"/>
    <w:rsid w:val="00627E7B"/>
    <w:rsid w:val="00630542"/>
    <w:rsid w:val="0063292A"/>
    <w:rsid w:val="00632E44"/>
    <w:rsid w:val="00634622"/>
    <w:rsid w:val="00636768"/>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B79D8"/>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300D"/>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74472"/>
    <w:rsid w:val="00881DE6"/>
    <w:rsid w:val="008837A6"/>
    <w:rsid w:val="0089145D"/>
    <w:rsid w:val="0089362E"/>
    <w:rsid w:val="00894C1D"/>
    <w:rsid w:val="00896A5A"/>
    <w:rsid w:val="00897A78"/>
    <w:rsid w:val="00897E13"/>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3E2"/>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52C"/>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478C0"/>
    <w:rsid w:val="00B52C06"/>
    <w:rsid w:val="00B56103"/>
    <w:rsid w:val="00B64929"/>
    <w:rsid w:val="00B70CB2"/>
    <w:rsid w:val="00B736DF"/>
    <w:rsid w:val="00B743D6"/>
    <w:rsid w:val="00B74FBD"/>
    <w:rsid w:val="00B75156"/>
    <w:rsid w:val="00B77F46"/>
    <w:rsid w:val="00B82586"/>
    <w:rsid w:val="00B829A3"/>
    <w:rsid w:val="00B86DB1"/>
    <w:rsid w:val="00B87869"/>
    <w:rsid w:val="00B96CE3"/>
    <w:rsid w:val="00BA543A"/>
    <w:rsid w:val="00BB0A1F"/>
    <w:rsid w:val="00BB0F2B"/>
    <w:rsid w:val="00BB38D1"/>
    <w:rsid w:val="00BC7959"/>
    <w:rsid w:val="00BD73DA"/>
    <w:rsid w:val="00BE4BFD"/>
    <w:rsid w:val="00BE4FF3"/>
    <w:rsid w:val="00BF50F7"/>
    <w:rsid w:val="00C00B20"/>
    <w:rsid w:val="00C00E77"/>
    <w:rsid w:val="00C02F29"/>
    <w:rsid w:val="00C15FA2"/>
    <w:rsid w:val="00C206BD"/>
    <w:rsid w:val="00C20AFE"/>
    <w:rsid w:val="00C22A25"/>
    <w:rsid w:val="00C35671"/>
    <w:rsid w:val="00C35B77"/>
    <w:rsid w:val="00C35F52"/>
    <w:rsid w:val="00C376EB"/>
    <w:rsid w:val="00C46A92"/>
    <w:rsid w:val="00C46DF7"/>
    <w:rsid w:val="00C46EC1"/>
    <w:rsid w:val="00C52796"/>
    <w:rsid w:val="00C53E2C"/>
    <w:rsid w:val="00C550C8"/>
    <w:rsid w:val="00C56059"/>
    <w:rsid w:val="00C56B61"/>
    <w:rsid w:val="00C606C3"/>
    <w:rsid w:val="00C6075A"/>
    <w:rsid w:val="00C60B85"/>
    <w:rsid w:val="00C620F4"/>
    <w:rsid w:val="00C63E03"/>
    <w:rsid w:val="00C72848"/>
    <w:rsid w:val="00C7729F"/>
    <w:rsid w:val="00C7736C"/>
    <w:rsid w:val="00C82D87"/>
    <w:rsid w:val="00C8712A"/>
    <w:rsid w:val="00C87790"/>
    <w:rsid w:val="00C963D3"/>
    <w:rsid w:val="00CA7069"/>
    <w:rsid w:val="00CB1983"/>
    <w:rsid w:val="00CB2CBB"/>
    <w:rsid w:val="00CB7CAC"/>
    <w:rsid w:val="00CC5335"/>
    <w:rsid w:val="00CC5BA4"/>
    <w:rsid w:val="00CD4998"/>
    <w:rsid w:val="00CD5CF4"/>
    <w:rsid w:val="00CE1035"/>
    <w:rsid w:val="00CE4206"/>
    <w:rsid w:val="00CE6E50"/>
    <w:rsid w:val="00CF0F57"/>
    <w:rsid w:val="00CF1AF7"/>
    <w:rsid w:val="00CF2819"/>
    <w:rsid w:val="00CF4F9D"/>
    <w:rsid w:val="00CF70DC"/>
    <w:rsid w:val="00D00625"/>
    <w:rsid w:val="00D148DC"/>
    <w:rsid w:val="00D17FDC"/>
    <w:rsid w:val="00D21F62"/>
    <w:rsid w:val="00D24871"/>
    <w:rsid w:val="00D26E26"/>
    <w:rsid w:val="00D36887"/>
    <w:rsid w:val="00D509A5"/>
    <w:rsid w:val="00D56B4E"/>
    <w:rsid w:val="00D608A4"/>
    <w:rsid w:val="00D60E46"/>
    <w:rsid w:val="00D63EFD"/>
    <w:rsid w:val="00D651FD"/>
    <w:rsid w:val="00D66F96"/>
    <w:rsid w:val="00D72770"/>
    <w:rsid w:val="00D75351"/>
    <w:rsid w:val="00D84752"/>
    <w:rsid w:val="00D86B3B"/>
    <w:rsid w:val="00D8748A"/>
    <w:rsid w:val="00D9187D"/>
    <w:rsid w:val="00D91F6C"/>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0859"/>
    <w:rsid w:val="00DE121C"/>
    <w:rsid w:val="00DE6633"/>
    <w:rsid w:val="00DF0864"/>
    <w:rsid w:val="00DF75F8"/>
    <w:rsid w:val="00DF7A3A"/>
    <w:rsid w:val="00E00C00"/>
    <w:rsid w:val="00E03AF0"/>
    <w:rsid w:val="00E0748F"/>
    <w:rsid w:val="00E07C5A"/>
    <w:rsid w:val="00E15BA9"/>
    <w:rsid w:val="00E26E19"/>
    <w:rsid w:val="00E30C8A"/>
    <w:rsid w:val="00E31DF3"/>
    <w:rsid w:val="00E450A4"/>
    <w:rsid w:val="00E506BE"/>
    <w:rsid w:val="00E55547"/>
    <w:rsid w:val="00E55814"/>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D695F"/>
    <w:rsid w:val="00EE3B0D"/>
    <w:rsid w:val="00EE4971"/>
    <w:rsid w:val="00EF090E"/>
    <w:rsid w:val="00EF4EED"/>
    <w:rsid w:val="00F033DA"/>
    <w:rsid w:val="00F07E35"/>
    <w:rsid w:val="00F13FB1"/>
    <w:rsid w:val="00F179D0"/>
    <w:rsid w:val="00F27CD8"/>
    <w:rsid w:val="00F30351"/>
    <w:rsid w:val="00F3323E"/>
    <w:rsid w:val="00F341F4"/>
    <w:rsid w:val="00F34F9D"/>
    <w:rsid w:val="00F3562C"/>
    <w:rsid w:val="00F35CCE"/>
    <w:rsid w:val="00F51441"/>
    <w:rsid w:val="00F53C89"/>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66F9"/>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EF4EED"/>
    <w:pPr>
      <w:widowControl w:val="0"/>
      <w:autoSpaceDE w:val="0"/>
      <w:autoSpaceDN w:val="0"/>
      <w:adjustRightInd w:val="0"/>
    </w:pPr>
    <w:rPr>
      <w:rFonts w:ascii="Arial" w:hAnsi="Arial" w:cs="Arial"/>
      <w:szCs w:val="20"/>
    </w:rPr>
  </w:style>
  <w:style w:type="character" w:customStyle="1" w:styleId="BodyTextChar">
    <w:name w:val="Body Text Char"/>
    <w:basedOn w:val="DefaultParagraphFont"/>
    <w:link w:val="BodyText"/>
    <w:uiPriority w:val="99"/>
    <w:rsid w:val="00EF4EE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F000-DDB5-4E3B-AE18-8ADDB700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Gareth Murphy</cp:lastModifiedBy>
  <cp:revision>3</cp:revision>
  <cp:lastPrinted>2019-08-27T05:42:00Z</cp:lastPrinted>
  <dcterms:created xsi:type="dcterms:W3CDTF">2024-02-26T05:41:00Z</dcterms:created>
  <dcterms:modified xsi:type="dcterms:W3CDTF">2024-02-28T02:23:00Z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14311905.4.GMURPHY.</vt:lpwstr>
  </property>
</Properties>
</file>