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E11F23">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B2197A" w:rsidRDefault="00B263D0">
      <w:pPr>
        <w:pStyle w:val="ListParagraph"/>
        <w:numPr>
          <w:ilvl w:val="0"/>
          <w:numId w:val="1"/>
        </w:numPr>
        <w:ind w:left="426" w:hanging="426"/>
        <w:jc w:val="both"/>
        <w:rPr>
          <w:rFonts w:ascii="Avenir Next" w:hAnsi="Avenir Next" w:cs="Arial"/>
          <w:sz w:val="22"/>
          <w:szCs w:val="22"/>
          <w:highlight w:val="yellow"/>
          <w:lang w:val="en-GB"/>
        </w:rPr>
      </w:pPr>
      <w:r w:rsidRPr="00B2197A">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Internationalisation.</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5B7D13" w:rsidRDefault="00AD0E59">
      <w:pPr>
        <w:pStyle w:val="ListParagraph"/>
        <w:numPr>
          <w:ilvl w:val="0"/>
          <w:numId w:val="10"/>
        </w:numPr>
        <w:ind w:left="426" w:hanging="426"/>
        <w:jc w:val="both"/>
        <w:rPr>
          <w:rFonts w:ascii="Avenir Next" w:hAnsi="Avenir Next" w:cs="Arial"/>
          <w:sz w:val="22"/>
          <w:szCs w:val="22"/>
          <w:highlight w:val="yellow"/>
          <w:lang w:val="en-GB"/>
        </w:rPr>
      </w:pPr>
      <w:r w:rsidRPr="005B7D13">
        <w:rPr>
          <w:rFonts w:ascii="Avenir Next" w:hAnsi="Avenir Next" w:cs="Arial"/>
          <w:sz w:val="22"/>
          <w:szCs w:val="22"/>
          <w:highlight w:val="yellow"/>
          <w:lang w:val="en-GB"/>
        </w:rPr>
        <w:t>Options (i),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lastRenderedPageBreak/>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A127F5" w:rsidRDefault="00893A03">
      <w:pPr>
        <w:pStyle w:val="ListParagraph"/>
        <w:numPr>
          <w:ilvl w:val="0"/>
          <w:numId w:val="2"/>
        </w:numPr>
        <w:ind w:left="426" w:hanging="426"/>
        <w:jc w:val="both"/>
        <w:rPr>
          <w:rFonts w:ascii="Avenir Next" w:hAnsi="Avenir Next" w:cs="Arial"/>
          <w:sz w:val="22"/>
          <w:szCs w:val="22"/>
          <w:highlight w:val="yellow"/>
          <w:lang w:val="en-GB"/>
        </w:rPr>
      </w:pPr>
      <w:r w:rsidRPr="00A127F5">
        <w:rPr>
          <w:rFonts w:ascii="Avenir Next" w:hAnsi="Avenir Next" w:cs="Arial"/>
          <w:sz w:val="22"/>
          <w:szCs w:val="22"/>
          <w:highlight w:val="yellow"/>
          <w:lang w:val="en-GB"/>
        </w:rPr>
        <w:t xml:space="preserve">Options (i),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A127F5" w:rsidRDefault="00812AFE">
      <w:pPr>
        <w:pStyle w:val="ListParagraph"/>
        <w:numPr>
          <w:ilvl w:val="0"/>
          <w:numId w:val="3"/>
        </w:numPr>
        <w:ind w:left="426" w:hanging="426"/>
        <w:jc w:val="both"/>
        <w:rPr>
          <w:rFonts w:ascii="Avenir Next" w:hAnsi="Avenir Next" w:cs="Arial"/>
          <w:sz w:val="22"/>
          <w:szCs w:val="22"/>
          <w:highlight w:val="yellow"/>
          <w:lang w:val="en-GB"/>
        </w:rPr>
      </w:pPr>
      <w:r w:rsidRPr="00A127F5">
        <w:rPr>
          <w:rFonts w:ascii="Avenir Next" w:hAnsi="Avenir Next" w:cs="Arial"/>
          <w:sz w:val="22"/>
          <w:szCs w:val="22"/>
          <w:highlight w:val="yellow"/>
          <w:lang w:val="en-GB"/>
        </w:rPr>
        <w:t>Options (i),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A127F5" w:rsidRDefault="003220BA">
      <w:pPr>
        <w:pStyle w:val="ListParagraph"/>
        <w:numPr>
          <w:ilvl w:val="0"/>
          <w:numId w:val="4"/>
        </w:numPr>
        <w:ind w:left="426" w:hanging="426"/>
        <w:jc w:val="both"/>
        <w:rPr>
          <w:rFonts w:ascii="Avenir Next" w:hAnsi="Avenir Next" w:cs="Arial"/>
          <w:sz w:val="22"/>
          <w:szCs w:val="22"/>
          <w:highlight w:val="yellow"/>
          <w:lang w:val="en-GB"/>
        </w:rPr>
      </w:pPr>
      <w:r w:rsidRPr="00A127F5">
        <w:rPr>
          <w:rFonts w:ascii="Avenir Next" w:hAnsi="Avenir Next" w:cs="Arial"/>
          <w:sz w:val="22"/>
          <w:szCs w:val="22"/>
          <w:highlight w:val="yellow"/>
          <w:lang w:val="en-GB"/>
        </w:rPr>
        <w:t xml:space="preserve">Options (i)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A127F5" w:rsidRDefault="009344C1">
      <w:pPr>
        <w:pStyle w:val="ListParagraph"/>
        <w:numPr>
          <w:ilvl w:val="0"/>
          <w:numId w:val="5"/>
        </w:numPr>
        <w:ind w:left="426" w:hanging="426"/>
        <w:jc w:val="both"/>
        <w:rPr>
          <w:rFonts w:ascii="Avenir Next" w:hAnsi="Avenir Next" w:cs="Arial"/>
          <w:sz w:val="22"/>
          <w:szCs w:val="22"/>
          <w:highlight w:val="yellow"/>
          <w:lang w:val="en-GB"/>
        </w:rPr>
      </w:pPr>
      <w:r w:rsidRPr="00A127F5">
        <w:rPr>
          <w:rFonts w:ascii="Avenir Next" w:hAnsi="Avenir Next" w:cs="Arial"/>
          <w:sz w:val="22"/>
          <w:szCs w:val="22"/>
          <w:highlight w:val="yellow"/>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A127F5" w:rsidRDefault="00F51EE5">
      <w:pPr>
        <w:pStyle w:val="ListParagraph"/>
        <w:numPr>
          <w:ilvl w:val="0"/>
          <w:numId w:val="6"/>
        </w:numPr>
        <w:ind w:left="426" w:hanging="426"/>
        <w:jc w:val="both"/>
        <w:rPr>
          <w:rFonts w:ascii="Avenir Next" w:hAnsi="Avenir Next" w:cs="Arial"/>
          <w:sz w:val="22"/>
          <w:szCs w:val="22"/>
          <w:highlight w:val="yellow"/>
          <w:lang w:val="en-GB"/>
        </w:rPr>
      </w:pPr>
      <w:r w:rsidRPr="00A127F5">
        <w:rPr>
          <w:rFonts w:ascii="Avenir Next" w:hAnsi="Avenir Next" w:cs="Arial"/>
          <w:sz w:val="22"/>
          <w:szCs w:val="22"/>
          <w:highlight w:val="yellow"/>
          <w:lang w:val="en-GB"/>
        </w:rPr>
        <w:t>Options (i),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pPr>
        <w:pStyle w:val="ListParagraph"/>
        <w:numPr>
          <w:ilvl w:val="0"/>
          <w:numId w:val="6"/>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EC5A90" w:rsidRDefault="0097337E">
      <w:pPr>
        <w:pStyle w:val="ListParagraph"/>
        <w:numPr>
          <w:ilvl w:val="0"/>
          <w:numId w:val="7"/>
        </w:numPr>
        <w:ind w:left="426" w:hanging="426"/>
        <w:jc w:val="both"/>
        <w:rPr>
          <w:rFonts w:ascii="Avenir Next" w:hAnsi="Avenir Next" w:cs="Arial"/>
          <w:sz w:val="22"/>
          <w:szCs w:val="22"/>
          <w:lang w:val="en-GB"/>
        </w:rPr>
      </w:pPr>
      <w:r w:rsidRPr="00EC5A90">
        <w:rPr>
          <w:rFonts w:ascii="Avenir Next" w:hAnsi="Avenir Next" w:cs="Arial"/>
          <w:sz w:val="22"/>
          <w:szCs w:val="22"/>
          <w:lang w:val="en-GB"/>
        </w:rPr>
        <w:t>Options (i),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EC5A90" w:rsidRDefault="0097337E">
      <w:pPr>
        <w:pStyle w:val="ListParagraph"/>
        <w:numPr>
          <w:ilvl w:val="0"/>
          <w:numId w:val="7"/>
        </w:numPr>
        <w:ind w:left="426" w:hanging="426"/>
        <w:jc w:val="both"/>
        <w:rPr>
          <w:rFonts w:ascii="Avenir Next" w:hAnsi="Avenir Next" w:cs="Arial"/>
          <w:sz w:val="22"/>
          <w:szCs w:val="22"/>
          <w:highlight w:val="yellow"/>
          <w:lang w:val="en-GB"/>
        </w:rPr>
      </w:pPr>
      <w:r w:rsidRPr="00EC5A90">
        <w:rPr>
          <w:rFonts w:ascii="Avenir Next" w:hAnsi="Avenir Next" w:cs="Arial"/>
          <w:sz w:val="22"/>
          <w:szCs w:val="22"/>
          <w:highlight w:val="yellow"/>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24612BAE" w:rsidR="00622586" w:rsidRPr="00E2622D" w:rsidRDefault="00567525" w:rsidP="00567525">
      <w:pPr>
        <w:tabs>
          <w:tab w:val="left" w:pos="7910"/>
        </w:tabs>
        <w:spacing w:line="276" w:lineRule="auto"/>
        <w:jc w:val="both"/>
        <w:rPr>
          <w:rFonts w:ascii="Avenir Next" w:eastAsiaTheme="minorHAnsi" w:hAnsi="Avenir Next" w:cs="Arial"/>
          <w:sz w:val="22"/>
          <w:szCs w:val="22"/>
          <w:lang w:val="en-GB"/>
        </w:rPr>
      </w:pPr>
      <w:r>
        <w:rPr>
          <w:rFonts w:ascii="Avenir Next" w:eastAsiaTheme="minorHAnsi" w:hAnsi="Avenir Next" w:cs="Arial"/>
          <w:sz w:val="22"/>
          <w:szCs w:val="22"/>
          <w:lang w:val="en-GB"/>
        </w:rPr>
        <w:tab/>
      </w: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(i)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8E3F22" w:rsidRDefault="009A58D1">
      <w:pPr>
        <w:pStyle w:val="ListParagraph"/>
        <w:numPr>
          <w:ilvl w:val="0"/>
          <w:numId w:val="8"/>
        </w:numPr>
        <w:ind w:left="426" w:hanging="426"/>
        <w:jc w:val="both"/>
        <w:rPr>
          <w:rFonts w:ascii="Avenir Next" w:hAnsi="Avenir Next" w:cs="Arial"/>
          <w:sz w:val="22"/>
          <w:szCs w:val="22"/>
          <w:highlight w:val="yellow"/>
          <w:lang w:val="en-GB"/>
        </w:rPr>
      </w:pPr>
      <w:r w:rsidRPr="008E3F22">
        <w:rPr>
          <w:rFonts w:ascii="Avenir Next" w:hAnsi="Avenir Next" w:cs="Arial"/>
          <w:sz w:val="22"/>
          <w:szCs w:val="22"/>
          <w:highlight w:val="yellow"/>
          <w:lang w:val="en-GB"/>
        </w:rPr>
        <w:t>Options (iii), (i)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(i)</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Pr="00EC5A90" w:rsidRDefault="00C4510C">
      <w:pPr>
        <w:pStyle w:val="ListParagraph"/>
        <w:numPr>
          <w:ilvl w:val="0"/>
          <w:numId w:val="9"/>
        </w:numPr>
        <w:ind w:left="426" w:hanging="426"/>
        <w:jc w:val="both"/>
        <w:rPr>
          <w:rFonts w:ascii="Avenir Next" w:hAnsi="Avenir Next" w:cs="Arial"/>
          <w:sz w:val="22"/>
          <w:szCs w:val="22"/>
          <w:lang w:val="en-GB"/>
        </w:rPr>
      </w:pPr>
      <w:r w:rsidRPr="00EC5A90">
        <w:rPr>
          <w:rFonts w:ascii="Avenir Next" w:hAnsi="Avenir Next" w:cs="Arial"/>
          <w:sz w:val="22"/>
          <w:szCs w:val="22"/>
          <w:lang w:val="en-GB"/>
        </w:rPr>
        <w:t xml:space="preserve">The recognition of a foreign main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0251E5" w:rsidRDefault="00C4510C">
      <w:pPr>
        <w:pStyle w:val="ListParagraph"/>
        <w:numPr>
          <w:ilvl w:val="0"/>
          <w:numId w:val="9"/>
        </w:numPr>
        <w:ind w:left="426" w:hanging="426"/>
        <w:jc w:val="both"/>
        <w:rPr>
          <w:rFonts w:ascii="Avenir Next" w:hAnsi="Avenir Next" w:cs="Arial"/>
          <w:sz w:val="22"/>
          <w:szCs w:val="22"/>
          <w:highlight w:val="yellow"/>
          <w:lang w:val="en-GB"/>
        </w:rPr>
      </w:pPr>
      <w:r w:rsidRPr="000251E5">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654B0E66" w14:textId="32DC893F" w:rsidR="00CB56CE" w:rsidRDefault="00376755"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EIR is an EU Regulation and as such it is part of the domestic law of the EU member states. </w:t>
      </w:r>
      <w:r w:rsidR="00CF5804">
        <w:rPr>
          <w:rFonts w:ascii="Avenir Next" w:hAnsi="Avenir Next" w:cs="Arial"/>
          <w:color w:val="808080" w:themeColor="background1" w:themeShade="80"/>
          <w:sz w:val="22"/>
          <w:szCs w:val="22"/>
          <w:lang w:val="en-GB"/>
        </w:rPr>
        <w:t xml:space="preserve">It focuses on a decision on which state will have the main proceedings and then lets that state’s national law govern those proceedings. The resulting decision is then recognised and enforceable in every EU member state (except Denmark). </w:t>
      </w:r>
      <w:r>
        <w:rPr>
          <w:rFonts w:ascii="Avenir Next" w:hAnsi="Avenir Next" w:cs="Arial"/>
          <w:color w:val="808080" w:themeColor="background1" w:themeShade="80"/>
          <w:sz w:val="22"/>
          <w:szCs w:val="22"/>
          <w:lang w:val="en-GB"/>
        </w:rPr>
        <w:t>The MLCBI is a legislative text that is only a recommendation for adoption into the national laws of any state, even those outside of the EU. The EIR defines the COMI, while the MLCBI does not contain a definition of the COMI but rather refers to the EIR.</w:t>
      </w:r>
    </w:p>
    <w:p w14:paraId="21FEE8D0" w14:textId="5751E251" w:rsidR="00376755" w:rsidRPr="00B77352" w:rsidRDefault="00376755"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advantage of the EIR’s approach is that there is a unified implementation within the national legislation of the EU member states </w:t>
      </w:r>
      <w:r w:rsidR="00CF5804">
        <w:rPr>
          <w:rFonts w:ascii="Avenir Next" w:hAnsi="Avenir Next" w:cs="Arial"/>
          <w:color w:val="808080" w:themeColor="background1" w:themeShade="80"/>
          <w:sz w:val="22"/>
          <w:szCs w:val="22"/>
          <w:lang w:val="en-GB"/>
        </w:rPr>
        <w:t xml:space="preserve">as far as the main proceedings and recognition and enforcement are concerned, </w:t>
      </w:r>
      <w:r>
        <w:rPr>
          <w:rFonts w:ascii="Avenir Next" w:hAnsi="Avenir Next" w:cs="Arial"/>
          <w:color w:val="808080" w:themeColor="background1" w:themeShade="80"/>
          <w:sz w:val="22"/>
          <w:szCs w:val="22"/>
          <w:lang w:val="en-GB"/>
        </w:rPr>
        <w:t>and there should be no exceptions in the implementation</w:t>
      </w:r>
      <w:r w:rsidR="008331BD">
        <w:rPr>
          <w:rFonts w:ascii="Avenir Next" w:hAnsi="Avenir Next" w:cs="Arial"/>
          <w:color w:val="808080" w:themeColor="background1" w:themeShade="80"/>
          <w:sz w:val="22"/>
          <w:szCs w:val="22"/>
          <w:lang w:val="en-GB"/>
        </w:rPr>
        <w:t xml:space="preserve">, while with MLCBI the particular state’s adoption of the recommendations may be full of partial and so leads to differences. The advantage of the MLCBI is that it covers states across the globe, including those outside of the EU. And it encourages implementation into a wide variety of legal systems allowing for keeping the local specifics. </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428DC0DA" w14:textId="3FA9F765" w:rsidR="00867A8F" w:rsidRPr="00B77352" w:rsidRDefault="00B06AF1"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Upon recognition of a foreign procedure, main or non-main, the court should consider whether the rights and interests of the debtor, creditors and other interested parties are adequately protected. Further, paragraph 4 states that in case of foreign non-main proceedings, the court has to be satisfied that the relief relates to assets that should be administered under foreign non main proceedings, or concerns information required in that proceedings – in line with the enacting state’s law. </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7B641490" w:rsidR="00867A8F" w:rsidRPr="00B77352" w:rsidRDefault="00764D7F" w:rsidP="00100E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Foreign creditors have the same rights as domestic creditors in an enacting state </w:t>
      </w:r>
      <w:r w:rsidR="001F1C6D">
        <w:rPr>
          <w:rFonts w:ascii="Avenir Next" w:hAnsi="Avenir Next" w:cs="Arial"/>
          <w:color w:val="808080" w:themeColor="background1" w:themeShade="80"/>
          <w:sz w:val="22"/>
          <w:szCs w:val="22"/>
          <w:lang w:val="en-GB"/>
        </w:rPr>
        <w:t xml:space="preserve">regarding commencement and participation in local proceedings regarding an insolvent debtor. Also, the claim of a foreign creditor is not to be given a lower ranking then that of general unsecured claims based on the creditor being a foreign one. Exceptions to this discrimination rule may be applied in case of tax and social security related claims. </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18F91E21" w14:textId="4975E208" w:rsidR="00867A8F" w:rsidRDefault="001F1C6D" w:rsidP="00100E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case of foreign main proceedings being recognised, the relief is automatic mandatory while with foreign non-main proceedings the relief is discretionary post recognition one</w:t>
      </w:r>
      <w:r w:rsidR="00CC3119">
        <w:rPr>
          <w:rFonts w:ascii="Avenir Next" w:hAnsi="Avenir Next" w:cs="Arial"/>
          <w:color w:val="808080" w:themeColor="background1" w:themeShade="80"/>
          <w:sz w:val="22"/>
          <w:szCs w:val="22"/>
          <w:lang w:val="en-GB"/>
        </w:rPr>
        <w:t xml:space="preserve"> granted by the court</w:t>
      </w:r>
      <w:r>
        <w:rPr>
          <w:rFonts w:ascii="Avenir Next" w:hAnsi="Avenir Next" w:cs="Arial"/>
          <w:color w:val="808080" w:themeColor="background1" w:themeShade="80"/>
          <w:sz w:val="22"/>
          <w:szCs w:val="22"/>
          <w:lang w:val="en-GB"/>
        </w:rPr>
        <w:t xml:space="preserve">. </w:t>
      </w:r>
      <w:r w:rsidR="00CC3119">
        <w:rPr>
          <w:rFonts w:ascii="Avenir Next" w:hAnsi="Avenir Next" w:cs="Arial"/>
          <w:color w:val="808080" w:themeColor="background1" w:themeShade="80"/>
          <w:sz w:val="22"/>
          <w:szCs w:val="22"/>
          <w:lang w:val="en-GB"/>
        </w:rPr>
        <w:t xml:space="preserve">Urgent interim relief can be granted upon application for the recognition. </w:t>
      </w:r>
      <w:r w:rsidR="0020456A">
        <w:rPr>
          <w:rFonts w:ascii="Avenir Next" w:hAnsi="Avenir Next" w:cs="Arial"/>
          <w:color w:val="808080" w:themeColor="background1" w:themeShade="80"/>
          <w:sz w:val="22"/>
          <w:szCs w:val="22"/>
          <w:lang w:val="en-GB"/>
        </w:rPr>
        <w:t xml:space="preserve">The recognition of foreign main proceedings provides for the following automatic mandatory reliefs: A stay of commencement or continuation of individual action on the debtor’s assets right or obligations; a stay of execution over the debtor’s assets; a suspension of any transfer or disposal of the debtor's assets. The court may alter the automatic reliefs if </w:t>
      </w:r>
      <w:r w:rsidR="00FD3671">
        <w:rPr>
          <w:rFonts w:ascii="Avenir Next" w:hAnsi="Avenir Next" w:cs="Arial"/>
          <w:color w:val="808080" w:themeColor="background1" w:themeShade="80"/>
          <w:sz w:val="22"/>
          <w:szCs w:val="22"/>
          <w:lang w:val="en-GB"/>
        </w:rPr>
        <w:t xml:space="preserve">these are not protecting </w:t>
      </w:r>
      <w:r w:rsidR="0020456A">
        <w:rPr>
          <w:rFonts w:ascii="Avenir Next" w:hAnsi="Avenir Next" w:cs="Arial"/>
          <w:color w:val="808080" w:themeColor="background1" w:themeShade="80"/>
          <w:sz w:val="22"/>
          <w:szCs w:val="22"/>
          <w:lang w:val="en-GB"/>
        </w:rPr>
        <w:t>the interest of the parties</w:t>
      </w:r>
      <w:r w:rsidR="00FD3671">
        <w:rPr>
          <w:rFonts w:ascii="Avenir Next" w:hAnsi="Avenir Next" w:cs="Arial"/>
          <w:color w:val="808080" w:themeColor="background1" w:themeShade="80"/>
          <w:sz w:val="22"/>
          <w:szCs w:val="22"/>
          <w:lang w:val="en-GB"/>
        </w:rPr>
        <w:t xml:space="preserve"> (including the debtor). The right to commence domestic insolvency proceeding against the debtor is preserved.</w:t>
      </w:r>
    </w:p>
    <w:p w14:paraId="6094E297" w14:textId="434D9919" w:rsidR="00FD3671" w:rsidRDefault="00FD3671" w:rsidP="00100E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case of recognition of </w:t>
      </w:r>
      <w:r w:rsidR="00F61882">
        <w:rPr>
          <w:rFonts w:ascii="Avenir Next" w:hAnsi="Avenir Next" w:cs="Arial"/>
          <w:color w:val="808080" w:themeColor="background1" w:themeShade="80"/>
          <w:sz w:val="22"/>
          <w:szCs w:val="22"/>
          <w:lang w:val="en-GB"/>
        </w:rPr>
        <w:t>non-main</w:t>
      </w:r>
      <w:r>
        <w:rPr>
          <w:rFonts w:ascii="Avenir Next" w:hAnsi="Avenir Next" w:cs="Arial"/>
          <w:color w:val="808080" w:themeColor="background1" w:themeShade="80"/>
          <w:sz w:val="22"/>
          <w:szCs w:val="22"/>
          <w:lang w:val="en-GB"/>
        </w:rPr>
        <w:t xml:space="preserve"> foreign proceedings, the court has a discretion to provide any post recognition relief as it deems appropriate to protect the interests of the parties. These may include the following: suspension of rights to transfer assets, right to examine witnesses, right to obtain documents and books and records, right to control the debtor’s assets etc. </w:t>
      </w:r>
    </w:p>
    <w:p w14:paraId="4127391E" w14:textId="77777777" w:rsidR="00100E8F" w:rsidRPr="00B77352" w:rsidRDefault="00100E8F" w:rsidP="00100E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08475351" w14:textId="7AD633B5" w:rsidR="00867A8F" w:rsidRPr="00B77352" w:rsidRDefault="00E65B33"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the COMI of the debtor is in Germany, domestic proceedings were opened in Germany. If Bermuda adopted the MLCBI, the insolvency administrator from the German proceedings filed for recognition in Bermuda and the German proceedings were recognised as foreign main proceedings in Bermuda</w:t>
      </w:r>
      <w:r w:rsidR="00142FF7">
        <w:rPr>
          <w:rFonts w:ascii="Avenir Next" w:hAnsi="Avenir Next" w:cs="Arial"/>
          <w:color w:val="808080" w:themeColor="background1" w:themeShade="80"/>
          <w:sz w:val="22"/>
          <w:szCs w:val="22"/>
          <w:lang w:val="en-GB"/>
        </w:rPr>
        <w:t xml:space="preserve">, as in Bermuda there is an </w:t>
      </w:r>
      <w:r w:rsidR="00CF5804">
        <w:rPr>
          <w:rFonts w:ascii="Avenir Next" w:hAnsi="Avenir Next" w:cs="Arial"/>
          <w:color w:val="808080" w:themeColor="background1" w:themeShade="80"/>
          <w:sz w:val="22"/>
          <w:szCs w:val="22"/>
          <w:lang w:val="en-GB"/>
        </w:rPr>
        <w:t>establishment</w:t>
      </w:r>
      <w:r w:rsidR="00142FF7">
        <w:rPr>
          <w:rFonts w:ascii="Avenir Next" w:hAnsi="Avenir Next" w:cs="Arial"/>
          <w:color w:val="808080" w:themeColor="background1" w:themeShade="80"/>
          <w:sz w:val="22"/>
          <w:szCs w:val="22"/>
          <w:lang w:val="en-GB"/>
        </w:rPr>
        <w:t xml:space="preserve"> of the debtor and so possible assets and further creditors</w:t>
      </w:r>
      <w:r>
        <w:rPr>
          <w:rFonts w:ascii="Avenir Next" w:hAnsi="Avenir Next" w:cs="Arial"/>
          <w:color w:val="808080" w:themeColor="background1" w:themeShade="80"/>
          <w:sz w:val="22"/>
          <w:szCs w:val="22"/>
          <w:lang w:val="en-GB"/>
        </w:rPr>
        <w:t>. The German administrator was approved as foreign representative</w:t>
      </w:r>
      <w:r w:rsidR="00142FF7">
        <w:rPr>
          <w:rFonts w:ascii="Avenir Next" w:hAnsi="Avenir Next" w:cs="Arial"/>
          <w:color w:val="808080" w:themeColor="background1" w:themeShade="80"/>
          <w:sz w:val="22"/>
          <w:szCs w:val="22"/>
          <w:lang w:val="en-GB"/>
        </w:rPr>
        <w:t xml:space="preserve"> in Bermuda</w:t>
      </w:r>
      <w:r>
        <w:rPr>
          <w:rFonts w:ascii="Avenir Next" w:hAnsi="Avenir Next" w:cs="Arial"/>
          <w:color w:val="808080" w:themeColor="background1" w:themeShade="80"/>
          <w:sz w:val="22"/>
          <w:szCs w:val="22"/>
          <w:lang w:val="en-GB"/>
        </w:rPr>
        <w:t xml:space="preserve">. It appears that there are assets </w:t>
      </w:r>
      <w:r w:rsidR="00142FF7">
        <w:rPr>
          <w:rFonts w:ascii="Avenir Next" w:hAnsi="Avenir Next" w:cs="Arial"/>
          <w:color w:val="808080" w:themeColor="background1" w:themeShade="80"/>
          <w:sz w:val="22"/>
          <w:szCs w:val="22"/>
          <w:lang w:val="en-GB"/>
        </w:rPr>
        <w:t xml:space="preserve">and/or </w:t>
      </w:r>
      <w:r>
        <w:rPr>
          <w:rFonts w:ascii="Avenir Next" w:hAnsi="Avenir Next" w:cs="Arial"/>
          <w:color w:val="808080" w:themeColor="background1" w:themeShade="80"/>
          <w:sz w:val="22"/>
          <w:szCs w:val="22"/>
          <w:lang w:val="en-GB"/>
        </w:rPr>
        <w:t>creditor</w:t>
      </w:r>
      <w:r w:rsidR="00142FF7">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w:t>
      </w:r>
      <w:r w:rsidR="00142FF7">
        <w:rPr>
          <w:rFonts w:ascii="Avenir Next" w:hAnsi="Avenir Next" w:cs="Arial"/>
          <w:color w:val="808080" w:themeColor="background1" w:themeShade="80"/>
          <w:sz w:val="22"/>
          <w:szCs w:val="22"/>
          <w:lang w:val="en-GB"/>
        </w:rPr>
        <w:t xml:space="preserve">of the debtor </w:t>
      </w:r>
      <w:r>
        <w:rPr>
          <w:rFonts w:ascii="Avenir Next" w:hAnsi="Avenir Next" w:cs="Arial"/>
          <w:color w:val="808080" w:themeColor="background1" w:themeShade="80"/>
          <w:sz w:val="22"/>
          <w:szCs w:val="22"/>
          <w:lang w:val="en-GB"/>
        </w:rPr>
        <w:t xml:space="preserve">in </w:t>
      </w:r>
      <w:r>
        <w:rPr>
          <w:rFonts w:ascii="Avenir Next" w:hAnsi="Avenir Next" w:cs="Arial"/>
          <w:color w:val="808080" w:themeColor="background1" w:themeShade="80"/>
          <w:sz w:val="22"/>
          <w:szCs w:val="22"/>
          <w:lang w:val="en-GB"/>
        </w:rPr>
        <w:lastRenderedPageBreak/>
        <w:t>the US. The US adopted the MLCBI. The German insolvency administrator filed for recognition of the German proceedings a</w:t>
      </w:r>
      <w:r w:rsidR="00142FF7">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foreign main proceeding in the US </w:t>
      </w:r>
      <w:r w:rsidR="00142FF7">
        <w:rPr>
          <w:rFonts w:ascii="Avenir Next" w:hAnsi="Avenir Next" w:cs="Arial"/>
          <w:color w:val="808080" w:themeColor="background1" w:themeShade="80"/>
          <w:sz w:val="22"/>
          <w:szCs w:val="22"/>
          <w:lang w:val="en-GB"/>
        </w:rPr>
        <w:t xml:space="preserve">(COMI) </w:t>
      </w:r>
      <w:r>
        <w:rPr>
          <w:rFonts w:ascii="Avenir Next" w:hAnsi="Avenir Next" w:cs="Arial"/>
          <w:color w:val="808080" w:themeColor="background1" w:themeShade="80"/>
          <w:sz w:val="22"/>
          <w:szCs w:val="22"/>
          <w:lang w:val="en-GB"/>
        </w:rPr>
        <w:t xml:space="preserve">and for recognition of the Bermuda proceedings </w:t>
      </w:r>
      <w:r w:rsidR="00142FF7">
        <w:rPr>
          <w:rFonts w:ascii="Avenir Next" w:hAnsi="Avenir Next" w:cs="Arial"/>
          <w:color w:val="808080" w:themeColor="background1" w:themeShade="80"/>
          <w:sz w:val="22"/>
          <w:szCs w:val="22"/>
          <w:lang w:val="en-GB"/>
        </w:rPr>
        <w:t xml:space="preserve">(establishment) </w:t>
      </w:r>
      <w:r>
        <w:rPr>
          <w:rFonts w:ascii="Avenir Next" w:hAnsi="Avenir Next" w:cs="Arial"/>
          <w:color w:val="808080" w:themeColor="background1" w:themeShade="80"/>
          <w:sz w:val="22"/>
          <w:szCs w:val="22"/>
          <w:lang w:val="en-GB"/>
        </w:rPr>
        <w:t>as foreign non-main proceedings.</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3937CDFF" w14:textId="4BDB041C" w:rsidR="00867A8F" w:rsidRPr="00B77352" w:rsidRDefault="00142FF7"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the US adopted the MLCBI, the provisional liquidators should apply for an interim relief to protect the interests of the interested parties, in this case mainly the other creditors. The court should grant the interim relief until the foreign proceedings are recognised, upon which either mandatory (foreign main proceedings) or discretionary post recognition (foreign non main proceedings) relief should be granted. The relief should secure a stay of individual creditor</w:t>
      </w:r>
      <w:r w:rsidR="00032F32">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actions. </w:t>
      </w:r>
      <w:r w:rsidR="00032F32">
        <w:rPr>
          <w:rFonts w:ascii="Avenir Next" w:hAnsi="Avenir Next" w:cs="Arial"/>
          <w:color w:val="808080" w:themeColor="background1" w:themeShade="80"/>
          <w:sz w:val="22"/>
          <w:szCs w:val="22"/>
          <w:lang w:val="en-GB"/>
        </w:rPr>
        <w:t xml:space="preserve">The foreign representatives (joint liquidators) should have same rights as the domestic ones would have and should not be discriminated. Also, the rights of the foreign creditors should be equal to the rights of the domestic ones. </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4A0E319B" w14:textId="5A162B5D" w:rsidR="00867A8F" w:rsidRPr="00F31EE9" w:rsidRDefault="00032F32" w:rsidP="00F31EE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should ask for interim relief, putting assets and contracts of the debtor under stay/protection until the recognition is granted. While there is no immediate litigation pending against the foreign debtor, individual creditors from the </w:t>
      </w:r>
      <w:r w:rsidR="00A3270B">
        <w:rPr>
          <w:rFonts w:ascii="Avenir Next" w:hAnsi="Avenir Next" w:cs="Arial"/>
          <w:color w:val="808080" w:themeColor="background1" w:themeShade="80"/>
          <w:sz w:val="22"/>
          <w:szCs w:val="22"/>
          <w:lang w:val="en-GB"/>
        </w:rPr>
        <w:t xml:space="preserve">US governed lease contracts and intellectual property licenses </w:t>
      </w:r>
      <w:r>
        <w:rPr>
          <w:rFonts w:ascii="Avenir Next" w:hAnsi="Avenir Next" w:cs="Arial"/>
          <w:color w:val="808080" w:themeColor="background1" w:themeShade="80"/>
          <w:sz w:val="22"/>
          <w:szCs w:val="22"/>
          <w:lang w:val="en-GB"/>
        </w:rPr>
        <w:t>may</w:t>
      </w:r>
      <w:r w:rsidR="00A3270B">
        <w:rPr>
          <w:rFonts w:ascii="Avenir Next" w:hAnsi="Avenir Next" w:cs="Arial"/>
          <w:color w:val="808080" w:themeColor="background1" w:themeShade="80"/>
          <w:sz w:val="22"/>
          <w:szCs w:val="22"/>
          <w:lang w:val="en-GB"/>
        </w:rPr>
        <w:t xml:space="preserve"> call the termination clauses before the US Bankruptcy Code provisions apply (within the 35 days leading to the recognition hearing) upon recognition of the foreign proceedings. </w:t>
      </w:r>
      <w:r>
        <w:rPr>
          <w:rFonts w:ascii="Avenir Next" w:hAnsi="Avenir Next" w:cs="Arial"/>
          <w:color w:val="808080" w:themeColor="background1" w:themeShade="80"/>
          <w:sz w:val="22"/>
          <w:szCs w:val="22"/>
          <w:lang w:val="en-GB"/>
        </w:rPr>
        <w:t xml:space="preserve"> </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2A38B6AB" w14:textId="77777777" w:rsidR="00050F89" w:rsidRDefault="00A3270B"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(Assuming Country B adopted the MLCBI). Upon denial of the petition for recognition in Country B of the foreign proceeding (Country A proceedings) as foreign main proceedings, the foreign representative should open domestic insolvency proceedings in Country B and apply </w:t>
      </w:r>
      <w:r w:rsidR="00050F89">
        <w:rPr>
          <w:rFonts w:ascii="Avenir Next" w:hAnsi="Avenir Next" w:cs="Arial"/>
          <w:color w:val="808080" w:themeColor="background1" w:themeShade="80"/>
          <w:sz w:val="22"/>
          <w:szCs w:val="22"/>
          <w:lang w:val="en-GB"/>
        </w:rPr>
        <w:t xml:space="preserve">there also </w:t>
      </w:r>
      <w:r>
        <w:rPr>
          <w:rFonts w:ascii="Avenir Next" w:hAnsi="Avenir Next" w:cs="Arial"/>
          <w:color w:val="808080" w:themeColor="background1" w:themeShade="80"/>
          <w:sz w:val="22"/>
          <w:szCs w:val="22"/>
          <w:lang w:val="en-GB"/>
        </w:rPr>
        <w:t>for recognition of the proceedings in Country A as foreign non main proceedings.</w:t>
      </w:r>
    </w:p>
    <w:p w14:paraId="55D111B1" w14:textId="689552AF" w:rsidR="00867A8F" w:rsidRPr="00B77352" w:rsidRDefault="00050F89"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foreign representative should have checked the criteria defining the COMI outlined under the EIR to establish where the main proceedings should be filed. The upon probably deciding that the COMI of the debtor is in country B, file for recognition of foreign non main proceedings (of country A) in country B.</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lastRenderedPageBreak/>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7A2F4A7D" w14:textId="77777777" w:rsidR="00F34CFB" w:rsidRDefault="00F34CFB" w:rsidP="009E3CA7">
      <w:pPr>
        <w:jc w:val="both"/>
        <w:rPr>
          <w:rFonts w:ascii="Avenir Next" w:hAnsi="Avenir Next"/>
          <w:color w:val="808080" w:themeColor="background1" w:themeShade="80"/>
          <w:sz w:val="22"/>
          <w:szCs w:val="28"/>
        </w:rPr>
      </w:pPr>
    </w:p>
    <w:p w14:paraId="38955434" w14:textId="718A011E" w:rsidR="00F34CFB" w:rsidRDefault="00F34CFB"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While the MLCBI does not define the COMI, it refers to the EIR definition. There are two factors determining the location of COMI:</w:t>
      </w:r>
    </w:p>
    <w:p w14:paraId="36EF4138" w14:textId="00332477" w:rsidR="00F34CFB" w:rsidRDefault="00F34CFB" w:rsidP="00F34CFB">
      <w:pPr>
        <w:pStyle w:val="ListParagraph"/>
        <w:numPr>
          <w:ilvl w:val="0"/>
          <w:numId w:val="19"/>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Where does the central administration take place?</w:t>
      </w:r>
    </w:p>
    <w:p w14:paraId="2E21421A" w14:textId="42CEA191" w:rsidR="00F34CFB" w:rsidRPr="00F34CFB" w:rsidRDefault="00F34CFB" w:rsidP="00F34CFB">
      <w:pPr>
        <w:pStyle w:val="ListParagraph"/>
        <w:numPr>
          <w:ilvl w:val="0"/>
          <w:numId w:val="19"/>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Is this place readily ascertainable by the debtor and creditors?</w:t>
      </w:r>
    </w:p>
    <w:p w14:paraId="50C51E89" w14:textId="77777777" w:rsidR="00F34CFB" w:rsidRDefault="00F34CFB" w:rsidP="009E3CA7">
      <w:pPr>
        <w:jc w:val="both"/>
        <w:rPr>
          <w:rFonts w:ascii="Avenir Next" w:hAnsi="Avenir Next"/>
          <w:color w:val="808080" w:themeColor="background1" w:themeShade="80"/>
          <w:sz w:val="22"/>
          <w:szCs w:val="28"/>
        </w:rPr>
      </w:pPr>
    </w:p>
    <w:p w14:paraId="30D7E6F9" w14:textId="2F402A0E" w:rsidR="009E3CA7" w:rsidRDefault="00F34CFB"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w:t>
      </w:r>
      <w:r w:rsidR="00567525">
        <w:rPr>
          <w:rFonts w:ascii="Avenir Next" w:hAnsi="Avenir Next"/>
          <w:color w:val="808080" w:themeColor="background1" w:themeShade="80"/>
          <w:sz w:val="22"/>
          <w:szCs w:val="28"/>
        </w:rPr>
        <w:t xml:space="preserve">t would appear from the above facts that the COMI </w:t>
      </w:r>
      <w:r w:rsidR="007A3E4E">
        <w:rPr>
          <w:rFonts w:ascii="Avenir Next" w:hAnsi="Avenir Next"/>
          <w:color w:val="808080" w:themeColor="background1" w:themeShade="80"/>
          <w:sz w:val="22"/>
          <w:szCs w:val="28"/>
        </w:rPr>
        <w:t xml:space="preserve">of Globe Holdings </w:t>
      </w:r>
      <w:r w:rsidR="00567525">
        <w:rPr>
          <w:rFonts w:ascii="Avenir Next" w:hAnsi="Avenir Next"/>
          <w:color w:val="808080" w:themeColor="background1" w:themeShade="80"/>
          <w:sz w:val="22"/>
          <w:szCs w:val="28"/>
        </w:rPr>
        <w:t>being in Cayman Islands is supported by the following aspects:</w:t>
      </w:r>
    </w:p>
    <w:p w14:paraId="70C28221" w14:textId="6097F5DE" w:rsidR="00567525" w:rsidRDefault="00567525" w:rsidP="00567525">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Incorporation </w:t>
      </w:r>
      <w:r w:rsidR="007A3E4E">
        <w:rPr>
          <w:rFonts w:ascii="Avenir Next" w:hAnsi="Avenir Next"/>
          <w:color w:val="808080" w:themeColor="background1" w:themeShade="80"/>
          <w:sz w:val="22"/>
          <w:szCs w:val="28"/>
        </w:rPr>
        <w:t xml:space="preserve">and registration </w:t>
      </w:r>
      <w:r>
        <w:rPr>
          <w:rFonts w:ascii="Avenir Next" w:hAnsi="Avenir Next"/>
          <w:color w:val="808080" w:themeColor="background1" w:themeShade="80"/>
          <w:sz w:val="22"/>
          <w:szCs w:val="28"/>
        </w:rPr>
        <w:t>in the Cayman Islands</w:t>
      </w:r>
      <w:r w:rsidR="007A3E4E">
        <w:rPr>
          <w:rFonts w:ascii="Avenir Next" w:hAnsi="Avenir Next"/>
          <w:color w:val="808080" w:themeColor="background1" w:themeShade="80"/>
          <w:sz w:val="22"/>
          <w:szCs w:val="28"/>
        </w:rPr>
        <w:t xml:space="preserve"> with all notices filed to the SEC in 2010.</w:t>
      </w:r>
    </w:p>
    <w:p w14:paraId="76AE4551" w14:textId="6C9BE1A7" w:rsidR="00567525" w:rsidRDefault="007A3E4E" w:rsidP="00567525">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Cedar and Woods is the legal counsel representing them for a decade – a Cayman based law </w:t>
      </w:r>
      <w:r w:rsidR="00F61882">
        <w:rPr>
          <w:rFonts w:ascii="Avenir Next" w:hAnsi="Avenir Next"/>
          <w:color w:val="808080" w:themeColor="background1" w:themeShade="80"/>
          <w:sz w:val="22"/>
          <w:szCs w:val="28"/>
        </w:rPr>
        <w:t>firm.</w:t>
      </w:r>
    </w:p>
    <w:p w14:paraId="661F1C56" w14:textId="66344867" w:rsidR="00862897" w:rsidRDefault="00862897" w:rsidP="00567525">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Books and records maintained in the Cayman Islands</w:t>
      </w:r>
    </w:p>
    <w:p w14:paraId="3449F6F9" w14:textId="1FA962FF" w:rsidR="00862897" w:rsidRDefault="00862897" w:rsidP="00567525">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Creditors are made aware via the prospectus of the Notes informs it is Cayman entity, including the tax consequences.</w:t>
      </w:r>
    </w:p>
    <w:p w14:paraId="2DBD3B3F" w14:textId="6855C247" w:rsidR="00F34CFB" w:rsidRDefault="00F34CFB" w:rsidP="00567525">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RSA approved by the Noteholders reflects the place of restructuring in the Cayman Islands</w:t>
      </w:r>
    </w:p>
    <w:p w14:paraId="6A51C1EF" w14:textId="0E67E939" w:rsidR="00F34CFB" w:rsidRDefault="00F34CFB" w:rsidP="00567525">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lastRenderedPageBreak/>
        <w:t>The Scheme meeting was held in Cayman Islands (although possibly attended virtually also).</w:t>
      </w:r>
    </w:p>
    <w:p w14:paraId="48BA1EFA" w14:textId="77777777" w:rsidR="007A3E4E" w:rsidRDefault="007A3E4E" w:rsidP="00862897">
      <w:pPr>
        <w:jc w:val="both"/>
        <w:rPr>
          <w:rFonts w:ascii="Avenir Next" w:hAnsi="Avenir Next"/>
          <w:color w:val="808080" w:themeColor="background1" w:themeShade="80"/>
          <w:sz w:val="22"/>
          <w:szCs w:val="28"/>
        </w:rPr>
      </w:pPr>
    </w:p>
    <w:p w14:paraId="7CB74FBD" w14:textId="69A3CB07" w:rsidR="00862897" w:rsidRDefault="00F34CFB" w:rsidP="0086289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It would also appear that an establishment of the client is in the US based on the following:</w:t>
      </w:r>
    </w:p>
    <w:p w14:paraId="585CF1DE" w14:textId="77777777" w:rsidR="00F34CFB" w:rsidRDefault="00F34CFB" w:rsidP="00862897">
      <w:pPr>
        <w:jc w:val="both"/>
        <w:rPr>
          <w:rFonts w:ascii="Avenir Next" w:hAnsi="Avenir Next"/>
          <w:color w:val="808080" w:themeColor="background1" w:themeShade="80"/>
          <w:sz w:val="22"/>
          <w:szCs w:val="28"/>
        </w:rPr>
      </w:pPr>
    </w:p>
    <w:p w14:paraId="21750BB8" w14:textId="1FE60EB4" w:rsidR="00862897" w:rsidRDefault="00862897" w:rsidP="00F34CFB">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Board meets virtually, not physically present in Cayman Islands</w:t>
      </w:r>
    </w:p>
    <w:p w14:paraId="16197661" w14:textId="723BAE44" w:rsidR="00862897" w:rsidRDefault="00862897" w:rsidP="00F34CFB">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Empl</w:t>
      </w:r>
      <w:r w:rsidR="00F34CFB">
        <w:rPr>
          <w:rFonts w:ascii="Avenir Next" w:hAnsi="Avenir Next"/>
          <w:color w:val="808080" w:themeColor="background1" w:themeShade="80"/>
          <w:sz w:val="22"/>
          <w:szCs w:val="28"/>
        </w:rPr>
        <w:t>o</w:t>
      </w:r>
      <w:r>
        <w:rPr>
          <w:rFonts w:ascii="Avenir Next" w:hAnsi="Avenir Next"/>
          <w:color w:val="808080" w:themeColor="background1" w:themeShade="80"/>
          <w:sz w:val="22"/>
          <w:szCs w:val="28"/>
        </w:rPr>
        <w:t>yees</w:t>
      </w:r>
      <w:r w:rsidR="00F34CFB">
        <w:rPr>
          <w:rFonts w:ascii="Avenir Next" w:hAnsi="Avenir Next"/>
          <w:color w:val="808080" w:themeColor="background1" w:themeShade="80"/>
          <w:sz w:val="22"/>
          <w:szCs w:val="28"/>
        </w:rPr>
        <w:t xml:space="preserve">, </w:t>
      </w:r>
      <w:r w:rsidR="00F61882">
        <w:rPr>
          <w:rFonts w:ascii="Avenir Next" w:hAnsi="Avenir Next"/>
          <w:color w:val="808080" w:themeColor="background1" w:themeShade="80"/>
          <w:sz w:val="22"/>
          <w:szCs w:val="28"/>
        </w:rPr>
        <w:t>operations,</w:t>
      </w:r>
      <w:r>
        <w:rPr>
          <w:rFonts w:ascii="Avenir Next" w:hAnsi="Avenir Next"/>
          <w:color w:val="808080" w:themeColor="background1" w:themeShade="80"/>
          <w:sz w:val="22"/>
          <w:szCs w:val="28"/>
        </w:rPr>
        <w:t xml:space="preserve"> and headquarters in the US.</w:t>
      </w:r>
    </w:p>
    <w:p w14:paraId="14A3003D" w14:textId="6C870EEC" w:rsidR="00862897" w:rsidRDefault="00862897" w:rsidP="00F34CFB">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Debt (Notes) is governed by NY law.</w:t>
      </w:r>
    </w:p>
    <w:p w14:paraId="2B528AAC" w14:textId="77777777" w:rsidR="00B35766" w:rsidRDefault="00B35766" w:rsidP="00B35766">
      <w:pPr>
        <w:jc w:val="both"/>
        <w:rPr>
          <w:rFonts w:ascii="Avenir Next" w:hAnsi="Avenir Next"/>
          <w:color w:val="808080" w:themeColor="background1" w:themeShade="80"/>
          <w:sz w:val="22"/>
          <w:szCs w:val="28"/>
        </w:rPr>
      </w:pPr>
    </w:p>
    <w:p w14:paraId="5CD5B547" w14:textId="74FCD537" w:rsidR="00B35766" w:rsidRDefault="00B35766" w:rsidP="00B35766">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Following the Sanction order by the Cayman Court, </w:t>
      </w:r>
      <w:r w:rsidR="000532E6">
        <w:rPr>
          <w:rFonts w:ascii="Avenir Next" w:hAnsi="Avenir Next"/>
          <w:color w:val="808080" w:themeColor="background1" w:themeShade="80"/>
          <w:sz w:val="22"/>
          <w:szCs w:val="28"/>
        </w:rPr>
        <w:t xml:space="preserve">recognition of the foreign main proceeding is the US should </w:t>
      </w:r>
      <w:r w:rsidR="00474F07">
        <w:rPr>
          <w:rFonts w:ascii="Avenir Next" w:hAnsi="Avenir Next"/>
          <w:color w:val="808080" w:themeColor="background1" w:themeShade="80"/>
          <w:sz w:val="22"/>
          <w:szCs w:val="28"/>
        </w:rPr>
        <w:t xml:space="preserve">be </w:t>
      </w:r>
      <w:r w:rsidR="000532E6">
        <w:rPr>
          <w:rFonts w:ascii="Avenir Next" w:hAnsi="Avenir Next"/>
          <w:color w:val="808080" w:themeColor="background1" w:themeShade="80"/>
          <w:sz w:val="22"/>
          <w:szCs w:val="28"/>
        </w:rPr>
        <w:t xml:space="preserve">applied for at a US court. </w:t>
      </w:r>
      <w:r w:rsidR="00745DB4">
        <w:rPr>
          <w:rFonts w:ascii="Avenir Next" w:hAnsi="Avenir Next"/>
          <w:color w:val="808080" w:themeColor="background1" w:themeShade="80"/>
          <w:sz w:val="22"/>
          <w:szCs w:val="28"/>
        </w:rPr>
        <w:t>To obtain recognition under the Model Law, the application has to sufficiently prove that the there is a foreign (main) proceeding and the applicant is a foreign representative.</w:t>
      </w:r>
    </w:p>
    <w:p w14:paraId="730D18AC" w14:textId="77777777" w:rsidR="00745DB4" w:rsidRDefault="00745DB4" w:rsidP="00B35766">
      <w:pPr>
        <w:jc w:val="both"/>
        <w:rPr>
          <w:rFonts w:ascii="Avenir Next" w:hAnsi="Avenir Next"/>
          <w:color w:val="808080" w:themeColor="background1" w:themeShade="80"/>
          <w:sz w:val="22"/>
          <w:szCs w:val="28"/>
        </w:rPr>
      </w:pPr>
    </w:p>
    <w:p w14:paraId="1DC703F8" w14:textId="777F5C78" w:rsidR="00745DB4" w:rsidRDefault="00745DB4" w:rsidP="00B35766">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To </w:t>
      </w:r>
      <w:r w:rsidR="00474F07">
        <w:rPr>
          <w:rFonts w:ascii="Avenir Next" w:hAnsi="Avenir Next"/>
          <w:color w:val="808080" w:themeColor="background1" w:themeShade="80"/>
          <w:sz w:val="22"/>
          <w:szCs w:val="28"/>
        </w:rPr>
        <w:t>prove</w:t>
      </w:r>
      <w:r>
        <w:rPr>
          <w:rFonts w:ascii="Avenir Next" w:hAnsi="Avenir Next"/>
          <w:color w:val="808080" w:themeColor="background1" w:themeShade="80"/>
          <w:sz w:val="22"/>
          <w:szCs w:val="28"/>
        </w:rPr>
        <w:t xml:space="preserve"> that the Sanction order of the Cayman court falls under the definition</w:t>
      </w:r>
      <w:r w:rsidR="00474F07">
        <w:rPr>
          <w:rFonts w:ascii="Avenir Next" w:hAnsi="Avenir Next"/>
          <w:color w:val="808080" w:themeColor="background1" w:themeShade="80"/>
          <w:sz w:val="22"/>
          <w:szCs w:val="28"/>
        </w:rPr>
        <w:t xml:space="preserve"> of a foreign main proceedings</w:t>
      </w:r>
      <w:r>
        <w:rPr>
          <w:rFonts w:ascii="Avenir Next" w:hAnsi="Avenir Next"/>
          <w:color w:val="808080" w:themeColor="background1" w:themeShade="80"/>
          <w:sz w:val="22"/>
          <w:szCs w:val="28"/>
        </w:rPr>
        <w:t>, it will be documented that:</w:t>
      </w:r>
    </w:p>
    <w:p w14:paraId="2FBDFF33" w14:textId="0DF9CA92" w:rsidR="00745DB4" w:rsidRDefault="00745DB4" w:rsidP="00745DB4">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It was a proceeding at a court in </w:t>
      </w:r>
      <w:r w:rsidR="006B1A3F">
        <w:rPr>
          <w:rFonts w:ascii="Avenir Next" w:hAnsi="Avenir Next"/>
          <w:color w:val="808080" w:themeColor="background1" w:themeShade="80"/>
          <w:sz w:val="22"/>
          <w:szCs w:val="28"/>
        </w:rPr>
        <w:t>C</w:t>
      </w:r>
      <w:r>
        <w:rPr>
          <w:rFonts w:ascii="Avenir Next" w:hAnsi="Avenir Next"/>
          <w:color w:val="808080" w:themeColor="background1" w:themeShade="80"/>
          <w:sz w:val="22"/>
          <w:szCs w:val="28"/>
        </w:rPr>
        <w:t xml:space="preserve">ayman </w:t>
      </w:r>
      <w:r w:rsidR="006B1A3F">
        <w:rPr>
          <w:rFonts w:ascii="Avenir Next" w:hAnsi="Avenir Next"/>
          <w:color w:val="808080" w:themeColor="background1" w:themeShade="80"/>
          <w:sz w:val="22"/>
          <w:szCs w:val="28"/>
        </w:rPr>
        <w:t>I</w:t>
      </w:r>
      <w:r>
        <w:rPr>
          <w:rFonts w:ascii="Avenir Next" w:hAnsi="Avenir Next"/>
          <w:color w:val="808080" w:themeColor="background1" w:themeShade="80"/>
          <w:sz w:val="22"/>
          <w:szCs w:val="28"/>
        </w:rPr>
        <w:t>slands</w:t>
      </w:r>
    </w:p>
    <w:p w14:paraId="447A6484" w14:textId="7BF4F131" w:rsidR="00745DB4" w:rsidRDefault="00745DB4" w:rsidP="00745DB4">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Collective in nature – all Noteholder</w:t>
      </w:r>
      <w:r w:rsidR="006B1A3F">
        <w:rPr>
          <w:rFonts w:ascii="Avenir Next" w:hAnsi="Avenir Next"/>
          <w:color w:val="808080" w:themeColor="background1" w:themeShade="80"/>
          <w:sz w:val="22"/>
          <w:szCs w:val="28"/>
        </w:rPr>
        <w:t>s</w:t>
      </w:r>
      <w:r>
        <w:rPr>
          <w:rFonts w:ascii="Avenir Next" w:hAnsi="Avenir Next"/>
          <w:color w:val="808080" w:themeColor="background1" w:themeShade="80"/>
          <w:sz w:val="22"/>
          <w:szCs w:val="28"/>
        </w:rPr>
        <w:t xml:space="preserve"> </w:t>
      </w:r>
      <w:r w:rsidR="00F61882">
        <w:rPr>
          <w:rFonts w:ascii="Avenir Next" w:hAnsi="Avenir Next"/>
          <w:color w:val="808080" w:themeColor="background1" w:themeShade="80"/>
          <w:sz w:val="22"/>
          <w:szCs w:val="28"/>
        </w:rPr>
        <w:t>represented.</w:t>
      </w:r>
    </w:p>
    <w:p w14:paraId="153567C8" w14:textId="31EE0B60" w:rsidR="00745DB4" w:rsidRDefault="00745DB4" w:rsidP="00745DB4">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In a foreign state – Cayman Islands</w:t>
      </w:r>
    </w:p>
    <w:p w14:paraId="74AA8610" w14:textId="150CAF74" w:rsidR="00745DB4" w:rsidRDefault="00745DB4" w:rsidP="00745DB4">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As restructuring process falling under the restructuring </w:t>
      </w:r>
      <w:r w:rsidR="00F61882">
        <w:rPr>
          <w:rFonts w:ascii="Avenir Next" w:hAnsi="Avenir Next"/>
          <w:color w:val="808080" w:themeColor="background1" w:themeShade="80"/>
          <w:sz w:val="22"/>
          <w:szCs w:val="28"/>
        </w:rPr>
        <w:t>purpose.</w:t>
      </w:r>
    </w:p>
    <w:p w14:paraId="1662BDDE" w14:textId="35B425B1" w:rsidR="00745DB4" w:rsidRDefault="006B1A3F" w:rsidP="00745DB4">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With the purpose to reorganize the affairs of the debtor, </w:t>
      </w:r>
      <w:r w:rsidR="00F61882">
        <w:rPr>
          <w:rFonts w:ascii="Avenir Next" w:hAnsi="Avenir Next"/>
          <w:color w:val="808080" w:themeColor="background1" w:themeShade="80"/>
          <w:sz w:val="22"/>
          <w:szCs w:val="28"/>
        </w:rPr>
        <w:t>which</w:t>
      </w:r>
      <w:r>
        <w:rPr>
          <w:rFonts w:ascii="Avenir Next" w:hAnsi="Avenir Next"/>
          <w:color w:val="808080" w:themeColor="background1" w:themeShade="80"/>
          <w:sz w:val="22"/>
          <w:szCs w:val="28"/>
        </w:rPr>
        <w:t xml:space="preserve"> is unable to pay his debts.</w:t>
      </w:r>
    </w:p>
    <w:p w14:paraId="6B8A6587" w14:textId="77777777" w:rsidR="00474F07" w:rsidRDefault="00474F07" w:rsidP="00474F07">
      <w:pPr>
        <w:jc w:val="both"/>
        <w:rPr>
          <w:rFonts w:ascii="Avenir Next" w:hAnsi="Avenir Next"/>
          <w:color w:val="808080" w:themeColor="background1" w:themeShade="80"/>
          <w:sz w:val="22"/>
          <w:szCs w:val="28"/>
        </w:rPr>
      </w:pPr>
    </w:p>
    <w:p w14:paraId="2AB73057" w14:textId="4BB7F6F8" w:rsidR="00474F07" w:rsidRDefault="00474F07" w:rsidP="00474F0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 foreign representative will have to document that he is person, appoint authorized in the Cayman proceedings to administer the reorganization. </w:t>
      </w:r>
    </w:p>
    <w:p w14:paraId="12397EBE" w14:textId="77777777" w:rsidR="00474F07" w:rsidRDefault="00474F07" w:rsidP="00474F07">
      <w:pPr>
        <w:jc w:val="both"/>
        <w:rPr>
          <w:rFonts w:ascii="Avenir Next" w:hAnsi="Avenir Next"/>
          <w:color w:val="808080" w:themeColor="background1" w:themeShade="80"/>
          <w:sz w:val="22"/>
          <w:szCs w:val="28"/>
        </w:rPr>
      </w:pPr>
    </w:p>
    <w:p w14:paraId="575F9A56" w14:textId="7B013EE2" w:rsidR="00474F07" w:rsidRDefault="00474F07" w:rsidP="00474F0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Upon application for the recognition, an interim relief should be requested asking for Noteholders, </w:t>
      </w:r>
      <w:r w:rsidR="00F61882">
        <w:rPr>
          <w:rFonts w:ascii="Avenir Next" w:hAnsi="Avenir Next"/>
          <w:color w:val="808080" w:themeColor="background1" w:themeShade="80"/>
          <w:sz w:val="22"/>
          <w:szCs w:val="28"/>
        </w:rPr>
        <w:t>which</w:t>
      </w:r>
      <w:r>
        <w:rPr>
          <w:rFonts w:ascii="Avenir Next" w:hAnsi="Avenir Next"/>
          <w:color w:val="808080" w:themeColor="background1" w:themeShade="80"/>
          <w:sz w:val="22"/>
          <w:szCs w:val="28"/>
        </w:rPr>
        <w:t xml:space="preserve"> have not sanctioned the restructuring plan, cannot take </w:t>
      </w:r>
      <w:r w:rsidR="00F61882">
        <w:rPr>
          <w:rFonts w:ascii="Avenir Next" w:hAnsi="Avenir Next"/>
          <w:color w:val="808080" w:themeColor="background1" w:themeShade="80"/>
          <w:sz w:val="22"/>
          <w:szCs w:val="28"/>
        </w:rPr>
        <w:t>action against the debtor’s operation in the US. Including, the sale and proceeds of the sale of the headquarters in NY should be protected.</w:t>
      </w:r>
    </w:p>
    <w:p w14:paraId="594DBF6D" w14:textId="77777777" w:rsidR="00474F07" w:rsidRDefault="00474F07" w:rsidP="00474F07">
      <w:pPr>
        <w:jc w:val="both"/>
        <w:rPr>
          <w:rFonts w:ascii="Avenir Next" w:hAnsi="Avenir Next"/>
          <w:color w:val="808080" w:themeColor="background1" w:themeShade="80"/>
          <w:sz w:val="22"/>
          <w:szCs w:val="28"/>
        </w:rPr>
      </w:pPr>
    </w:p>
    <w:p w14:paraId="51CAA150" w14:textId="77777777" w:rsidR="00474F07" w:rsidRPr="00474F07" w:rsidRDefault="00474F07" w:rsidP="00474F07">
      <w:pPr>
        <w:jc w:val="both"/>
        <w:rPr>
          <w:rFonts w:ascii="Avenir Next" w:hAnsi="Avenir Next"/>
          <w:color w:val="808080" w:themeColor="background1" w:themeShade="80"/>
          <w:sz w:val="22"/>
          <w:szCs w:val="28"/>
        </w:rPr>
      </w:pPr>
    </w:p>
    <w:p w14:paraId="723004D5" w14:textId="77777777" w:rsidR="00F34CFB" w:rsidRPr="00E2622D" w:rsidRDefault="00F34CFB" w:rsidP="00707FC8">
      <w:pPr>
        <w:jc w:val="both"/>
        <w:rPr>
          <w:rFonts w:ascii="Avenir Next" w:hAnsi="Avenir Next" w:cs="Arial"/>
          <w:sz w:val="22"/>
          <w:szCs w:val="22"/>
          <w:lang w:val="en-GB"/>
        </w:rPr>
      </w:pP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E11F23">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58016" w14:textId="77777777" w:rsidR="00E11F23" w:rsidRDefault="00E11F23" w:rsidP="00241B44">
      <w:r>
        <w:separator/>
      </w:r>
    </w:p>
  </w:endnote>
  <w:endnote w:type="continuationSeparator" w:id="0">
    <w:p w14:paraId="0DDD6153" w14:textId="77777777" w:rsidR="00E11F23" w:rsidRDefault="00E11F2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4DAF221C" w:rsidR="000300E0" w:rsidRPr="00B46CE2" w:rsidRDefault="00B2197A" w:rsidP="000300E0">
    <w:pPr>
      <w:pStyle w:val="Footer"/>
      <w:ind w:right="360"/>
      <w:rPr>
        <w:rFonts w:ascii="Avenir Next" w:hAnsi="Avenir Next"/>
        <w:sz w:val="22"/>
        <w:szCs w:val="22"/>
      </w:rPr>
    </w:pPr>
    <w:r w:rsidRPr="00B2197A">
      <w:rPr>
        <w:rFonts w:ascii="Avenir Next" w:hAnsi="Avenir Next"/>
        <w:sz w:val="22"/>
        <w:szCs w:val="22"/>
      </w:rPr>
      <w:t>FC202324-1431</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D8BBC" w14:textId="77777777" w:rsidR="00E11F23" w:rsidRDefault="00E11F23" w:rsidP="00241B44">
      <w:r>
        <w:separator/>
      </w:r>
    </w:p>
  </w:footnote>
  <w:footnote w:type="continuationSeparator" w:id="0">
    <w:p w14:paraId="06E5DCBC" w14:textId="77777777" w:rsidR="00E11F23" w:rsidRDefault="00E11F2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FBD0493"/>
    <w:multiLevelType w:val="hybridMultilevel"/>
    <w:tmpl w:val="1A1AB806"/>
    <w:lvl w:ilvl="0" w:tplc="E3E0933E">
      <w:numFmt w:val="bullet"/>
      <w:lvlText w:val="-"/>
      <w:lvlJc w:val="left"/>
      <w:pPr>
        <w:ind w:left="410" w:hanging="360"/>
      </w:pPr>
      <w:rPr>
        <w:rFonts w:ascii="Avenir Next" w:eastAsia="Times New Roman" w:hAnsi="Avenir Next" w:cstheme="minorBid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2"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E46261F"/>
    <w:multiLevelType w:val="hybridMultilevel"/>
    <w:tmpl w:val="6E32FB7A"/>
    <w:lvl w:ilvl="0" w:tplc="52E6D39A">
      <w:numFmt w:val="bullet"/>
      <w:lvlText w:val="-"/>
      <w:lvlJc w:val="left"/>
      <w:pPr>
        <w:ind w:left="720" w:hanging="360"/>
      </w:pPr>
      <w:rPr>
        <w:rFonts w:ascii="Avenir Next" w:eastAsia="Times New Roman" w:hAnsi="Avenir Nex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48598104">
    <w:abstractNumId w:val="14"/>
  </w:num>
  <w:num w:numId="2" w16cid:durableId="1164055646">
    <w:abstractNumId w:val="6"/>
  </w:num>
  <w:num w:numId="3" w16cid:durableId="970591766">
    <w:abstractNumId w:val="2"/>
  </w:num>
  <w:num w:numId="4" w16cid:durableId="1327175081">
    <w:abstractNumId w:val="18"/>
  </w:num>
  <w:num w:numId="5" w16cid:durableId="998270126">
    <w:abstractNumId w:val="17"/>
  </w:num>
  <w:num w:numId="6" w16cid:durableId="657656171">
    <w:abstractNumId w:val="16"/>
  </w:num>
  <w:num w:numId="7" w16cid:durableId="1116829249">
    <w:abstractNumId w:val="4"/>
  </w:num>
  <w:num w:numId="8" w16cid:durableId="1055274873">
    <w:abstractNumId w:val="5"/>
  </w:num>
  <w:num w:numId="9" w16cid:durableId="790785319">
    <w:abstractNumId w:val="12"/>
  </w:num>
  <w:num w:numId="10" w16cid:durableId="59720369">
    <w:abstractNumId w:val="10"/>
  </w:num>
  <w:num w:numId="11" w16cid:durableId="1379276728">
    <w:abstractNumId w:val="3"/>
  </w:num>
  <w:num w:numId="12" w16cid:durableId="921179279">
    <w:abstractNumId w:val="8"/>
  </w:num>
  <w:num w:numId="13" w16cid:durableId="1060514793">
    <w:abstractNumId w:val="9"/>
  </w:num>
  <w:num w:numId="14" w16cid:durableId="64230155">
    <w:abstractNumId w:val="1"/>
  </w:num>
  <w:num w:numId="15" w16cid:durableId="1681084025">
    <w:abstractNumId w:val="0"/>
  </w:num>
  <w:num w:numId="16" w16cid:durableId="1275090443">
    <w:abstractNumId w:val="7"/>
  </w:num>
  <w:num w:numId="17" w16cid:durableId="269969236">
    <w:abstractNumId w:val="15"/>
  </w:num>
  <w:num w:numId="18" w16cid:durableId="1643345605">
    <w:abstractNumId w:val="13"/>
  </w:num>
  <w:num w:numId="19" w16cid:durableId="180828241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65B"/>
    <w:rsid w:val="00020557"/>
    <w:rsid w:val="000232A1"/>
    <w:rsid w:val="000250C7"/>
    <w:rsid w:val="000251E5"/>
    <w:rsid w:val="00025CCF"/>
    <w:rsid w:val="000300E0"/>
    <w:rsid w:val="0003114A"/>
    <w:rsid w:val="00032F32"/>
    <w:rsid w:val="000352C1"/>
    <w:rsid w:val="0003619C"/>
    <w:rsid w:val="0003743B"/>
    <w:rsid w:val="00037621"/>
    <w:rsid w:val="00044D46"/>
    <w:rsid w:val="00045088"/>
    <w:rsid w:val="00045904"/>
    <w:rsid w:val="000464F7"/>
    <w:rsid w:val="00050F89"/>
    <w:rsid w:val="0005141D"/>
    <w:rsid w:val="000532E6"/>
    <w:rsid w:val="00060E02"/>
    <w:rsid w:val="00065166"/>
    <w:rsid w:val="00067A88"/>
    <w:rsid w:val="00070B92"/>
    <w:rsid w:val="00073474"/>
    <w:rsid w:val="00077D49"/>
    <w:rsid w:val="00082609"/>
    <w:rsid w:val="00083B38"/>
    <w:rsid w:val="000851CC"/>
    <w:rsid w:val="00093BE8"/>
    <w:rsid w:val="000A68ED"/>
    <w:rsid w:val="000B4FEB"/>
    <w:rsid w:val="000B5FF1"/>
    <w:rsid w:val="000B609F"/>
    <w:rsid w:val="000C147F"/>
    <w:rsid w:val="000C6BB9"/>
    <w:rsid w:val="000D32A9"/>
    <w:rsid w:val="000D55A8"/>
    <w:rsid w:val="000E4841"/>
    <w:rsid w:val="000E6325"/>
    <w:rsid w:val="000F1677"/>
    <w:rsid w:val="000F3D6C"/>
    <w:rsid w:val="000F579C"/>
    <w:rsid w:val="00100E8F"/>
    <w:rsid w:val="00101707"/>
    <w:rsid w:val="00101A9E"/>
    <w:rsid w:val="00114082"/>
    <w:rsid w:val="0011473D"/>
    <w:rsid w:val="00115C85"/>
    <w:rsid w:val="00123855"/>
    <w:rsid w:val="00126A4D"/>
    <w:rsid w:val="00126E19"/>
    <w:rsid w:val="001374D8"/>
    <w:rsid w:val="00140E0A"/>
    <w:rsid w:val="0014171F"/>
    <w:rsid w:val="00142FF7"/>
    <w:rsid w:val="0014622C"/>
    <w:rsid w:val="00151F58"/>
    <w:rsid w:val="00152348"/>
    <w:rsid w:val="00152845"/>
    <w:rsid w:val="0015456D"/>
    <w:rsid w:val="0015549B"/>
    <w:rsid w:val="00155FA2"/>
    <w:rsid w:val="001578CB"/>
    <w:rsid w:val="00161F1B"/>
    <w:rsid w:val="00162829"/>
    <w:rsid w:val="001672E0"/>
    <w:rsid w:val="00167776"/>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0188"/>
    <w:rsid w:val="001C45FC"/>
    <w:rsid w:val="001D02C5"/>
    <w:rsid w:val="001D4862"/>
    <w:rsid w:val="001E25B9"/>
    <w:rsid w:val="001E49E0"/>
    <w:rsid w:val="001E60C3"/>
    <w:rsid w:val="001E7B5A"/>
    <w:rsid w:val="001F1C6D"/>
    <w:rsid w:val="001F7412"/>
    <w:rsid w:val="00200FDD"/>
    <w:rsid w:val="00201874"/>
    <w:rsid w:val="00202133"/>
    <w:rsid w:val="0020264E"/>
    <w:rsid w:val="0020456A"/>
    <w:rsid w:val="0020725B"/>
    <w:rsid w:val="002175BA"/>
    <w:rsid w:val="0022599E"/>
    <w:rsid w:val="00227C5E"/>
    <w:rsid w:val="002305E8"/>
    <w:rsid w:val="0023198D"/>
    <w:rsid w:val="0023317E"/>
    <w:rsid w:val="00234F2C"/>
    <w:rsid w:val="00240B0E"/>
    <w:rsid w:val="0024116D"/>
    <w:rsid w:val="00241B44"/>
    <w:rsid w:val="00245EFB"/>
    <w:rsid w:val="00250E19"/>
    <w:rsid w:val="0025386E"/>
    <w:rsid w:val="002539D7"/>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9FB"/>
    <w:rsid w:val="002A2A60"/>
    <w:rsid w:val="002B1C45"/>
    <w:rsid w:val="002C13C8"/>
    <w:rsid w:val="002C3547"/>
    <w:rsid w:val="002D0021"/>
    <w:rsid w:val="002D3473"/>
    <w:rsid w:val="002D5C95"/>
    <w:rsid w:val="002E00F8"/>
    <w:rsid w:val="002E1569"/>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76755"/>
    <w:rsid w:val="00380BAB"/>
    <w:rsid w:val="00382C98"/>
    <w:rsid w:val="0038533C"/>
    <w:rsid w:val="00386568"/>
    <w:rsid w:val="00387106"/>
    <w:rsid w:val="00391F3E"/>
    <w:rsid w:val="003948D5"/>
    <w:rsid w:val="003963D4"/>
    <w:rsid w:val="00396821"/>
    <w:rsid w:val="00397D3A"/>
    <w:rsid w:val="003A051E"/>
    <w:rsid w:val="003A2FEE"/>
    <w:rsid w:val="003B1310"/>
    <w:rsid w:val="003B170F"/>
    <w:rsid w:val="003B3C5F"/>
    <w:rsid w:val="003C089D"/>
    <w:rsid w:val="003C4471"/>
    <w:rsid w:val="003C66B1"/>
    <w:rsid w:val="003D0A6D"/>
    <w:rsid w:val="003E0779"/>
    <w:rsid w:val="003E0B16"/>
    <w:rsid w:val="003E67D1"/>
    <w:rsid w:val="00405DC1"/>
    <w:rsid w:val="0040710D"/>
    <w:rsid w:val="0041139B"/>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74F07"/>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1674"/>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47993"/>
    <w:rsid w:val="00553EB2"/>
    <w:rsid w:val="00556777"/>
    <w:rsid w:val="0055688E"/>
    <w:rsid w:val="00560534"/>
    <w:rsid w:val="0056391B"/>
    <w:rsid w:val="005650E2"/>
    <w:rsid w:val="00565292"/>
    <w:rsid w:val="0056535A"/>
    <w:rsid w:val="00565DEE"/>
    <w:rsid w:val="00567525"/>
    <w:rsid w:val="00567AD7"/>
    <w:rsid w:val="00567F31"/>
    <w:rsid w:val="00573E73"/>
    <w:rsid w:val="00575B2D"/>
    <w:rsid w:val="005833D0"/>
    <w:rsid w:val="005846F3"/>
    <w:rsid w:val="0058622F"/>
    <w:rsid w:val="00587461"/>
    <w:rsid w:val="00590023"/>
    <w:rsid w:val="00592F82"/>
    <w:rsid w:val="005A0CCA"/>
    <w:rsid w:val="005A726D"/>
    <w:rsid w:val="005B67AC"/>
    <w:rsid w:val="005B7D13"/>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57C5A"/>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1A3F"/>
    <w:rsid w:val="006B435A"/>
    <w:rsid w:val="006B4C64"/>
    <w:rsid w:val="006B4FFC"/>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45DB4"/>
    <w:rsid w:val="00751F66"/>
    <w:rsid w:val="00755B6D"/>
    <w:rsid w:val="007603F5"/>
    <w:rsid w:val="00764D7F"/>
    <w:rsid w:val="00764DB0"/>
    <w:rsid w:val="00766F8A"/>
    <w:rsid w:val="0076764D"/>
    <w:rsid w:val="0077498C"/>
    <w:rsid w:val="00777183"/>
    <w:rsid w:val="00784128"/>
    <w:rsid w:val="00784B4B"/>
    <w:rsid w:val="007854ED"/>
    <w:rsid w:val="00793173"/>
    <w:rsid w:val="007A3E4E"/>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2AFE"/>
    <w:rsid w:val="00817D57"/>
    <w:rsid w:val="00822764"/>
    <w:rsid w:val="008241C4"/>
    <w:rsid w:val="0082483F"/>
    <w:rsid w:val="008264CB"/>
    <w:rsid w:val="008279C0"/>
    <w:rsid w:val="008331BD"/>
    <w:rsid w:val="00835FD1"/>
    <w:rsid w:val="0084683C"/>
    <w:rsid w:val="008512FA"/>
    <w:rsid w:val="00853A74"/>
    <w:rsid w:val="00857763"/>
    <w:rsid w:val="00860E61"/>
    <w:rsid w:val="00862897"/>
    <w:rsid w:val="00867A8F"/>
    <w:rsid w:val="008723F3"/>
    <w:rsid w:val="00881DE6"/>
    <w:rsid w:val="008837A6"/>
    <w:rsid w:val="0089145D"/>
    <w:rsid w:val="00893A03"/>
    <w:rsid w:val="008A0C6E"/>
    <w:rsid w:val="008A46CF"/>
    <w:rsid w:val="008A4DF2"/>
    <w:rsid w:val="008A6CFE"/>
    <w:rsid w:val="008A7470"/>
    <w:rsid w:val="008B1A08"/>
    <w:rsid w:val="008B2DE3"/>
    <w:rsid w:val="008B5333"/>
    <w:rsid w:val="008B6223"/>
    <w:rsid w:val="008C66E0"/>
    <w:rsid w:val="008D4584"/>
    <w:rsid w:val="008E2DFA"/>
    <w:rsid w:val="008E3339"/>
    <w:rsid w:val="008E3F22"/>
    <w:rsid w:val="008E549B"/>
    <w:rsid w:val="008F18EF"/>
    <w:rsid w:val="008F20FC"/>
    <w:rsid w:val="008F2B24"/>
    <w:rsid w:val="008F5FFE"/>
    <w:rsid w:val="0090421A"/>
    <w:rsid w:val="00905A43"/>
    <w:rsid w:val="00907DC2"/>
    <w:rsid w:val="00912C79"/>
    <w:rsid w:val="009260A2"/>
    <w:rsid w:val="009344C1"/>
    <w:rsid w:val="00942123"/>
    <w:rsid w:val="00951031"/>
    <w:rsid w:val="0095207B"/>
    <w:rsid w:val="00954461"/>
    <w:rsid w:val="00956085"/>
    <w:rsid w:val="00957951"/>
    <w:rsid w:val="00962045"/>
    <w:rsid w:val="00967EDA"/>
    <w:rsid w:val="00970897"/>
    <w:rsid w:val="0097337E"/>
    <w:rsid w:val="00980314"/>
    <w:rsid w:val="009816D0"/>
    <w:rsid w:val="00991428"/>
    <w:rsid w:val="00992676"/>
    <w:rsid w:val="00996691"/>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3CA7"/>
    <w:rsid w:val="009E4DE3"/>
    <w:rsid w:val="00A047EE"/>
    <w:rsid w:val="00A114EA"/>
    <w:rsid w:val="00A127F5"/>
    <w:rsid w:val="00A153F7"/>
    <w:rsid w:val="00A2274A"/>
    <w:rsid w:val="00A235B7"/>
    <w:rsid w:val="00A27A7A"/>
    <w:rsid w:val="00A3270B"/>
    <w:rsid w:val="00A407EF"/>
    <w:rsid w:val="00A46B4C"/>
    <w:rsid w:val="00A5117B"/>
    <w:rsid w:val="00A54000"/>
    <w:rsid w:val="00A54689"/>
    <w:rsid w:val="00A60074"/>
    <w:rsid w:val="00A6627C"/>
    <w:rsid w:val="00A6649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0E59"/>
    <w:rsid w:val="00AD3FEA"/>
    <w:rsid w:val="00AD7BBD"/>
    <w:rsid w:val="00AF228E"/>
    <w:rsid w:val="00AF302B"/>
    <w:rsid w:val="00B04137"/>
    <w:rsid w:val="00B06AF1"/>
    <w:rsid w:val="00B1112C"/>
    <w:rsid w:val="00B11D19"/>
    <w:rsid w:val="00B12936"/>
    <w:rsid w:val="00B12C2D"/>
    <w:rsid w:val="00B14819"/>
    <w:rsid w:val="00B15031"/>
    <w:rsid w:val="00B17AA9"/>
    <w:rsid w:val="00B2197A"/>
    <w:rsid w:val="00B263D0"/>
    <w:rsid w:val="00B32DE4"/>
    <w:rsid w:val="00B33578"/>
    <w:rsid w:val="00B35766"/>
    <w:rsid w:val="00B370C3"/>
    <w:rsid w:val="00B411AE"/>
    <w:rsid w:val="00B413F5"/>
    <w:rsid w:val="00B457BF"/>
    <w:rsid w:val="00B46CE2"/>
    <w:rsid w:val="00B60190"/>
    <w:rsid w:val="00B61419"/>
    <w:rsid w:val="00B66120"/>
    <w:rsid w:val="00B66441"/>
    <w:rsid w:val="00B72F5F"/>
    <w:rsid w:val="00B736DF"/>
    <w:rsid w:val="00B74FBD"/>
    <w:rsid w:val="00B77352"/>
    <w:rsid w:val="00B82586"/>
    <w:rsid w:val="00B829A3"/>
    <w:rsid w:val="00B86DB1"/>
    <w:rsid w:val="00B87869"/>
    <w:rsid w:val="00B953BD"/>
    <w:rsid w:val="00BA0E44"/>
    <w:rsid w:val="00BA47C5"/>
    <w:rsid w:val="00BB0F2B"/>
    <w:rsid w:val="00BD0D57"/>
    <w:rsid w:val="00BE1A50"/>
    <w:rsid w:val="00BF50F7"/>
    <w:rsid w:val="00C00111"/>
    <w:rsid w:val="00C02F29"/>
    <w:rsid w:val="00C10C13"/>
    <w:rsid w:val="00C17111"/>
    <w:rsid w:val="00C20747"/>
    <w:rsid w:val="00C20AFE"/>
    <w:rsid w:val="00C22A25"/>
    <w:rsid w:val="00C23B79"/>
    <w:rsid w:val="00C33D50"/>
    <w:rsid w:val="00C35671"/>
    <w:rsid w:val="00C35B77"/>
    <w:rsid w:val="00C370D3"/>
    <w:rsid w:val="00C376EB"/>
    <w:rsid w:val="00C4003A"/>
    <w:rsid w:val="00C4510C"/>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3119"/>
    <w:rsid w:val="00CC5335"/>
    <w:rsid w:val="00CC5BA4"/>
    <w:rsid w:val="00CC70BB"/>
    <w:rsid w:val="00CD3420"/>
    <w:rsid w:val="00CD4998"/>
    <w:rsid w:val="00CE1035"/>
    <w:rsid w:val="00CE2A6A"/>
    <w:rsid w:val="00CF2819"/>
    <w:rsid w:val="00CF4F9D"/>
    <w:rsid w:val="00CF5804"/>
    <w:rsid w:val="00CF70DC"/>
    <w:rsid w:val="00D148DC"/>
    <w:rsid w:val="00D17FDC"/>
    <w:rsid w:val="00D444C5"/>
    <w:rsid w:val="00D45AEA"/>
    <w:rsid w:val="00D5244F"/>
    <w:rsid w:val="00D52E4F"/>
    <w:rsid w:val="00D56A37"/>
    <w:rsid w:val="00D57202"/>
    <w:rsid w:val="00D6386E"/>
    <w:rsid w:val="00D63EFD"/>
    <w:rsid w:val="00D64826"/>
    <w:rsid w:val="00D7080A"/>
    <w:rsid w:val="00D80DF2"/>
    <w:rsid w:val="00D84150"/>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1F23"/>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1C42"/>
    <w:rsid w:val="00E6302B"/>
    <w:rsid w:val="00E6452F"/>
    <w:rsid w:val="00E64619"/>
    <w:rsid w:val="00E64F45"/>
    <w:rsid w:val="00E65B33"/>
    <w:rsid w:val="00E6742D"/>
    <w:rsid w:val="00E71CB0"/>
    <w:rsid w:val="00E73529"/>
    <w:rsid w:val="00E77C3D"/>
    <w:rsid w:val="00E82E22"/>
    <w:rsid w:val="00E850FE"/>
    <w:rsid w:val="00E909F0"/>
    <w:rsid w:val="00E90D47"/>
    <w:rsid w:val="00E92235"/>
    <w:rsid w:val="00E93993"/>
    <w:rsid w:val="00E9597C"/>
    <w:rsid w:val="00EA0913"/>
    <w:rsid w:val="00EA0A2F"/>
    <w:rsid w:val="00EA6D31"/>
    <w:rsid w:val="00EB146B"/>
    <w:rsid w:val="00EB45AC"/>
    <w:rsid w:val="00EC2AEA"/>
    <w:rsid w:val="00EC5A90"/>
    <w:rsid w:val="00EC7B11"/>
    <w:rsid w:val="00EC7F95"/>
    <w:rsid w:val="00ED0BC4"/>
    <w:rsid w:val="00ED3771"/>
    <w:rsid w:val="00ED4AB7"/>
    <w:rsid w:val="00ED6A32"/>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CFB"/>
    <w:rsid w:val="00F34F9D"/>
    <w:rsid w:val="00F35CCE"/>
    <w:rsid w:val="00F51EE5"/>
    <w:rsid w:val="00F55241"/>
    <w:rsid w:val="00F5524B"/>
    <w:rsid w:val="00F60538"/>
    <w:rsid w:val="00F61882"/>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71"/>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12</Pages>
  <Words>4054</Words>
  <Characters>23109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Alexander Nagy</cp:lastModifiedBy>
  <cp:revision>54</cp:revision>
  <cp:lastPrinted>2019-08-27T05:42:00Z</cp:lastPrinted>
  <dcterms:created xsi:type="dcterms:W3CDTF">2023-01-19T09:32:00Z</dcterms:created>
  <dcterms:modified xsi:type="dcterms:W3CDTF">2024-02-27T22:05:00Z</dcterms:modified>
</cp:coreProperties>
</file>