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2329D2" w14:textId="77777777" w:rsidR="00074768" w:rsidRPr="00190004" w:rsidRDefault="00074768" w:rsidP="000535BB">
      <w:pPr>
        <w:jc w:val="center"/>
        <w:rPr>
          <w:u w:val="single"/>
        </w:rPr>
      </w:pPr>
    </w:p>
    <w:p w14:paraId="3AA52542" w14:textId="77777777" w:rsidR="00074768" w:rsidRPr="00190004" w:rsidRDefault="00074768" w:rsidP="000535BB">
      <w:pPr>
        <w:jc w:val="center"/>
        <w:rPr>
          <w:u w:val="single"/>
        </w:rPr>
      </w:pPr>
    </w:p>
    <w:p w14:paraId="62671CE7" w14:textId="77777777" w:rsidR="00074768" w:rsidRPr="00190004" w:rsidRDefault="00074768" w:rsidP="000535BB">
      <w:pPr>
        <w:jc w:val="center"/>
        <w:rPr>
          <w:u w:val="single"/>
        </w:rPr>
      </w:pPr>
    </w:p>
    <w:p w14:paraId="4F84C632" w14:textId="77777777" w:rsidR="00074768" w:rsidRPr="00190004" w:rsidRDefault="00074768" w:rsidP="000535BB">
      <w:pPr>
        <w:jc w:val="center"/>
        <w:rPr>
          <w:u w:val="single"/>
        </w:rPr>
      </w:pPr>
    </w:p>
    <w:p w14:paraId="294CBF3D" w14:textId="77777777" w:rsidR="00074768" w:rsidRPr="00190004" w:rsidRDefault="00074768" w:rsidP="000535BB">
      <w:pPr>
        <w:jc w:val="center"/>
        <w:rPr>
          <w:u w:val="single"/>
        </w:rPr>
      </w:pPr>
    </w:p>
    <w:p w14:paraId="4BA45E73" w14:textId="77777777" w:rsidR="00074768" w:rsidRPr="00190004" w:rsidRDefault="00074768" w:rsidP="000535BB">
      <w:pPr>
        <w:jc w:val="center"/>
        <w:rPr>
          <w:u w:val="single"/>
        </w:rPr>
      </w:pPr>
    </w:p>
    <w:p w14:paraId="4C2DF640" w14:textId="77777777" w:rsidR="00074768" w:rsidRDefault="00074768" w:rsidP="000535BB">
      <w:pPr>
        <w:jc w:val="center"/>
        <w:rPr>
          <w:u w:val="single"/>
        </w:rPr>
      </w:pPr>
    </w:p>
    <w:p w14:paraId="65953A8A" w14:textId="77777777" w:rsidR="00A159B3" w:rsidRPr="00190004" w:rsidRDefault="00A159B3" w:rsidP="000535BB">
      <w:pPr>
        <w:jc w:val="center"/>
        <w:rPr>
          <w:u w:val="single"/>
        </w:rPr>
      </w:pPr>
    </w:p>
    <w:p w14:paraId="0E080A2C" w14:textId="77777777" w:rsidR="00074768" w:rsidRPr="00190004" w:rsidRDefault="00074768" w:rsidP="000535BB">
      <w:pPr>
        <w:jc w:val="center"/>
        <w:rPr>
          <w:u w:val="single"/>
        </w:rPr>
      </w:pPr>
    </w:p>
    <w:p w14:paraId="648BFBD2" w14:textId="77777777" w:rsidR="003828FF" w:rsidRPr="003828FF" w:rsidRDefault="003828FF" w:rsidP="003828FF">
      <w:pPr>
        <w:pBdr>
          <w:top w:val="single" w:sz="4" w:space="1" w:color="auto"/>
          <w:left w:val="single" w:sz="4" w:space="1" w:color="auto"/>
          <w:bottom w:val="single" w:sz="4" w:space="1" w:color="auto"/>
          <w:right w:val="single" w:sz="4" w:space="1" w:color="auto"/>
        </w:pBdr>
        <w:jc w:val="center"/>
        <w:rPr>
          <w:b/>
          <w:bCs/>
          <w:u w:val="single"/>
        </w:rPr>
      </w:pPr>
    </w:p>
    <w:p w14:paraId="6D737514" w14:textId="728E2B2D" w:rsidR="0096382C" w:rsidRPr="003828FF" w:rsidRDefault="00633E1C" w:rsidP="003828FF">
      <w:pPr>
        <w:pBdr>
          <w:top w:val="single" w:sz="4" w:space="1" w:color="auto"/>
          <w:left w:val="single" w:sz="4" w:space="1" w:color="auto"/>
          <w:bottom w:val="single" w:sz="4" w:space="1" w:color="auto"/>
          <w:right w:val="single" w:sz="4" w:space="1" w:color="auto"/>
        </w:pBdr>
        <w:jc w:val="center"/>
        <w:rPr>
          <w:b/>
          <w:bCs/>
          <w:u w:val="single"/>
        </w:rPr>
      </w:pPr>
      <w:r w:rsidRPr="003828FF">
        <w:rPr>
          <w:b/>
          <w:bCs/>
          <w:u w:val="single"/>
        </w:rPr>
        <w:t xml:space="preserve">A </w:t>
      </w:r>
      <w:r w:rsidR="000535BB" w:rsidRPr="003828FF">
        <w:rPr>
          <w:b/>
          <w:bCs/>
          <w:u w:val="single"/>
        </w:rPr>
        <w:t xml:space="preserve">Comparative Analysis of </w:t>
      </w:r>
      <w:r w:rsidR="007E753F">
        <w:rPr>
          <w:b/>
          <w:bCs/>
          <w:u w:val="single"/>
        </w:rPr>
        <w:t xml:space="preserve">Simplified </w:t>
      </w:r>
      <w:r w:rsidR="000535BB" w:rsidRPr="003828FF">
        <w:rPr>
          <w:b/>
          <w:bCs/>
          <w:u w:val="single"/>
        </w:rPr>
        <w:t>M</w:t>
      </w:r>
      <w:r w:rsidRPr="003828FF">
        <w:rPr>
          <w:b/>
          <w:bCs/>
          <w:u w:val="single"/>
        </w:rPr>
        <w:t xml:space="preserve">icro and </w:t>
      </w:r>
      <w:r w:rsidR="000535BB" w:rsidRPr="003828FF">
        <w:rPr>
          <w:b/>
          <w:bCs/>
          <w:u w:val="single"/>
        </w:rPr>
        <w:t>S</w:t>
      </w:r>
      <w:r w:rsidRPr="003828FF">
        <w:rPr>
          <w:b/>
          <w:bCs/>
          <w:u w:val="single"/>
        </w:rPr>
        <w:t xml:space="preserve">mall </w:t>
      </w:r>
      <w:r w:rsidR="000535BB" w:rsidRPr="003828FF">
        <w:rPr>
          <w:b/>
          <w:bCs/>
          <w:u w:val="single"/>
        </w:rPr>
        <w:t>E</w:t>
      </w:r>
      <w:r w:rsidRPr="003828FF">
        <w:rPr>
          <w:b/>
          <w:bCs/>
          <w:u w:val="single"/>
        </w:rPr>
        <w:t>nterprise (MSE)</w:t>
      </w:r>
      <w:r w:rsidR="000535BB" w:rsidRPr="003828FF">
        <w:rPr>
          <w:b/>
          <w:bCs/>
          <w:u w:val="single"/>
        </w:rPr>
        <w:t xml:space="preserve"> </w:t>
      </w:r>
      <w:r w:rsidR="000C58A3">
        <w:rPr>
          <w:b/>
          <w:bCs/>
          <w:u w:val="single"/>
        </w:rPr>
        <w:t xml:space="preserve">Reorganization </w:t>
      </w:r>
      <w:r w:rsidR="000535BB" w:rsidRPr="003828FF">
        <w:rPr>
          <w:b/>
          <w:bCs/>
          <w:u w:val="single"/>
        </w:rPr>
        <w:t>Procedures</w:t>
      </w:r>
    </w:p>
    <w:p w14:paraId="0CC08B3A" w14:textId="262947DB" w:rsidR="00161B7E" w:rsidRDefault="00F538CA" w:rsidP="003828FF">
      <w:pPr>
        <w:pBdr>
          <w:top w:val="single" w:sz="4" w:space="1" w:color="auto"/>
          <w:left w:val="single" w:sz="4" w:space="1" w:color="auto"/>
          <w:bottom w:val="single" w:sz="4" w:space="1" w:color="auto"/>
          <w:right w:val="single" w:sz="4" w:space="1" w:color="auto"/>
        </w:pBdr>
        <w:jc w:val="center"/>
        <w:rPr>
          <w:i/>
          <w:iCs/>
        </w:rPr>
      </w:pPr>
      <w:r>
        <w:rPr>
          <w:i/>
          <w:iCs/>
        </w:rPr>
        <w:t xml:space="preserve">Early </w:t>
      </w:r>
      <w:r w:rsidR="00161B7E" w:rsidRPr="00A65B0B">
        <w:rPr>
          <w:i/>
          <w:iCs/>
        </w:rPr>
        <w:t>Learning</w:t>
      </w:r>
      <w:r w:rsidR="00A33912">
        <w:rPr>
          <w:i/>
          <w:iCs/>
        </w:rPr>
        <w:t>s</w:t>
      </w:r>
      <w:r w:rsidR="00161B7E" w:rsidRPr="00A65B0B">
        <w:rPr>
          <w:i/>
          <w:iCs/>
        </w:rPr>
        <w:t xml:space="preserve"> from Approaches </w:t>
      </w:r>
      <w:r w:rsidR="00AE49F7">
        <w:rPr>
          <w:i/>
          <w:iCs/>
        </w:rPr>
        <w:t>on</w:t>
      </w:r>
      <w:r w:rsidR="00161B7E" w:rsidRPr="00A65B0B">
        <w:rPr>
          <w:i/>
          <w:iCs/>
        </w:rPr>
        <w:t xml:space="preserve"> Three Continents</w:t>
      </w:r>
    </w:p>
    <w:p w14:paraId="6145BEBC" w14:textId="77777777" w:rsidR="003828FF" w:rsidRDefault="003828FF" w:rsidP="003828FF">
      <w:pPr>
        <w:pBdr>
          <w:top w:val="single" w:sz="4" w:space="1" w:color="auto"/>
          <w:left w:val="single" w:sz="4" w:space="1" w:color="auto"/>
          <w:bottom w:val="single" w:sz="4" w:space="1" w:color="auto"/>
          <w:right w:val="single" w:sz="4" w:space="1" w:color="auto"/>
        </w:pBdr>
        <w:jc w:val="center"/>
      </w:pPr>
    </w:p>
    <w:p w14:paraId="14AA61DD" w14:textId="2CDE2532" w:rsidR="003828FF" w:rsidRDefault="003828FF" w:rsidP="003828FF">
      <w:pPr>
        <w:pBdr>
          <w:top w:val="single" w:sz="4" w:space="1" w:color="auto"/>
          <w:left w:val="single" w:sz="4" w:space="1" w:color="auto"/>
          <w:bottom w:val="single" w:sz="4" w:space="1" w:color="auto"/>
          <w:right w:val="single" w:sz="4" w:space="1" w:color="auto"/>
        </w:pBdr>
        <w:jc w:val="center"/>
      </w:pPr>
      <w:r w:rsidRPr="00A65B0B">
        <w:t>Will Paterson</w:t>
      </w:r>
    </w:p>
    <w:p w14:paraId="204005DB" w14:textId="77777777" w:rsidR="00873A5E" w:rsidRDefault="00873A5E" w:rsidP="003828FF">
      <w:pPr>
        <w:pBdr>
          <w:top w:val="single" w:sz="4" w:space="1" w:color="auto"/>
          <w:left w:val="single" w:sz="4" w:space="1" w:color="auto"/>
          <w:bottom w:val="single" w:sz="4" w:space="1" w:color="auto"/>
          <w:right w:val="single" w:sz="4" w:space="1" w:color="auto"/>
        </w:pBdr>
        <w:jc w:val="center"/>
      </w:pPr>
      <w:r>
        <w:t>Global Insolvency Practice Course, INSOL</w:t>
      </w:r>
    </w:p>
    <w:p w14:paraId="400C648E" w14:textId="7F69FDF1" w:rsidR="003828FF" w:rsidRDefault="003828FF" w:rsidP="003828FF">
      <w:pPr>
        <w:pBdr>
          <w:top w:val="single" w:sz="4" w:space="1" w:color="auto"/>
          <w:left w:val="single" w:sz="4" w:space="1" w:color="auto"/>
          <w:bottom w:val="single" w:sz="4" w:space="1" w:color="auto"/>
          <w:right w:val="single" w:sz="4" w:space="1" w:color="auto"/>
        </w:pBdr>
        <w:jc w:val="center"/>
      </w:pPr>
      <w:r>
        <w:t>February 2024</w:t>
      </w:r>
    </w:p>
    <w:p w14:paraId="1EBF52F4" w14:textId="77777777" w:rsidR="003828FF" w:rsidRPr="00A65B0B" w:rsidRDefault="003828FF" w:rsidP="003828FF">
      <w:pPr>
        <w:pBdr>
          <w:top w:val="single" w:sz="4" w:space="1" w:color="auto"/>
          <w:left w:val="single" w:sz="4" w:space="1" w:color="auto"/>
          <w:bottom w:val="single" w:sz="4" w:space="1" w:color="auto"/>
          <w:right w:val="single" w:sz="4" w:space="1" w:color="auto"/>
        </w:pBdr>
        <w:jc w:val="center"/>
      </w:pPr>
    </w:p>
    <w:p w14:paraId="689431EF" w14:textId="77777777" w:rsidR="000B7F0B" w:rsidRDefault="000B7F0B" w:rsidP="000535BB">
      <w:pPr>
        <w:jc w:val="center"/>
      </w:pPr>
    </w:p>
    <w:p w14:paraId="2A9198F2" w14:textId="77777777" w:rsidR="00533C13" w:rsidRPr="00A65B0B" w:rsidRDefault="00533C13" w:rsidP="000535BB">
      <w:pPr>
        <w:jc w:val="center"/>
      </w:pPr>
    </w:p>
    <w:p w14:paraId="62013103" w14:textId="77777777" w:rsidR="00074768" w:rsidRPr="00A65B0B" w:rsidRDefault="00074768">
      <w:pPr>
        <w:rPr>
          <w:rFonts w:asciiTheme="majorHAnsi" w:eastAsiaTheme="majorEastAsia" w:hAnsiTheme="majorHAnsi" w:cstheme="majorBidi"/>
          <w:color w:val="2F5496" w:themeColor="accent1" w:themeShade="BF"/>
          <w:kern w:val="0"/>
          <w:sz w:val="32"/>
          <w:szCs w:val="32"/>
          <w14:ligatures w14:val="none"/>
        </w:rPr>
      </w:pPr>
      <w:r w:rsidRPr="00A65B0B">
        <w:br w:type="page"/>
      </w:r>
    </w:p>
    <w:sdt>
      <w:sdtPr>
        <w:rPr>
          <w:rFonts w:asciiTheme="minorHAnsi" w:eastAsiaTheme="minorHAnsi" w:hAnsiTheme="minorHAnsi" w:cstheme="minorBidi"/>
          <w:color w:val="auto"/>
          <w:kern w:val="2"/>
          <w:sz w:val="22"/>
          <w:szCs w:val="22"/>
          <w14:ligatures w14:val="standardContextual"/>
        </w:rPr>
        <w:id w:val="1439262391"/>
        <w:docPartObj>
          <w:docPartGallery w:val="Table of Contents"/>
          <w:docPartUnique/>
        </w:docPartObj>
      </w:sdtPr>
      <w:sdtEndPr>
        <w:rPr>
          <w:b/>
          <w:bCs/>
          <w:noProof/>
        </w:rPr>
      </w:sdtEndPr>
      <w:sdtContent>
        <w:p w14:paraId="30FAC67F" w14:textId="6B4C1CFE" w:rsidR="00FB7483" w:rsidRPr="00E5583C" w:rsidRDefault="00FB7483">
          <w:pPr>
            <w:pStyle w:val="TOCHeading"/>
            <w:rPr>
              <w:b/>
              <w:bCs/>
            </w:rPr>
          </w:pPr>
          <w:r w:rsidRPr="00E5583C">
            <w:rPr>
              <w:b/>
              <w:bCs/>
            </w:rPr>
            <w:t>Table of Contents</w:t>
          </w:r>
        </w:p>
        <w:p w14:paraId="6231D618" w14:textId="77777777" w:rsidR="00FB7483" w:rsidRPr="00A65B0B" w:rsidRDefault="00FB7483" w:rsidP="00FB7483"/>
        <w:p w14:paraId="7296480B" w14:textId="77777777" w:rsidR="00FB7483" w:rsidRPr="00A65B0B" w:rsidRDefault="00FB7483" w:rsidP="00FB7483"/>
        <w:p w14:paraId="3BFA4A51" w14:textId="126E41FF" w:rsidR="0092273E" w:rsidRDefault="00FB7483">
          <w:pPr>
            <w:pStyle w:val="TOC1"/>
            <w:tabs>
              <w:tab w:val="left" w:pos="440"/>
              <w:tab w:val="right" w:leader="dot" w:pos="9350"/>
            </w:tabs>
            <w:rPr>
              <w:rFonts w:eastAsiaTheme="minorEastAsia"/>
              <w:noProof/>
            </w:rPr>
          </w:pPr>
          <w:r w:rsidRPr="00B5738B">
            <w:fldChar w:fldCharType="begin"/>
          </w:r>
          <w:r w:rsidRPr="00B5738B">
            <w:instrText xml:space="preserve"> TOC \o "1-3" \h \z \u </w:instrText>
          </w:r>
          <w:r w:rsidRPr="00B5738B">
            <w:fldChar w:fldCharType="separate"/>
          </w:r>
          <w:hyperlink w:anchor="_Toc159866293" w:history="1">
            <w:r w:rsidR="0092273E" w:rsidRPr="0092273E">
              <w:rPr>
                <w:rStyle w:val="Hyperlink"/>
                <w:noProof/>
              </w:rPr>
              <w:t>1.</w:t>
            </w:r>
            <w:r w:rsidR="0092273E" w:rsidRPr="0092273E">
              <w:rPr>
                <w:rFonts w:eastAsiaTheme="minorEastAsia"/>
                <w:noProof/>
              </w:rPr>
              <w:tab/>
            </w:r>
            <w:r w:rsidR="0092273E" w:rsidRPr="0092273E">
              <w:rPr>
                <w:rStyle w:val="Hyperlink"/>
                <w:noProof/>
              </w:rPr>
              <w:t>Introduction</w:t>
            </w:r>
            <w:r w:rsidR="0092273E">
              <w:rPr>
                <w:noProof/>
                <w:webHidden/>
              </w:rPr>
              <w:tab/>
            </w:r>
            <w:r w:rsidR="0092273E">
              <w:rPr>
                <w:noProof/>
                <w:webHidden/>
              </w:rPr>
              <w:fldChar w:fldCharType="begin"/>
            </w:r>
            <w:r w:rsidR="0092273E">
              <w:rPr>
                <w:noProof/>
                <w:webHidden/>
              </w:rPr>
              <w:instrText xml:space="preserve"> PAGEREF _Toc159866293 \h </w:instrText>
            </w:r>
            <w:r w:rsidR="0092273E">
              <w:rPr>
                <w:noProof/>
                <w:webHidden/>
              </w:rPr>
            </w:r>
            <w:r w:rsidR="0092273E">
              <w:rPr>
                <w:noProof/>
                <w:webHidden/>
              </w:rPr>
              <w:fldChar w:fldCharType="separate"/>
            </w:r>
            <w:r w:rsidR="0092273E">
              <w:rPr>
                <w:noProof/>
                <w:webHidden/>
              </w:rPr>
              <w:t>3</w:t>
            </w:r>
            <w:r w:rsidR="0092273E">
              <w:rPr>
                <w:noProof/>
                <w:webHidden/>
              </w:rPr>
              <w:fldChar w:fldCharType="end"/>
            </w:r>
          </w:hyperlink>
        </w:p>
        <w:p w14:paraId="0C01E543" w14:textId="09B8B4CB" w:rsidR="0092273E" w:rsidRPr="0092273E" w:rsidRDefault="00273EFB">
          <w:pPr>
            <w:pStyle w:val="TOC1"/>
            <w:tabs>
              <w:tab w:val="left" w:pos="440"/>
              <w:tab w:val="right" w:leader="dot" w:pos="9350"/>
            </w:tabs>
            <w:rPr>
              <w:rFonts w:eastAsiaTheme="minorEastAsia"/>
              <w:noProof/>
            </w:rPr>
          </w:pPr>
          <w:hyperlink w:anchor="_Toc159866294" w:history="1">
            <w:r w:rsidR="0092273E" w:rsidRPr="0092273E">
              <w:rPr>
                <w:rStyle w:val="Hyperlink"/>
                <w:noProof/>
              </w:rPr>
              <w:t>2.</w:t>
            </w:r>
            <w:r w:rsidR="0092273E" w:rsidRPr="0092273E">
              <w:rPr>
                <w:rFonts w:eastAsiaTheme="minorEastAsia"/>
                <w:noProof/>
              </w:rPr>
              <w:tab/>
            </w:r>
            <w:r w:rsidR="0092273E" w:rsidRPr="0092273E">
              <w:rPr>
                <w:rStyle w:val="Hyperlink"/>
                <w:noProof/>
              </w:rPr>
              <w:t>Good Practice for MSE Simplified Reorganization Procedures</w:t>
            </w:r>
            <w:r w:rsidR="0092273E" w:rsidRPr="0092273E">
              <w:rPr>
                <w:noProof/>
                <w:webHidden/>
              </w:rPr>
              <w:tab/>
            </w:r>
            <w:r w:rsidR="0092273E" w:rsidRPr="0092273E">
              <w:rPr>
                <w:noProof/>
                <w:webHidden/>
              </w:rPr>
              <w:fldChar w:fldCharType="begin"/>
            </w:r>
            <w:r w:rsidR="0092273E" w:rsidRPr="0092273E">
              <w:rPr>
                <w:noProof/>
                <w:webHidden/>
              </w:rPr>
              <w:instrText xml:space="preserve"> PAGEREF _Toc159866294 \h </w:instrText>
            </w:r>
            <w:r w:rsidR="0092273E" w:rsidRPr="0092273E">
              <w:rPr>
                <w:noProof/>
                <w:webHidden/>
              </w:rPr>
            </w:r>
            <w:r w:rsidR="0092273E" w:rsidRPr="0092273E">
              <w:rPr>
                <w:noProof/>
                <w:webHidden/>
              </w:rPr>
              <w:fldChar w:fldCharType="separate"/>
            </w:r>
            <w:r w:rsidR="0092273E" w:rsidRPr="0092273E">
              <w:rPr>
                <w:noProof/>
                <w:webHidden/>
              </w:rPr>
              <w:t>4</w:t>
            </w:r>
            <w:r w:rsidR="0092273E" w:rsidRPr="0092273E">
              <w:rPr>
                <w:noProof/>
                <w:webHidden/>
              </w:rPr>
              <w:fldChar w:fldCharType="end"/>
            </w:r>
          </w:hyperlink>
        </w:p>
        <w:p w14:paraId="3FC4FB07" w14:textId="5E574597" w:rsidR="0092273E" w:rsidRPr="0092273E" w:rsidRDefault="00273EFB">
          <w:pPr>
            <w:pStyle w:val="TOC1"/>
            <w:tabs>
              <w:tab w:val="left" w:pos="440"/>
              <w:tab w:val="right" w:leader="dot" w:pos="9350"/>
            </w:tabs>
            <w:rPr>
              <w:rFonts w:eastAsiaTheme="minorEastAsia"/>
              <w:noProof/>
            </w:rPr>
          </w:pPr>
          <w:hyperlink w:anchor="_Toc159866295" w:history="1">
            <w:r w:rsidR="0092273E" w:rsidRPr="0092273E">
              <w:rPr>
                <w:rStyle w:val="Hyperlink"/>
                <w:noProof/>
              </w:rPr>
              <w:t>3.</w:t>
            </w:r>
            <w:r w:rsidR="0092273E" w:rsidRPr="0092273E">
              <w:rPr>
                <w:rFonts w:eastAsiaTheme="minorEastAsia"/>
                <w:noProof/>
              </w:rPr>
              <w:tab/>
            </w:r>
            <w:r w:rsidR="0092273E" w:rsidRPr="0092273E">
              <w:rPr>
                <w:rStyle w:val="Hyperlink"/>
                <w:noProof/>
              </w:rPr>
              <w:t>Key Features of Simplified Procedures in the Jurisdictions</w:t>
            </w:r>
            <w:r w:rsidR="0092273E" w:rsidRPr="0092273E">
              <w:rPr>
                <w:noProof/>
                <w:webHidden/>
              </w:rPr>
              <w:tab/>
            </w:r>
            <w:r w:rsidR="0092273E" w:rsidRPr="0092273E">
              <w:rPr>
                <w:noProof/>
                <w:webHidden/>
              </w:rPr>
              <w:fldChar w:fldCharType="begin"/>
            </w:r>
            <w:r w:rsidR="0092273E" w:rsidRPr="0092273E">
              <w:rPr>
                <w:noProof/>
                <w:webHidden/>
              </w:rPr>
              <w:instrText xml:space="preserve"> PAGEREF _Toc159866295 \h </w:instrText>
            </w:r>
            <w:r w:rsidR="0092273E" w:rsidRPr="0092273E">
              <w:rPr>
                <w:noProof/>
                <w:webHidden/>
              </w:rPr>
            </w:r>
            <w:r w:rsidR="0092273E" w:rsidRPr="0092273E">
              <w:rPr>
                <w:noProof/>
                <w:webHidden/>
              </w:rPr>
              <w:fldChar w:fldCharType="separate"/>
            </w:r>
            <w:r w:rsidR="0092273E" w:rsidRPr="0092273E">
              <w:rPr>
                <w:noProof/>
                <w:webHidden/>
              </w:rPr>
              <w:t>6</w:t>
            </w:r>
            <w:r w:rsidR="0092273E" w:rsidRPr="0092273E">
              <w:rPr>
                <w:noProof/>
                <w:webHidden/>
              </w:rPr>
              <w:fldChar w:fldCharType="end"/>
            </w:r>
          </w:hyperlink>
        </w:p>
        <w:p w14:paraId="02DF2486" w14:textId="1FEB2470" w:rsidR="0092273E" w:rsidRPr="0092273E" w:rsidRDefault="00273EFB">
          <w:pPr>
            <w:pStyle w:val="TOC2"/>
            <w:tabs>
              <w:tab w:val="left" w:pos="660"/>
              <w:tab w:val="right" w:leader="dot" w:pos="9350"/>
            </w:tabs>
            <w:rPr>
              <w:rFonts w:eastAsiaTheme="minorEastAsia"/>
              <w:noProof/>
            </w:rPr>
          </w:pPr>
          <w:hyperlink w:anchor="_Toc159866296" w:history="1">
            <w:r w:rsidR="0092273E" w:rsidRPr="0092273E">
              <w:rPr>
                <w:rStyle w:val="Hyperlink"/>
                <w:noProof/>
              </w:rPr>
              <w:t>a.</w:t>
            </w:r>
            <w:r w:rsidR="0092273E" w:rsidRPr="0092273E">
              <w:rPr>
                <w:rFonts w:eastAsiaTheme="minorEastAsia"/>
                <w:noProof/>
              </w:rPr>
              <w:tab/>
            </w:r>
            <w:r w:rsidR="0092273E" w:rsidRPr="0092273E">
              <w:rPr>
                <w:rStyle w:val="Hyperlink"/>
                <w:noProof/>
              </w:rPr>
              <w:t>OHADA</w:t>
            </w:r>
            <w:r w:rsidR="0092273E" w:rsidRPr="0092273E">
              <w:rPr>
                <w:noProof/>
                <w:webHidden/>
              </w:rPr>
              <w:tab/>
            </w:r>
            <w:r w:rsidR="0092273E" w:rsidRPr="0092273E">
              <w:rPr>
                <w:noProof/>
                <w:webHidden/>
              </w:rPr>
              <w:fldChar w:fldCharType="begin"/>
            </w:r>
            <w:r w:rsidR="0092273E" w:rsidRPr="0092273E">
              <w:rPr>
                <w:noProof/>
                <w:webHidden/>
              </w:rPr>
              <w:instrText xml:space="preserve"> PAGEREF _Toc159866296 \h </w:instrText>
            </w:r>
            <w:r w:rsidR="0092273E" w:rsidRPr="0092273E">
              <w:rPr>
                <w:noProof/>
                <w:webHidden/>
              </w:rPr>
            </w:r>
            <w:r w:rsidR="0092273E" w:rsidRPr="0092273E">
              <w:rPr>
                <w:noProof/>
                <w:webHidden/>
              </w:rPr>
              <w:fldChar w:fldCharType="separate"/>
            </w:r>
            <w:r w:rsidR="0092273E" w:rsidRPr="0092273E">
              <w:rPr>
                <w:noProof/>
                <w:webHidden/>
              </w:rPr>
              <w:t>7</w:t>
            </w:r>
            <w:r w:rsidR="0092273E" w:rsidRPr="0092273E">
              <w:rPr>
                <w:noProof/>
                <w:webHidden/>
              </w:rPr>
              <w:fldChar w:fldCharType="end"/>
            </w:r>
          </w:hyperlink>
        </w:p>
        <w:p w14:paraId="4588C826" w14:textId="696754C9" w:rsidR="0092273E" w:rsidRPr="0092273E" w:rsidRDefault="00273EFB">
          <w:pPr>
            <w:pStyle w:val="TOC2"/>
            <w:tabs>
              <w:tab w:val="left" w:pos="660"/>
              <w:tab w:val="right" w:leader="dot" w:pos="9350"/>
            </w:tabs>
            <w:rPr>
              <w:rFonts w:eastAsiaTheme="minorEastAsia"/>
              <w:noProof/>
            </w:rPr>
          </w:pPr>
          <w:hyperlink w:anchor="_Toc159866297" w:history="1">
            <w:r w:rsidR="0092273E" w:rsidRPr="0092273E">
              <w:rPr>
                <w:rStyle w:val="Hyperlink"/>
                <w:noProof/>
              </w:rPr>
              <w:t>b.</w:t>
            </w:r>
            <w:r w:rsidR="0092273E" w:rsidRPr="0092273E">
              <w:rPr>
                <w:rFonts w:eastAsiaTheme="minorEastAsia"/>
                <w:noProof/>
              </w:rPr>
              <w:tab/>
            </w:r>
            <w:r w:rsidR="0092273E" w:rsidRPr="0092273E">
              <w:rPr>
                <w:rStyle w:val="Hyperlink"/>
                <w:noProof/>
              </w:rPr>
              <w:t>Singapore</w:t>
            </w:r>
            <w:r w:rsidR="0092273E" w:rsidRPr="0092273E">
              <w:rPr>
                <w:noProof/>
                <w:webHidden/>
              </w:rPr>
              <w:tab/>
            </w:r>
            <w:r w:rsidR="0092273E" w:rsidRPr="0092273E">
              <w:rPr>
                <w:noProof/>
                <w:webHidden/>
              </w:rPr>
              <w:fldChar w:fldCharType="begin"/>
            </w:r>
            <w:r w:rsidR="0092273E" w:rsidRPr="0092273E">
              <w:rPr>
                <w:noProof/>
                <w:webHidden/>
              </w:rPr>
              <w:instrText xml:space="preserve"> PAGEREF _Toc159866297 \h </w:instrText>
            </w:r>
            <w:r w:rsidR="0092273E" w:rsidRPr="0092273E">
              <w:rPr>
                <w:noProof/>
                <w:webHidden/>
              </w:rPr>
            </w:r>
            <w:r w:rsidR="0092273E" w:rsidRPr="0092273E">
              <w:rPr>
                <w:noProof/>
                <w:webHidden/>
              </w:rPr>
              <w:fldChar w:fldCharType="separate"/>
            </w:r>
            <w:r w:rsidR="0092273E" w:rsidRPr="0092273E">
              <w:rPr>
                <w:noProof/>
                <w:webHidden/>
              </w:rPr>
              <w:t>8</w:t>
            </w:r>
            <w:r w:rsidR="0092273E" w:rsidRPr="0092273E">
              <w:rPr>
                <w:noProof/>
                <w:webHidden/>
              </w:rPr>
              <w:fldChar w:fldCharType="end"/>
            </w:r>
          </w:hyperlink>
        </w:p>
        <w:p w14:paraId="2B733EBD" w14:textId="77C89544" w:rsidR="0092273E" w:rsidRPr="0092273E" w:rsidRDefault="00273EFB">
          <w:pPr>
            <w:pStyle w:val="TOC2"/>
            <w:tabs>
              <w:tab w:val="left" w:pos="660"/>
              <w:tab w:val="right" w:leader="dot" w:pos="9350"/>
            </w:tabs>
            <w:rPr>
              <w:rFonts w:eastAsiaTheme="minorEastAsia"/>
              <w:noProof/>
            </w:rPr>
          </w:pPr>
          <w:hyperlink w:anchor="_Toc159866298" w:history="1">
            <w:r w:rsidR="0092273E" w:rsidRPr="0092273E">
              <w:rPr>
                <w:rStyle w:val="Hyperlink"/>
                <w:noProof/>
              </w:rPr>
              <w:t>c.</w:t>
            </w:r>
            <w:r w:rsidR="0092273E" w:rsidRPr="0092273E">
              <w:rPr>
                <w:rFonts w:eastAsiaTheme="minorEastAsia"/>
                <w:noProof/>
              </w:rPr>
              <w:tab/>
            </w:r>
            <w:r w:rsidR="0092273E" w:rsidRPr="0092273E">
              <w:rPr>
                <w:rStyle w:val="Hyperlink"/>
                <w:noProof/>
              </w:rPr>
              <w:t>USA</w:t>
            </w:r>
            <w:r w:rsidR="0092273E" w:rsidRPr="0092273E">
              <w:rPr>
                <w:noProof/>
                <w:webHidden/>
              </w:rPr>
              <w:tab/>
            </w:r>
            <w:r w:rsidR="0092273E" w:rsidRPr="0092273E">
              <w:rPr>
                <w:noProof/>
                <w:webHidden/>
              </w:rPr>
              <w:fldChar w:fldCharType="begin"/>
            </w:r>
            <w:r w:rsidR="0092273E" w:rsidRPr="0092273E">
              <w:rPr>
                <w:noProof/>
                <w:webHidden/>
              </w:rPr>
              <w:instrText xml:space="preserve"> PAGEREF _Toc159866298 \h </w:instrText>
            </w:r>
            <w:r w:rsidR="0092273E" w:rsidRPr="0092273E">
              <w:rPr>
                <w:noProof/>
                <w:webHidden/>
              </w:rPr>
            </w:r>
            <w:r w:rsidR="0092273E" w:rsidRPr="0092273E">
              <w:rPr>
                <w:noProof/>
                <w:webHidden/>
              </w:rPr>
              <w:fldChar w:fldCharType="separate"/>
            </w:r>
            <w:r w:rsidR="0092273E" w:rsidRPr="0092273E">
              <w:rPr>
                <w:noProof/>
                <w:webHidden/>
              </w:rPr>
              <w:t>9</w:t>
            </w:r>
            <w:r w:rsidR="0092273E" w:rsidRPr="0092273E">
              <w:rPr>
                <w:noProof/>
                <w:webHidden/>
              </w:rPr>
              <w:fldChar w:fldCharType="end"/>
            </w:r>
          </w:hyperlink>
        </w:p>
        <w:p w14:paraId="7F3A9679" w14:textId="064FE10D" w:rsidR="0092273E" w:rsidRPr="0092273E" w:rsidRDefault="00273EFB">
          <w:pPr>
            <w:pStyle w:val="TOC1"/>
            <w:tabs>
              <w:tab w:val="left" w:pos="440"/>
              <w:tab w:val="right" w:leader="dot" w:pos="9350"/>
            </w:tabs>
            <w:rPr>
              <w:rFonts w:eastAsiaTheme="minorEastAsia"/>
              <w:noProof/>
            </w:rPr>
          </w:pPr>
          <w:hyperlink w:anchor="_Toc159866299" w:history="1">
            <w:r w:rsidR="0092273E" w:rsidRPr="0092273E">
              <w:rPr>
                <w:rStyle w:val="Hyperlink"/>
                <w:noProof/>
              </w:rPr>
              <w:t>4.</w:t>
            </w:r>
            <w:r w:rsidR="0092273E" w:rsidRPr="0092273E">
              <w:rPr>
                <w:rFonts w:eastAsiaTheme="minorEastAsia"/>
                <w:noProof/>
              </w:rPr>
              <w:tab/>
            </w:r>
            <w:r w:rsidR="0092273E" w:rsidRPr="0092273E">
              <w:rPr>
                <w:rStyle w:val="Hyperlink"/>
                <w:noProof/>
              </w:rPr>
              <w:t>Comparative Analysis</w:t>
            </w:r>
            <w:r w:rsidR="0092273E" w:rsidRPr="0092273E">
              <w:rPr>
                <w:noProof/>
                <w:webHidden/>
              </w:rPr>
              <w:tab/>
            </w:r>
            <w:r w:rsidR="0092273E" w:rsidRPr="0092273E">
              <w:rPr>
                <w:noProof/>
                <w:webHidden/>
              </w:rPr>
              <w:fldChar w:fldCharType="begin"/>
            </w:r>
            <w:r w:rsidR="0092273E" w:rsidRPr="0092273E">
              <w:rPr>
                <w:noProof/>
                <w:webHidden/>
              </w:rPr>
              <w:instrText xml:space="preserve"> PAGEREF _Toc159866299 \h </w:instrText>
            </w:r>
            <w:r w:rsidR="0092273E" w:rsidRPr="0092273E">
              <w:rPr>
                <w:noProof/>
                <w:webHidden/>
              </w:rPr>
            </w:r>
            <w:r w:rsidR="0092273E" w:rsidRPr="0092273E">
              <w:rPr>
                <w:noProof/>
                <w:webHidden/>
              </w:rPr>
              <w:fldChar w:fldCharType="separate"/>
            </w:r>
            <w:r w:rsidR="0092273E" w:rsidRPr="0092273E">
              <w:rPr>
                <w:noProof/>
                <w:webHidden/>
              </w:rPr>
              <w:t>11</w:t>
            </w:r>
            <w:r w:rsidR="0092273E" w:rsidRPr="0092273E">
              <w:rPr>
                <w:noProof/>
                <w:webHidden/>
              </w:rPr>
              <w:fldChar w:fldCharType="end"/>
            </w:r>
          </w:hyperlink>
        </w:p>
        <w:p w14:paraId="05AB9A8B" w14:textId="2ED5E3AD" w:rsidR="0092273E" w:rsidRPr="0092273E" w:rsidRDefault="00273EFB">
          <w:pPr>
            <w:pStyle w:val="TOC2"/>
            <w:tabs>
              <w:tab w:val="left" w:pos="660"/>
              <w:tab w:val="right" w:leader="dot" w:pos="9350"/>
            </w:tabs>
            <w:rPr>
              <w:rFonts w:eastAsiaTheme="minorEastAsia"/>
              <w:noProof/>
            </w:rPr>
          </w:pPr>
          <w:hyperlink w:anchor="_Toc159866300" w:history="1">
            <w:r w:rsidR="0092273E" w:rsidRPr="0092273E">
              <w:rPr>
                <w:rStyle w:val="Hyperlink"/>
                <w:noProof/>
              </w:rPr>
              <w:t>a.</w:t>
            </w:r>
            <w:r w:rsidR="0092273E" w:rsidRPr="0092273E">
              <w:rPr>
                <w:rFonts w:eastAsiaTheme="minorEastAsia"/>
                <w:noProof/>
              </w:rPr>
              <w:tab/>
            </w:r>
            <w:r w:rsidR="0092273E" w:rsidRPr="0092273E">
              <w:rPr>
                <w:rStyle w:val="Hyperlink"/>
                <w:noProof/>
              </w:rPr>
              <w:t>Adherence to the International Standard</w:t>
            </w:r>
            <w:r w:rsidR="0092273E" w:rsidRPr="0092273E">
              <w:rPr>
                <w:noProof/>
                <w:webHidden/>
              </w:rPr>
              <w:tab/>
            </w:r>
            <w:r w:rsidR="0092273E" w:rsidRPr="0092273E">
              <w:rPr>
                <w:noProof/>
                <w:webHidden/>
              </w:rPr>
              <w:fldChar w:fldCharType="begin"/>
            </w:r>
            <w:r w:rsidR="0092273E" w:rsidRPr="0092273E">
              <w:rPr>
                <w:noProof/>
                <w:webHidden/>
              </w:rPr>
              <w:instrText xml:space="preserve"> PAGEREF _Toc159866300 \h </w:instrText>
            </w:r>
            <w:r w:rsidR="0092273E" w:rsidRPr="0092273E">
              <w:rPr>
                <w:noProof/>
                <w:webHidden/>
              </w:rPr>
            </w:r>
            <w:r w:rsidR="0092273E" w:rsidRPr="0092273E">
              <w:rPr>
                <w:noProof/>
                <w:webHidden/>
              </w:rPr>
              <w:fldChar w:fldCharType="separate"/>
            </w:r>
            <w:r w:rsidR="0092273E" w:rsidRPr="0092273E">
              <w:rPr>
                <w:noProof/>
                <w:webHidden/>
              </w:rPr>
              <w:t>11</w:t>
            </w:r>
            <w:r w:rsidR="0092273E" w:rsidRPr="0092273E">
              <w:rPr>
                <w:noProof/>
                <w:webHidden/>
              </w:rPr>
              <w:fldChar w:fldCharType="end"/>
            </w:r>
          </w:hyperlink>
        </w:p>
        <w:p w14:paraId="23548045" w14:textId="33D4A8A5" w:rsidR="0092273E" w:rsidRPr="0092273E" w:rsidRDefault="00273EFB">
          <w:pPr>
            <w:pStyle w:val="TOC3"/>
            <w:tabs>
              <w:tab w:val="left" w:pos="880"/>
              <w:tab w:val="right" w:leader="dot" w:pos="9350"/>
            </w:tabs>
            <w:rPr>
              <w:rFonts w:eastAsiaTheme="minorEastAsia"/>
              <w:noProof/>
            </w:rPr>
          </w:pPr>
          <w:hyperlink w:anchor="_Toc159866301" w:history="1">
            <w:r w:rsidR="0092273E" w:rsidRPr="0092273E">
              <w:rPr>
                <w:rStyle w:val="Hyperlink"/>
                <w:noProof/>
              </w:rPr>
              <w:t>(i)</w:t>
            </w:r>
            <w:r w:rsidR="0092273E" w:rsidRPr="0092273E">
              <w:rPr>
                <w:rFonts w:eastAsiaTheme="minorEastAsia"/>
                <w:noProof/>
              </w:rPr>
              <w:tab/>
            </w:r>
            <w:r w:rsidR="0092273E" w:rsidRPr="0092273E">
              <w:rPr>
                <w:rStyle w:val="Hyperlink"/>
                <w:noProof/>
              </w:rPr>
              <w:t>Institutional Support and Tools</w:t>
            </w:r>
            <w:r w:rsidR="0092273E" w:rsidRPr="0092273E">
              <w:rPr>
                <w:noProof/>
                <w:webHidden/>
              </w:rPr>
              <w:tab/>
            </w:r>
            <w:r w:rsidR="0092273E" w:rsidRPr="0092273E">
              <w:rPr>
                <w:noProof/>
                <w:webHidden/>
              </w:rPr>
              <w:fldChar w:fldCharType="begin"/>
            </w:r>
            <w:r w:rsidR="0092273E" w:rsidRPr="0092273E">
              <w:rPr>
                <w:noProof/>
                <w:webHidden/>
              </w:rPr>
              <w:instrText xml:space="preserve"> PAGEREF _Toc159866301 \h </w:instrText>
            </w:r>
            <w:r w:rsidR="0092273E" w:rsidRPr="0092273E">
              <w:rPr>
                <w:noProof/>
                <w:webHidden/>
              </w:rPr>
            </w:r>
            <w:r w:rsidR="0092273E" w:rsidRPr="0092273E">
              <w:rPr>
                <w:noProof/>
                <w:webHidden/>
              </w:rPr>
              <w:fldChar w:fldCharType="separate"/>
            </w:r>
            <w:r w:rsidR="0092273E" w:rsidRPr="0092273E">
              <w:rPr>
                <w:noProof/>
                <w:webHidden/>
              </w:rPr>
              <w:t>11</w:t>
            </w:r>
            <w:r w:rsidR="0092273E" w:rsidRPr="0092273E">
              <w:rPr>
                <w:noProof/>
                <w:webHidden/>
              </w:rPr>
              <w:fldChar w:fldCharType="end"/>
            </w:r>
          </w:hyperlink>
        </w:p>
        <w:p w14:paraId="7BC98C43" w14:textId="39146ED3" w:rsidR="0092273E" w:rsidRPr="0092273E" w:rsidRDefault="00273EFB">
          <w:pPr>
            <w:pStyle w:val="TOC3"/>
            <w:tabs>
              <w:tab w:val="left" w:pos="1100"/>
              <w:tab w:val="right" w:leader="dot" w:pos="9350"/>
            </w:tabs>
            <w:rPr>
              <w:rFonts w:eastAsiaTheme="minorEastAsia"/>
              <w:noProof/>
            </w:rPr>
          </w:pPr>
          <w:hyperlink w:anchor="_Toc159866302" w:history="1">
            <w:r w:rsidR="0092273E" w:rsidRPr="0092273E">
              <w:rPr>
                <w:rStyle w:val="Hyperlink"/>
                <w:rFonts w:cstheme="minorHAnsi"/>
                <w:noProof/>
              </w:rPr>
              <w:t>(ii)</w:t>
            </w:r>
            <w:r w:rsidR="0092273E" w:rsidRPr="0092273E">
              <w:rPr>
                <w:rFonts w:eastAsiaTheme="minorEastAsia"/>
                <w:noProof/>
              </w:rPr>
              <w:tab/>
            </w:r>
            <w:r w:rsidR="0092273E" w:rsidRPr="0092273E">
              <w:rPr>
                <w:rStyle w:val="Hyperlink"/>
                <w:rFonts w:cstheme="minorHAnsi"/>
                <w:noProof/>
              </w:rPr>
              <w:t>Eligibility &amp; Commencement</w:t>
            </w:r>
            <w:r w:rsidR="0092273E" w:rsidRPr="0092273E">
              <w:rPr>
                <w:noProof/>
                <w:webHidden/>
              </w:rPr>
              <w:tab/>
            </w:r>
            <w:r w:rsidR="0092273E" w:rsidRPr="0092273E">
              <w:rPr>
                <w:noProof/>
                <w:webHidden/>
              </w:rPr>
              <w:fldChar w:fldCharType="begin"/>
            </w:r>
            <w:r w:rsidR="0092273E" w:rsidRPr="0092273E">
              <w:rPr>
                <w:noProof/>
                <w:webHidden/>
              </w:rPr>
              <w:instrText xml:space="preserve"> PAGEREF _Toc159866302 \h </w:instrText>
            </w:r>
            <w:r w:rsidR="0092273E" w:rsidRPr="0092273E">
              <w:rPr>
                <w:noProof/>
                <w:webHidden/>
              </w:rPr>
            </w:r>
            <w:r w:rsidR="0092273E" w:rsidRPr="0092273E">
              <w:rPr>
                <w:noProof/>
                <w:webHidden/>
              </w:rPr>
              <w:fldChar w:fldCharType="separate"/>
            </w:r>
            <w:r w:rsidR="0092273E" w:rsidRPr="0092273E">
              <w:rPr>
                <w:noProof/>
                <w:webHidden/>
              </w:rPr>
              <w:t>11</w:t>
            </w:r>
            <w:r w:rsidR="0092273E" w:rsidRPr="0092273E">
              <w:rPr>
                <w:noProof/>
                <w:webHidden/>
              </w:rPr>
              <w:fldChar w:fldCharType="end"/>
            </w:r>
          </w:hyperlink>
        </w:p>
        <w:p w14:paraId="7E16E531" w14:textId="379518DD" w:rsidR="0092273E" w:rsidRPr="0092273E" w:rsidRDefault="00273EFB">
          <w:pPr>
            <w:pStyle w:val="TOC3"/>
            <w:tabs>
              <w:tab w:val="left" w:pos="1100"/>
              <w:tab w:val="right" w:leader="dot" w:pos="9350"/>
            </w:tabs>
            <w:rPr>
              <w:rFonts w:eastAsiaTheme="minorEastAsia"/>
              <w:noProof/>
            </w:rPr>
          </w:pPr>
          <w:hyperlink w:anchor="_Toc159866303" w:history="1">
            <w:r w:rsidR="0092273E" w:rsidRPr="0092273E">
              <w:rPr>
                <w:rStyle w:val="Hyperlink"/>
                <w:rFonts w:cstheme="minorHAnsi"/>
                <w:noProof/>
              </w:rPr>
              <w:t>(iii)</w:t>
            </w:r>
            <w:r w:rsidR="0092273E" w:rsidRPr="0092273E">
              <w:rPr>
                <w:rFonts w:eastAsiaTheme="minorEastAsia"/>
                <w:noProof/>
              </w:rPr>
              <w:tab/>
            </w:r>
            <w:r w:rsidR="0092273E" w:rsidRPr="0092273E">
              <w:rPr>
                <w:rStyle w:val="Hyperlink"/>
                <w:rFonts w:cstheme="minorHAnsi"/>
                <w:noProof/>
              </w:rPr>
              <w:t>Fewer Procedural Formalities and Shorter Deadlines</w:t>
            </w:r>
            <w:r w:rsidR="0092273E" w:rsidRPr="0092273E">
              <w:rPr>
                <w:noProof/>
                <w:webHidden/>
              </w:rPr>
              <w:tab/>
            </w:r>
            <w:r w:rsidR="0092273E" w:rsidRPr="0092273E">
              <w:rPr>
                <w:noProof/>
                <w:webHidden/>
              </w:rPr>
              <w:fldChar w:fldCharType="begin"/>
            </w:r>
            <w:r w:rsidR="0092273E" w:rsidRPr="0092273E">
              <w:rPr>
                <w:noProof/>
                <w:webHidden/>
              </w:rPr>
              <w:instrText xml:space="preserve"> PAGEREF _Toc159866303 \h </w:instrText>
            </w:r>
            <w:r w:rsidR="0092273E" w:rsidRPr="0092273E">
              <w:rPr>
                <w:noProof/>
                <w:webHidden/>
              </w:rPr>
            </w:r>
            <w:r w:rsidR="0092273E" w:rsidRPr="0092273E">
              <w:rPr>
                <w:noProof/>
                <w:webHidden/>
              </w:rPr>
              <w:fldChar w:fldCharType="separate"/>
            </w:r>
            <w:r w:rsidR="0092273E" w:rsidRPr="0092273E">
              <w:rPr>
                <w:noProof/>
                <w:webHidden/>
              </w:rPr>
              <w:t>12</w:t>
            </w:r>
            <w:r w:rsidR="0092273E" w:rsidRPr="0092273E">
              <w:rPr>
                <w:noProof/>
                <w:webHidden/>
              </w:rPr>
              <w:fldChar w:fldCharType="end"/>
            </w:r>
          </w:hyperlink>
        </w:p>
        <w:p w14:paraId="4F637692" w14:textId="752E7864" w:rsidR="0092273E" w:rsidRPr="0092273E" w:rsidRDefault="00273EFB">
          <w:pPr>
            <w:pStyle w:val="TOC3"/>
            <w:tabs>
              <w:tab w:val="left" w:pos="1100"/>
              <w:tab w:val="right" w:leader="dot" w:pos="9350"/>
            </w:tabs>
            <w:rPr>
              <w:rFonts w:eastAsiaTheme="minorEastAsia"/>
              <w:noProof/>
            </w:rPr>
          </w:pPr>
          <w:hyperlink w:anchor="_Toc159866304" w:history="1">
            <w:r w:rsidR="0092273E" w:rsidRPr="0092273E">
              <w:rPr>
                <w:rStyle w:val="Hyperlink"/>
                <w:rFonts w:cstheme="minorHAnsi"/>
                <w:noProof/>
              </w:rPr>
              <w:t>(iv)</w:t>
            </w:r>
            <w:r w:rsidR="0092273E" w:rsidRPr="0092273E">
              <w:rPr>
                <w:rFonts w:eastAsiaTheme="minorEastAsia"/>
                <w:noProof/>
              </w:rPr>
              <w:tab/>
            </w:r>
            <w:r w:rsidR="0092273E" w:rsidRPr="0092273E">
              <w:rPr>
                <w:rStyle w:val="Hyperlink"/>
                <w:rFonts w:cstheme="minorHAnsi"/>
                <w:noProof/>
              </w:rPr>
              <w:t>Role of the Debtor</w:t>
            </w:r>
            <w:r w:rsidR="0092273E" w:rsidRPr="0092273E">
              <w:rPr>
                <w:noProof/>
                <w:webHidden/>
              </w:rPr>
              <w:tab/>
            </w:r>
            <w:r w:rsidR="0092273E" w:rsidRPr="0092273E">
              <w:rPr>
                <w:noProof/>
                <w:webHidden/>
              </w:rPr>
              <w:fldChar w:fldCharType="begin"/>
            </w:r>
            <w:r w:rsidR="0092273E" w:rsidRPr="0092273E">
              <w:rPr>
                <w:noProof/>
                <w:webHidden/>
              </w:rPr>
              <w:instrText xml:space="preserve"> PAGEREF _Toc159866304 \h </w:instrText>
            </w:r>
            <w:r w:rsidR="0092273E" w:rsidRPr="0092273E">
              <w:rPr>
                <w:noProof/>
                <w:webHidden/>
              </w:rPr>
            </w:r>
            <w:r w:rsidR="0092273E" w:rsidRPr="0092273E">
              <w:rPr>
                <w:noProof/>
                <w:webHidden/>
              </w:rPr>
              <w:fldChar w:fldCharType="separate"/>
            </w:r>
            <w:r w:rsidR="0092273E" w:rsidRPr="0092273E">
              <w:rPr>
                <w:noProof/>
                <w:webHidden/>
              </w:rPr>
              <w:t>13</w:t>
            </w:r>
            <w:r w:rsidR="0092273E" w:rsidRPr="0092273E">
              <w:rPr>
                <w:noProof/>
                <w:webHidden/>
              </w:rPr>
              <w:fldChar w:fldCharType="end"/>
            </w:r>
          </w:hyperlink>
        </w:p>
        <w:p w14:paraId="35C89CED" w14:textId="78EA9A61" w:rsidR="0092273E" w:rsidRPr="0092273E" w:rsidRDefault="00273EFB">
          <w:pPr>
            <w:pStyle w:val="TOC3"/>
            <w:tabs>
              <w:tab w:val="left" w:pos="1100"/>
              <w:tab w:val="right" w:leader="dot" w:pos="9350"/>
            </w:tabs>
            <w:rPr>
              <w:rFonts w:eastAsiaTheme="minorEastAsia"/>
              <w:noProof/>
            </w:rPr>
          </w:pPr>
          <w:hyperlink w:anchor="_Toc159866305" w:history="1">
            <w:r w:rsidR="0092273E" w:rsidRPr="0092273E">
              <w:rPr>
                <w:rStyle w:val="Hyperlink"/>
                <w:rFonts w:cstheme="minorHAnsi"/>
                <w:noProof/>
              </w:rPr>
              <w:t>(v)</w:t>
            </w:r>
            <w:r w:rsidR="0092273E" w:rsidRPr="0092273E">
              <w:rPr>
                <w:rFonts w:eastAsiaTheme="minorEastAsia"/>
                <w:noProof/>
              </w:rPr>
              <w:tab/>
            </w:r>
            <w:r w:rsidR="0092273E" w:rsidRPr="0092273E">
              <w:rPr>
                <w:rStyle w:val="Hyperlink"/>
                <w:rFonts w:cstheme="minorHAnsi"/>
                <w:noProof/>
              </w:rPr>
              <w:t>Voting on a Plan &amp; Creditors’ Claims</w:t>
            </w:r>
            <w:r w:rsidR="0092273E" w:rsidRPr="0092273E">
              <w:rPr>
                <w:noProof/>
                <w:webHidden/>
              </w:rPr>
              <w:tab/>
            </w:r>
            <w:r w:rsidR="0092273E" w:rsidRPr="0092273E">
              <w:rPr>
                <w:noProof/>
                <w:webHidden/>
              </w:rPr>
              <w:fldChar w:fldCharType="begin"/>
            </w:r>
            <w:r w:rsidR="0092273E" w:rsidRPr="0092273E">
              <w:rPr>
                <w:noProof/>
                <w:webHidden/>
              </w:rPr>
              <w:instrText xml:space="preserve"> PAGEREF _Toc159866305 \h </w:instrText>
            </w:r>
            <w:r w:rsidR="0092273E" w:rsidRPr="0092273E">
              <w:rPr>
                <w:noProof/>
                <w:webHidden/>
              </w:rPr>
            </w:r>
            <w:r w:rsidR="0092273E" w:rsidRPr="0092273E">
              <w:rPr>
                <w:noProof/>
                <w:webHidden/>
              </w:rPr>
              <w:fldChar w:fldCharType="separate"/>
            </w:r>
            <w:r w:rsidR="0092273E" w:rsidRPr="0092273E">
              <w:rPr>
                <w:noProof/>
                <w:webHidden/>
              </w:rPr>
              <w:t>13</w:t>
            </w:r>
            <w:r w:rsidR="0092273E" w:rsidRPr="0092273E">
              <w:rPr>
                <w:noProof/>
                <w:webHidden/>
              </w:rPr>
              <w:fldChar w:fldCharType="end"/>
            </w:r>
          </w:hyperlink>
        </w:p>
        <w:p w14:paraId="6C38FA6D" w14:textId="196B5F25" w:rsidR="0092273E" w:rsidRPr="0092273E" w:rsidRDefault="00273EFB">
          <w:pPr>
            <w:pStyle w:val="TOC3"/>
            <w:tabs>
              <w:tab w:val="left" w:pos="1100"/>
              <w:tab w:val="right" w:leader="dot" w:pos="9350"/>
            </w:tabs>
            <w:rPr>
              <w:rFonts w:eastAsiaTheme="minorEastAsia"/>
              <w:noProof/>
            </w:rPr>
          </w:pPr>
          <w:hyperlink w:anchor="_Toc159866306" w:history="1">
            <w:r w:rsidR="0092273E" w:rsidRPr="0092273E">
              <w:rPr>
                <w:rStyle w:val="Hyperlink"/>
                <w:rFonts w:cstheme="minorHAnsi"/>
                <w:noProof/>
              </w:rPr>
              <w:t>(vi)</w:t>
            </w:r>
            <w:r w:rsidR="0092273E" w:rsidRPr="0092273E">
              <w:rPr>
                <w:rFonts w:eastAsiaTheme="minorEastAsia"/>
                <w:noProof/>
              </w:rPr>
              <w:tab/>
            </w:r>
            <w:r w:rsidR="0092273E" w:rsidRPr="0092273E">
              <w:rPr>
                <w:rStyle w:val="Hyperlink"/>
                <w:rFonts w:cstheme="minorHAnsi"/>
                <w:noProof/>
              </w:rPr>
              <w:t>Conversion</w:t>
            </w:r>
            <w:r w:rsidR="0092273E" w:rsidRPr="0092273E">
              <w:rPr>
                <w:noProof/>
                <w:webHidden/>
              </w:rPr>
              <w:tab/>
            </w:r>
            <w:r w:rsidR="0092273E" w:rsidRPr="0092273E">
              <w:rPr>
                <w:noProof/>
                <w:webHidden/>
              </w:rPr>
              <w:fldChar w:fldCharType="begin"/>
            </w:r>
            <w:r w:rsidR="0092273E" w:rsidRPr="0092273E">
              <w:rPr>
                <w:noProof/>
                <w:webHidden/>
              </w:rPr>
              <w:instrText xml:space="preserve"> PAGEREF _Toc159866306 \h </w:instrText>
            </w:r>
            <w:r w:rsidR="0092273E" w:rsidRPr="0092273E">
              <w:rPr>
                <w:noProof/>
                <w:webHidden/>
              </w:rPr>
            </w:r>
            <w:r w:rsidR="0092273E" w:rsidRPr="0092273E">
              <w:rPr>
                <w:noProof/>
                <w:webHidden/>
              </w:rPr>
              <w:fldChar w:fldCharType="separate"/>
            </w:r>
            <w:r w:rsidR="0092273E" w:rsidRPr="0092273E">
              <w:rPr>
                <w:noProof/>
                <w:webHidden/>
              </w:rPr>
              <w:t>15</w:t>
            </w:r>
            <w:r w:rsidR="0092273E" w:rsidRPr="0092273E">
              <w:rPr>
                <w:noProof/>
                <w:webHidden/>
              </w:rPr>
              <w:fldChar w:fldCharType="end"/>
            </w:r>
          </w:hyperlink>
        </w:p>
        <w:p w14:paraId="60EC08A1" w14:textId="243890CE" w:rsidR="0092273E" w:rsidRPr="0092273E" w:rsidRDefault="00273EFB">
          <w:pPr>
            <w:pStyle w:val="TOC3"/>
            <w:tabs>
              <w:tab w:val="left" w:pos="1100"/>
              <w:tab w:val="right" w:leader="dot" w:pos="9350"/>
            </w:tabs>
            <w:rPr>
              <w:rFonts w:eastAsiaTheme="minorEastAsia"/>
              <w:noProof/>
            </w:rPr>
          </w:pPr>
          <w:hyperlink w:anchor="_Toc159866307" w:history="1">
            <w:r w:rsidR="0092273E" w:rsidRPr="0092273E">
              <w:rPr>
                <w:rStyle w:val="Hyperlink"/>
                <w:rFonts w:cstheme="minorHAnsi"/>
                <w:noProof/>
              </w:rPr>
              <w:t>(vii)</w:t>
            </w:r>
            <w:r w:rsidR="0092273E" w:rsidRPr="0092273E">
              <w:rPr>
                <w:rFonts w:eastAsiaTheme="minorEastAsia"/>
                <w:noProof/>
              </w:rPr>
              <w:tab/>
            </w:r>
            <w:r w:rsidR="0092273E" w:rsidRPr="0092273E">
              <w:rPr>
                <w:rStyle w:val="Hyperlink"/>
                <w:rFonts w:cstheme="minorHAnsi"/>
                <w:noProof/>
              </w:rPr>
              <w:t>Costs</w:t>
            </w:r>
            <w:r w:rsidR="0092273E" w:rsidRPr="0092273E">
              <w:rPr>
                <w:noProof/>
                <w:webHidden/>
              </w:rPr>
              <w:tab/>
            </w:r>
            <w:r w:rsidR="0092273E" w:rsidRPr="0092273E">
              <w:rPr>
                <w:noProof/>
                <w:webHidden/>
              </w:rPr>
              <w:fldChar w:fldCharType="begin"/>
            </w:r>
            <w:r w:rsidR="0092273E" w:rsidRPr="0092273E">
              <w:rPr>
                <w:noProof/>
                <w:webHidden/>
              </w:rPr>
              <w:instrText xml:space="preserve"> PAGEREF _Toc159866307 \h </w:instrText>
            </w:r>
            <w:r w:rsidR="0092273E" w:rsidRPr="0092273E">
              <w:rPr>
                <w:noProof/>
                <w:webHidden/>
              </w:rPr>
            </w:r>
            <w:r w:rsidR="0092273E" w:rsidRPr="0092273E">
              <w:rPr>
                <w:noProof/>
                <w:webHidden/>
              </w:rPr>
              <w:fldChar w:fldCharType="separate"/>
            </w:r>
            <w:r w:rsidR="0092273E" w:rsidRPr="0092273E">
              <w:rPr>
                <w:noProof/>
                <w:webHidden/>
              </w:rPr>
              <w:t>15</w:t>
            </w:r>
            <w:r w:rsidR="0092273E" w:rsidRPr="0092273E">
              <w:rPr>
                <w:noProof/>
                <w:webHidden/>
              </w:rPr>
              <w:fldChar w:fldCharType="end"/>
            </w:r>
          </w:hyperlink>
        </w:p>
        <w:p w14:paraId="5A13EB05" w14:textId="1CE4F1AF" w:rsidR="0092273E" w:rsidRPr="0092273E" w:rsidRDefault="00273EFB">
          <w:pPr>
            <w:pStyle w:val="TOC2"/>
            <w:tabs>
              <w:tab w:val="left" w:pos="660"/>
              <w:tab w:val="right" w:leader="dot" w:pos="9350"/>
            </w:tabs>
            <w:rPr>
              <w:rFonts w:eastAsiaTheme="minorEastAsia"/>
              <w:noProof/>
            </w:rPr>
          </w:pPr>
          <w:hyperlink w:anchor="_Toc159866308" w:history="1">
            <w:r w:rsidR="0092273E" w:rsidRPr="0092273E">
              <w:rPr>
                <w:rStyle w:val="Hyperlink"/>
                <w:noProof/>
              </w:rPr>
              <w:t>b.</w:t>
            </w:r>
            <w:r w:rsidR="0092273E" w:rsidRPr="0092273E">
              <w:rPr>
                <w:rFonts w:eastAsiaTheme="minorEastAsia"/>
                <w:noProof/>
              </w:rPr>
              <w:tab/>
            </w:r>
            <w:r w:rsidR="0092273E" w:rsidRPr="0092273E">
              <w:rPr>
                <w:rStyle w:val="Hyperlink"/>
                <w:noProof/>
              </w:rPr>
              <w:t>Early Observations and Lessons</w:t>
            </w:r>
            <w:r w:rsidR="0092273E" w:rsidRPr="0092273E">
              <w:rPr>
                <w:noProof/>
                <w:webHidden/>
              </w:rPr>
              <w:tab/>
            </w:r>
            <w:r w:rsidR="0092273E" w:rsidRPr="0092273E">
              <w:rPr>
                <w:noProof/>
                <w:webHidden/>
              </w:rPr>
              <w:fldChar w:fldCharType="begin"/>
            </w:r>
            <w:r w:rsidR="0092273E" w:rsidRPr="0092273E">
              <w:rPr>
                <w:noProof/>
                <w:webHidden/>
              </w:rPr>
              <w:instrText xml:space="preserve"> PAGEREF _Toc159866308 \h </w:instrText>
            </w:r>
            <w:r w:rsidR="0092273E" w:rsidRPr="0092273E">
              <w:rPr>
                <w:noProof/>
                <w:webHidden/>
              </w:rPr>
            </w:r>
            <w:r w:rsidR="0092273E" w:rsidRPr="0092273E">
              <w:rPr>
                <w:noProof/>
                <w:webHidden/>
              </w:rPr>
              <w:fldChar w:fldCharType="separate"/>
            </w:r>
            <w:r w:rsidR="0092273E" w:rsidRPr="0092273E">
              <w:rPr>
                <w:noProof/>
                <w:webHidden/>
              </w:rPr>
              <w:t>16</w:t>
            </w:r>
            <w:r w:rsidR="0092273E" w:rsidRPr="0092273E">
              <w:rPr>
                <w:noProof/>
                <w:webHidden/>
              </w:rPr>
              <w:fldChar w:fldCharType="end"/>
            </w:r>
          </w:hyperlink>
        </w:p>
        <w:p w14:paraId="492BF32F" w14:textId="094680F9" w:rsidR="0092273E" w:rsidRPr="0092273E" w:rsidRDefault="00273EFB">
          <w:pPr>
            <w:pStyle w:val="TOC1"/>
            <w:tabs>
              <w:tab w:val="left" w:pos="440"/>
              <w:tab w:val="right" w:leader="dot" w:pos="9350"/>
            </w:tabs>
            <w:rPr>
              <w:rFonts w:eastAsiaTheme="minorEastAsia"/>
              <w:noProof/>
            </w:rPr>
          </w:pPr>
          <w:hyperlink w:anchor="_Toc159866309" w:history="1">
            <w:r w:rsidR="0092273E" w:rsidRPr="0092273E">
              <w:rPr>
                <w:rStyle w:val="Hyperlink"/>
                <w:noProof/>
              </w:rPr>
              <w:t>5.</w:t>
            </w:r>
            <w:r w:rsidR="0092273E" w:rsidRPr="0092273E">
              <w:rPr>
                <w:rFonts w:eastAsiaTheme="minorEastAsia"/>
                <w:noProof/>
              </w:rPr>
              <w:tab/>
            </w:r>
            <w:r w:rsidR="0092273E" w:rsidRPr="0092273E">
              <w:rPr>
                <w:rStyle w:val="Hyperlink"/>
                <w:noProof/>
              </w:rPr>
              <w:t>Conclusion</w:t>
            </w:r>
            <w:r w:rsidR="0092273E" w:rsidRPr="0092273E">
              <w:rPr>
                <w:noProof/>
                <w:webHidden/>
              </w:rPr>
              <w:tab/>
            </w:r>
            <w:r w:rsidR="0092273E" w:rsidRPr="0092273E">
              <w:rPr>
                <w:noProof/>
                <w:webHidden/>
              </w:rPr>
              <w:fldChar w:fldCharType="begin"/>
            </w:r>
            <w:r w:rsidR="0092273E" w:rsidRPr="0092273E">
              <w:rPr>
                <w:noProof/>
                <w:webHidden/>
              </w:rPr>
              <w:instrText xml:space="preserve"> PAGEREF _Toc159866309 \h </w:instrText>
            </w:r>
            <w:r w:rsidR="0092273E" w:rsidRPr="0092273E">
              <w:rPr>
                <w:noProof/>
                <w:webHidden/>
              </w:rPr>
            </w:r>
            <w:r w:rsidR="0092273E" w:rsidRPr="0092273E">
              <w:rPr>
                <w:noProof/>
                <w:webHidden/>
              </w:rPr>
              <w:fldChar w:fldCharType="separate"/>
            </w:r>
            <w:r w:rsidR="0092273E" w:rsidRPr="0092273E">
              <w:rPr>
                <w:noProof/>
                <w:webHidden/>
              </w:rPr>
              <w:t>19</w:t>
            </w:r>
            <w:r w:rsidR="0092273E" w:rsidRPr="0092273E">
              <w:rPr>
                <w:noProof/>
                <w:webHidden/>
              </w:rPr>
              <w:fldChar w:fldCharType="end"/>
            </w:r>
          </w:hyperlink>
        </w:p>
        <w:p w14:paraId="361D4025" w14:textId="63AEC3EF" w:rsidR="0092273E" w:rsidRPr="0092273E" w:rsidRDefault="00273EFB">
          <w:pPr>
            <w:pStyle w:val="TOC1"/>
            <w:tabs>
              <w:tab w:val="left" w:pos="440"/>
              <w:tab w:val="right" w:leader="dot" w:pos="9350"/>
            </w:tabs>
            <w:rPr>
              <w:rFonts w:eastAsiaTheme="minorEastAsia"/>
              <w:noProof/>
            </w:rPr>
          </w:pPr>
          <w:hyperlink w:anchor="_Toc159866310" w:history="1">
            <w:r w:rsidR="0092273E" w:rsidRPr="0092273E">
              <w:rPr>
                <w:rStyle w:val="Hyperlink"/>
                <w:noProof/>
              </w:rPr>
              <w:t>6.</w:t>
            </w:r>
            <w:r w:rsidR="0092273E" w:rsidRPr="0092273E">
              <w:rPr>
                <w:rFonts w:eastAsiaTheme="minorEastAsia"/>
                <w:noProof/>
              </w:rPr>
              <w:tab/>
            </w:r>
            <w:r w:rsidR="0092273E" w:rsidRPr="0092273E">
              <w:rPr>
                <w:rStyle w:val="Hyperlink"/>
                <w:noProof/>
              </w:rPr>
              <w:t>Bibliography</w:t>
            </w:r>
            <w:r w:rsidR="0092273E" w:rsidRPr="0092273E">
              <w:rPr>
                <w:noProof/>
                <w:webHidden/>
              </w:rPr>
              <w:tab/>
            </w:r>
            <w:r w:rsidR="0092273E" w:rsidRPr="0092273E">
              <w:rPr>
                <w:noProof/>
                <w:webHidden/>
              </w:rPr>
              <w:fldChar w:fldCharType="begin"/>
            </w:r>
            <w:r w:rsidR="0092273E" w:rsidRPr="0092273E">
              <w:rPr>
                <w:noProof/>
                <w:webHidden/>
              </w:rPr>
              <w:instrText xml:space="preserve"> PAGEREF _Toc159866310 \h </w:instrText>
            </w:r>
            <w:r w:rsidR="0092273E" w:rsidRPr="0092273E">
              <w:rPr>
                <w:noProof/>
                <w:webHidden/>
              </w:rPr>
            </w:r>
            <w:r w:rsidR="0092273E" w:rsidRPr="0092273E">
              <w:rPr>
                <w:noProof/>
                <w:webHidden/>
              </w:rPr>
              <w:fldChar w:fldCharType="separate"/>
            </w:r>
            <w:r w:rsidR="0092273E" w:rsidRPr="0092273E">
              <w:rPr>
                <w:noProof/>
                <w:webHidden/>
              </w:rPr>
              <w:t>20</w:t>
            </w:r>
            <w:r w:rsidR="0092273E" w:rsidRPr="0092273E">
              <w:rPr>
                <w:noProof/>
                <w:webHidden/>
              </w:rPr>
              <w:fldChar w:fldCharType="end"/>
            </w:r>
          </w:hyperlink>
        </w:p>
        <w:p w14:paraId="1F9DC20B" w14:textId="1B329EC4" w:rsidR="00FB7483" w:rsidRPr="00A65B0B" w:rsidRDefault="00FB7483">
          <w:r w:rsidRPr="00B5738B">
            <w:rPr>
              <w:noProof/>
            </w:rPr>
            <w:fldChar w:fldCharType="end"/>
          </w:r>
        </w:p>
      </w:sdtContent>
    </w:sdt>
    <w:p w14:paraId="5E6495D0" w14:textId="77777777" w:rsidR="00F366DC" w:rsidRPr="00A65B0B" w:rsidRDefault="00F366DC" w:rsidP="00372CB6"/>
    <w:p w14:paraId="4B699122" w14:textId="77777777" w:rsidR="00074768" w:rsidRPr="00A65B0B" w:rsidRDefault="00074768">
      <w:r w:rsidRPr="00A65B0B">
        <w:br w:type="page"/>
      </w:r>
    </w:p>
    <w:p w14:paraId="731DCA85" w14:textId="556DF4F2" w:rsidR="000535BB" w:rsidRPr="00A65B0B" w:rsidRDefault="006A0022" w:rsidP="00FB7483">
      <w:pPr>
        <w:pStyle w:val="Heading1"/>
        <w:numPr>
          <w:ilvl w:val="0"/>
          <w:numId w:val="8"/>
        </w:numPr>
        <w:rPr>
          <w:b/>
          <w:bCs/>
        </w:rPr>
      </w:pPr>
      <w:bookmarkStart w:id="0" w:name="_Toc159866293"/>
      <w:r w:rsidRPr="00A65B0B">
        <w:rPr>
          <w:b/>
          <w:bCs/>
        </w:rPr>
        <w:lastRenderedPageBreak/>
        <w:t>Introduction</w:t>
      </w:r>
      <w:bookmarkEnd w:id="0"/>
    </w:p>
    <w:p w14:paraId="187D879E" w14:textId="66CF4285" w:rsidR="00002EB5" w:rsidRPr="00A65B0B" w:rsidRDefault="008B1DD0" w:rsidP="00132582">
      <w:pPr>
        <w:spacing w:line="360" w:lineRule="auto"/>
      </w:pPr>
      <w:r>
        <w:br/>
      </w:r>
      <w:r w:rsidR="002F7AA5" w:rsidRPr="00A65B0B">
        <w:t>Simplified insolvency frameworks for small enterprises became good international practice</w:t>
      </w:r>
      <w:r w:rsidR="00BC4338" w:rsidRPr="00A65B0B">
        <w:t xml:space="preserve"> in 2021</w:t>
      </w:r>
      <w:r w:rsidR="002F7AA5" w:rsidRPr="00A65B0B">
        <w:t xml:space="preserve">. For </w:t>
      </w:r>
      <w:r w:rsidR="00B83CD8">
        <w:t>important</w:t>
      </w:r>
      <w:r w:rsidR="002F7AA5" w:rsidRPr="00A65B0B">
        <w:t xml:space="preserve"> reason</w:t>
      </w:r>
      <w:r w:rsidR="00B83CD8">
        <w:t>s</w:t>
      </w:r>
      <w:r w:rsidR="002F7AA5" w:rsidRPr="00A65B0B">
        <w:t>.</w:t>
      </w:r>
      <w:r w:rsidR="005C5EEE" w:rsidRPr="00A65B0B">
        <w:t xml:space="preserve"> </w:t>
      </w:r>
      <w:r w:rsidR="00C70317">
        <w:t>Small and medium enterprises</w:t>
      </w:r>
      <w:r w:rsidR="005C5EEE" w:rsidRPr="00A65B0B">
        <w:t xml:space="preserve"> account for</w:t>
      </w:r>
      <w:r w:rsidR="00C70317">
        <w:t xml:space="preserve"> </w:t>
      </w:r>
      <w:r w:rsidR="00C70317" w:rsidRPr="00C70317">
        <w:t>90% of businesses and more than 50% of employment worldwide.</w:t>
      </w:r>
      <w:r w:rsidR="00C70317">
        <w:rPr>
          <w:rStyle w:val="FootnoteReference"/>
        </w:rPr>
        <w:footnoteReference w:id="1"/>
      </w:r>
      <w:r w:rsidR="005C5EEE" w:rsidRPr="00A65B0B">
        <w:t xml:space="preserve"> </w:t>
      </w:r>
      <w:r w:rsidR="00CC7DF7" w:rsidRPr="00A65B0B">
        <w:t>Yet, i</w:t>
      </w:r>
      <w:r w:rsidR="002F7AA5" w:rsidRPr="00A65B0B">
        <w:t xml:space="preserve">nsolvency laws were </w:t>
      </w:r>
      <w:r w:rsidR="0047203C" w:rsidRPr="00A65B0B">
        <w:t xml:space="preserve">traditionally </w:t>
      </w:r>
      <w:r w:rsidR="00E5583C">
        <w:t xml:space="preserve">designed </w:t>
      </w:r>
      <w:r w:rsidR="0047203C" w:rsidRPr="00A65B0B">
        <w:t xml:space="preserve">with larger companies in mind – expensive, </w:t>
      </w:r>
      <w:r w:rsidR="00383F35" w:rsidRPr="00A65B0B">
        <w:t>multistep</w:t>
      </w:r>
      <w:r w:rsidR="003778F2" w:rsidRPr="00A65B0B">
        <w:t>,</w:t>
      </w:r>
      <w:r w:rsidR="00383F35" w:rsidRPr="00A65B0B">
        <w:t xml:space="preserve"> </w:t>
      </w:r>
      <w:r w:rsidR="0047203C" w:rsidRPr="00A65B0B">
        <w:t>lengthy procedures</w:t>
      </w:r>
      <w:r w:rsidR="003778F2" w:rsidRPr="00A65B0B">
        <w:t xml:space="preserve"> with </w:t>
      </w:r>
      <w:r w:rsidR="00D55AAD" w:rsidRPr="00A65B0B">
        <w:t xml:space="preserve">extensive </w:t>
      </w:r>
      <w:r w:rsidR="00A45CC9" w:rsidRPr="00A65B0B">
        <w:t>information disclosure</w:t>
      </w:r>
      <w:r w:rsidR="00D55AAD" w:rsidRPr="00A65B0B">
        <w:t>, which required a lot of professional support.</w:t>
      </w:r>
      <w:r w:rsidR="00A45CC9" w:rsidRPr="00A65B0B">
        <w:t xml:space="preserve"> All those </w:t>
      </w:r>
      <w:r w:rsidR="00A75283" w:rsidRPr="00A65B0B">
        <w:t>elements</w:t>
      </w:r>
      <w:r w:rsidR="00A45CC9" w:rsidRPr="00A65B0B">
        <w:t xml:space="preserve"> are important for large enterprise insolvencies where there can be thousands of </w:t>
      </w:r>
      <w:r w:rsidR="005C5EEE" w:rsidRPr="00A65B0B">
        <w:t>creditors</w:t>
      </w:r>
      <w:r w:rsidR="00DA3C8B">
        <w:t xml:space="preserve"> of different classes</w:t>
      </w:r>
      <w:r w:rsidR="00D26A68" w:rsidRPr="00A65B0B">
        <w:t>, across</w:t>
      </w:r>
      <w:r w:rsidR="00DA3C8B">
        <w:t xml:space="preserve"> many</w:t>
      </w:r>
      <w:r w:rsidR="00D26A68" w:rsidRPr="00A65B0B">
        <w:t xml:space="preserve"> </w:t>
      </w:r>
      <w:r w:rsidR="00053AD0" w:rsidRPr="00A65B0B">
        <w:t>borders</w:t>
      </w:r>
      <w:r w:rsidR="005C5EEE" w:rsidRPr="00A65B0B">
        <w:t>.</w:t>
      </w:r>
      <w:r w:rsidR="00551033" w:rsidRPr="00A65B0B">
        <w:t xml:space="preserve"> </w:t>
      </w:r>
      <w:r w:rsidR="00306BEB">
        <w:t>However, t</w:t>
      </w:r>
      <w:r w:rsidR="00551033" w:rsidRPr="00A65B0B">
        <w:t xml:space="preserve">hey are more of a hindrance for </w:t>
      </w:r>
      <w:r w:rsidR="00053AD0" w:rsidRPr="00A65B0B">
        <w:t xml:space="preserve">micro and </w:t>
      </w:r>
      <w:r w:rsidR="00551033" w:rsidRPr="00A65B0B">
        <w:t xml:space="preserve">small enterprises who may </w:t>
      </w:r>
      <w:r w:rsidR="003B5156">
        <w:t xml:space="preserve">have low capacity and </w:t>
      </w:r>
      <w:r w:rsidR="00551033" w:rsidRPr="00A65B0B">
        <w:t>only have a few major creditors</w:t>
      </w:r>
      <w:r w:rsidR="00FB263C" w:rsidRPr="00A65B0B">
        <w:t xml:space="preserve"> who are passive through </w:t>
      </w:r>
      <w:r w:rsidR="00907609" w:rsidRPr="00A65B0B">
        <w:t>an insolvency</w:t>
      </w:r>
      <w:r w:rsidR="00FB263C" w:rsidRPr="00A65B0B">
        <w:t xml:space="preserve"> process.</w:t>
      </w:r>
      <w:r w:rsidR="00DA3C8B">
        <w:t xml:space="preserve"> </w:t>
      </w:r>
    </w:p>
    <w:p w14:paraId="1FC3D1EF" w14:textId="317D399F" w:rsidR="00680210" w:rsidRPr="00A65B0B" w:rsidRDefault="00680210" w:rsidP="00132582">
      <w:pPr>
        <w:spacing w:line="360" w:lineRule="auto"/>
      </w:pPr>
      <w:r w:rsidRPr="00A65B0B">
        <w:t xml:space="preserve">Given that </w:t>
      </w:r>
      <w:r w:rsidR="004825CB" w:rsidRPr="00A65B0B">
        <w:t>simplified procedures are now good practice, many countries are starting to draft them into their laws.</w:t>
      </w:r>
      <w:r w:rsidR="00385477" w:rsidRPr="00A65B0B">
        <w:rPr>
          <w:rStyle w:val="FootnoteReference"/>
        </w:rPr>
        <w:footnoteReference w:id="2"/>
      </w:r>
      <w:r w:rsidR="004825CB" w:rsidRPr="00A65B0B">
        <w:t xml:space="preserve"> Therefore, it is timely to </w:t>
      </w:r>
      <w:r w:rsidR="005C488A" w:rsidRPr="00A65B0B">
        <w:t xml:space="preserve">critically </w:t>
      </w:r>
      <w:r w:rsidR="004825CB" w:rsidRPr="00A65B0B">
        <w:t xml:space="preserve">examine </w:t>
      </w:r>
      <w:r w:rsidR="00DC540D">
        <w:t>a cross-section of</w:t>
      </w:r>
      <w:r w:rsidR="002C1CC9" w:rsidRPr="00A65B0B">
        <w:t xml:space="preserve"> procedures and </w:t>
      </w:r>
      <w:r w:rsidR="002932D8">
        <w:t>draw</w:t>
      </w:r>
      <w:r w:rsidR="005C488A" w:rsidRPr="00A65B0B">
        <w:t xml:space="preserve"> learnings from them to benefit those </w:t>
      </w:r>
      <w:r w:rsidR="00B67ADD" w:rsidRPr="00A65B0B">
        <w:t>countries currently thinking about or already drafting new procedures</w:t>
      </w:r>
      <w:r w:rsidR="005C488A" w:rsidRPr="00A65B0B">
        <w:t>.</w:t>
      </w:r>
      <w:r w:rsidR="007965BA">
        <w:t xml:space="preserve"> To date, there has been </w:t>
      </w:r>
      <w:r w:rsidR="00CA1DE0">
        <w:t>little</w:t>
      </w:r>
      <w:r w:rsidR="007965BA">
        <w:t xml:space="preserve"> detailed comparative analysis of MSE procedures across jurisdictions</w:t>
      </w:r>
      <w:r w:rsidR="00FE0D1A">
        <w:t xml:space="preserve"> in different regions</w:t>
      </w:r>
      <w:r w:rsidR="007965BA">
        <w:t>.</w:t>
      </w:r>
    </w:p>
    <w:p w14:paraId="26B9F4BD" w14:textId="59232EF9" w:rsidR="00A83B6B" w:rsidRPr="00A65B0B" w:rsidRDefault="00A83B6B" w:rsidP="00132582">
      <w:pPr>
        <w:spacing w:line="360" w:lineRule="auto"/>
      </w:pPr>
      <w:r w:rsidRPr="00A65B0B">
        <w:t xml:space="preserve">The focus of the paper is on simplified </w:t>
      </w:r>
      <w:r w:rsidR="000C57A1">
        <w:t xml:space="preserve">judicial </w:t>
      </w:r>
      <w:r w:rsidRPr="00A65B0B">
        <w:t>reorganization, not liquidation. Although simplified procedures should include both a liquidation and reorganization procedure, this paper focuses on reorganization as there are a rich</w:t>
      </w:r>
      <w:r w:rsidR="00760E47">
        <w:t>er</w:t>
      </w:r>
      <w:r w:rsidRPr="00A65B0B">
        <w:t xml:space="preserve"> set of issues to examine in a reorganization procedure as compared to liquidation.</w:t>
      </w:r>
      <w:r w:rsidR="009003DB">
        <w:rPr>
          <w:rStyle w:val="FootnoteReference"/>
        </w:rPr>
        <w:footnoteReference w:id="3"/>
      </w:r>
      <w:r w:rsidRPr="00A65B0B">
        <w:t xml:space="preserve"> However, that is not to diminish the importance of liquidation procedures for MSEs. Liquidation, which should lead to a discharge, is important to </w:t>
      </w:r>
      <w:r w:rsidR="009A5E01">
        <w:t xml:space="preserve">encourage </w:t>
      </w:r>
      <w:r w:rsidR="00EB0AE0">
        <w:t>entrepreneurship</w:t>
      </w:r>
      <w:r w:rsidR="009A5E01">
        <w:t xml:space="preserve">, </w:t>
      </w:r>
      <w:r w:rsidRPr="00A65B0B">
        <w:t>enable a fresh start and a reduction of zombie companies.</w:t>
      </w:r>
    </w:p>
    <w:p w14:paraId="07871E10" w14:textId="113E24F9" w:rsidR="00F85012" w:rsidRPr="00A65B0B" w:rsidRDefault="00226A80" w:rsidP="00132582">
      <w:pPr>
        <w:spacing w:line="360" w:lineRule="auto"/>
      </w:pPr>
      <w:r w:rsidRPr="00A65B0B">
        <w:t xml:space="preserve">This paper </w:t>
      </w:r>
      <w:r w:rsidR="00A65B8F" w:rsidRPr="00A65B0B">
        <w:t xml:space="preserve">provides a comparative analysis </w:t>
      </w:r>
      <w:r w:rsidR="00860124" w:rsidRPr="00A65B0B">
        <w:t>of</w:t>
      </w:r>
      <w:r w:rsidR="00A65B8F" w:rsidRPr="00A65B0B">
        <w:t xml:space="preserve"> reorganization processes</w:t>
      </w:r>
      <w:r w:rsidR="00EB5D78">
        <w:t xml:space="preserve"> of a region and </w:t>
      </w:r>
      <w:r w:rsidR="002405D8">
        <w:t xml:space="preserve">two </w:t>
      </w:r>
      <w:r w:rsidR="00EB5D78">
        <w:t>countries</w:t>
      </w:r>
      <w:r w:rsidR="00A65B8F" w:rsidRPr="00A65B0B">
        <w:t xml:space="preserve"> in</w:t>
      </w:r>
      <w:r w:rsidR="005E4D04" w:rsidRPr="00A65B0B">
        <w:t xml:space="preserve"> three continents:</w:t>
      </w:r>
      <w:r w:rsidR="00A65B8F" w:rsidRPr="00A65B0B">
        <w:t xml:space="preserve"> the O</w:t>
      </w:r>
      <w:r w:rsidR="00BA0E85" w:rsidRPr="00A65B0B">
        <w:t xml:space="preserve">rganization for the </w:t>
      </w:r>
      <w:r w:rsidR="00A65B8F" w:rsidRPr="00A65B0B">
        <w:t>H</w:t>
      </w:r>
      <w:r w:rsidR="00BA0E85" w:rsidRPr="00A65B0B">
        <w:t>armonization of Business Law in Africa (OHA</w:t>
      </w:r>
      <w:r w:rsidR="00A65B8F" w:rsidRPr="00A65B0B">
        <w:t>DA</w:t>
      </w:r>
      <w:r w:rsidR="00BA0E85" w:rsidRPr="00A65B0B">
        <w:t>)</w:t>
      </w:r>
      <w:r w:rsidR="00031BD2" w:rsidRPr="00A65B0B">
        <w:rPr>
          <w:rStyle w:val="FootnoteReference"/>
        </w:rPr>
        <w:footnoteReference w:id="4"/>
      </w:r>
      <w:r w:rsidR="00A65B8F" w:rsidRPr="00A65B0B">
        <w:t xml:space="preserve"> region</w:t>
      </w:r>
      <w:r w:rsidR="00BA0E85" w:rsidRPr="00A65B0B">
        <w:t xml:space="preserve">, </w:t>
      </w:r>
      <w:r w:rsidR="00A65B8F" w:rsidRPr="00A65B0B">
        <w:t>Singapore</w:t>
      </w:r>
      <w:r w:rsidR="000C57A1">
        <w:t xml:space="preserve"> and the </w:t>
      </w:r>
      <w:r w:rsidR="000C57A1" w:rsidRPr="00A65B0B">
        <w:t>United States of America (USA)</w:t>
      </w:r>
      <w:r w:rsidR="00A65B8F" w:rsidRPr="00A65B0B">
        <w:t xml:space="preserve">. </w:t>
      </w:r>
      <w:r w:rsidR="0030001F" w:rsidRPr="00A65B0B">
        <w:t xml:space="preserve">The paper concludes with a critical analysis of the </w:t>
      </w:r>
      <w:r w:rsidR="0030001F" w:rsidRPr="00A65B0B">
        <w:lastRenderedPageBreak/>
        <w:t xml:space="preserve">different approaches </w:t>
      </w:r>
      <w:r w:rsidR="002405D8" w:rsidRPr="00A65B0B">
        <w:t>and</w:t>
      </w:r>
      <w:r w:rsidR="00697056">
        <w:t xml:space="preserve"> based upon that analysis, </w:t>
      </w:r>
      <w:r w:rsidR="0030001F" w:rsidRPr="00A65B0B">
        <w:t xml:space="preserve">offers </w:t>
      </w:r>
      <w:r w:rsidR="00697056">
        <w:t xml:space="preserve">observations for strengthening </w:t>
      </w:r>
      <w:r w:rsidR="0030001F" w:rsidRPr="00A65B0B">
        <w:t xml:space="preserve">future </w:t>
      </w:r>
      <w:r w:rsidR="002D76F5" w:rsidRPr="00A65B0B">
        <w:t>frameworks.</w:t>
      </w:r>
    </w:p>
    <w:p w14:paraId="5FBE5126" w14:textId="11468B6B" w:rsidR="007A4488" w:rsidRPr="00A65B0B" w:rsidRDefault="00036C77" w:rsidP="00132582">
      <w:pPr>
        <w:spacing w:line="360" w:lineRule="auto"/>
      </w:pPr>
      <w:r w:rsidRPr="00A65B0B">
        <w:t>To undertake the analysis described above, t</w:t>
      </w:r>
      <w:r w:rsidR="007A4488" w:rsidRPr="00A65B0B">
        <w:t xml:space="preserve">he paper </w:t>
      </w:r>
      <w:r w:rsidR="00750106" w:rsidRPr="00A65B0B">
        <w:t xml:space="preserve">is divided into </w:t>
      </w:r>
      <w:r w:rsidR="007A4488" w:rsidRPr="00A65B0B">
        <w:t>three sections</w:t>
      </w:r>
      <w:r w:rsidR="00810AF6">
        <w:t xml:space="preserve">: (i) </w:t>
      </w:r>
      <w:r w:rsidR="001E28C5" w:rsidRPr="00A65B0B">
        <w:t>overview of the good practice for MSE insolvency which has recently been adopted</w:t>
      </w:r>
      <w:r w:rsidR="00810AF6">
        <w:t xml:space="preserve">; (ii) </w:t>
      </w:r>
      <w:r w:rsidR="001D6A64">
        <w:t>key features</w:t>
      </w:r>
      <w:r w:rsidR="002E4516" w:rsidRPr="00A65B0B">
        <w:t xml:space="preserve"> of the simplified </w:t>
      </w:r>
      <w:r w:rsidR="00774626">
        <w:t xml:space="preserve">reorganization </w:t>
      </w:r>
      <w:r w:rsidR="002E4516" w:rsidRPr="00A65B0B">
        <w:t>procedures in OHADA, Singapore</w:t>
      </w:r>
      <w:r w:rsidR="00774626">
        <w:t xml:space="preserve"> and </w:t>
      </w:r>
      <w:r w:rsidR="00774626" w:rsidRPr="00A65B0B">
        <w:t>the USA</w:t>
      </w:r>
      <w:r w:rsidR="00774626">
        <w:t xml:space="preserve">; (iii) </w:t>
      </w:r>
      <w:r w:rsidR="002E4516" w:rsidRPr="00A65B0B">
        <w:t xml:space="preserve">a critical </w:t>
      </w:r>
      <w:r w:rsidR="00335A92" w:rsidRPr="00A65B0B">
        <w:t xml:space="preserve">analysis of </w:t>
      </w:r>
      <w:r w:rsidR="00E615F5">
        <w:t>th</w:t>
      </w:r>
      <w:r w:rsidR="00465ABC">
        <w:t>ose</w:t>
      </w:r>
      <w:r w:rsidR="00E615F5">
        <w:t xml:space="preserve"> </w:t>
      </w:r>
      <w:r w:rsidR="00335A92" w:rsidRPr="00A65B0B">
        <w:t>laws given good practice a</w:t>
      </w:r>
      <w:r w:rsidR="00465ABC">
        <w:t>s well as</w:t>
      </w:r>
      <w:r w:rsidR="00335A92" w:rsidRPr="00A65B0B">
        <w:t xml:space="preserve"> the objectives of simplified procedures</w:t>
      </w:r>
      <w:r w:rsidR="00174033">
        <w:t xml:space="preserve"> </w:t>
      </w:r>
      <w:r w:rsidR="00465ABC">
        <w:t>and</w:t>
      </w:r>
      <w:r w:rsidR="00174033">
        <w:t xml:space="preserve"> </w:t>
      </w:r>
      <w:r w:rsidR="00B0208D">
        <w:t>a discussion of some early lessons</w:t>
      </w:r>
      <w:r w:rsidR="00335A92" w:rsidRPr="00A65B0B">
        <w:t>.</w:t>
      </w:r>
    </w:p>
    <w:p w14:paraId="5468AD31" w14:textId="12A7DF5F" w:rsidR="006A0022" w:rsidRPr="00A65B0B" w:rsidRDefault="00B23C9C" w:rsidP="00FB7483">
      <w:pPr>
        <w:pStyle w:val="Heading1"/>
        <w:numPr>
          <w:ilvl w:val="0"/>
          <w:numId w:val="8"/>
        </w:numPr>
        <w:rPr>
          <w:b/>
          <w:bCs/>
        </w:rPr>
      </w:pPr>
      <w:bookmarkStart w:id="1" w:name="_Toc159866294"/>
      <w:r w:rsidRPr="00A65B0B">
        <w:rPr>
          <w:b/>
          <w:bCs/>
        </w:rPr>
        <w:t>Good Practice for</w:t>
      </w:r>
      <w:r w:rsidR="00961DE3" w:rsidRPr="00A65B0B">
        <w:rPr>
          <w:b/>
          <w:bCs/>
        </w:rPr>
        <w:t xml:space="preserve"> MSE</w:t>
      </w:r>
      <w:r w:rsidRPr="00A65B0B">
        <w:rPr>
          <w:b/>
          <w:bCs/>
        </w:rPr>
        <w:t xml:space="preserve"> </w:t>
      </w:r>
      <w:r w:rsidR="006A0022" w:rsidRPr="00A65B0B">
        <w:rPr>
          <w:b/>
          <w:bCs/>
        </w:rPr>
        <w:t>Simplified Reorganization Procedures</w:t>
      </w:r>
      <w:bookmarkEnd w:id="1"/>
    </w:p>
    <w:p w14:paraId="51D56459" w14:textId="16D4153C" w:rsidR="001376C5" w:rsidRPr="00A65B0B" w:rsidRDefault="00987056" w:rsidP="00132582">
      <w:pPr>
        <w:spacing w:line="360" w:lineRule="auto"/>
      </w:pPr>
      <w:r>
        <w:br/>
      </w:r>
      <w:r w:rsidR="00F37B78">
        <w:t xml:space="preserve">To provide context for the analysis, this section provides an overview of the </w:t>
      </w:r>
      <w:r>
        <w:t xml:space="preserve">development of </w:t>
      </w:r>
      <w:r w:rsidR="00F37B78">
        <w:t>good international practices for MSE insolvency as well as the key</w:t>
      </w:r>
      <w:r>
        <w:t xml:space="preserve"> components of the good practices. </w:t>
      </w:r>
    </w:p>
    <w:p w14:paraId="5137B80E" w14:textId="2C22E5C4" w:rsidR="00674B65" w:rsidRPr="00A65B0B" w:rsidRDefault="00674B65" w:rsidP="005D08D2">
      <w:pPr>
        <w:rPr>
          <w:i/>
          <w:iCs/>
        </w:rPr>
      </w:pPr>
      <w:r w:rsidRPr="00A65B0B">
        <w:rPr>
          <w:i/>
          <w:iCs/>
        </w:rPr>
        <w:t>The Evolution of the Global Insolvency Standard</w:t>
      </w:r>
    </w:p>
    <w:p w14:paraId="4C8FBCBF" w14:textId="597247BF" w:rsidR="004D46F9" w:rsidRDefault="004D46F9" w:rsidP="00132582">
      <w:pPr>
        <w:spacing w:line="360" w:lineRule="auto"/>
      </w:pPr>
      <w:r w:rsidRPr="00A65B0B">
        <w:t xml:space="preserve">The </w:t>
      </w:r>
      <w:r w:rsidR="00AD0618" w:rsidRPr="00A65B0B">
        <w:t>global standard for insolvency and creditor/debtor regimes (</w:t>
      </w:r>
      <w:r w:rsidRPr="00A65B0B">
        <w:t xml:space="preserve">ICR </w:t>
      </w:r>
      <w:r w:rsidR="00AD0618" w:rsidRPr="00A65B0B">
        <w:t>S</w:t>
      </w:r>
      <w:r w:rsidRPr="00A65B0B">
        <w:t>tandard</w:t>
      </w:r>
      <w:r w:rsidR="00AD0618" w:rsidRPr="00A65B0B">
        <w:t>) comprises the World Bank’s Principles for Effective Insolvency and Creditor/Debtor Regimes (WB Principles)</w:t>
      </w:r>
      <w:r w:rsidR="00DD6703">
        <w:rPr>
          <w:rStyle w:val="FootnoteReference"/>
        </w:rPr>
        <w:footnoteReference w:id="5"/>
      </w:r>
      <w:r w:rsidR="009A6075" w:rsidRPr="00A65B0B">
        <w:t xml:space="preserve"> and </w:t>
      </w:r>
      <w:r w:rsidR="007D2C07">
        <w:t xml:space="preserve">the </w:t>
      </w:r>
      <w:r w:rsidR="009A6075" w:rsidRPr="00A65B0B">
        <w:t>U</w:t>
      </w:r>
      <w:r w:rsidR="007D2C07">
        <w:t xml:space="preserve">nited </w:t>
      </w:r>
      <w:r w:rsidR="009A6075" w:rsidRPr="00A65B0B">
        <w:t>N</w:t>
      </w:r>
      <w:r w:rsidR="007D2C07">
        <w:t xml:space="preserve">ations </w:t>
      </w:r>
      <w:r w:rsidR="009A6075" w:rsidRPr="00A65B0B">
        <w:t>C</w:t>
      </w:r>
      <w:r w:rsidR="007D2C07">
        <w:t xml:space="preserve">ommission on </w:t>
      </w:r>
      <w:r w:rsidR="009A6075" w:rsidRPr="00A65B0B">
        <w:t>I</w:t>
      </w:r>
      <w:r w:rsidR="007D2C07">
        <w:t xml:space="preserve">nternational </w:t>
      </w:r>
      <w:r w:rsidR="009A6075" w:rsidRPr="00A65B0B">
        <w:t>T</w:t>
      </w:r>
      <w:r w:rsidR="007D2C07">
        <w:t xml:space="preserve">rade </w:t>
      </w:r>
      <w:r w:rsidR="003F53B5">
        <w:t>Law (UNCITRAL)</w:t>
      </w:r>
      <w:r w:rsidR="009A6075" w:rsidRPr="00A65B0B">
        <w:t>’s Legislative Guide on Insolvency Law.</w:t>
      </w:r>
      <w:r w:rsidR="00F07984" w:rsidRPr="00A65B0B">
        <w:rPr>
          <w:rStyle w:val="FootnoteReference"/>
        </w:rPr>
        <w:footnoteReference w:id="6"/>
      </w:r>
      <w:r w:rsidR="008D6917" w:rsidRPr="00A65B0B">
        <w:t xml:space="preserve"> The Financial Stability Board describes the standard as </w:t>
      </w:r>
      <w:r w:rsidR="00A22D79">
        <w:t xml:space="preserve">a </w:t>
      </w:r>
      <w:r w:rsidR="008D6917" w:rsidRPr="00A65B0B">
        <w:t>“broad-spectrum assessment tool to assist countries in their efforts to evaluate and improve insolvency and creditor/debtor regimes.”</w:t>
      </w:r>
      <w:r w:rsidR="008D6917" w:rsidRPr="00A65B0B">
        <w:rPr>
          <w:rStyle w:val="FootnoteReference"/>
        </w:rPr>
        <w:footnoteReference w:id="7"/>
      </w:r>
    </w:p>
    <w:p w14:paraId="6ED06BF7" w14:textId="6DFEFECA" w:rsidR="005D08D2" w:rsidRPr="00A65B0B" w:rsidRDefault="00345102" w:rsidP="00132582">
      <w:pPr>
        <w:spacing w:line="360" w:lineRule="auto"/>
      </w:pPr>
      <w:r>
        <w:t xml:space="preserve">The </w:t>
      </w:r>
      <w:r w:rsidR="00F831AC" w:rsidRPr="00A65B0B">
        <w:t xml:space="preserve">movement to </w:t>
      </w:r>
      <w:r w:rsidR="00423E32" w:rsidRPr="00A65B0B">
        <w:t xml:space="preserve">change the </w:t>
      </w:r>
      <w:r w:rsidR="00AD0618" w:rsidRPr="00A65B0B">
        <w:t>ICR Standard</w:t>
      </w:r>
      <w:r w:rsidR="00423E32" w:rsidRPr="00A65B0B">
        <w:t xml:space="preserve"> to include simplified </w:t>
      </w:r>
      <w:r w:rsidR="00F8336A" w:rsidRPr="00A65B0B">
        <w:t xml:space="preserve">procedures for MSEs began </w:t>
      </w:r>
      <w:r w:rsidR="00617A94" w:rsidRPr="00A65B0B">
        <w:t>in the 2010s.</w:t>
      </w:r>
      <w:r w:rsidR="00081C3B" w:rsidRPr="00A65B0B">
        <w:rPr>
          <w:rStyle w:val="FootnoteReference"/>
        </w:rPr>
        <w:footnoteReference w:id="8"/>
      </w:r>
      <w:r w:rsidR="00617A94" w:rsidRPr="00A65B0B">
        <w:t xml:space="preserve"> </w:t>
      </w:r>
      <w:r w:rsidR="00E6509A" w:rsidRPr="00A65B0B">
        <w:t>To</w:t>
      </w:r>
      <w:r w:rsidR="003A6739" w:rsidRPr="00A65B0B">
        <w:t xml:space="preserve"> research</w:t>
      </w:r>
      <w:r w:rsidR="00E6509A" w:rsidRPr="00A65B0B">
        <w:t xml:space="preserve"> the issue, the</w:t>
      </w:r>
      <w:r w:rsidR="00617A94" w:rsidRPr="00A65B0B">
        <w:t xml:space="preserve"> World Bank publish</w:t>
      </w:r>
      <w:r w:rsidR="00E6509A" w:rsidRPr="00A65B0B">
        <w:t>ed</w:t>
      </w:r>
      <w:r w:rsidR="00617A94" w:rsidRPr="00A65B0B">
        <w:t xml:space="preserve"> two reports exploring </w:t>
      </w:r>
      <w:r w:rsidR="00F06E78" w:rsidRPr="00A65B0B">
        <w:t>the specific needs of MSEs in insolvency procedures as well as some of the existing</w:t>
      </w:r>
      <w:r w:rsidR="00A22D79">
        <w:t xml:space="preserve"> country</w:t>
      </w:r>
      <w:r w:rsidR="00F06E78" w:rsidRPr="00A65B0B">
        <w:t xml:space="preserve"> frameworks.</w:t>
      </w:r>
      <w:r w:rsidR="00B47BFB" w:rsidRPr="00A65B0B">
        <w:rPr>
          <w:rStyle w:val="FootnoteReference"/>
        </w:rPr>
        <w:footnoteReference w:id="9"/>
      </w:r>
      <w:r w:rsidR="00B47BFB" w:rsidRPr="00A65B0B">
        <w:t xml:space="preserve"> </w:t>
      </w:r>
      <w:r w:rsidR="00E6509A" w:rsidRPr="00A65B0B">
        <w:t xml:space="preserve">This led the World Bank to </w:t>
      </w:r>
      <w:r w:rsidR="00D875AF" w:rsidRPr="00A65B0B">
        <w:t xml:space="preserve">amend </w:t>
      </w:r>
      <w:r w:rsidR="00E6509A" w:rsidRPr="00A65B0B">
        <w:t xml:space="preserve">the </w:t>
      </w:r>
      <w:r w:rsidR="00AD0618" w:rsidRPr="00A65B0B">
        <w:t>WB Principles</w:t>
      </w:r>
      <w:r w:rsidR="00E6509A" w:rsidRPr="00A65B0B">
        <w:t xml:space="preserve"> </w:t>
      </w:r>
      <w:r w:rsidR="00605C37" w:rsidRPr="00A65B0B">
        <w:t xml:space="preserve">in 2021 to include recommendations for simplified procedures. In concert with the World Bank, UNCITRAL released </w:t>
      </w:r>
      <w:r w:rsidR="000414E3" w:rsidRPr="00A65B0B">
        <w:t xml:space="preserve">the </w:t>
      </w:r>
      <w:r w:rsidR="00B81ECF" w:rsidRPr="00A65B0B">
        <w:t xml:space="preserve">Part Five of the </w:t>
      </w:r>
      <w:r w:rsidR="00B56A76" w:rsidRPr="00A65B0B">
        <w:t xml:space="preserve">Legislative </w:t>
      </w:r>
      <w:r w:rsidR="00B81ECF" w:rsidRPr="00A65B0B">
        <w:t>Guide</w:t>
      </w:r>
      <w:r w:rsidR="00B56A76" w:rsidRPr="00A65B0B">
        <w:t xml:space="preserve"> on Insolvency of Micro- and Small Enterprises</w:t>
      </w:r>
      <w:r w:rsidR="00A04A66" w:rsidRPr="00A65B0B">
        <w:t xml:space="preserve"> (UNCITRAL Guide)</w:t>
      </w:r>
      <w:r w:rsidR="00B56A76" w:rsidRPr="00A65B0B">
        <w:t>.</w:t>
      </w:r>
      <w:r w:rsidR="000414E3" w:rsidRPr="00A65B0B">
        <w:rPr>
          <w:rStyle w:val="FootnoteReference"/>
        </w:rPr>
        <w:footnoteReference w:id="10"/>
      </w:r>
      <w:r w:rsidR="00AA0F67" w:rsidRPr="00A65B0B">
        <w:t xml:space="preserve"> Further, the International Insolvency Institute and the Asian Business Law Institute published a </w:t>
      </w:r>
      <w:r w:rsidR="0081180C" w:rsidRPr="00A65B0B">
        <w:t>Guide on the Treatment of Insolvent Micro and Small Enterprises in Asia in 2022.</w:t>
      </w:r>
      <w:r w:rsidR="00480543" w:rsidRPr="00A65B0B">
        <w:rPr>
          <w:rStyle w:val="FootnoteReference"/>
        </w:rPr>
        <w:footnoteReference w:id="11"/>
      </w:r>
      <w:r w:rsidR="00285876" w:rsidRPr="00A65B0B">
        <w:t xml:space="preserve"> </w:t>
      </w:r>
    </w:p>
    <w:p w14:paraId="62B0F2A2" w14:textId="372867E5" w:rsidR="00674B65" w:rsidRPr="00A65B0B" w:rsidRDefault="00674B65" w:rsidP="005D08D2">
      <w:pPr>
        <w:rPr>
          <w:i/>
          <w:iCs/>
        </w:rPr>
      </w:pPr>
      <w:r w:rsidRPr="00A65B0B">
        <w:rPr>
          <w:i/>
          <w:iCs/>
        </w:rPr>
        <w:lastRenderedPageBreak/>
        <w:t>Key Features of the MSE Insolvency Standard</w:t>
      </w:r>
      <w:r w:rsidR="00036505" w:rsidRPr="00A65B0B">
        <w:rPr>
          <w:i/>
          <w:iCs/>
        </w:rPr>
        <w:t xml:space="preserve"> for Reorganization</w:t>
      </w:r>
    </w:p>
    <w:p w14:paraId="28776BE9" w14:textId="5363E649" w:rsidR="002E02E6" w:rsidRPr="00A65B0B" w:rsidRDefault="002E02E6" w:rsidP="00132582">
      <w:pPr>
        <w:spacing w:line="360" w:lineRule="auto"/>
      </w:pPr>
      <w:r w:rsidRPr="00A65B0B">
        <w:t xml:space="preserve">The ICR Standard specifies </w:t>
      </w:r>
      <w:r w:rsidR="00741B8B">
        <w:t>important</w:t>
      </w:r>
      <w:r w:rsidRPr="00A65B0B">
        <w:t xml:space="preserve"> recommendations for </w:t>
      </w:r>
      <w:r w:rsidR="008D0E42" w:rsidRPr="00A65B0B">
        <w:t>an MSE simplified insolvency procedure. This section examines key recommendations which apply to reorganization procedures.</w:t>
      </w:r>
    </w:p>
    <w:p w14:paraId="38A654FA" w14:textId="19A0DD10" w:rsidR="00823009" w:rsidRPr="00A65B0B" w:rsidRDefault="006A232D" w:rsidP="00132582">
      <w:pPr>
        <w:spacing w:line="360" w:lineRule="auto"/>
      </w:pPr>
      <w:r w:rsidRPr="00A65B0B">
        <w:t>To begin, t</w:t>
      </w:r>
      <w:r w:rsidR="00A04A66" w:rsidRPr="00A65B0B">
        <w:t>he UNCITRAL Guide states that the key objectives for an MSE simplified framework are the following</w:t>
      </w:r>
      <w:r w:rsidR="00450ED0" w:rsidRPr="00A65B0B">
        <w:t xml:space="preserve"> (paraphrased</w:t>
      </w:r>
      <w:r w:rsidR="00EA57CC" w:rsidRPr="00A65B0B">
        <w:t xml:space="preserve"> to simplify</w:t>
      </w:r>
      <w:r w:rsidR="00450ED0" w:rsidRPr="00A65B0B">
        <w:t>)</w:t>
      </w:r>
      <w:r w:rsidR="00A04A66" w:rsidRPr="00A65B0B">
        <w:t>:</w:t>
      </w:r>
      <w:r w:rsidR="00B618F4" w:rsidRPr="00A65B0B">
        <w:rPr>
          <w:rStyle w:val="FootnoteReference"/>
        </w:rPr>
        <w:footnoteReference w:id="12"/>
      </w:r>
    </w:p>
    <w:p w14:paraId="668CC3B2" w14:textId="55FBDD93" w:rsidR="00A04A66" w:rsidRPr="00A65B0B" w:rsidRDefault="00450ED0" w:rsidP="00132582">
      <w:pPr>
        <w:pStyle w:val="ListParagraph"/>
        <w:numPr>
          <w:ilvl w:val="0"/>
          <w:numId w:val="5"/>
        </w:numPr>
        <w:autoSpaceDE w:val="0"/>
        <w:autoSpaceDN w:val="0"/>
        <w:adjustRightInd w:val="0"/>
        <w:spacing w:after="0" w:line="360" w:lineRule="auto"/>
        <w:rPr>
          <w:rFonts w:cstheme="minorHAnsi"/>
          <w:kern w:val="0"/>
        </w:rPr>
      </w:pPr>
      <w:r w:rsidRPr="00A65B0B">
        <w:rPr>
          <w:rFonts w:cstheme="minorHAnsi"/>
          <w:kern w:val="0"/>
        </w:rPr>
        <w:t>E</w:t>
      </w:r>
      <w:r w:rsidR="00A04A66" w:rsidRPr="00A65B0B">
        <w:rPr>
          <w:rFonts w:cstheme="minorHAnsi"/>
          <w:kern w:val="0"/>
        </w:rPr>
        <w:t>xpeditious, simple, flexible</w:t>
      </w:r>
      <w:r w:rsidR="00B618F4" w:rsidRPr="00A65B0B">
        <w:rPr>
          <w:rFonts w:cstheme="minorHAnsi"/>
          <w:kern w:val="0"/>
        </w:rPr>
        <w:t>,</w:t>
      </w:r>
      <w:r w:rsidR="00A04A66" w:rsidRPr="00A65B0B">
        <w:rPr>
          <w:rFonts w:cstheme="minorHAnsi"/>
          <w:kern w:val="0"/>
        </w:rPr>
        <w:t xml:space="preserve"> and low-cost;</w:t>
      </w:r>
    </w:p>
    <w:p w14:paraId="4770FD48" w14:textId="397BC0D1" w:rsidR="00A04A66" w:rsidRPr="00A65B0B" w:rsidRDefault="00213028" w:rsidP="00132582">
      <w:pPr>
        <w:pStyle w:val="ListParagraph"/>
        <w:numPr>
          <w:ilvl w:val="0"/>
          <w:numId w:val="5"/>
        </w:numPr>
        <w:autoSpaceDE w:val="0"/>
        <w:autoSpaceDN w:val="0"/>
        <w:adjustRightInd w:val="0"/>
        <w:spacing w:after="0" w:line="360" w:lineRule="auto"/>
        <w:rPr>
          <w:rFonts w:cstheme="minorHAnsi"/>
          <w:kern w:val="0"/>
        </w:rPr>
      </w:pPr>
      <w:r w:rsidRPr="00A65B0B">
        <w:rPr>
          <w:rFonts w:cstheme="minorHAnsi"/>
          <w:kern w:val="0"/>
        </w:rPr>
        <w:t>E</w:t>
      </w:r>
      <w:r w:rsidR="00A04A66" w:rsidRPr="00A65B0B">
        <w:rPr>
          <w:rFonts w:cstheme="minorHAnsi"/>
          <w:kern w:val="0"/>
        </w:rPr>
        <w:t>asily accessible</w:t>
      </w:r>
      <w:r w:rsidR="00B618F4" w:rsidRPr="00A65B0B">
        <w:rPr>
          <w:rFonts w:cstheme="minorHAnsi"/>
          <w:kern w:val="0"/>
        </w:rPr>
        <w:t>;</w:t>
      </w:r>
    </w:p>
    <w:p w14:paraId="6BCC18F9" w14:textId="313150FF" w:rsidR="00A04A66" w:rsidRPr="00A65B0B" w:rsidRDefault="00A04A66" w:rsidP="00132582">
      <w:pPr>
        <w:pStyle w:val="ListParagraph"/>
        <w:numPr>
          <w:ilvl w:val="0"/>
          <w:numId w:val="5"/>
        </w:numPr>
        <w:autoSpaceDE w:val="0"/>
        <w:autoSpaceDN w:val="0"/>
        <w:adjustRightInd w:val="0"/>
        <w:spacing w:after="0" w:line="360" w:lineRule="auto"/>
        <w:rPr>
          <w:rFonts w:cstheme="minorHAnsi"/>
          <w:kern w:val="0"/>
        </w:rPr>
      </w:pPr>
      <w:r w:rsidRPr="00A65B0B">
        <w:rPr>
          <w:rFonts w:cstheme="minorHAnsi"/>
          <w:kern w:val="0"/>
        </w:rPr>
        <w:t>Promoting fresh start;</w:t>
      </w:r>
    </w:p>
    <w:p w14:paraId="60A991E0" w14:textId="5C756AEC" w:rsidR="00A04A66" w:rsidRPr="00A65B0B" w:rsidRDefault="00A04A66" w:rsidP="00132582">
      <w:pPr>
        <w:pStyle w:val="ListParagraph"/>
        <w:numPr>
          <w:ilvl w:val="0"/>
          <w:numId w:val="5"/>
        </w:numPr>
        <w:autoSpaceDE w:val="0"/>
        <w:autoSpaceDN w:val="0"/>
        <w:adjustRightInd w:val="0"/>
        <w:spacing w:after="0" w:line="360" w:lineRule="auto"/>
        <w:rPr>
          <w:rFonts w:cstheme="minorHAnsi"/>
          <w:kern w:val="0"/>
        </w:rPr>
      </w:pPr>
      <w:r w:rsidRPr="00A65B0B">
        <w:rPr>
          <w:rFonts w:cstheme="minorHAnsi"/>
          <w:kern w:val="0"/>
        </w:rPr>
        <w:t>Ensuring protection of persons affected by simplified proceedings,</w:t>
      </w:r>
      <w:r w:rsidR="00C9211C" w:rsidRPr="00A65B0B">
        <w:rPr>
          <w:rFonts w:cstheme="minorHAnsi"/>
          <w:kern w:val="0"/>
        </w:rPr>
        <w:t xml:space="preserve"> </w:t>
      </w:r>
      <w:r w:rsidRPr="00A65B0B">
        <w:rPr>
          <w:rFonts w:cstheme="minorHAnsi"/>
          <w:kern w:val="0"/>
        </w:rPr>
        <w:t>including creditors, employees</w:t>
      </w:r>
      <w:r w:rsidR="00B618F4" w:rsidRPr="00A65B0B">
        <w:rPr>
          <w:rFonts w:cstheme="minorHAnsi"/>
          <w:kern w:val="0"/>
        </w:rPr>
        <w:t>,</w:t>
      </w:r>
      <w:r w:rsidRPr="00A65B0B">
        <w:rPr>
          <w:rFonts w:cstheme="minorHAnsi"/>
          <w:kern w:val="0"/>
        </w:rPr>
        <w:t xml:space="preserve"> and other stakeholders;</w:t>
      </w:r>
    </w:p>
    <w:p w14:paraId="005136A9" w14:textId="609027A5" w:rsidR="00A04A66" w:rsidRPr="00A65B0B" w:rsidRDefault="00A04A66" w:rsidP="00132582">
      <w:pPr>
        <w:pStyle w:val="ListParagraph"/>
        <w:numPr>
          <w:ilvl w:val="0"/>
          <w:numId w:val="5"/>
        </w:numPr>
        <w:autoSpaceDE w:val="0"/>
        <w:autoSpaceDN w:val="0"/>
        <w:adjustRightInd w:val="0"/>
        <w:spacing w:after="0" w:line="360" w:lineRule="auto"/>
        <w:rPr>
          <w:rFonts w:cstheme="minorHAnsi"/>
          <w:kern w:val="0"/>
        </w:rPr>
      </w:pPr>
      <w:r w:rsidRPr="00A65B0B">
        <w:rPr>
          <w:rFonts w:cstheme="minorHAnsi"/>
          <w:kern w:val="0"/>
        </w:rPr>
        <w:t>Providing effective measures to facilitate participation by creditors and other</w:t>
      </w:r>
      <w:r w:rsidR="00C9211C" w:rsidRPr="00A65B0B">
        <w:rPr>
          <w:rFonts w:cstheme="minorHAnsi"/>
          <w:kern w:val="0"/>
        </w:rPr>
        <w:t xml:space="preserve"> </w:t>
      </w:r>
      <w:r w:rsidRPr="00A65B0B">
        <w:rPr>
          <w:rFonts w:cstheme="minorHAnsi"/>
          <w:kern w:val="0"/>
        </w:rPr>
        <w:t>parties in interest, and to address creditor</w:t>
      </w:r>
      <w:r w:rsidR="00C9211C" w:rsidRPr="00A65B0B">
        <w:rPr>
          <w:rFonts w:cstheme="minorHAnsi"/>
          <w:kern w:val="0"/>
        </w:rPr>
        <w:t xml:space="preserve"> </w:t>
      </w:r>
      <w:r w:rsidRPr="00A65B0B">
        <w:rPr>
          <w:rFonts w:cstheme="minorHAnsi"/>
          <w:kern w:val="0"/>
        </w:rPr>
        <w:t>disengagement;</w:t>
      </w:r>
    </w:p>
    <w:p w14:paraId="6BBE0646" w14:textId="613E0C41" w:rsidR="00A04A66" w:rsidRPr="00A65B0B" w:rsidRDefault="00A04A66" w:rsidP="00132582">
      <w:pPr>
        <w:pStyle w:val="ListParagraph"/>
        <w:numPr>
          <w:ilvl w:val="0"/>
          <w:numId w:val="5"/>
        </w:numPr>
        <w:autoSpaceDE w:val="0"/>
        <w:autoSpaceDN w:val="0"/>
        <w:adjustRightInd w:val="0"/>
        <w:spacing w:after="0" w:line="360" w:lineRule="auto"/>
        <w:rPr>
          <w:rFonts w:cstheme="minorHAnsi"/>
          <w:kern w:val="0"/>
        </w:rPr>
      </w:pPr>
      <w:r w:rsidRPr="00A65B0B">
        <w:rPr>
          <w:rFonts w:cstheme="minorHAnsi"/>
          <w:kern w:val="0"/>
        </w:rPr>
        <w:t>Implementing an effective sanctions regime to prevent abuse or improper</w:t>
      </w:r>
      <w:r w:rsidR="00C9211C" w:rsidRPr="00A65B0B">
        <w:rPr>
          <w:rFonts w:cstheme="minorHAnsi"/>
          <w:kern w:val="0"/>
        </w:rPr>
        <w:t xml:space="preserve"> </w:t>
      </w:r>
      <w:r w:rsidRPr="00A65B0B">
        <w:rPr>
          <w:rFonts w:cstheme="minorHAnsi"/>
          <w:kern w:val="0"/>
        </w:rPr>
        <w:t xml:space="preserve">use </w:t>
      </w:r>
      <w:r w:rsidR="00FE5E97" w:rsidRPr="00A65B0B">
        <w:rPr>
          <w:rFonts w:cstheme="minorHAnsi"/>
          <w:kern w:val="0"/>
        </w:rPr>
        <w:t xml:space="preserve">and </w:t>
      </w:r>
      <w:r w:rsidRPr="00A65B0B">
        <w:rPr>
          <w:rFonts w:cstheme="minorHAnsi"/>
          <w:kern w:val="0"/>
        </w:rPr>
        <w:t>to impose appropriate penalties for</w:t>
      </w:r>
      <w:r w:rsidR="00C9211C" w:rsidRPr="00A65B0B">
        <w:rPr>
          <w:rFonts w:cstheme="minorHAnsi"/>
          <w:kern w:val="0"/>
        </w:rPr>
        <w:t xml:space="preserve"> </w:t>
      </w:r>
      <w:r w:rsidRPr="00A65B0B">
        <w:rPr>
          <w:rFonts w:cstheme="minorHAnsi"/>
          <w:kern w:val="0"/>
        </w:rPr>
        <w:t>misconduct;</w:t>
      </w:r>
    </w:p>
    <w:p w14:paraId="740393F4" w14:textId="0175F5E6" w:rsidR="00A04A66" w:rsidRPr="00A65B0B" w:rsidRDefault="00A04A66" w:rsidP="00132582">
      <w:pPr>
        <w:pStyle w:val="ListParagraph"/>
        <w:numPr>
          <w:ilvl w:val="0"/>
          <w:numId w:val="5"/>
        </w:numPr>
        <w:autoSpaceDE w:val="0"/>
        <w:autoSpaceDN w:val="0"/>
        <w:adjustRightInd w:val="0"/>
        <w:spacing w:after="0" w:line="360" w:lineRule="auto"/>
        <w:rPr>
          <w:rFonts w:cstheme="minorHAnsi"/>
          <w:kern w:val="0"/>
        </w:rPr>
      </w:pPr>
      <w:r w:rsidRPr="00A65B0B">
        <w:rPr>
          <w:rFonts w:cstheme="minorHAnsi"/>
          <w:kern w:val="0"/>
        </w:rPr>
        <w:t>Addressing concerns over stigmatization because of insolvency; and</w:t>
      </w:r>
    </w:p>
    <w:p w14:paraId="72A4E4E4" w14:textId="50C05C49" w:rsidR="00674B65" w:rsidRPr="00A65B0B" w:rsidRDefault="00A04A66" w:rsidP="00132582">
      <w:pPr>
        <w:pStyle w:val="ListParagraph"/>
        <w:numPr>
          <w:ilvl w:val="0"/>
          <w:numId w:val="5"/>
        </w:numPr>
        <w:spacing w:line="360" w:lineRule="auto"/>
        <w:rPr>
          <w:rFonts w:cstheme="minorHAnsi"/>
        </w:rPr>
      </w:pPr>
      <w:r w:rsidRPr="00A65B0B">
        <w:rPr>
          <w:rFonts w:cstheme="minorHAnsi"/>
          <w:kern w:val="0"/>
        </w:rPr>
        <w:t>Where reorganization is feasible, preserving employment and investment.</w:t>
      </w:r>
    </w:p>
    <w:p w14:paraId="63D28F86" w14:textId="0EA5010E" w:rsidR="00D6583D" w:rsidRPr="00A65B0B" w:rsidRDefault="00D6583D" w:rsidP="00132582">
      <w:pPr>
        <w:spacing w:line="360" w:lineRule="auto"/>
        <w:rPr>
          <w:rFonts w:cstheme="minorHAnsi"/>
        </w:rPr>
      </w:pPr>
      <w:r w:rsidRPr="00A65B0B">
        <w:rPr>
          <w:rFonts w:cstheme="minorHAnsi"/>
        </w:rPr>
        <w:t xml:space="preserve">There are </w:t>
      </w:r>
      <w:proofErr w:type="gramStart"/>
      <w:r w:rsidR="00D40E22" w:rsidRPr="00A65B0B">
        <w:rPr>
          <w:rFonts w:cstheme="minorHAnsi"/>
        </w:rPr>
        <w:t>a number of</w:t>
      </w:r>
      <w:proofErr w:type="gramEnd"/>
      <w:r w:rsidR="00D40E22" w:rsidRPr="00A65B0B">
        <w:rPr>
          <w:rFonts w:cstheme="minorHAnsi"/>
        </w:rPr>
        <w:t xml:space="preserve"> </w:t>
      </w:r>
      <w:r w:rsidR="00AA23F7">
        <w:rPr>
          <w:rFonts w:cstheme="minorHAnsi"/>
        </w:rPr>
        <w:t>major</w:t>
      </w:r>
      <w:r w:rsidR="00BE5EA6" w:rsidRPr="00A65B0B">
        <w:rPr>
          <w:rFonts w:cstheme="minorHAnsi"/>
        </w:rPr>
        <w:t xml:space="preserve"> </w:t>
      </w:r>
      <w:r w:rsidRPr="00A65B0B">
        <w:rPr>
          <w:rFonts w:cstheme="minorHAnsi"/>
        </w:rPr>
        <w:t xml:space="preserve">features of the ICR Standard </w:t>
      </w:r>
      <w:r w:rsidR="007245DC">
        <w:rPr>
          <w:rFonts w:cstheme="minorHAnsi"/>
        </w:rPr>
        <w:t xml:space="preserve">specifically </w:t>
      </w:r>
      <w:r w:rsidRPr="00A65B0B">
        <w:rPr>
          <w:rFonts w:cstheme="minorHAnsi"/>
        </w:rPr>
        <w:t>for MSEs</w:t>
      </w:r>
      <w:r w:rsidR="00BE5EA6" w:rsidRPr="00A65B0B">
        <w:rPr>
          <w:rFonts w:cstheme="minorHAnsi"/>
        </w:rPr>
        <w:t xml:space="preserve"> </w:t>
      </w:r>
      <w:r w:rsidR="009D7C95" w:rsidRPr="00A65B0B">
        <w:rPr>
          <w:rFonts w:cstheme="minorHAnsi"/>
        </w:rPr>
        <w:t>which are related</w:t>
      </w:r>
      <w:r w:rsidR="00C86046" w:rsidRPr="00A65B0B">
        <w:rPr>
          <w:rFonts w:cstheme="minorHAnsi"/>
        </w:rPr>
        <w:t xml:space="preserve"> to reorganization</w:t>
      </w:r>
      <w:r w:rsidR="00BE5EA6" w:rsidRPr="00A65B0B">
        <w:rPr>
          <w:rFonts w:cstheme="minorHAnsi"/>
        </w:rPr>
        <w:t>:</w:t>
      </w:r>
      <w:r w:rsidR="00790DAE">
        <w:rPr>
          <w:rStyle w:val="FootnoteReference"/>
          <w:rFonts w:cstheme="minorHAnsi"/>
        </w:rPr>
        <w:footnoteReference w:id="13"/>
      </w:r>
    </w:p>
    <w:p w14:paraId="6C94CA73" w14:textId="55097756" w:rsidR="003C3CD0" w:rsidRPr="003C3CD0" w:rsidRDefault="003C3CD0" w:rsidP="00132582">
      <w:pPr>
        <w:pStyle w:val="ListParagraph"/>
        <w:numPr>
          <w:ilvl w:val="0"/>
          <w:numId w:val="4"/>
        </w:numPr>
        <w:spacing w:line="360" w:lineRule="auto"/>
        <w:rPr>
          <w:rFonts w:cstheme="minorHAnsi"/>
        </w:rPr>
      </w:pPr>
      <w:r w:rsidRPr="001365AC">
        <w:rPr>
          <w:rFonts w:cstheme="minorHAnsi"/>
          <w:b/>
          <w:bCs/>
        </w:rPr>
        <w:t>Institutional Support</w:t>
      </w:r>
      <w:r w:rsidR="00D47A85">
        <w:rPr>
          <w:rFonts w:cstheme="minorHAnsi"/>
          <w:b/>
          <w:bCs/>
        </w:rPr>
        <w:t xml:space="preserve"> and Tools</w:t>
      </w:r>
      <w:r w:rsidRPr="001365AC">
        <w:rPr>
          <w:rFonts w:cstheme="minorHAnsi"/>
          <w:b/>
          <w:bCs/>
        </w:rPr>
        <w:t>:</w:t>
      </w:r>
      <w:r>
        <w:rPr>
          <w:rFonts w:cstheme="minorHAnsi"/>
        </w:rPr>
        <w:t xml:space="preserve"> </w:t>
      </w:r>
      <w:r w:rsidR="00F26F5C">
        <w:rPr>
          <w:rFonts w:cstheme="minorHAnsi"/>
        </w:rPr>
        <w:t xml:space="preserve">support for MSEs </w:t>
      </w:r>
      <w:r w:rsidR="00725B48">
        <w:rPr>
          <w:rFonts w:cstheme="minorHAnsi"/>
        </w:rPr>
        <w:t>use</w:t>
      </w:r>
      <w:r w:rsidR="00F26F5C">
        <w:rPr>
          <w:rFonts w:cstheme="minorHAnsi"/>
        </w:rPr>
        <w:t xml:space="preserve"> the simplified procedures </w:t>
      </w:r>
      <w:r w:rsidR="00725B48">
        <w:rPr>
          <w:rFonts w:cstheme="minorHAnsi"/>
        </w:rPr>
        <w:t xml:space="preserve">should be made available. This includes </w:t>
      </w:r>
      <w:r w:rsidR="00F83AE1">
        <w:rPr>
          <w:rFonts w:cstheme="minorHAnsi"/>
        </w:rPr>
        <w:t xml:space="preserve">provision of </w:t>
      </w:r>
      <w:r w:rsidR="00D47A85">
        <w:rPr>
          <w:rFonts w:cstheme="minorHAnsi"/>
        </w:rPr>
        <w:t xml:space="preserve">a competent authority, </w:t>
      </w:r>
      <w:r w:rsidR="00725B48">
        <w:rPr>
          <w:rFonts w:cstheme="minorHAnsi"/>
        </w:rPr>
        <w:t>independent professionals, templates, schedules, standard forms</w:t>
      </w:r>
      <w:r w:rsidR="00F83AE1">
        <w:rPr>
          <w:rFonts w:cstheme="minorHAnsi"/>
        </w:rPr>
        <w:t>,</w:t>
      </w:r>
      <w:r w:rsidR="001365AC">
        <w:rPr>
          <w:rFonts w:cstheme="minorHAnsi"/>
        </w:rPr>
        <w:t xml:space="preserve"> and electronic means of communication.</w:t>
      </w:r>
      <w:r w:rsidR="001365AC">
        <w:rPr>
          <w:rStyle w:val="FootnoteReference"/>
          <w:rFonts w:cstheme="minorHAnsi"/>
        </w:rPr>
        <w:footnoteReference w:id="14"/>
      </w:r>
    </w:p>
    <w:p w14:paraId="75247AA0" w14:textId="4406A9A2" w:rsidR="00265156" w:rsidRPr="00A65B0B" w:rsidRDefault="0042275F" w:rsidP="00132582">
      <w:pPr>
        <w:pStyle w:val="ListParagraph"/>
        <w:numPr>
          <w:ilvl w:val="0"/>
          <w:numId w:val="4"/>
        </w:numPr>
        <w:spacing w:line="360" w:lineRule="auto"/>
        <w:rPr>
          <w:rFonts w:cstheme="minorHAnsi"/>
        </w:rPr>
      </w:pPr>
      <w:r w:rsidRPr="00A65B0B">
        <w:rPr>
          <w:rFonts w:cstheme="minorHAnsi"/>
          <w:b/>
          <w:bCs/>
        </w:rPr>
        <w:t>Commencement</w:t>
      </w:r>
      <w:r w:rsidR="000F301C" w:rsidRPr="00A65B0B">
        <w:rPr>
          <w:rFonts w:cstheme="minorHAnsi"/>
        </w:rPr>
        <w:t xml:space="preserve">: </w:t>
      </w:r>
      <w:r w:rsidR="00C52EAE" w:rsidRPr="00A65B0B">
        <w:rPr>
          <w:rFonts w:cstheme="minorHAnsi"/>
        </w:rPr>
        <w:t xml:space="preserve">judicial and natural persons should have access based upon </w:t>
      </w:r>
      <w:r w:rsidR="00117153">
        <w:rPr>
          <w:rFonts w:cstheme="minorHAnsi"/>
        </w:rPr>
        <w:t xml:space="preserve">a </w:t>
      </w:r>
      <w:r w:rsidR="00C52EAE" w:rsidRPr="00A65B0B">
        <w:rPr>
          <w:rFonts w:cstheme="minorHAnsi"/>
        </w:rPr>
        <w:t>clear definition of who is an MSE.</w:t>
      </w:r>
      <w:r w:rsidR="00C52EAE" w:rsidRPr="00A65B0B">
        <w:rPr>
          <w:rStyle w:val="FootnoteReference"/>
          <w:rFonts w:cstheme="minorHAnsi"/>
        </w:rPr>
        <w:footnoteReference w:id="15"/>
      </w:r>
      <w:r w:rsidR="00C52EAE" w:rsidRPr="00A65B0B">
        <w:rPr>
          <w:rFonts w:cstheme="minorHAnsi"/>
        </w:rPr>
        <w:t xml:space="preserve"> Further, there should be </w:t>
      </w:r>
      <w:r w:rsidR="002623E0" w:rsidRPr="00A65B0B">
        <w:rPr>
          <w:rFonts w:cstheme="minorHAnsi"/>
        </w:rPr>
        <w:t xml:space="preserve">easy access to the procedure </w:t>
      </w:r>
      <w:r w:rsidR="00C94502" w:rsidRPr="00A65B0B">
        <w:rPr>
          <w:rFonts w:cstheme="minorHAnsi"/>
        </w:rPr>
        <w:t xml:space="preserve">at an early stage of financial difficulty, with debtors only required to show basic </w:t>
      </w:r>
      <w:r w:rsidR="009D43A9" w:rsidRPr="00A65B0B">
        <w:rPr>
          <w:rFonts w:cstheme="minorHAnsi"/>
        </w:rPr>
        <w:t>evidence</w:t>
      </w:r>
      <w:r w:rsidR="00C94502" w:rsidRPr="00A65B0B">
        <w:rPr>
          <w:rFonts w:cstheme="minorHAnsi"/>
        </w:rPr>
        <w:t xml:space="preserve"> </w:t>
      </w:r>
      <w:r w:rsidR="009D43A9" w:rsidRPr="00A65B0B">
        <w:rPr>
          <w:rFonts w:cstheme="minorHAnsi"/>
        </w:rPr>
        <w:t>of insolvency or financial difficulty.</w:t>
      </w:r>
      <w:r w:rsidR="009D43A9" w:rsidRPr="00A65B0B">
        <w:rPr>
          <w:rStyle w:val="FootnoteReference"/>
          <w:rFonts w:cstheme="minorHAnsi"/>
        </w:rPr>
        <w:footnoteReference w:id="16"/>
      </w:r>
    </w:p>
    <w:p w14:paraId="6DE5B4A8" w14:textId="4D6EC9A9" w:rsidR="0042275F" w:rsidRPr="00A65B0B" w:rsidRDefault="0042275F" w:rsidP="00132582">
      <w:pPr>
        <w:pStyle w:val="ListParagraph"/>
        <w:numPr>
          <w:ilvl w:val="0"/>
          <w:numId w:val="4"/>
        </w:numPr>
        <w:spacing w:line="360" w:lineRule="auto"/>
        <w:rPr>
          <w:rFonts w:cstheme="minorHAnsi"/>
        </w:rPr>
      </w:pPr>
      <w:r w:rsidRPr="00A65B0B">
        <w:rPr>
          <w:rFonts w:cstheme="minorHAnsi"/>
          <w:b/>
          <w:bCs/>
        </w:rPr>
        <w:lastRenderedPageBreak/>
        <w:t>Procedural Formalities and Deadlines</w:t>
      </w:r>
      <w:r w:rsidR="00447CE2" w:rsidRPr="00A65B0B">
        <w:rPr>
          <w:rFonts w:cstheme="minorHAnsi"/>
        </w:rPr>
        <w:t xml:space="preserve">: formalities should be kept to </w:t>
      </w:r>
      <w:r w:rsidR="00EA43FA" w:rsidRPr="00A65B0B">
        <w:rPr>
          <w:rFonts w:cstheme="minorHAnsi"/>
        </w:rPr>
        <w:t>a minimum</w:t>
      </w:r>
      <w:r w:rsidR="008836DF" w:rsidRPr="00A65B0B">
        <w:rPr>
          <w:rFonts w:cstheme="minorHAnsi"/>
        </w:rPr>
        <w:t xml:space="preserve"> and </w:t>
      </w:r>
      <w:r w:rsidR="00EA43FA" w:rsidRPr="00A65B0B">
        <w:rPr>
          <w:rFonts w:cstheme="minorHAnsi"/>
        </w:rPr>
        <w:t xml:space="preserve">procedures should be distilled </w:t>
      </w:r>
      <w:r w:rsidR="008836DF" w:rsidRPr="00A65B0B">
        <w:rPr>
          <w:rFonts w:cstheme="minorHAnsi"/>
        </w:rPr>
        <w:t xml:space="preserve">down </w:t>
      </w:r>
      <w:r w:rsidR="00EA43FA" w:rsidRPr="00A65B0B">
        <w:rPr>
          <w:rFonts w:cstheme="minorHAnsi"/>
        </w:rPr>
        <w:t xml:space="preserve">to </w:t>
      </w:r>
      <w:r w:rsidR="008836DF" w:rsidRPr="00A65B0B">
        <w:rPr>
          <w:rFonts w:cstheme="minorHAnsi"/>
        </w:rPr>
        <w:t xml:space="preserve">what is essential. </w:t>
      </w:r>
      <w:r w:rsidR="00BD1FA2" w:rsidRPr="00A65B0B">
        <w:rPr>
          <w:rFonts w:cstheme="minorHAnsi"/>
        </w:rPr>
        <w:t xml:space="preserve">Further, deadlines </w:t>
      </w:r>
      <w:r w:rsidR="003152B5" w:rsidRPr="00A65B0B">
        <w:rPr>
          <w:rFonts w:cstheme="minorHAnsi"/>
        </w:rPr>
        <w:t xml:space="preserve">and notices </w:t>
      </w:r>
      <w:r w:rsidR="00BD1FA2" w:rsidRPr="00A65B0B">
        <w:rPr>
          <w:rFonts w:cstheme="minorHAnsi"/>
        </w:rPr>
        <w:t xml:space="preserve">should be trimmed to enable </w:t>
      </w:r>
      <w:r w:rsidR="00737F5A" w:rsidRPr="00A65B0B">
        <w:rPr>
          <w:rFonts w:cstheme="minorHAnsi"/>
        </w:rPr>
        <w:t>swifter use of the procedures</w:t>
      </w:r>
      <w:r w:rsidR="00BD1FA2" w:rsidRPr="00A65B0B">
        <w:rPr>
          <w:rFonts w:cstheme="minorHAnsi"/>
        </w:rPr>
        <w:t>.</w:t>
      </w:r>
      <w:r w:rsidR="00737F5A" w:rsidRPr="00A65B0B">
        <w:rPr>
          <w:rFonts w:cstheme="minorHAnsi"/>
        </w:rPr>
        <w:t xml:space="preserve"> </w:t>
      </w:r>
    </w:p>
    <w:p w14:paraId="214AB3FE" w14:textId="1B632198" w:rsidR="0042275F" w:rsidRPr="00A65B0B" w:rsidRDefault="00A41298" w:rsidP="00132582">
      <w:pPr>
        <w:pStyle w:val="ListParagraph"/>
        <w:numPr>
          <w:ilvl w:val="0"/>
          <w:numId w:val="4"/>
        </w:numPr>
        <w:spacing w:line="360" w:lineRule="auto"/>
        <w:rPr>
          <w:rFonts w:cstheme="minorHAnsi"/>
        </w:rPr>
      </w:pPr>
      <w:r w:rsidRPr="00A65B0B">
        <w:rPr>
          <w:rFonts w:cstheme="minorHAnsi"/>
          <w:b/>
          <w:bCs/>
        </w:rPr>
        <w:t xml:space="preserve">Role of the </w:t>
      </w:r>
      <w:r w:rsidR="00D40E22" w:rsidRPr="00A65B0B">
        <w:rPr>
          <w:rFonts w:cstheme="minorHAnsi"/>
          <w:b/>
          <w:bCs/>
        </w:rPr>
        <w:t>D</w:t>
      </w:r>
      <w:r w:rsidRPr="00A65B0B">
        <w:rPr>
          <w:rFonts w:cstheme="minorHAnsi"/>
          <w:b/>
          <w:bCs/>
        </w:rPr>
        <w:t>ebtor</w:t>
      </w:r>
      <w:r w:rsidR="00737F5A" w:rsidRPr="00A65B0B">
        <w:rPr>
          <w:rFonts w:cstheme="minorHAnsi"/>
        </w:rPr>
        <w:t xml:space="preserve">: </w:t>
      </w:r>
      <w:r w:rsidR="001D7B05" w:rsidRPr="00A65B0B">
        <w:rPr>
          <w:rFonts w:cstheme="minorHAnsi"/>
        </w:rPr>
        <w:t xml:space="preserve">The </w:t>
      </w:r>
      <w:r w:rsidR="00E30D3B" w:rsidRPr="00A65B0B">
        <w:rPr>
          <w:rFonts w:cstheme="minorHAnsi"/>
        </w:rPr>
        <w:t xml:space="preserve">standard </w:t>
      </w:r>
      <w:r w:rsidR="00E2191D" w:rsidRPr="00A65B0B">
        <w:rPr>
          <w:rFonts w:cstheme="minorHAnsi"/>
        </w:rPr>
        <w:t xml:space="preserve">approach in simplified reorganization proceedings should be that the debtor remains in management: running the daily operations and </w:t>
      </w:r>
      <w:r w:rsidR="00F05746" w:rsidRPr="00A65B0B">
        <w:rPr>
          <w:rFonts w:cstheme="minorHAnsi"/>
        </w:rPr>
        <w:t>in control of the assets.</w:t>
      </w:r>
      <w:r w:rsidR="0011503A" w:rsidRPr="00A65B0B">
        <w:rPr>
          <w:rStyle w:val="FootnoteReference"/>
          <w:rFonts w:cstheme="minorHAnsi"/>
        </w:rPr>
        <w:footnoteReference w:id="17"/>
      </w:r>
      <w:r w:rsidR="004F67CE" w:rsidRPr="00A65B0B">
        <w:rPr>
          <w:rFonts w:cstheme="minorHAnsi"/>
        </w:rPr>
        <w:t xml:space="preserve"> </w:t>
      </w:r>
      <w:r w:rsidR="000A69ED" w:rsidRPr="00A65B0B">
        <w:rPr>
          <w:rFonts w:cstheme="minorHAnsi"/>
        </w:rPr>
        <w:t xml:space="preserve">If </w:t>
      </w:r>
      <w:r w:rsidR="00105A1D" w:rsidRPr="00A65B0B">
        <w:rPr>
          <w:rFonts w:cstheme="minorHAnsi"/>
        </w:rPr>
        <w:t xml:space="preserve">it is not appropriate to have the debtor manage the company because of alleged fraud, mismanagement or incompetence, then there must also be a mechanism for the debtor to be </w:t>
      </w:r>
      <w:r w:rsidR="00C138D1" w:rsidRPr="00A65B0B">
        <w:rPr>
          <w:rFonts w:cstheme="minorHAnsi"/>
        </w:rPr>
        <w:t>replaced entirely or partially by a competent third party.</w:t>
      </w:r>
      <w:r w:rsidR="00C138D1" w:rsidRPr="00A65B0B">
        <w:rPr>
          <w:rStyle w:val="FootnoteReference"/>
          <w:rFonts w:cstheme="minorHAnsi"/>
        </w:rPr>
        <w:footnoteReference w:id="18"/>
      </w:r>
      <w:r w:rsidR="00F4441B" w:rsidRPr="00A65B0B">
        <w:rPr>
          <w:rFonts w:cstheme="minorHAnsi"/>
        </w:rPr>
        <w:t xml:space="preserve"> </w:t>
      </w:r>
      <w:r w:rsidR="00C02851" w:rsidRPr="00A65B0B">
        <w:rPr>
          <w:rFonts w:cstheme="minorHAnsi"/>
        </w:rPr>
        <w:t xml:space="preserve">If necessary the competent authority should appoint </w:t>
      </w:r>
      <w:r w:rsidR="004F4C27" w:rsidRPr="00A65B0B">
        <w:rPr>
          <w:rFonts w:cstheme="minorHAnsi"/>
        </w:rPr>
        <w:t>an independent professional to assist the debtor with preparing a reorganization plan.</w:t>
      </w:r>
      <w:r w:rsidR="004F4C27" w:rsidRPr="00A65B0B">
        <w:rPr>
          <w:rStyle w:val="FootnoteReference"/>
          <w:rFonts w:cstheme="minorHAnsi"/>
        </w:rPr>
        <w:footnoteReference w:id="19"/>
      </w:r>
    </w:p>
    <w:p w14:paraId="67702C55" w14:textId="396F4DC9" w:rsidR="004E1B57" w:rsidRPr="00A65B0B" w:rsidRDefault="004E1B57" w:rsidP="00132582">
      <w:pPr>
        <w:pStyle w:val="ListParagraph"/>
        <w:numPr>
          <w:ilvl w:val="0"/>
          <w:numId w:val="4"/>
        </w:numPr>
        <w:spacing w:line="360" w:lineRule="auto"/>
        <w:rPr>
          <w:rFonts w:cstheme="minorHAnsi"/>
          <w:b/>
          <w:bCs/>
        </w:rPr>
      </w:pPr>
      <w:r w:rsidRPr="00A65B0B">
        <w:rPr>
          <w:rFonts w:cstheme="minorHAnsi"/>
          <w:b/>
          <w:bCs/>
        </w:rPr>
        <w:t>Creditor Engagement &amp; Voting</w:t>
      </w:r>
      <w:r w:rsidR="0040076F" w:rsidRPr="00A65B0B">
        <w:rPr>
          <w:rFonts w:cstheme="minorHAnsi"/>
        </w:rPr>
        <w:t>:</w:t>
      </w:r>
      <w:r w:rsidR="00F158B4" w:rsidRPr="00A65B0B">
        <w:rPr>
          <w:rFonts w:cstheme="minorHAnsi"/>
        </w:rPr>
        <w:t xml:space="preserve"> </w:t>
      </w:r>
      <w:r w:rsidR="00DD5486" w:rsidRPr="00A65B0B">
        <w:rPr>
          <w:rFonts w:cstheme="minorHAnsi"/>
        </w:rPr>
        <w:t xml:space="preserve">Where creditors need </w:t>
      </w:r>
      <w:r w:rsidR="00B0589C" w:rsidRPr="00A65B0B">
        <w:rPr>
          <w:rFonts w:cstheme="minorHAnsi"/>
        </w:rPr>
        <w:t>to normally approve certain matters which affect their rights</w:t>
      </w:r>
      <w:r w:rsidR="00902285" w:rsidRPr="00A65B0B">
        <w:rPr>
          <w:rFonts w:cstheme="minorHAnsi"/>
        </w:rPr>
        <w:t xml:space="preserve"> (i.e., voting on a reorganization plan)</w:t>
      </w:r>
      <w:r w:rsidR="00B0589C" w:rsidRPr="00A65B0B">
        <w:rPr>
          <w:rFonts w:cstheme="minorHAnsi"/>
        </w:rPr>
        <w:t xml:space="preserve">, there should be </w:t>
      </w:r>
      <w:r w:rsidR="001D1C39" w:rsidRPr="00A65B0B">
        <w:rPr>
          <w:rFonts w:cstheme="minorHAnsi"/>
        </w:rPr>
        <w:t xml:space="preserve">a </w:t>
      </w:r>
      <w:r w:rsidR="00B0589C" w:rsidRPr="00A65B0B">
        <w:rPr>
          <w:rFonts w:cstheme="minorHAnsi"/>
        </w:rPr>
        <w:t>deemed approval</w:t>
      </w:r>
      <w:r w:rsidR="001D1C39" w:rsidRPr="00A65B0B">
        <w:rPr>
          <w:rFonts w:cstheme="minorHAnsi"/>
        </w:rPr>
        <w:t xml:space="preserve"> mechanism</w:t>
      </w:r>
      <w:r w:rsidR="00B0589C" w:rsidRPr="00A65B0B">
        <w:rPr>
          <w:rFonts w:cstheme="minorHAnsi"/>
        </w:rPr>
        <w:t xml:space="preserve">. </w:t>
      </w:r>
      <w:r w:rsidR="00D941CA" w:rsidRPr="00A65B0B">
        <w:rPr>
          <w:rFonts w:cstheme="minorHAnsi"/>
        </w:rPr>
        <w:t xml:space="preserve">If the relevant creditors are notified and there is neither an objection </w:t>
      </w:r>
      <w:r w:rsidR="00BE439E" w:rsidRPr="00A65B0B">
        <w:rPr>
          <w:rFonts w:cstheme="minorHAnsi"/>
        </w:rPr>
        <w:t>nor</w:t>
      </w:r>
      <w:r w:rsidR="00D941CA" w:rsidRPr="00A65B0B">
        <w:rPr>
          <w:rFonts w:cstheme="minorHAnsi"/>
        </w:rPr>
        <w:t xml:space="preserve"> sufficient opposition </w:t>
      </w:r>
      <w:r w:rsidR="00964D74" w:rsidRPr="00A65B0B">
        <w:rPr>
          <w:rFonts w:cstheme="minorHAnsi"/>
        </w:rPr>
        <w:t xml:space="preserve">within time periods established, the matter is deemed to be approved. </w:t>
      </w:r>
      <w:r w:rsidR="00010C85" w:rsidRPr="00A65B0B">
        <w:rPr>
          <w:rFonts w:cstheme="minorHAnsi"/>
        </w:rPr>
        <w:t xml:space="preserve">In other words, silence is approval. </w:t>
      </w:r>
      <w:r w:rsidR="00114765" w:rsidRPr="00A65B0B">
        <w:rPr>
          <w:rFonts w:cstheme="minorHAnsi"/>
        </w:rPr>
        <w:t>Further, there should be</w:t>
      </w:r>
      <w:r w:rsidR="00CF3363" w:rsidRPr="00A65B0B">
        <w:rPr>
          <w:rFonts w:cstheme="minorHAnsi"/>
        </w:rPr>
        <w:t xml:space="preserve"> a means of voting electronically where appropriate.</w:t>
      </w:r>
      <w:r w:rsidR="00CF3363" w:rsidRPr="00A65B0B">
        <w:rPr>
          <w:rStyle w:val="FootnoteReference"/>
          <w:rFonts w:cstheme="minorHAnsi"/>
        </w:rPr>
        <w:footnoteReference w:id="20"/>
      </w:r>
      <w:r w:rsidR="005C0EA5">
        <w:rPr>
          <w:rFonts w:cstheme="minorHAnsi"/>
        </w:rPr>
        <w:t xml:space="preserve"> Submission of creditors’ claims should be simplified, either by debtors submitting a list or </w:t>
      </w:r>
      <w:r w:rsidR="0063637D">
        <w:rPr>
          <w:rFonts w:cstheme="minorHAnsi"/>
        </w:rPr>
        <w:t xml:space="preserve">by </w:t>
      </w:r>
      <w:r w:rsidR="00061C35">
        <w:rPr>
          <w:rFonts w:cstheme="minorHAnsi"/>
        </w:rPr>
        <w:t>creditors</w:t>
      </w:r>
      <w:r w:rsidR="0063637D">
        <w:rPr>
          <w:rFonts w:cstheme="minorHAnsi"/>
        </w:rPr>
        <w:t xml:space="preserve"> with </w:t>
      </w:r>
      <w:r w:rsidR="005C0EA5">
        <w:rPr>
          <w:rFonts w:cstheme="minorHAnsi"/>
        </w:rPr>
        <w:t xml:space="preserve">minimal </w:t>
      </w:r>
      <w:r w:rsidR="0063637D">
        <w:rPr>
          <w:rFonts w:cstheme="minorHAnsi"/>
        </w:rPr>
        <w:t>formalities.</w:t>
      </w:r>
      <w:r w:rsidR="0063637D">
        <w:rPr>
          <w:rStyle w:val="FootnoteReference"/>
          <w:rFonts w:cstheme="minorHAnsi"/>
        </w:rPr>
        <w:footnoteReference w:id="21"/>
      </w:r>
    </w:p>
    <w:p w14:paraId="26AA361F" w14:textId="3035B856" w:rsidR="00265156" w:rsidRPr="00A65B0B" w:rsidRDefault="00447CE2" w:rsidP="00132582">
      <w:pPr>
        <w:pStyle w:val="ListParagraph"/>
        <w:numPr>
          <w:ilvl w:val="0"/>
          <w:numId w:val="4"/>
        </w:numPr>
        <w:spacing w:line="360" w:lineRule="auto"/>
        <w:rPr>
          <w:rFonts w:cstheme="minorHAnsi"/>
        </w:rPr>
      </w:pPr>
      <w:r w:rsidRPr="00A65B0B">
        <w:rPr>
          <w:rFonts w:cstheme="minorHAnsi"/>
          <w:b/>
          <w:bCs/>
        </w:rPr>
        <w:t>Conversion</w:t>
      </w:r>
      <w:r w:rsidR="0040076F" w:rsidRPr="00A65B0B">
        <w:rPr>
          <w:rFonts w:cstheme="minorHAnsi"/>
        </w:rPr>
        <w:t>:</w:t>
      </w:r>
      <w:r w:rsidR="00902285" w:rsidRPr="00A65B0B">
        <w:rPr>
          <w:rFonts w:cstheme="minorHAnsi"/>
        </w:rPr>
        <w:t xml:space="preserve"> </w:t>
      </w:r>
      <w:r w:rsidR="003F06EA" w:rsidRPr="00A65B0B">
        <w:rPr>
          <w:rFonts w:cstheme="minorHAnsi"/>
        </w:rPr>
        <w:t xml:space="preserve">The law should allow conversion </w:t>
      </w:r>
      <w:r w:rsidR="000D23AB" w:rsidRPr="00A65B0B">
        <w:rPr>
          <w:rFonts w:cstheme="minorHAnsi"/>
        </w:rPr>
        <w:t>of simplified proceedings into ordinary proceedings and simplified reorganization to liquidation</w:t>
      </w:r>
      <w:r w:rsidR="002C58D6">
        <w:rPr>
          <w:rFonts w:cstheme="minorHAnsi"/>
        </w:rPr>
        <w:t xml:space="preserve"> and vice-versa</w:t>
      </w:r>
      <w:r w:rsidR="000D23AB" w:rsidRPr="00A65B0B">
        <w:rPr>
          <w:rFonts w:cstheme="minorHAnsi"/>
        </w:rPr>
        <w:t>.</w:t>
      </w:r>
      <w:r w:rsidR="000D23AB" w:rsidRPr="00A65B0B">
        <w:rPr>
          <w:rStyle w:val="FootnoteReference"/>
          <w:rFonts w:cstheme="minorHAnsi"/>
        </w:rPr>
        <w:footnoteReference w:id="22"/>
      </w:r>
    </w:p>
    <w:p w14:paraId="6945707F" w14:textId="5B0B21F7" w:rsidR="003262F3" w:rsidRPr="00A65B0B" w:rsidRDefault="003262F3" w:rsidP="00132582">
      <w:pPr>
        <w:pStyle w:val="ListParagraph"/>
        <w:numPr>
          <w:ilvl w:val="0"/>
          <w:numId w:val="4"/>
        </w:numPr>
        <w:spacing w:line="360" w:lineRule="auto"/>
        <w:rPr>
          <w:rFonts w:cstheme="minorHAnsi"/>
        </w:rPr>
      </w:pPr>
      <w:r w:rsidRPr="00A65B0B">
        <w:rPr>
          <w:rFonts w:cstheme="minorHAnsi"/>
          <w:b/>
          <w:bCs/>
        </w:rPr>
        <w:t>Costs</w:t>
      </w:r>
      <w:r w:rsidRPr="00A65B0B">
        <w:rPr>
          <w:rFonts w:cstheme="minorHAnsi"/>
        </w:rPr>
        <w:t xml:space="preserve">: There should be a mechanism to cover the costs of </w:t>
      </w:r>
      <w:r w:rsidR="00555136" w:rsidRPr="00A65B0B">
        <w:rPr>
          <w:rFonts w:cstheme="minorHAnsi"/>
        </w:rPr>
        <w:t>running the simplified insolvency procedure where the debtor does not have sufficient funds to cover those costs.</w:t>
      </w:r>
      <w:r w:rsidR="00555136" w:rsidRPr="00A65B0B">
        <w:rPr>
          <w:rStyle w:val="FootnoteReference"/>
          <w:rFonts w:cstheme="minorHAnsi"/>
        </w:rPr>
        <w:footnoteReference w:id="23"/>
      </w:r>
      <w:r w:rsidR="00592F17">
        <w:rPr>
          <w:rFonts w:cstheme="minorHAnsi"/>
        </w:rPr>
        <w:t xml:space="preserve"> Further, the simplifications in the procedure should reduce costs overall for MSEs.</w:t>
      </w:r>
    </w:p>
    <w:p w14:paraId="7BCEEB99" w14:textId="254834F4" w:rsidR="00717941" w:rsidRPr="00A65B0B" w:rsidRDefault="00DE66FC" w:rsidP="00FB7483">
      <w:pPr>
        <w:pStyle w:val="Heading1"/>
        <w:numPr>
          <w:ilvl w:val="0"/>
          <w:numId w:val="8"/>
        </w:numPr>
        <w:rPr>
          <w:b/>
          <w:bCs/>
        </w:rPr>
      </w:pPr>
      <w:bookmarkStart w:id="2" w:name="_Toc159866295"/>
      <w:r>
        <w:rPr>
          <w:b/>
          <w:bCs/>
        </w:rPr>
        <w:t xml:space="preserve">Key Features </w:t>
      </w:r>
      <w:r w:rsidR="00063897">
        <w:rPr>
          <w:b/>
          <w:bCs/>
        </w:rPr>
        <w:t xml:space="preserve">of </w:t>
      </w:r>
      <w:r w:rsidR="00AE0C8E" w:rsidRPr="00A65B0B">
        <w:rPr>
          <w:b/>
          <w:bCs/>
        </w:rPr>
        <w:t>Simplified Procedures</w:t>
      </w:r>
      <w:r w:rsidR="00130425">
        <w:rPr>
          <w:b/>
          <w:bCs/>
        </w:rPr>
        <w:t xml:space="preserve"> in the Jurisdictions</w:t>
      </w:r>
      <w:bookmarkEnd w:id="2"/>
    </w:p>
    <w:p w14:paraId="472ECDEF" w14:textId="195880E5" w:rsidR="00471B19" w:rsidRDefault="007D01D9" w:rsidP="00132582">
      <w:pPr>
        <w:spacing w:line="360" w:lineRule="auto"/>
      </w:pPr>
      <w:r>
        <w:br/>
      </w:r>
      <w:r w:rsidR="00717941" w:rsidRPr="00A65B0B">
        <w:t xml:space="preserve">This section examines </w:t>
      </w:r>
      <w:r w:rsidR="008F53F0" w:rsidRPr="00A65B0B">
        <w:t xml:space="preserve">the </w:t>
      </w:r>
      <w:r w:rsidR="00C0107F" w:rsidRPr="00A65B0B">
        <w:t>simplified reorganization procedure</w:t>
      </w:r>
      <w:r w:rsidR="00AA7E03" w:rsidRPr="00A65B0B">
        <w:t xml:space="preserve">s </w:t>
      </w:r>
      <w:r w:rsidR="00834FDC">
        <w:t xml:space="preserve">enacted </w:t>
      </w:r>
      <w:r w:rsidR="001A4C26">
        <w:t>in OHADA, Singapore</w:t>
      </w:r>
      <w:r w:rsidR="00BA737B">
        <w:t xml:space="preserve"> and the USA</w:t>
      </w:r>
      <w:r w:rsidR="001A4C26">
        <w:t xml:space="preserve"> </w:t>
      </w:r>
      <w:r w:rsidR="00AA7E03" w:rsidRPr="00A65B0B">
        <w:t>for MSE</w:t>
      </w:r>
      <w:r w:rsidR="001A4C26">
        <w:t>s</w:t>
      </w:r>
      <w:r w:rsidR="00EF476C" w:rsidRPr="00A65B0B">
        <w:t>.</w:t>
      </w:r>
      <w:r w:rsidR="000165AB" w:rsidRPr="00A65B0B">
        <w:t xml:space="preserve"> </w:t>
      </w:r>
      <w:r w:rsidR="000879A9">
        <w:t>Each section describes the legislative framework, institutional support</w:t>
      </w:r>
      <w:r w:rsidR="004E0F02">
        <w:t>,</w:t>
      </w:r>
      <w:r w:rsidR="000879A9">
        <w:t xml:space="preserve"> and the key </w:t>
      </w:r>
      <w:r w:rsidR="000879A9">
        <w:lastRenderedPageBreak/>
        <w:t xml:space="preserve">substantive </w:t>
      </w:r>
      <w:r w:rsidR="00B13BFB">
        <w:t>components</w:t>
      </w:r>
      <w:r w:rsidR="000879A9">
        <w:t xml:space="preserve"> in the procedure</w:t>
      </w:r>
      <w:r w:rsidR="004E0F02">
        <w:t xml:space="preserve"> for MSEs</w:t>
      </w:r>
      <w:r w:rsidR="000879A9">
        <w:t>.</w:t>
      </w:r>
      <w:r w:rsidR="001148DB">
        <w:t xml:space="preserve"> The three jurisdictions </w:t>
      </w:r>
      <w:r w:rsidR="00BA0D3B">
        <w:t xml:space="preserve">were chosen as they </w:t>
      </w:r>
      <w:r w:rsidR="001148DB">
        <w:t xml:space="preserve">have </w:t>
      </w:r>
      <w:r w:rsidR="001F60CE">
        <w:t>quite diverse cultural</w:t>
      </w:r>
      <w:r w:rsidR="004A7775">
        <w:t>, legal</w:t>
      </w:r>
      <w:r w:rsidR="00F87E94">
        <w:t>,</w:t>
      </w:r>
      <w:r w:rsidR="004A7775">
        <w:t xml:space="preserve"> and economic contexts</w:t>
      </w:r>
      <w:r w:rsidR="00B67038">
        <w:t xml:space="preserve"> – this range</w:t>
      </w:r>
      <w:r w:rsidR="007F2079">
        <w:t xml:space="preserve"> offers </w:t>
      </w:r>
      <w:r w:rsidR="00587375">
        <w:t>a wide scope for potential</w:t>
      </w:r>
      <w:r w:rsidR="00B67038">
        <w:t xml:space="preserve"> </w:t>
      </w:r>
      <w:r w:rsidR="007F2079">
        <w:t>learnings</w:t>
      </w:r>
      <w:r w:rsidR="005C1F18">
        <w:t>.</w:t>
      </w:r>
    </w:p>
    <w:p w14:paraId="15C68B56" w14:textId="77777777" w:rsidR="000B03C8" w:rsidRPr="00A65B0B" w:rsidRDefault="000B03C8" w:rsidP="000B03C8">
      <w:pPr>
        <w:pStyle w:val="Heading2"/>
        <w:numPr>
          <w:ilvl w:val="0"/>
          <w:numId w:val="9"/>
        </w:numPr>
      </w:pPr>
      <w:bookmarkStart w:id="3" w:name="_Toc159866296"/>
      <w:r w:rsidRPr="00A65B0B">
        <w:t>OHADA</w:t>
      </w:r>
      <w:bookmarkEnd w:id="3"/>
    </w:p>
    <w:p w14:paraId="7CDC0E12" w14:textId="4DC60289" w:rsidR="000B03C8" w:rsidRPr="00A65B0B" w:rsidRDefault="000B03C8" w:rsidP="00132582">
      <w:pPr>
        <w:spacing w:line="360" w:lineRule="auto"/>
        <w:rPr>
          <w:rFonts w:cstheme="minorHAnsi"/>
        </w:rPr>
      </w:pPr>
      <w:r>
        <w:rPr>
          <w:rFonts w:cstheme="minorHAnsi"/>
        </w:rPr>
        <w:br/>
      </w:r>
      <w:r w:rsidRPr="00A65B0B">
        <w:rPr>
          <w:rFonts w:cstheme="minorHAnsi"/>
        </w:rPr>
        <w:t>Member countries of OHADA adopted a significantly revised Uniform Act on Insolvency in 2015 (OHADA Act), which include simplified procedures for small enterprises.</w:t>
      </w:r>
      <w:r w:rsidRPr="00A65B0B">
        <w:rPr>
          <w:rStyle w:val="FootnoteReference"/>
          <w:rFonts w:cstheme="minorHAnsi"/>
        </w:rPr>
        <w:footnoteReference w:id="24"/>
      </w:r>
      <w:r w:rsidRPr="00A65B0B">
        <w:rPr>
          <w:rFonts w:cstheme="minorHAnsi"/>
        </w:rPr>
        <w:t xml:space="preserve"> </w:t>
      </w:r>
      <w:r>
        <w:rPr>
          <w:rFonts w:cstheme="minorHAnsi"/>
        </w:rPr>
        <w:t>The simplified procedures are contained in their own sections, but they are very brief and must be read alongside the entire OHADA Act of 140 pages.</w:t>
      </w:r>
      <w:r>
        <w:rPr>
          <w:rStyle w:val="FootnoteReference"/>
          <w:rFonts w:cstheme="minorHAnsi"/>
        </w:rPr>
        <w:footnoteReference w:id="25"/>
      </w:r>
      <w:r>
        <w:rPr>
          <w:rFonts w:cstheme="minorHAnsi"/>
        </w:rPr>
        <w:t xml:space="preserve"> </w:t>
      </w:r>
      <w:r w:rsidRPr="00A65B0B">
        <w:rPr>
          <w:rFonts w:cstheme="minorHAnsi"/>
        </w:rPr>
        <w:t xml:space="preserve">Under the OHADA Act, </w:t>
      </w:r>
      <w:r w:rsidR="00A335A5">
        <w:rPr>
          <w:rFonts w:cstheme="minorHAnsi"/>
        </w:rPr>
        <w:t xml:space="preserve">a </w:t>
      </w:r>
      <w:r w:rsidRPr="00A65B0B">
        <w:rPr>
          <w:rFonts w:cstheme="minorHAnsi"/>
        </w:rPr>
        <w:t>small enterprise is defined as “any sole proprietorship, company or other legal entity governed by private law whose number of employees is less than or equal to twenty, turnover does not exceed fifty million CFA francs, excluding taxes for twelve months prior to the action.”</w:t>
      </w:r>
      <w:r w:rsidRPr="00A65B0B">
        <w:rPr>
          <w:rStyle w:val="FootnoteReference"/>
          <w:rFonts w:cstheme="minorHAnsi"/>
        </w:rPr>
        <w:footnoteReference w:id="26"/>
      </w:r>
      <w:r w:rsidRPr="00A65B0B">
        <w:rPr>
          <w:rFonts w:cstheme="minorHAnsi"/>
        </w:rPr>
        <w:t xml:space="preserve"> </w:t>
      </w:r>
    </w:p>
    <w:p w14:paraId="2114D2B6" w14:textId="5A2F345F" w:rsidR="000B03C8" w:rsidRPr="00A65B0B" w:rsidRDefault="000B03C8" w:rsidP="00132582">
      <w:pPr>
        <w:spacing w:line="360" w:lineRule="auto"/>
        <w:rPr>
          <w:rFonts w:cstheme="minorHAnsi"/>
        </w:rPr>
      </w:pPr>
      <w:r w:rsidRPr="00A65B0B">
        <w:rPr>
          <w:rFonts w:cstheme="minorHAnsi"/>
        </w:rPr>
        <w:t xml:space="preserve">There are no specific institutional changes for the simplified procedure. A regular insolvency trustee is appointed </w:t>
      </w:r>
      <w:r w:rsidR="005A3AEF">
        <w:rPr>
          <w:rFonts w:cstheme="minorHAnsi"/>
        </w:rPr>
        <w:t xml:space="preserve">(called </w:t>
      </w:r>
      <w:r w:rsidR="005A3AEF">
        <w:rPr>
          <w:rFonts w:cstheme="minorHAnsi"/>
          <w:i/>
          <w:iCs/>
        </w:rPr>
        <w:t xml:space="preserve">mandataire judiciaire) </w:t>
      </w:r>
      <w:r w:rsidRPr="00A65B0B">
        <w:rPr>
          <w:rFonts w:cstheme="minorHAnsi"/>
        </w:rPr>
        <w:t>to assist the debtor. The trustee is involved extensively with the procedure – for example, assisting the debtor with compiling the require</w:t>
      </w:r>
      <w:r w:rsidR="007C5BA0">
        <w:rPr>
          <w:rFonts w:cstheme="minorHAnsi"/>
        </w:rPr>
        <w:t>d</w:t>
      </w:r>
      <w:r w:rsidRPr="00A65B0B">
        <w:rPr>
          <w:rFonts w:cstheme="minorHAnsi"/>
        </w:rPr>
        <w:t xml:space="preserve"> information to file the commencement petition</w:t>
      </w:r>
      <w:r w:rsidR="00FD667A">
        <w:rPr>
          <w:rFonts w:cstheme="minorHAnsi"/>
        </w:rPr>
        <w:t xml:space="preserve"> as well as</w:t>
      </w:r>
      <w:r w:rsidRPr="00A65B0B">
        <w:rPr>
          <w:rFonts w:cstheme="minorHAnsi"/>
        </w:rPr>
        <w:t xml:space="preserve"> the reorganization plan, communicating with creditors and monitoring the implementation of the plan.</w:t>
      </w:r>
      <w:r w:rsidRPr="00A65B0B">
        <w:rPr>
          <w:rStyle w:val="FootnoteReference"/>
          <w:rFonts w:cstheme="minorHAnsi"/>
        </w:rPr>
        <w:footnoteReference w:id="27"/>
      </w:r>
      <w:r w:rsidRPr="00A65B0B">
        <w:rPr>
          <w:rFonts w:cstheme="minorHAnsi"/>
        </w:rPr>
        <w:t xml:space="preserve"> There is </w:t>
      </w:r>
      <w:r>
        <w:rPr>
          <w:rFonts w:cstheme="minorHAnsi"/>
        </w:rPr>
        <w:t xml:space="preserve">also </w:t>
      </w:r>
      <w:r w:rsidRPr="00A65B0B">
        <w:rPr>
          <w:rFonts w:cstheme="minorHAnsi"/>
        </w:rPr>
        <w:t xml:space="preserve">no reduction in the trustee’s compensation from a regular procedure. Despite the </w:t>
      </w:r>
      <w:r w:rsidR="00723204">
        <w:rPr>
          <w:rFonts w:cstheme="minorHAnsi"/>
        </w:rPr>
        <w:t>extensive responsibilities outlined</w:t>
      </w:r>
      <w:r>
        <w:rPr>
          <w:rFonts w:cstheme="minorHAnsi"/>
        </w:rPr>
        <w:t xml:space="preserve"> </w:t>
      </w:r>
      <w:r w:rsidRPr="00A65B0B">
        <w:rPr>
          <w:rFonts w:cstheme="minorHAnsi"/>
        </w:rPr>
        <w:t xml:space="preserve">in the OHADA Act, </w:t>
      </w:r>
      <w:r>
        <w:rPr>
          <w:rFonts w:cstheme="minorHAnsi"/>
        </w:rPr>
        <w:t xml:space="preserve">the profession of </w:t>
      </w:r>
      <w:r w:rsidR="00723204">
        <w:rPr>
          <w:rFonts w:cstheme="minorHAnsi"/>
        </w:rPr>
        <w:t xml:space="preserve">insolvency </w:t>
      </w:r>
      <w:r>
        <w:rPr>
          <w:rFonts w:cstheme="minorHAnsi"/>
        </w:rPr>
        <w:t xml:space="preserve">trustee has only been created in a few </w:t>
      </w:r>
      <w:r w:rsidRPr="00A65B0B">
        <w:rPr>
          <w:rFonts w:cstheme="minorHAnsi"/>
        </w:rPr>
        <w:t xml:space="preserve">OHADA </w:t>
      </w:r>
      <w:r>
        <w:rPr>
          <w:rFonts w:cstheme="minorHAnsi"/>
        </w:rPr>
        <w:t>jurisdictions</w:t>
      </w:r>
      <w:r w:rsidRPr="00A65B0B">
        <w:rPr>
          <w:rFonts w:cstheme="minorHAnsi"/>
        </w:rPr>
        <w:t>.</w:t>
      </w:r>
      <w:r w:rsidRPr="00A65B0B">
        <w:rPr>
          <w:rStyle w:val="FootnoteReference"/>
          <w:rFonts w:cstheme="minorHAnsi"/>
        </w:rPr>
        <w:footnoteReference w:id="28"/>
      </w:r>
      <w:r>
        <w:rPr>
          <w:rFonts w:cstheme="minorHAnsi"/>
        </w:rPr>
        <w:t xml:space="preserve"> Other than the text of the law, there </w:t>
      </w:r>
      <w:r w:rsidR="00A335A5">
        <w:rPr>
          <w:rFonts w:cstheme="minorHAnsi"/>
        </w:rPr>
        <w:t xml:space="preserve">are </w:t>
      </w:r>
      <w:r>
        <w:rPr>
          <w:rFonts w:cstheme="minorHAnsi"/>
        </w:rPr>
        <w:t>no supporting guidance or forms available.</w:t>
      </w:r>
    </w:p>
    <w:p w14:paraId="36E4417F" w14:textId="131904C3" w:rsidR="000B03C8" w:rsidRDefault="000B03C8" w:rsidP="00132582">
      <w:pPr>
        <w:spacing w:line="360" w:lineRule="auto"/>
        <w:rPr>
          <w:rFonts w:cstheme="minorHAnsi"/>
        </w:rPr>
      </w:pPr>
      <w:r w:rsidRPr="00A65B0B">
        <w:rPr>
          <w:rFonts w:cstheme="minorHAnsi"/>
        </w:rPr>
        <w:t>The following are the key substantive elements of the procedure: (i) to commence the proceeding, the debtor needs to show it is insolvent by making a statement with 10 pieces of supporting documentation showing its financial position;</w:t>
      </w:r>
      <w:r w:rsidRPr="00A65B0B">
        <w:rPr>
          <w:rStyle w:val="FootnoteReference"/>
          <w:rFonts w:cstheme="minorHAnsi"/>
        </w:rPr>
        <w:footnoteReference w:id="29"/>
      </w:r>
      <w:r w:rsidRPr="00A65B0B">
        <w:rPr>
          <w:rFonts w:cstheme="minorHAnsi"/>
        </w:rPr>
        <w:t xml:space="preserve"> (ii) the debtor remains in possession, but reports to a trustee;</w:t>
      </w:r>
      <w:r w:rsidRPr="00A65B0B">
        <w:rPr>
          <w:rStyle w:val="FootnoteReference"/>
          <w:rFonts w:cstheme="minorHAnsi"/>
        </w:rPr>
        <w:footnoteReference w:id="30"/>
      </w:r>
      <w:r w:rsidRPr="00A65B0B">
        <w:rPr>
          <w:rFonts w:cstheme="minorHAnsi"/>
        </w:rPr>
        <w:t xml:space="preserve"> (iii) within 45 days, the debtor, with the assistance of a trustee, will file a reorganization plan (called a judicial </w:t>
      </w:r>
      <w:r w:rsidRPr="00A65B0B">
        <w:rPr>
          <w:rFonts w:cstheme="minorHAnsi"/>
        </w:rPr>
        <w:lastRenderedPageBreak/>
        <w:t>composition);</w:t>
      </w:r>
      <w:r w:rsidRPr="00A65B0B">
        <w:rPr>
          <w:rStyle w:val="FootnoteReference"/>
          <w:rFonts w:cstheme="minorHAnsi"/>
        </w:rPr>
        <w:footnoteReference w:id="31"/>
      </w:r>
      <w:r w:rsidRPr="00A65B0B">
        <w:rPr>
          <w:rFonts w:cstheme="minorHAnsi"/>
        </w:rPr>
        <w:t xml:space="preserve"> (iv) at least 15 days before the court decides on the confirmation of the plan, the trustee sends the proposed plan to creditors by hand delivery or registered mail; (v) if the plan proposes a debt reduction or if payment deadlines are extended beyond 2 years, each concerned creditor is required to agree;</w:t>
      </w:r>
      <w:r w:rsidRPr="00A65B0B">
        <w:rPr>
          <w:rStyle w:val="FootnoteReference"/>
          <w:rFonts w:cstheme="minorHAnsi"/>
        </w:rPr>
        <w:footnoteReference w:id="32"/>
      </w:r>
      <w:r w:rsidRPr="00A65B0B">
        <w:rPr>
          <w:rFonts w:cstheme="minorHAnsi"/>
        </w:rPr>
        <w:t xml:space="preserve"> (vi) the final plan will be proposed to the court taking into account the creditors’ replies and the court can rule without a vote subject to certain conditions.</w:t>
      </w:r>
      <w:r w:rsidRPr="00A65B0B">
        <w:rPr>
          <w:rStyle w:val="FootnoteReference"/>
          <w:rFonts w:cstheme="minorHAnsi"/>
        </w:rPr>
        <w:footnoteReference w:id="33"/>
      </w:r>
    </w:p>
    <w:p w14:paraId="115BEFEC" w14:textId="7B03C01D" w:rsidR="000B03C8" w:rsidRPr="000B03C8" w:rsidRDefault="000B03C8" w:rsidP="00132582">
      <w:pPr>
        <w:spacing w:line="360" w:lineRule="auto"/>
        <w:rPr>
          <w:rFonts w:cstheme="minorHAnsi"/>
        </w:rPr>
      </w:pPr>
      <w:r>
        <w:rPr>
          <w:rFonts w:cstheme="minorHAnsi"/>
        </w:rPr>
        <w:t xml:space="preserve">It is difficult to assess how successful the simplified procedures have been in OHADA. Although from the </w:t>
      </w:r>
      <w:r w:rsidR="00BC4379">
        <w:rPr>
          <w:rFonts w:cstheme="minorHAnsi"/>
        </w:rPr>
        <w:t xml:space="preserve">limited </w:t>
      </w:r>
      <w:r>
        <w:rPr>
          <w:rFonts w:cstheme="minorHAnsi"/>
        </w:rPr>
        <w:t>statistics available, very few insolvency procedures have been brought to the commercial courts. No overall statistics are available through the highest appeals court of OHADA (</w:t>
      </w:r>
      <w:r w:rsidRPr="00EA311B">
        <w:rPr>
          <w:rFonts w:cstheme="minorHAnsi"/>
        </w:rPr>
        <w:t>Common Court of Justice and Arbitration</w:t>
      </w:r>
      <w:r>
        <w:rPr>
          <w:rFonts w:cstheme="minorHAnsi"/>
        </w:rPr>
        <w:t>)</w:t>
      </w:r>
      <w:r>
        <w:rPr>
          <w:rStyle w:val="FootnoteReference"/>
          <w:rFonts w:cstheme="minorHAnsi"/>
        </w:rPr>
        <w:footnoteReference w:id="34"/>
      </w:r>
      <w:r>
        <w:rPr>
          <w:rFonts w:cstheme="minorHAnsi"/>
        </w:rPr>
        <w:t xml:space="preserve"> on the use of the insolvency procedures. Some statistics are available at the country level, which are quite low. For example, the Commercial Court in Dakar, Senegal shows that in 2019 that there were only 3 reorganization procedures.</w:t>
      </w:r>
      <w:r>
        <w:rPr>
          <w:rStyle w:val="FootnoteReference"/>
          <w:rFonts w:cstheme="minorHAnsi"/>
        </w:rPr>
        <w:footnoteReference w:id="35"/>
      </w:r>
      <w:r>
        <w:rPr>
          <w:rFonts w:cstheme="minorHAnsi"/>
        </w:rPr>
        <w:t xml:space="preserve"> The statistics do not break them down into simplified procedures. The other large commercial court in OHADA located in Abidjan has no statistics available on its website broken down by insolvency proceeding.</w:t>
      </w:r>
      <w:r>
        <w:rPr>
          <w:rStyle w:val="FootnoteReference"/>
          <w:rFonts w:cstheme="minorHAnsi"/>
        </w:rPr>
        <w:footnoteReference w:id="36"/>
      </w:r>
    </w:p>
    <w:p w14:paraId="1524F5A6" w14:textId="77777777" w:rsidR="0065122E" w:rsidRPr="00A65B0B" w:rsidRDefault="0065122E" w:rsidP="00FB7483">
      <w:pPr>
        <w:pStyle w:val="Heading2"/>
        <w:numPr>
          <w:ilvl w:val="0"/>
          <w:numId w:val="9"/>
        </w:numPr>
      </w:pPr>
      <w:bookmarkStart w:id="4" w:name="_Toc159866297"/>
      <w:r w:rsidRPr="00A65B0B">
        <w:t>Singapore</w:t>
      </w:r>
      <w:bookmarkEnd w:id="4"/>
    </w:p>
    <w:p w14:paraId="559768EF" w14:textId="672D9EBA" w:rsidR="00B73A38" w:rsidRDefault="00772180" w:rsidP="00132582">
      <w:pPr>
        <w:spacing w:line="360" w:lineRule="auto"/>
        <w:rPr>
          <w:rFonts w:cstheme="minorHAnsi"/>
        </w:rPr>
      </w:pPr>
      <w:r>
        <w:rPr>
          <w:rFonts w:cstheme="minorHAnsi"/>
        </w:rPr>
        <w:br/>
      </w:r>
      <w:r w:rsidR="000F6620">
        <w:rPr>
          <w:rFonts w:cstheme="minorHAnsi"/>
        </w:rPr>
        <w:t xml:space="preserve">In 2020, </w:t>
      </w:r>
      <w:r w:rsidR="00B73A38">
        <w:rPr>
          <w:rFonts w:cstheme="minorHAnsi"/>
        </w:rPr>
        <w:t>Singapore amended the Insolvency, Restructuring and Dissolution Act 2018</w:t>
      </w:r>
      <w:r w:rsidR="000D73EB">
        <w:rPr>
          <w:rFonts w:cstheme="minorHAnsi"/>
        </w:rPr>
        <w:t xml:space="preserve"> (Singapore Act)</w:t>
      </w:r>
      <w:r w:rsidR="00B73A38">
        <w:rPr>
          <w:rFonts w:cstheme="minorHAnsi"/>
        </w:rPr>
        <w:t xml:space="preserve"> </w:t>
      </w:r>
      <w:r w:rsidR="000F6620">
        <w:rPr>
          <w:rFonts w:cstheme="minorHAnsi"/>
        </w:rPr>
        <w:t xml:space="preserve">to temporarily create simplified procedures </w:t>
      </w:r>
      <w:r w:rsidR="001258B3">
        <w:rPr>
          <w:rFonts w:cstheme="minorHAnsi"/>
        </w:rPr>
        <w:t>for</w:t>
      </w:r>
      <w:r w:rsidR="00F1071A">
        <w:rPr>
          <w:rFonts w:cstheme="minorHAnsi"/>
        </w:rPr>
        <w:t xml:space="preserve"> small </w:t>
      </w:r>
      <w:r w:rsidR="0029346B">
        <w:rPr>
          <w:rFonts w:cstheme="minorHAnsi"/>
        </w:rPr>
        <w:t>debtor</w:t>
      </w:r>
      <w:r w:rsidR="001258B3">
        <w:rPr>
          <w:rFonts w:cstheme="minorHAnsi"/>
        </w:rPr>
        <w:t xml:space="preserve"> </w:t>
      </w:r>
      <w:r w:rsidR="00676D05">
        <w:rPr>
          <w:rFonts w:cstheme="minorHAnsi"/>
        </w:rPr>
        <w:t>debt restructuring</w:t>
      </w:r>
      <w:r w:rsidR="002E5F5B">
        <w:rPr>
          <w:rFonts w:cstheme="minorHAnsi"/>
        </w:rPr>
        <w:t xml:space="preserve"> (S</w:t>
      </w:r>
      <w:r w:rsidR="00561B9B">
        <w:rPr>
          <w:rFonts w:cstheme="minorHAnsi"/>
        </w:rPr>
        <w:t>DRP)</w:t>
      </w:r>
      <w:r w:rsidR="00676D05">
        <w:rPr>
          <w:rFonts w:cstheme="minorHAnsi"/>
        </w:rPr>
        <w:t xml:space="preserve"> </w:t>
      </w:r>
      <w:r w:rsidR="00017A20">
        <w:rPr>
          <w:rFonts w:cstheme="minorHAnsi"/>
        </w:rPr>
        <w:t xml:space="preserve">and </w:t>
      </w:r>
      <w:r w:rsidR="000D73EB">
        <w:rPr>
          <w:rFonts w:cstheme="minorHAnsi"/>
        </w:rPr>
        <w:t xml:space="preserve">winding up. </w:t>
      </w:r>
      <w:r w:rsidR="00FE0D1A">
        <w:rPr>
          <w:rFonts w:cstheme="minorHAnsi"/>
        </w:rPr>
        <w:t xml:space="preserve">The Singapore Act came into force in </w:t>
      </w:r>
      <w:r w:rsidR="00A3171D">
        <w:rPr>
          <w:rFonts w:cstheme="minorHAnsi"/>
        </w:rPr>
        <w:t xml:space="preserve">January </w:t>
      </w:r>
      <w:r w:rsidR="00FE0D1A">
        <w:rPr>
          <w:rFonts w:cstheme="minorHAnsi"/>
        </w:rPr>
        <w:t>2021.</w:t>
      </w:r>
      <w:r w:rsidR="00A3171D">
        <w:rPr>
          <w:rStyle w:val="FootnoteReference"/>
          <w:rFonts w:cstheme="minorHAnsi"/>
        </w:rPr>
        <w:footnoteReference w:id="37"/>
      </w:r>
      <w:r w:rsidR="00F57FE7">
        <w:rPr>
          <w:rFonts w:cstheme="minorHAnsi"/>
        </w:rPr>
        <w:t xml:space="preserve"> Although the simplified procedures were meant to be temporary, </w:t>
      </w:r>
      <w:r w:rsidR="0052134E">
        <w:rPr>
          <w:rFonts w:cstheme="minorHAnsi"/>
        </w:rPr>
        <w:t>the</w:t>
      </w:r>
      <w:r w:rsidR="001A746E">
        <w:rPr>
          <w:rFonts w:cstheme="minorHAnsi"/>
        </w:rPr>
        <w:t xml:space="preserve">y have </w:t>
      </w:r>
      <w:r w:rsidR="0052134E">
        <w:rPr>
          <w:rFonts w:cstheme="minorHAnsi"/>
        </w:rPr>
        <w:t>been extended to 2026 and it is reported that Singapore may make the procedure</w:t>
      </w:r>
      <w:r w:rsidR="00CF670D">
        <w:rPr>
          <w:rFonts w:cstheme="minorHAnsi"/>
        </w:rPr>
        <w:t>s</w:t>
      </w:r>
      <w:r w:rsidR="0052134E">
        <w:rPr>
          <w:rFonts w:cstheme="minorHAnsi"/>
        </w:rPr>
        <w:t xml:space="preserve"> permanent.</w:t>
      </w:r>
      <w:r w:rsidR="0052134E">
        <w:rPr>
          <w:rStyle w:val="FootnoteReference"/>
          <w:rFonts w:cstheme="minorHAnsi"/>
        </w:rPr>
        <w:footnoteReference w:id="38"/>
      </w:r>
      <w:r w:rsidR="00260CDD">
        <w:rPr>
          <w:rFonts w:cstheme="minorHAnsi"/>
        </w:rPr>
        <w:t xml:space="preserve"> </w:t>
      </w:r>
      <w:r w:rsidR="00633252">
        <w:rPr>
          <w:rFonts w:cstheme="minorHAnsi"/>
        </w:rPr>
        <w:t xml:space="preserve">The procedures are relatively self-contained in the 68-page amendment. </w:t>
      </w:r>
      <w:r w:rsidR="00032550">
        <w:rPr>
          <w:rFonts w:cstheme="minorHAnsi"/>
        </w:rPr>
        <w:t xml:space="preserve">Enterprises are eligible to use the procedures </w:t>
      </w:r>
      <w:r w:rsidR="00C7786F">
        <w:rPr>
          <w:rFonts w:cstheme="minorHAnsi"/>
        </w:rPr>
        <w:t>subject to many conditions, including</w:t>
      </w:r>
      <w:r w:rsidR="00AC3059">
        <w:rPr>
          <w:rFonts w:cstheme="minorHAnsi"/>
        </w:rPr>
        <w:t xml:space="preserve"> if</w:t>
      </w:r>
      <w:r w:rsidR="00C7786F">
        <w:rPr>
          <w:rFonts w:cstheme="minorHAnsi"/>
        </w:rPr>
        <w:t xml:space="preserve">: (i) </w:t>
      </w:r>
      <w:r w:rsidR="00032550">
        <w:rPr>
          <w:rFonts w:cstheme="minorHAnsi"/>
        </w:rPr>
        <w:t xml:space="preserve">annual turnover </w:t>
      </w:r>
      <w:r w:rsidR="00BE32D8">
        <w:rPr>
          <w:rFonts w:cstheme="minorHAnsi"/>
        </w:rPr>
        <w:t>does not exceed $10 million</w:t>
      </w:r>
      <w:r w:rsidR="004850B3">
        <w:rPr>
          <w:rFonts w:cstheme="minorHAnsi"/>
        </w:rPr>
        <w:t xml:space="preserve"> SGD</w:t>
      </w:r>
      <w:r w:rsidR="00AC3059">
        <w:rPr>
          <w:rFonts w:cstheme="minorHAnsi"/>
        </w:rPr>
        <w:t xml:space="preserve">; (ii) </w:t>
      </w:r>
      <w:r w:rsidR="00BE32D8">
        <w:rPr>
          <w:rFonts w:cstheme="minorHAnsi"/>
        </w:rPr>
        <w:t>have no more than 30 employees</w:t>
      </w:r>
      <w:r w:rsidR="0005545C">
        <w:rPr>
          <w:rFonts w:cstheme="minorHAnsi"/>
        </w:rPr>
        <w:t xml:space="preserve"> and 50 creditors</w:t>
      </w:r>
      <w:r w:rsidR="00F74D15">
        <w:rPr>
          <w:rFonts w:cstheme="minorHAnsi"/>
        </w:rPr>
        <w:t>; (iii)</w:t>
      </w:r>
      <w:r w:rsidR="0005545C">
        <w:rPr>
          <w:rFonts w:cstheme="minorHAnsi"/>
        </w:rPr>
        <w:t xml:space="preserve"> the liabilities do not exceed $2 million </w:t>
      </w:r>
      <w:r w:rsidR="004850B3">
        <w:rPr>
          <w:rFonts w:cstheme="minorHAnsi"/>
        </w:rPr>
        <w:t>SGD</w:t>
      </w:r>
      <w:r w:rsidR="001B4D96">
        <w:rPr>
          <w:rFonts w:cstheme="minorHAnsi"/>
        </w:rPr>
        <w:t xml:space="preserve"> and</w:t>
      </w:r>
      <w:r w:rsidR="00F74D15">
        <w:rPr>
          <w:rFonts w:cstheme="minorHAnsi"/>
        </w:rPr>
        <w:t xml:space="preserve"> (iv)</w:t>
      </w:r>
      <w:r w:rsidR="001B4D96">
        <w:rPr>
          <w:rFonts w:cstheme="minorHAnsi"/>
        </w:rPr>
        <w:t xml:space="preserve"> the value of realizable assets </w:t>
      </w:r>
      <w:r w:rsidR="00C8042B">
        <w:rPr>
          <w:rFonts w:cstheme="minorHAnsi"/>
        </w:rPr>
        <w:t>does not exceed $50,000 SGD</w:t>
      </w:r>
      <w:r w:rsidR="004850B3">
        <w:rPr>
          <w:rFonts w:cstheme="minorHAnsi"/>
        </w:rPr>
        <w:t>.</w:t>
      </w:r>
      <w:r w:rsidR="004850B3">
        <w:rPr>
          <w:rStyle w:val="FootnoteReference"/>
          <w:rFonts w:cstheme="minorHAnsi"/>
        </w:rPr>
        <w:footnoteReference w:id="39"/>
      </w:r>
    </w:p>
    <w:p w14:paraId="296AD641" w14:textId="14DCCF90" w:rsidR="00281924" w:rsidRDefault="00014EF4" w:rsidP="00132582">
      <w:pPr>
        <w:spacing w:line="360" w:lineRule="auto"/>
        <w:rPr>
          <w:rFonts w:cstheme="minorHAnsi"/>
        </w:rPr>
      </w:pPr>
      <w:r>
        <w:rPr>
          <w:rFonts w:cstheme="minorHAnsi"/>
        </w:rPr>
        <w:lastRenderedPageBreak/>
        <w:t xml:space="preserve">With respect to institutional arrangements, the </w:t>
      </w:r>
      <w:r w:rsidR="00F40B90">
        <w:rPr>
          <w:rFonts w:cstheme="minorHAnsi"/>
        </w:rPr>
        <w:t>Singapore Act establishes a special insolvency administrator to assist with the reorganization procedure called a Restructuring Advisor.</w:t>
      </w:r>
      <w:r w:rsidR="00F40B90">
        <w:rPr>
          <w:rStyle w:val="FootnoteReference"/>
          <w:rFonts w:cstheme="minorHAnsi"/>
        </w:rPr>
        <w:footnoteReference w:id="40"/>
      </w:r>
      <w:r w:rsidR="001C76B5">
        <w:rPr>
          <w:rFonts w:cstheme="minorHAnsi"/>
        </w:rPr>
        <w:t xml:space="preserve"> The Restructuring Advisor needs to be a qualified accountant.</w:t>
      </w:r>
      <w:r w:rsidR="007228FF">
        <w:rPr>
          <w:rStyle w:val="FootnoteReference"/>
          <w:rFonts w:cstheme="minorHAnsi"/>
        </w:rPr>
        <w:footnoteReference w:id="41"/>
      </w:r>
      <w:r w:rsidR="001C76B5">
        <w:rPr>
          <w:rFonts w:cstheme="minorHAnsi"/>
        </w:rPr>
        <w:t xml:space="preserve"> </w:t>
      </w:r>
      <w:r w:rsidR="00D32F39">
        <w:rPr>
          <w:rFonts w:cstheme="minorHAnsi"/>
        </w:rPr>
        <w:t xml:space="preserve">The duties of the Restructuring Advisor include: (i) </w:t>
      </w:r>
      <w:r w:rsidR="007602D4">
        <w:rPr>
          <w:rFonts w:cstheme="minorHAnsi"/>
        </w:rPr>
        <w:t xml:space="preserve">assisting the enterprise to draft the proposed restructuring plan; (ii) </w:t>
      </w:r>
      <w:r w:rsidR="00540632">
        <w:rPr>
          <w:rFonts w:cstheme="minorHAnsi"/>
        </w:rPr>
        <w:t xml:space="preserve">if the Advisor thinks </w:t>
      </w:r>
      <w:r w:rsidR="00F6056C">
        <w:rPr>
          <w:rFonts w:cstheme="minorHAnsi"/>
        </w:rPr>
        <w:t xml:space="preserve">the plan </w:t>
      </w:r>
      <w:r w:rsidR="00540632">
        <w:rPr>
          <w:rFonts w:cstheme="minorHAnsi"/>
        </w:rPr>
        <w:t>is feasible, help the enterprise see</w:t>
      </w:r>
      <w:r w:rsidR="00F6056C">
        <w:rPr>
          <w:rFonts w:cstheme="minorHAnsi"/>
        </w:rPr>
        <w:t>k</w:t>
      </w:r>
      <w:r w:rsidR="00540632">
        <w:rPr>
          <w:rFonts w:cstheme="minorHAnsi"/>
        </w:rPr>
        <w:t xml:space="preserve"> agreement with the creditors on the plan; (iii) </w:t>
      </w:r>
      <w:r w:rsidR="00D718E8">
        <w:rPr>
          <w:rFonts w:cstheme="minorHAnsi"/>
        </w:rPr>
        <w:t xml:space="preserve">if the voting thresholds are met, </w:t>
      </w:r>
      <w:r w:rsidR="00124BF3">
        <w:rPr>
          <w:rFonts w:cstheme="minorHAnsi"/>
        </w:rPr>
        <w:t>bring the plan to the Court for approval</w:t>
      </w:r>
      <w:r w:rsidR="00F6056C">
        <w:rPr>
          <w:rFonts w:cstheme="minorHAnsi"/>
        </w:rPr>
        <w:t xml:space="preserve">; (iv) </w:t>
      </w:r>
      <w:r w:rsidR="00084C12">
        <w:rPr>
          <w:rFonts w:cstheme="minorHAnsi"/>
        </w:rPr>
        <w:t>advise the court on termination of the plan</w:t>
      </w:r>
      <w:r w:rsidR="00124BF3">
        <w:rPr>
          <w:rFonts w:cstheme="minorHAnsi"/>
        </w:rPr>
        <w:t>.</w:t>
      </w:r>
      <w:r w:rsidR="00124BF3">
        <w:rPr>
          <w:rStyle w:val="FootnoteReference"/>
          <w:rFonts w:cstheme="minorHAnsi"/>
        </w:rPr>
        <w:footnoteReference w:id="42"/>
      </w:r>
      <w:r w:rsidR="000B609C">
        <w:rPr>
          <w:rFonts w:cstheme="minorHAnsi"/>
        </w:rPr>
        <w:t xml:space="preserve"> Forms are available on </w:t>
      </w:r>
      <w:r w:rsidR="00AC52A4">
        <w:rPr>
          <w:rFonts w:cstheme="minorHAnsi"/>
        </w:rPr>
        <w:t>Singapore’s Ministry of Law web site to apply for the simplified restructuring procedure.</w:t>
      </w:r>
      <w:r w:rsidR="00AC52A4">
        <w:rPr>
          <w:rStyle w:val="FootnoteReference"/>
          <w:rFonts w:cstheme="minorHAnsi"/>
        </w:rPr>
        <w:footnoteReference w:id="43"/>
      </w:r>
    </w:p>
    <w:p w14:paraId="31B666CE" w14:textId="2D72579E" w:rsidR="00BA0E85" w:rsidRDefault="00F366DC" w:rsidP="00132582">
      <w:pPr>
        <w:spacing w:line="360" w:lineRule="auto"/>
        <w:rPr>
          <w:rFonts w:cstheme="minorHAnsi"/>
        </w:rPr>
      </w:pPr>
      <w:r w:rsidRPr="00A65B0B">
        <w:rPr>
          <w:rFonts w:cstheme="minorHAnsi"/>
        </w:rPr>
        <w:t xml:space="preserve">The SDRP </w:t>
      </w:r>
      <w:r w:rsidR="00055292">
        <w:rPr>
          <w:rFonts w:cstheme="minorHAnsi"/>
        </w:rPr>
        <w:t>simplifies</w:t>
      </w:r>
      <w:r w:rsidRPr="00A65B0B">
        <w:rPr>
          <w:rFonts w:cstheme="minorHAnsi"/>
        </w:rPr>
        <w:t xml:space="preserve"> the existing pre-package scheme of arrangement, including the followin</w:t>
      </w:r>
      <w:r w:rsidR="00055292">
        <w:rPr>
          <w:rFonts w:cstheme="minorHAnsi"/>
        </w:rPr>
        <w:t>g key</w:t>
      </w:r>
      <w:r w:rsidRPr="00A65B0B">
        <w:rPr>
          <w:rFonts w:cstheme="minorHAnsi"/>
        </w:rPr>
        <w:t xml:space="preserve"> features: (i) </w:t>
      </w:r>
      <w:r w:rsidR="00765543" w:rsidRPr="00A65B0B">
        <w:rPr>
          <w:rFonts w:cstheme="minorHAnsi"/>
        </w:rPr>
        <w:t>the debtor remains in possession as default</w:t>
      </w:r>
      <w:r w:rsidR="00765543">
        <w:rPr>
          <w:rFonts w:cstheme="minorHAnsi"/>
        </w:rPr>
        <w:t xml:space="preserve">; </w:t>
      </w:r>
      <w:r w:rsidR="00765543" w:rsidRPr="00A65B0B">
        <w:rPr>
          <w:rFonts w:cstheme="minorHAnsi"/>
        </w:rPr>
        <w:t>(</w:t>
      </w:r>
      <w:r w:rsidR="00765543">
        <w:rPr>
          <w:rFonts w:cstheme="minorHAnsi"/>
        </w:rPr>
        <w:t>ii</w:t>
      </w:r>
      <w:r w:rsidR="00765543" w:rsidRPr="00A65B0B">
        <w:rPr>
          <w:rFonts w:cstheme="minorHAnsi"/>
        </w:rPr>
        <w:t>) automatic moratorium from creditors actions</w:t>
      </w:r>
      <w:r w:rsidR="00483243">
        <w:rPr>
          <w:rFonts w:cstheme="minorHAnsi"/>
        </w:rPr>
        <w:t>, including secured creditors</w:t>
      </w:r>
      <w:r w:rsidR="00765543" w:rsidRPr="00A65B0B">
        <w:rPr>
          <w:rFonts w:cstheme="minorHAnsi"/>
        </w:rPr>
        <w:t>;</w:t>
      </w:r>
      <w:r w:rsidR="00765543">
        <w:rPr>
          <w:rStyle w:val="FootnoteReference"/>
          <w:rFonts w:cstheme="minorHAnsi"/>
        </w:rPr>
        <w:footnoteReference w:id="44"/>
      </w:r>
      <w:r w:rsidR="00765543" w:rsidRPr="00A65B0B">
        <w:rPr>
          <w:rFonts w:cstheme="minorHAnsi"/>
        </w:rPr>
        <w:t xml:space="preserve"> </w:t>
      </w:r>
      <w:r w:rsidR="00765543">
        <w:rPr>
          <w:rFonts w:cstheme="minorHAnsi"/>
        </w:rPr>
        <w:t xml:space="preserve">(iii) </w:t>
      </w:r>
      <w:r w:rsidR="004F1E78">
        <w:rPr>
          <w:rFonts w:cstheme="minorHAnsi"/>
        </w:rPr>
        <w:t xml:space="preserve">no vote of creditors is required </w:t>
      </w:r>
      <w:r w:rsidR="00A71AE1">
        <w:rPr>
          <w:rFonts w:cstheme="minorHAnsi"/>
        </w:rPr>
        <w:t xml:space="preserve">on the plan </w:t>
      </w:r>
      <w:r w:rsidR="004F1E78">
        <w:rPr>
          <w:rFonts w:cstheme="minorHAnsi"/>
        </w:rPr>
        <w:t>after sufficient notification and opportunity to object</w:t>
      </w:r>
      <w:r w:rsidR="00A71AE1">
        <w:rPr>
          <w:rFonts w:cstheme="minorHAnsi"/>
        </w:rPr>
        <w:t>;</w:t>
      </w:r>
      <w:r w:rsidR="00A71AE1">
        <w:rPr>
          <w:rStyle w:val="FootnoteReference"/>
          <w:rFonts w:cstheme="minorHAnsi"/>
        </w:rPr>
        <w:footnoteReference w:id="45"/>
      </w:r>
      <w:r w:rsidR="00A71AE1">
        <w:rPr>
          <w:rFonts w:cstheme="minorHAnsi"/>
        </w:rPr>
        <w:t xml:space="preserve"> (</w:t>
      </w:r>
      <w:r w:rsidR="00765543">
        <w:rPr>
          <w:rFonts w:cstheme="minorHAnsi"/>
        </w:rPr>
        <w:t>iv</w:t>
      </w:r>
      <w:r w:rsidR="00A71AE1">
        <w:rPr>
          <w:rFonts w:cstheme="minorHAnsi"/>
        </w:rPr>
        <w:t xml:space="preserve">) </w:t>
      </w:r>
      <w:r w:rsidR="003F27A3">
        <w:rPr>
          <w:rFonts w:cstheme="minorHAnsi"/>
        </w:rPr>
        <w:t xml:space="preserve">court must be satisfied that had a meeting taken place at least two-thirds </w:t>
      </w:r>
      <w:r w:rsidR="0031509F">
        <w:rPr>
          <w:rFonts w:cstheme="minorHAnsi"/>
        </w:rPr>
        <w:t xml:space="preserve">in the value of creditors or class of creditors would have voted in favor </w:t>
      </w:r>
      <w:r w:rsidRPr="00A65B0B">
        <w:rPr>
          <w:rFonts w:cstheme="minorHAnsi"/>
        </w:rPr>
        <w:t>(</w:t>
      </w:r>
      <w:r w:rsidR="0031509F">
        <w:rPr>
          <w:rFonts w:cstheme="minorHAnsi"/>
        </w:rPr>
        <w:t xml:space="preserve">down from </w:t>
      </w:r>
      <w:r w:rsidRPr="00A65B0B">
        <w:rPr>
          <w:rFonts w:cstheme="minorHAnsi"/>
        </w:rPr>
        <w:t>75%</w:t>
      </w:r>
      <w:r w:rsidR="009131A1">
        <w:rPr>
          <w:rFonts w:cstheme="minorHAnsi"/>
        </w:rPr>
        <w:t xml:space="preserve"> in the regular procedure</w:t>
      </w:r>
      <w:r w:rsidRPr="00A65B0B">
        <w:rPr>
          <w:rFonts w:cstheme="minorHAnsi"/>
        </w:rPr>
        <w:t>);</w:t>
      </w:r>
      <w:r w:rsidR="0031509F">
        <w:rPr>
          <w:rStyle w:val="FootnoteReference"/>
          <w:rFonts w:cstheme="minorHAnsi"/>
        </w:rPr>
        <w:footnoteReference w:id="46"/>
      </w:r>
      <w:r w:rsidRPr="00A65B0B">
        <w:rPr>
          <w:rFonts w:cstheme="minorHAnsi"/>
        </w:rPr>
        <w:t xml:space="preserve"> (</w:t>
      </w:r>
      <w:r w:rsidR="00765543">
        <w:rPr>
          <w:rFonts w:cstheme="minorHAnsi"/>
        </w:rPr>
        <w:t>v</w:t>
      </w:r>
      <w:r w:rsidRPr="00A65B0B">
        <w:rPr>
          <w:rFonts w:cstheme="minorHAnsi"/>
        </w:rPr>
        <w:t>) agreement</w:t>
      </w:r>
      <w:r w:rsidR="00592B97">
        <w:rPr>
          <w:rFonts w:cstheme="minorHAnsi"/>
        </w:rPr>
        <w:t xml:space="preserve"> on the plan</w:t>
      </w:r>
      <w:r w:rsidRPr="00A65B0B">
        <w:rPr>
          <w:rFonts w:cstheme="minorHAnsi"/>
        </w:rPr>
        <w:t xml:space="preserve"> should be reached in 90 days</w:t>
      </w:r>
      <w:r w:rsidR="00765543">
        <w:rPr>
          <w:rFonts w:cstheme="minorHAnsi"/>
        </w:rPr>
        <w:t>.</w:t>
      </w:r>
      <w:r w:rsidR="009B57D8">
        <w:rPr>
          <w:rStyle w:val="FootnoteReference"/>
          <w:rFonts w:cstheme="minorHAnsi"/>
        </w:rPr>
        <w:footnoteReference w:id="47"/>
      </w:r>
    </w:p>
    <w:p w14:paraId="7D95C41B" w14:textId="6AF81D5F" w:rsidR="00571700" w:rsidRDefault="00440EB7" w:rsidP="00132582">
      <w:pPr>
        <w:spacing w:line="360" w:lineRule="auto"/>
        <w:rPr>
          <w:rFonts w:cstheme="minorHAnsi"/>
        </w:rPr>
      </w:pPr>
      <w:r>
        <w:rPr>
          <w:rFonts w:cstheme="minorHAnsi"/>
        </w:rPr>
        <w:t xml:space="preserve">Although </w:t>
      </w:r>
      <w:r w:rsidR="00A2168B">
        <w:rPr>
          <w:rFonts w:cstheme="minorHAnsi"/>
        </w:rPr>
        <w:t xml:space="preserve">it is unclear if they represent </w:t>
      </w:r>
      <w:r w:rsidR="004E382A">
        <w:rPr>
          <w:rFonts w:cstheme="minorHAnsi"/>
        </w:rPr>
        <w:t>all</w:t>
      </w:r>
      <w:r w:rsidR="00A2168B">
        <w:rPr>
          <w:rFonts w:cstheme="minorHAnsi"/>
        </w:rPr>
        <w:t xml:space="preserve"> the cases, there </w:t>
      </w:r>
      <w:r w:rsidR="005E02AC">
        <w:rPr>
          <w:rFonts w:cstheme="minorHAnsi"/>
        </w:rPr>
        <w:t>were</w:t>
      </w:r>
      <w:r w:rsidR="00655B27">
        <w:rPr>
          <w:rFonts w:cstheme="minorHAnsi"/>
        </w:rPr>
        <w:t xml:space="preserve"> </w:t>
      </w:r>
      <w:r w:rsidR="00A2168B">
        <w:rPr>
          <w:rFonts w:cstheme="minorHAnsi"/>
        </w:rPr>
        <w:t xml:space="preserve">only </w:t>
      </w:r>
      <w:r w:rsidR="00970EDE">
        <w:rPr>
          <w:rFonts w:cstheme="minorHAnsi"/>
        </w:rPr>
        <w:t>three</w:t>
      </w:r>
      <w:r w:rsidR="00A2168B">
        <w:rPr>
          <w:rFonts w:cstheme="minorHAnsi"/>
        </w:rPr>
        <w:t xml:space="preserve"> notices of SDRP </w:t>
      </w:r>
      <w:r w:rsidR="007659B8">
        <w:rPr>
          <w:rFonts w:cstheme="minorHAnsi"/>
        </w:rPr>
        <w:t xml:space="preserve">each </w:t>
      </w:r>
      <w:r w:rsidR="00655B27">
        <w:rPr>
          <w:rFonts w:cstheme="minorHAnsi"/>
        </w:rPr>
        <w:t>in 2022 and 2023 listed on the Singapore Ministry of Law’s Official Receiver web site.</w:t>
      </w:r>
      <w:r w:rsidR="00655B27">
        <w:rPr>
          <w:rStyle w:val="FootnoteReference"/>
          <w:rFonts w:cstheme="minorHAnsi"/>
        </w:rPr>
        <w:footnoteReference w:id="48"/>
      </w:r>
      <w:r w:rsidR="001E58EE">
        <w:rPr>
          <w:rFonts w:cstheme="minorHAnsi"/>
        </w:rPr>
        <w:t xml:space="preserve">  There were more than four times that number of simplified winding up cases </w:t>
      </w:r>
      <w:r w:rsidR="00C16799">
        <w:rPr>
          <w:rFonts w:cstheme="minorHAnsi"/>
        </w:rPr>
        <w:t>noted on the same web site.</w:t>
      </w:r>
    </w:p>
    <w:p w14:paraId="69C2DF9E" w14:textId="77777777" w:rsidR="000B03C8" w:rsidRPr="00A65B0B" w:rsidRDefault="000B03C8" w:rsidP="000B03C8">
      <w:pPr>
        <w:pStyle w:val="Heading2"/>
        <w:numPr>
          <w:ilvl w:val="0"/>
          <w:numId w:val="9"/>
        </w:numPr>
      </w:pPr>
      <w:bookmarkStart w:id="5" w:name="_Toc159866298"/>
      <w:r w:rsidRPr="00A65B0B">
        <w:t>USA</w:t>
      </w:r>
      <w:bookmarkEnd w:id="5"/>
    </w:p>
    <w:p w14:paraId="7409AB5A" w14:textId="7024D848" w:rsidR="000B03C8" w:rsidRPr="00A65B0B" w:rsidRDefault="000B03C8" w:rsidP="00132582">
      <w:pPr>
        <w:spacing w:line="360" w:lineRule="auto"/>
      </w:pPr>
      <w:r w:rsidRPr="00A65B0B">
        <w:br/>
        <w:t>The United States of America enacted the Small Business Reorganization Act (SBRA</w:t>
      </w:r>
      <w:r w:rsidR="007659B8">
        <w:t>, also called subchapter v</w:t>
      </w:r>
      <w:r w:rsidRPr="00A65B0B">
        <w:t>) in 2019, which became effective in February 2020.</w:t>
      </w:r>
      <w:r w:rsidRPr="00A65B0B">
        <w:rPr>
          <w:rStyle w:val="FootnoteReference"/>
        </w:rPr>
        <w:footnoteReference w:id="49"/>
      </w:r>
      <w:r w:rsidRPr="00A65B0B">
        <w:t xml:space="preserve"> The SBRA amended Chapter 11 of the Bankruptcy Code and added Subchapter V. The aim of the SBRA </w:t>
      </w:r>
      <w:r w:rsidR="00BC4379">
        <w:t xml:space="preserve">is </w:t>
      </w:r>
      <w:r w:rsidRPr="00A65B0B">
        <w:t>to “provide a fast track for small businesses to confirm a consensual plan with the assistance of a private trustee.”</w:t>
      </w:r>
      <w:r w:rsidRPr="00A65B0B">
        <w:rPr>
          <w:rStyle w:val="FootnoteReference"/>
        </w:rPr>
        <w:footnoteReference w:id="50"/>
      </w:r>
      <w:r w:rsidRPr="00A65B0B">
        <w:t xml:space="preserve"> </w:t>
      </w:r>
      <w:r>
        <w:t xml:space="preserve">The SBRA is </w:t>
      </w:r>
      <w:r>
        <w:lastRenderedPageBreak/>
        <w:t xml:space="preserve">structured as a partially self-contained procedure but does refer to dozens of other sections in the Bankrutpcy Code, which it either disapplies or modifies. </w:t>
      </w:r>
      <w:r w:rsidRPr="00A65B0B">
        <w:t>Small businesses can qualify for the expedited procedure if they have less than about $2.7 million in debts. That limit was temporarily increased during the COVID-19 pandemic to $7.5 million and has been extended through June 2024.</w:t>
      </w:r>
      <w:r w:rsidRPr="00A65B0B">
        <w:rPr>
          <w:rStyle w:val="FootnoteReference"/>
        </w:rPr>
        <w:footnoteReference w:id="51"/>
      </w:r>
    </w:p>
    <w:p w14:paraId="31FF9EAC" w14:textId="77777777" w:rsidR="000B03C8" w:rsidRPr="00A65B0B" w:rsidRDefault="000B03C8" w:rsidP="00132582">
      <w:pPr>
        <w:spacing w:line="360" w:lineRule="auto"/>
      </w:pPr>
      <w:r w:rsidRPr="00A65B0B">
        <w:t>With respect to institutional modifications, there is a new trustee function</w:t>
      </w:r>
      <w:r>
        <w:t xml:space="preserve"> called subchapter V trustee</w:t>
      </w:r>
      <w:r w:rsidRPr="00A65B0B">
        <w:t xml:space="preserve">. </w:t>
      </w:r>
      <w:r>
        <w:t>These trustees</w:t>
      </w:r>
      <w:r w:rsidRPr="00A65B0B">
        <w:t xml:space="preserve"> </w:t>
      </w:r>
      <w:r>
        <w:t xml:space="preserve">have </w:t>
      </w:r>
      <w:r w:rsidRPr="00A65B0B">
        <w:t>been selected to assist small businesses</w:t>
      </w:r>
      <w:r>
        <w:t xml:space="preserve"> and they</w:t>
      </w:r>
      <w:r w:rsidRPr="00A65B0B">
        <w:t xml:space="preserve"> must “possess strong administrative, financial and interpersonal skills” and while bankruptcy experience is desirable, it is not mandatory.</w:t>
      </w:r>
      <w:r w:rsidRPr="00A65B0B">
        <w:rPr>
          <w:rStyle w:val="FootnoteReference"/>
        </w:rPr>
        <w:footnoteReference w:id="52"/>
      </w:r>
      <w:r w:rsidRPr="00A65B0B">
        <w:t xml:space="preserve"> Further, costs and fees have been reduced overall.</w:t>
      </w:r>
      <w:r w:rsidRPr="00A65B0B">
        <w:rPr>
          <w:rStyle w:val="FootnoteReference"/>
        </w:rPr>
        <w:footnoteReference w:id="53"/>
      </w:r>
      <w:r w:rsidRPr="00A65B0B">
        <w:t xml:space="preserve"> </w:t>
      </w:r>
      <w:r>
        <w:t>A detailed handbook was created by the US Trustee’s Office to outline the duties and responsibilities of subchapter V trustees. There are also several templates to use in a subchapter v case.</w:t>
      </w:r>
      <w:r>
        <w:rPr>
          <w:rStyle w:val="FootnoteReference"/>
        </w:rPr>
        <w:footnoteReference w:id="54"/>
      </w:r>
    </w:p>
    <w:p w14:paraId="0C66106B" w14:textId="77777777" w:rsidR="000B03C8" w:rsidRPr="00A65B0B" w:rsidRDefault="000B03C8" w:rsidP="00132582">
      <w:pPr>
        <w:spacing w:line="360" w:lineRule="auto"/>
      </w:pPr>
      <w:r w:rsidRPr="00A65B0B">
        <w:t>A number of major substantive procedural changes were also made by the SBRA: (i) by default, a creditors’ committee will not be appointed unless ordered for cause;</w:t>
      </w:r>
      <w:r w:rsidRPr="00A65B0B">
        <w:rPr>
          <w:rStyle w:val="FootnoteReference"/>
        </w:rPr>
        <w:footnoteReference w:id="55"/>
      </w:r>
      <w:r w:rsidRPr="00A65B0B">
        <w:t xml:space="preserve"> (ii) only the debtor may file a reorganization plan and must file it within 90 days of the petition date;</w:t>
      </w:r>
      <w:r w:rsidRPr="00A65B0B">
        <w:rPr>
          <w:rStyle w:val="FootnoteReference"/>
        </w:rPr>
        <w:footnoteReference w:id="56"/>
      </w:r>
      <w:r w:rsidRPr="00A65B0B">
        <w:t xml:space="preserve"> (iii) the content requirements for the reorganization plan has been simplified;</w:t>
      </w:r>
      <w:r w:rsidRPr="00A65B0B">
        <w:rPr>
          <w:rStyle w:val="FootnoteReference"/>
        </w:rPr>
        <w:footnoteReference w:id="57"/>
      </w:r>
      <w:r w:rsidRPr="00A65B0B">
        <w:t xml:space="preserve"> (iv) voting is not necessary for confirming a plan and can be crammed down if certain requirements are met;</w:t>
      </w:r>
      <w:r w:rsidRPr="00A65B0B">
        <w:rPr>
          <w:rStyle w:val="FootnoteReference"/>
        </w:rPr>
        <w:footnoteReference w:id="58"/>
      </w:r>
      <w:r w:rsidRPr="00A65B0B">
        <w:t xml:space="preserve"> (v) owners of the business may retain their equity provided the plan is “fair and equitable” and does not “discriminate unfairly”;</w:t>
      </w:r>
      <w:r w:rsidRPr="00A65B0B">
        <w:rPr>
          <w:rStyle w:val="FootnoteReference"/>
        </w:rPr>
        <w:footnoteReference w:id="59"/>
      </w:r>
      <w:r w:rsidRPr="00A65B0B">
        <w:t xml:space="preserve"> (vi) discharge is available for all debts after all payments under the plan are completed.</w:t>
      </w:r>
      <w:r w:rsidRPr="00A65B0B">
        <w:rPr>
          <w:rStyle w:val="FootnoteReference"/>
        </w:rPr>
        <w:footnoteReference w:id="60"/>
      </w:r>
    </w:p>
    <w:p w14:paraId="771C727D" w14:textId="2B542A42" w:rsidR="000B03C8" w:rsidRPr="000B03C8" w:rsidRDefault="000B03C8" w:rsidP="00132582">
      <w:pPr>
        <w:spacing w:line="360" w:lineRule="auto"/>
      </w:pPr>
      <w:r w:rsidRPr="00A65B0B">
        <w:t>The US Trustee’s office reports a steady increase in SBRA cases from 1,117 in 2020 to almost 2,000 in 2023.</w:t>
      </w:r>
      <w:r w:rsidR="00D479F4">
        <w:t xml:space="preserve"> </w:t>
      </w:r>
      <w:r w:rsidR="00E63836">
        <w:rPr>
          <w:sz w:val="23"/>
          <w:szCs w:val="23"/>
        </w:rPr>
        <w:t>These cases are</w:t>
      </w:r>
      <w:r w:rsidR="00D479F4">
        <w:rPr>
          <w:sz w:val="23"/>
          <w:szCs w:val="23"/>
        </w:rPr>
        <w:t xml:space="preserve"> 21 </w:t>
      </w:r>
      <w:r w:rsidR="00E63836">
        <w:rPr>
          <w:sz w:val="23"/>
          <w:szCs w:val="23"/>
        </w:rPr>
        <w:t>percent</w:t>
      </w:r>
      <w:r w:rsidR="00D479F4">
        <w:rPr>
          <w:sz w:val="23"/>
          <w:szCs w:val="23"/>
        </w:rPr>
        <w:t xml:space="preserve"> more likely to have a plan confirmed</w:t>
      </w:r>
      <w:r w:rsidR="00E63836">
        <w:rPr>
          <w:sz w:val="23"/>
          <w:szCs w:val="23"/>
        </w:rPr>
        <w:t xml:space="preserve"> than for small businesses using the regular Chapter 11 procedure.</w:t>
      </w:r>
      <w:r w:rsidR="00E63836">
        <w:rPr>
          <w:rStyle w:val="FootnoteReference"/>
          <w:sz w:val="23"/>
          <w:szCs w:val="23"/>
        </w:rPr>
        <w:footnoteReference w:id="61"/>
      </w:r>
      <w:r w:rsidR="00E63836">
        <w:rPr>
          <w:sz w:val="23"/>
          <w:szCs w:val="23"/>
        </w:rPr>
        <w:t xml:space="preserve"> </w:t>
      </w:r>
      <w:r w:rsidRPr="00A65B0B">
        <w:t xml:space="preserve">Lastly, the median time to confirmation of a plan was 4 </w:t>
      </w:r>
      <w:r w:rsidRPr="00A65B0B">
        <w:lastRenderedPageBreak/>
        <w:t>months shorter under SBRA cases as compared to regular cases.</w:t>
      </w:r>
      <w:r w:rsidRPr="00A65B0B">
        <w:rPr>
          <w:rStyle w:val="FootnoteReference"/>
        </w:rPr>
        <w:footnoteReference w:id="62"/>
      </w:r>
      <w:r w:rsidRPr="00A65B0B">
        <w:t xml:space="preserve"> US Bankruptcy Judges and other commentators have remarked that the SBRA is working as the US Congress had intended.</w:t>
      </w:r>
      <w:r w:rsidRPr="00A65B0B">
        <w:rPr>
          <w:rStyle w:val="FootnoteReference"/>
        </w:rPr>
        <w:footnoteReference w:id="63"/>
      </w:r>
    </w:p>
    <w:p w14:paraId="1861D1D2" w14:textId="5D3F45C2" w:rsidR="002B1918" w:rsidRPr="00A65B0B" w:rsidRDefault="00BC4379" w:rsidP="00FB7483">
      <w:pPr>
        <w:pStyle w:val="Heading1"/>
        <w:numPr>
          <w:ilvl w:val="0"/>
          <w:numId w:val="8"/>
        </w:numPr>
        <w:rPr>
          <w:b/>
          <w:bCs/>
        </w:rPr>
      </w:pPr>
      <w:bookmarkStart w:id="6" w:name="_Toc159866299"/>
      <w:r>
        <w:rPr>
          <w:b/>
          <w:bCs/>
        </w:rPr>
        <w:t xml:space="preserve">Comparative </w:t>
      </w:r>
      <w:r w:rsidR="002B1918" w:rsidRPr="00A65B0B">
        <w:rPr>
          <w:b/>
          <w:bCs/>
        </w:rPr>
        <w:t>Analysis</w:t>
      </w:r>
      <w:bookmarkEnd w:id="6"/>
    </w:p>
    <w:p w14:paraId="70FCCA9E" w14:textId="173B6C0E" w:rsidR="00DA64D6" w:rsidRDefault="00680F16" w:rsidP="00132582">
      <w:pPr>
        <w:spacing w:line="360" w:lineRule="auto"/>
      </w:pPr>
      <w:r>
        <w:br/>
        <w:t xml:space="preserve">This section </w:t>
      </w:r>
      <w:r w:rsidR="00755EE2">
        <w:t>consider</w:t>
      </w:r>
      <w:r w:rsidR="00B22031">
        <w:t xml:space="preserve">s </w:t>
      </w:r>
      <w:r>
        <w:t xml:space="preserve">whether the </w:t>
      </w:r>
      <w:r w:rsidR="003D367E">
        <w:t>OHADA, Singapore</w:t>
      </w:r>
      <w:r w:rsidR="00B22031">
        <w:t xml:space="preserve"> and the USA</w:t>
      </w:r>
      <w:r w:rsidR="003D367E">
        <w:t xml:space="preserve"> adhere to the main</w:t>
      </w:r>
      <w:r w:rsidR="00643DCB">
        <w:t xml:space="preserve"> </w:t>
      </w:r>
      <w:r w:rsidR="003D367E">
        <w:t xml:space="preserve">recommendations of the </w:t>
      </w:r>
      <w:r w:rsidR="00B22031">
        <w:t>ICR Standard</w:t>
      </w:r>
      <w:r w:rsidR="008C664D">
        <w:t xml:space="preserve"> as described in the first section above</w:t>
      </w:r>
      <w:r w:rsidR="003D367E">
        <w:t xml:space="preserve">. Then, </w:t>
      </w:r>
      <w:r w:rsidR="005D4EFA">
        <w:t>the paper</w:t>
      </w:r>
      <w:r w:rsidR="00516297">
        <w:t xml:space="preserve"> draw</w:t>
      </w:r>
      <w:r w:rsidR="005D4EFA">
        <w:t>s</w:t>
      </w:r>
      <w:r w:rsidR="00516297">
        <w:t xml:space="preserve"> </w:t>
      </w:r>
      <w:r w:rsidR="00643DCB">
        <w:t>upon</w:t>
      </w:r>
      <w:r w:rsidR="00516297">
        <w:t xml:space="preserve"> </w:t>
      </w:r>
      <w:r w:rsidR="005C6775">
        <w:t>th</w:t>
      </w:r>
      <w:r w:rsidR="006C3A02">
        <w:t>at analysis and overall content</w:t>
      </w:r>
      <w:r w:rsidR="005C6775">
        <w:t xml:space="preserve"> to offer </w:t>
      </w:r>
      <w:r w:rsidR="001E5306">
        <w:t xml:space="preserve">early lessons </w:t>
      </w:r>
      <w:r w:rsidR="005C6775">
        <w:t>for strengthened simplified reorganization procedures for MSEs.</w:t>
      </w:r>
    </w:p>
    <w:p w14:paraId="060DDA91" w14:textId="1996AA6D" w:rsidR="00A6172F" w:rsidRDefault="00A6172F" w:rsidP="00A6172F">
      <w:pPr>
        <w:pStyle w:val="Heading2"/>
        <w:numPr>
          <w:ilvl w:val="0"/>
          <w:numId w:val="10"/>
        </w:numPr>
      </w:pPr>
      <w:bookmarkStart w:id="7" w:name="_Toc159866300"/>
      <w:r>
        <w:t>Adherence to the International Standard</w:t>
      </w:r>
      <w:bookmarkEnd w:id="7"/>
    </w:p>
    <w:p w14:paraId="70574030" w14:textId="77777777" w:rsidR="00A6172F" w:rsidRDefault="00A6172F" w:rsidP="00A6172F"/>
    <w:p w14:paraId="39906BA6" w14:textId="578CD102" w:rsidR="005D689E" w:rsidRDefault="000F5324" w:rsidP="00AB2CD5">
      <w:pPr>
        <w:pStyle w:val="Heading3"/>
        <w:numPr>
          <w:ilvl w:val="0"/>
          <w:numId w:val="11"/>
        </w:numPr>
        <w:rPr>
          <w:b/>
          <w:bCs/>
        </w:rPr>
      </w:pPr>
      <w:bookmarkStart w:id="8" w:name="_Toc159866301"/>
      <w:r w:rsidRPr="001365AC">
        <w:rPr>
          <w:b/>
          <w:bCs/>
        </w:rPr>
        <w:t>Institutional Support</w:t>
      </w:r>
      <w:r w:rsidR="00194893">
        <w:rPr>
          <w:b/>
          <w:bCs/>
        </w:rPr>
        <w:t xml:space="preserve"> and Tools</w:t>
      </w:r>
      <w:bookmarkEnd w:id="8"/>
    </w:p>
    <w:p w14:paraId="4D44F496" w14:textId="550EFA8B" w:rsidR="00003B0D" w:rsidRDefault="00AA689D" w:rsidP="00132582">
      <w:pPr>
        <w:spacing w:line="360" w:lineRule="auto"/>
      </w:pPr>
      <w:r>
        <w:br/>
      </w:r>
      <w:r w:rsidR="00F45507">
        <w:t>To varying degrees, a</w:t>
      </w:r>
      <w:r w:rsidR="00003B0D">
        <w:t xml:space="preserve">ll three jurisdictions </w:t>
      </w:r>
      <w:r w:rsidR="00F45507">
        <w:t xml:space="preserve">provide some institutional support to MSEs in the simplified procedure. </w:t>
      </w:r>
      <w:r w:rsidR="00DA72C3">
        <w:t>All provide the support of an insolvency administrator</w:t>
      </w:r>
      <w:r w:rsidR="00190004">
        <w:t xml:space="preserve">. Singapore and </w:t>
      </w:r>
      <w:r w:rsidR="00194893">
        <w:t xml:space="preserve">the </w:t>
      </w:r>
      <w:r w:rsidR="00190004">
        <w:t>USA</w:t>
      </w:r>
      <w:r w:rsidR="003D0DC4">
        <w:t xml:space="preserve"> have created </w:t>
      </w:r>
      <w:r w:rsidR="00415832">
        <w:t xml:space="preserve">new </w:t>
      </w:r>
      <w:r w:rsidR="003D0DC4">
        <w:t xml:space="preserve">roles </w:t>
      </w:r>
      <w:r w:rsidR="00262A07">
        <w:t>just for the MSE procedures. While Singapore</w:t>
      </w:r>
      <w:r w:rsidR="00643DCB">
        <w:t>’s</w:t>
      </w:r>
      <w:r w:rsidR="00262A07">
        <w:t xml:space="preserve"> Restructuring Advisor is a new role,</w:t>
      </w:r>
      <w:r w:rsidR="00BE549A">
        <w:t xml:space="preserve"> other than being a qualified accountant,</w:t>
      </w:r>
      <w:r w:rsidR="00262A07">
        <w:t xml:space="preserve"> they do not have to have specialized knowledge of MSEs. </w:t>
      </w:r>
      <w:r w:rsidR="00643DCB">
        <w:t xml:space="preserve">The </w:t>
      </w:r>
      <w:r w:rsidR="00262A07">
        <w:t>USA has</w:t>
      </w:r>
      <w:r w:rsidR="00BE549A">
        <w:t xml:space="preserve"> </w:t>
      </w:r>
      <w:r w:rsidR="00821B66">
        <w:t xml:space="preserve">adapted the </w:t>
      </w:r>
      <w:r w:rsidR="00C2771C">
        <w:t xml:space="preserve">regular </w:t>
      </w:r>
      <w:r w:rsidR="00821B66">
        <w:t>trustee role</w:t>
      </w:r>
      <w:r w:rsidR="00705C03">
        <w:t>,</w:t>
      </w:r>
      <w:r w:rsidR="00726051">
        <w:t xml:space="preserve"> </w:t>
      </w:r>
      <w:r w:rsidR="00821B66">
        <w:t>focused on business knowledge</w:t>
      </w:r>
      <w:r w:rsidR="00726051">
        <w:t xml:space="preserve"> and </w:t>
      </w:r>
      <w:r w:rsidR="00BD4DA8">
        <w:t>strong interpersonal skills</w:t>
      </w:r>
      <w:r w:rsidR="00C2771C">
        <w:t>. OHADA has not adapted the role of trustee for MSEs.</w:t>
      </w:r>
    </w:p>
    <w:p w14:paraId="72F9BF6B" w14:textId="79A5EFE7" w:rsidR="005D689E" w:rsidRDefault="005D2341" w:rsidP="00132582">
      <w:pPr>
        <w:spacing w:line="360" w:lineRule="auto"/>
      </w:pPr>
      <w:r>
        <w:t xml:space="preserve">With respect to other tools, the USA and Singapore have produced </w:t>
      </w:r>
      <w:r w:rsidR="00DE4360">
        <w:t xml:space="preserve">a few </w:t>
      </w:r>
      <w:r>
        <w:t>forms and templates</w:t>
      </w:r>
      <w:r w:rsidR="00DE4360">
        <w:t xml:space="preserve">. Singapore has </w:t>
      </w:r>
      <w:r w:rsidR="00915F9D">
        <w:t xml:space="preserve">created </w:t>
      </w:r>
      <w:r w:rsidR="00DE4360">
        <w:t>an online application for commencement of the procedure</w:t>
      </w:r>
      <w:r w:rsidR="001A0E22">
        <w:t xml:space="preserve"> as well as a template for a business plan and creditor’s list</w:t>
      </w:r>
      <w:r w:rsidR="00DE4360">
        <w:t>.</w:t>
      </w:r>
      <w:r w:rsidR="001A0E22">
        <w:rPr>
          <w:rStyle w:val="FootnoteReference"/>
        </w:rPr>
        <w:footnoteReference w:id="64"/>
      </w:r>
      <w:r w:rsidR="00DE4360">
        <w:t xml:space="preserve"> The USA has created a detailed handbook for the </w:t>
      </w:r>
      <w:r w:rsidR="004C13B2">
        <w:t>subchapter V trustees. In OHADA, no forms or templates exist or any other enabling tools.</w:t>
      </w:r>
      <w:r w:rsidR="00982636">
        <w:t xml:space="preserve"> None of the jurisdictions have special electronic tools for MSEs</w:t>
      </w:r>
      <w:r w:rsidR="008C60F3">
        <w:t>. OHADA seems to preclude electronic means of delivery of certain documents such as delivery of the plan which the OHADA Act says must be</w:t>
      </w:r>
      <w:r w:rsidR="004D43DB">
        <w:t xml:space="preserve"> </w:t>
      </w:r>
      <w:r w:rsidR="008C60F3">
        <w:t xml:space="preserve">delivered by </w:t>
      </w:r>
      <w:r w:rsidR="004D43DB">
        <w:t>post or hand</w:t>
      </w:r>
      <w:r w:rsidR="008C60F3">
        <w:t>.</w:t>
      </w:r>
    </w:p>
    <w:p w14:paraId="2B97D00D" w14:textId="5D6A71E8" w:rsidR="00B704E5" w:rsidRDefault="00031FA4" w:rsidP="00903C0C">
      <w:pPr>
        <w:pStyle w:val="Heading3"/>
        <w:numPr>
          <w:ilvl w:val="0"/>
          <w:numId w:val="11"/>
        </w:numPr>
        <w:rPr>
          <w:rFonts w:cstheme="minorHAnsi"/>
        </w:rPr>
      </w:pPr>
      <w:bookmarkStart w:id="9" w:name="_Toc159866302"/>
      <w:r>
        <w:rPr>
          <w:rFonts w:cstheme="minorHAnsi"/>
          <w:b/>
          <w:bCs/>
        </w:rPr>
        <w:t xml:space="preserve">Eligibility &amp; </w:t>
      </w:r>
      <w:r w:rsidR="008C664D" w:rsidRPr="00A83870">
        <w:rPr>
          <w:rFonts w:cstheme="minorHAnsi"/>
          <w:b/>
          <w:bCs/>
        </w:rPr>
        <w:t>Commencement</w:t>
      </w:r>
      <w:bookmarkEnd w:id="9"/>
    </w:p>
    <w:p w14:paraId="1EA1481A" w14:textId="77777777" w:rsidR="00B704E5" w:rsidRDefault="00B704E5" w:rsidP="00B704E5">
      <w:pPr>
        <w:pStyle w:val="Heading3"/>
        <w:ind w:left="720"/>
        <w:rPr>
          <w:rFonts w:cstheme="minorHAnsi"/>
        </w:rPr>
      </w:pPr>
    </w:p>
    <w:p w14:paraId="04D64385" w14:textId="6F464A1B" w:rsidR="002E0EAA" w:rsidRDefault="003E1732" w:rsidP="00132582">
      <w:pPr>
        <w:spacing w:line="360" w:lineRule="auto"/>
      </w:pPr>
      <w:r>
        <w:t>The legislation in a</w:t>
      </w:r>
      <w:r w:rsidR="002E0EAA">
        <w:t xml:space="preserve">ll jurisdictions contain definitions of who </w:t>
      </w:r>
      <w:r w:rsidR="004A6849">
        <w:t xml:space="preserve">is eligible to use the simplified procedure. </w:t>
      </w:r>
      <w:r w:rsidR="000E4655">
        <w:t xml:space="preserve">The simplest definition is from the USA, which is solely based upon </w:t>
      </w:r>
      <w:r w:rsidR="0006547B">
        <w:t xml:space="preserve">the outstanding debt of the debtor. </w:t>
      </w:r>
      <w:r w:rsidR="00150097">
        <w:lastRenderedPageBreak/>
        <w:t xml:space="preserve">The </w:t>
      </w:r>
      <w:r w:rsidR="00A70C0F">
        <w:t xml:space="preserve">OHADA </w:t>
      </w:r>
      <w:r w:rsidR="00150097">
        <w:t xml:space="preserve">definition </w:t>
      </w:r>
      <w:r w:rsidR="00A70C0F">
        <w:t>is based upon the number of employees and annual turnover. Singapore has a complex definition with f</w:t>
      </w:r>
      <w:r w:rsidR="00B203B5">
        <w:t>ive components</w:t>
      </w:r>
      <w:r w:rsidR="00B558DC">
        <w:t xml:space="preserve">, which may be hard (especially for the smallest companies) to </w:t>
      </w:r>
      <w:r w:rsidR="00BC7737">
        <w:t>demonstrate</w:t>
      </w:r>
      <w:r w:rsidR="00B558DC">
        <w:t xml:space="preserve"> adherence to</w:t>
      </w:r>
      <w:r w:rsidR="00A70C0F">
        <w:t>.</w:t>
      </w:r>
      <w:r w:rsidR="00150097">
        <w:t xml:space="preserve"> </w:t>
      </w:r>
    </w:p>
    <w:p w14:paraId="00694982" w14:textId="1AA8B849" w:rsidR="00E3661C" w:rsidRDefault="00E3661C" w:rsidP="00132582">
      <w:pPr>
        <w:spacing w:line="360" w:lineRule="auto"/>
      </w:pPr>
      <w:r>
        <w:t>With respect to easy access to the pro</w:t>
      </w:r>
      <w:r w:rsidR="006153B8">
        <w:t xml:space="preserve">cedure, OHADA has a very high barrier to entry. </w:t>
      </w:r>
      <w:r w:rsidR="00DB36D7">
        <w:t xml:space="preserve">A </w:t>
      </w:r>
      <w:r w:rsidR="006153B8">
        <w:t xml:space="preserve">debtor in </w:t>
      </w:r>
      <w:r w:rsidR="00DB36D7">
        <w:t>OHADA</w:t>
      </w:r>
      <w:r w:rsidR="006153B8">
        <w:t xml:space="preserve"> needs to provide at least </w:t>
      </w:r>
      <w:r w:rsidR="006153B8" w:rsidRPr="00A65B0B">
        <w:rPr>
          <w:rFonts w:cstheme="minorHAnsi"/>
        </w:rPr>
        <w:t>10 pieces of supporting documentation showing its financial position</w:t>
      </w:r>
      <w:r w:rsidR="00001989">
        <w:rPr>
          <w:rFonts w:cstheme="minorHAnsi"/>
        </w:rPr>
        <w:t xml:space="preserve">. </w:t>
      </w:r>
      <w:r w:rsidR="00FF166C">
        <w:rPr>
          <w:rFonts w:cstheme="minorHAnsi"/>
        </w:rPr>
        <w:t>The debtor also needs to prove that they are insolvent.</w:t>
      </w:r>
      <w:r w:rsidR="00004D28">
        <w:rPr>
          <w:rStyle w:val="FootnoteReference"/>
          <w:rFonts w:cstheme="minorHAnsi"/>
        </w:rPr>
        <w:footnoteReference w:id="65"/>
      </w:r>
      <w:r w:rsidR="00FF166C">
        <w:rPr>
          <w:rFonts w:cstheme="minorHAnsi"/>
        </w:rPr>
        <w:t xml:space="preserve"> </w:t>
      </w:r>
      <w:r w:rsidR="005C3316">
        <w:rPr>
          <w:rFonts w:cstheme="minorHAnsi"/>
        </w:rPr>
        <w:t xml:space="preserve">In Singapore, </w:t>
      </w:r>
      <w:r w:rsidR="00EF11F0">
        <w:rPr>
          <w:rFonts w:cstheme="minorHAnsi"/>
        </w:rPr>
        <w:t xml:space="preserve">the company does not need to be </w:t>
      </w:r>
      <w:r w:rsidR="00DB0BCD">
        <w:rPr>
          <w:rFonts w:cstheme="minorHAnsi"/>
        </w:rPr>
        <w:t xml:space="preserve">insolvent </w:t>
      </w:r>
      <w:r w:rsidR="00A43BDE">
        <w:rPr>
          <w:rFonts w:cstheme="minorHAnsi"/>
        </w:rPr>
        <w:t>to</w:t>
      </w:r>
      <w:r w:rsidR="00DB0BCD">
        <w:rPr>
          <w:rFonts w:cstheme="minorHAnsi"/>
        </w:rPr>
        <w:t xml:space="preserve"> access the procedure but needs to </w:t>
      </w:r>
      <w:r w:rsidR="00523FAA">
        <w:rPr>
          <w:rFonts w:cstheme="minorHAnsi"/>
        </w:rPr>
        <w:t xml:space="preserve">include a </w:t>
      </w:r>
      <w:r w:rsidR="00422116">
        <w:rPr>
          <w:rFonts w:cstheme="minorHAnsi"/>
        </w:rPr>
        <w:t xml:space="preserve">company </w:t>
      </w:r>
      <w:r w:rsidR="00523FAA">
        <w:rPr>
          <w:rFonts w:cstheme="minorHAnsi"/>
        </w:rPr>
        <w:t>special resolution and list of creditors</w:t>
      </w:r>
      <w:r w:rsidR="00BA17CE">
        <w:rPr>
          <w:rFonts w:cstheme="minorHAnsi"/>
        </w:rPr>
        <w:t xml:space="preserve"> with is application</w:t>
      </w:r>
      <w:r w:rsidR="00523FAA">
        <w:rPr>
          <w:rFonts w:cstheme="minorHAnsi"/>
        </w:rPr>
        <w:t>.</w:t>
      </w:r>
      <w:r w:rsidR="00B56B7F">
        <w:rPr>
          <w:rFonts w:cstheme="minorHAnsi"/>
        </w:rPr>
        <w:t xml:space="preserve"> </w:t>
      </w:r>
      <w:r w:rsidR="005D33B4">
        <w:rPr>
          <w:rFonts w:cstheme="minorHAnsi"/>
        </w:rPr>
        <w:t xml:space="preserve">In the USA, as per the normal Chapter 11 reorganization, there is no need for the debtor to be insolvent. However, with the petition to commence they need to provide </w:t>
      </w:r>
      <w:r w:rsidR="005D33B4" w:rsidRPr="00EF1367">
        <w:rPr>
          <w:rFonts w:cstheme="minorHAnsi"/>
        </w:rPr>
        <w:t>a balance sheet, cash flow statements, a statement of operations, and federal tax returns to the court with their bankruptcy petition.</w:t>
      </w:r>
      <w:r w:rsidR="005D33B4">
        <w:rPr>
          <w:rStyle w:val="FootnoteReference"/>
          <w:rFonts w:cstheme="minorHAnsi"/>
        </w:rPr>
        <w:footnoteReference w:id="66"/>
      </w:r>
    </w:p>
    <w:p w14:paraId="6AA0251A" w14:textId="24C8EE57" w:rsidR="00642A59" w:rsidRDefault="00B51E8E" w:rsidP="00642A59">
      <w:pPr>
        <w:pStyle w:val="Heading3"/>
        <w:numPr>
          <w:ilvl w:val="0"/>
          <w:numId w:val="11"/>
        </w:numPr>
        <w:rPr>
          <w:rFonts w:cstheme="minorHAnsi"/>
        </w:rPr>
      </w:pPr>
      <w:bookmarkStart w:id="10" w:name="_Toc159866303"/>
      <w:r>
        <w:rPr>
          <w:rFonts w:cstheme="minorHAnsi"/>
          <w:b/>
          <w:bCs/>
        </w:rPr>
        <w:t xml:space="preserve">Fewer </w:t>
      </w:r>
      <w:r w:rsidR="008C664D" w:rsidRPr="00A83870">
        <w:rPr>
          <w:rFonts w:cstheme="minorHAnsi"/>
          <w:b/>
          <w:bCs/>
        </w:rPr>
        <w:t>Procedural Formalities</w:t>
      </w:r>
      <w:r w:rsidR="006F2A2F">
        <w:rPr>
          <w:rFonts w:cstheme="minorHAnsi"/>
          <w:b/>
          <w:bCs/>
        </w:rPr>
        <w:t xml:space="preserve"> and </w:t>
      </w:r>
      <w:r>
        <w:rPr>
          <w:rFonts w:cstheme="minorHAnsi"/>
          <w:b/>
          <w:bCs/>
        </w:rPr>
        <w:t xml:space="preserve">Shorter </w:t>
      </w:r>
      <w:r w:rsidR="008C664D" w:rsidRPr="00A83870">
        <w:rPr>
          <w:rFonts w:cstheme="minorHAnsi"/>
          <w:b/>
          <w:bCs/>
        </w:rPr>
        <w:t>Deadlines</w:t>
      </w:r>
      <w:bookmarkEnd w:id="10"/>
      <w:r w:rsidR="005A46EA">
        <w:rPr>
          <w:rFonts w:cstheme="minorHAnsi"/>
          <w:b/>
          <w:bCs/>
        </w:rPr>
        <w:t xml:space="preserve"> </w:t>
      </w:r>
    </w:p>
    <w:p w14:paraId="4DD8F091" w14:textId="77777777" w:rsidR="00642A59" w:rsidRDefault="00642A59" w:rsidP="00642A59">
      <w:pPr>
        <w:pStyle w:val="Heading3"/>
        <w:rPr>
          <w:rFonts w:cstheme="minorHAnsi"/>
        </w:rPr>
      </w:pPr>
    </w:p>
    <w:p w14:paraId="71866755" w14:textId="3DA87F40" w:rsidR="00B51E8E" w:rsidRPr="0007367B" w:rsidRDefault="0007367B" w:rsidP="00132582">
      <w:pPr>
        <w:spacing w:line="360" w:lineRule="auto"/>
        <w:rPr>
          <w:rFonts w:cstheme="minorHAnsi"/>
        </w:rPr>
      </w:pPr>
      <w:r>
        <w:rPr>
          <w:rFonts w:cstheme="minorHAnsi"/>
        </w:rPr>
        <w:t>The three jurisdictions reduce formalities</w:t>
      </w:r>
      <w:r w:rsidR="00755CA8">
        <w:rPr>
          <w:rFonts w:cstheme="minorHAnsi"/>
        </w:rPr>
        <w:t xml:space="preserve">, </w:t>
      </w:r>
      <w:r>
        <w:rPr>
          <w:rFonts w:cstheme="minorHAnsi"/>
        </w:rPr>
        <w:t>shorten deadlines</w:t>
      </w:r>
      <w:r w:rsidR="001E18BD">
        <w:rPr>
          <w:rFonts w:cstheme="minorHAnsi"/>
        </w:rPr>
        <w:t>,</w:t>
      </w:r>
      <w:r w:rsidR="00755CA8">
        <w:rPr>
          <w:rFonts w:cstheme="minorHAnsi"/>
        </w:rPr>
        <w:t xml:space="preserve"> and simplify notices. </w:t>
      </w:r>
      <w:r w:rsidR="006A5B8E">
        <w:rPr>
          <w:rFonts w:cstheme="minorHAnsi"/>
        </w:rPr>
        <w:t xml:space="preserve">In OHADA, the </w:t>
      </w:r>
      <w:r w:rsidR="004311AD">
        <w:rPr>
          <w:rFonts w:cstheme="minorHAnsi"/>
        </w:rPr>
        <w:t>debtor has 45 days</w:t>
      </w:r>
      <w:r w:rsidR="004A0A8C">
        <w:rPr>
          <w:rStyle w:val="FootnoteReference"/>
          <w:rFonts w:cstheme="minorHAnsi"/>
        </w:rPr>
        <w:footnoteReference w:id="67"/>
      </w:r>
      <w:r w:rsidR="004311AD">
        <w:rPr>
          <w:rFonts w:cstheme="minorHAnsi"/>
        </w:rPr>
        <w:t xml:space="preserve"> to file a reorganization plan instead of </w:t>
      </w:r>
      <w:r w:rsidR="004A0A8C">
        <w:rPr>
          <w:rFonts w:cstheme="minorHAnsi"/>
        </w:rPr>
        <w:t>60 days</w:t>
      </w:r>
      <w:r w:rsidR="001E18BD">
        <w:rPr>
          <w:rFonts w:cstheme="minorHAnsi"/>
        </w:rPr>
        <w:t xml:space="preserve"> after opening a procedure</w:t>
      </w:r>
      <w:r w:rsidR="004A0A8C">
        <w:rPr>
          <w:rFonts w:cstheme="minorHAnsi"/>
        </w:rPr>
        <w:t>.</w:t>
      </w:r>
      <w:r w:rsidR="00DF0B14">
        <w:rPr>
          <w:rStyle w:val="FootnoteReference"/>
          <w:rFonts w:cstheme="minorHAnsi"/>
        </w:rPr>
        <w:footnoteReference w:id="68"/>
      </w:r>
      <w:r w:rsidR="00B756C1">
        <w:rPr>
          <w:rFonts w:cstheme="minorHAnsi"/>
        </w:rPr>
        <w:t xml:space="preserve"> </w:t>
      </w:r>
      <w:r w:rsidR="00353A84">
        <w:rPr>
          <w:rFonts w:cstheme="minorHAnsi"/>
        </w:rPr>
        <w:t>The decision to use the simplified procedure cannot be appealed.</w:t>
      </w:r>
      <w:r w:rsidR="00353A84">
        <w:rPr>
          <w:rStyle w:val="FootnoteReference"/>
          <w:rFonts w:cstheme="minorHAnsi"/>
        </w:rPr>
        <w:footnoteReference w:id="69"/>
      </w:r>
      <w:r w:rsidR="00353A84">
        <w:rPr>
          <w:rFonts w:cstheme="minorHAnsi"/>
        </w:rPr>
        <w:t xml:space="preserve"> </w:t>
      </w:r>
      <w:r w:rsidR="00C54515">
        <w:rPr>
          <w:rFonts w:cstheme="minorHAnsi"/>
        </w:rPr>
        <w:t xml:space="preserve">As described below, the procedure to vote on the plan has also been </w:t>
      </w:r>
      <w:r w:rsidR="00CE6CDB">
        <w:rPr>
          <w:rFonts w:cstheme="minorHAnsi"/>
        </w:rPr>
        <w:t xml:space="preserve">adapted. </w:t>
      </w:r>
      <w:r w:rsidR="007C2A34">
        <w:rPr>
          <w:rFonts w:cstheme="minorHAnsi"/>
        </w:rPr>
        <w:t>Otherwise, all other normal procedures are in place</w:t>
      </w:r>
      <w:r w:rsidR="00C54515">
        <w:rPr>
          <w:rFonts w:cstheme="minorHAnsi"/>
        </w:rPr>
        <w:t xml:space="preserve">. </w:t>
      </w:r>
      <w:r w:rsidR="00A8641D">
        <w:rPr>
          <w:rFonts w:cstheme="minorHAnsi"/>
        </w:rPr>
        <w:t xml:space="preserve">Both the USA and Singapore </w:t>
      </w:r>
      <w:r w:rsidR="00BB7240">
        <w:rPr>
          <w:rFonts w:cstheme="minorHAnsi"/>
        </w:rPr>
        <w:t xml:space="preserve">have reduced formalities to a larger extent. </w:t>
      </w:r>
      <w:r w:rsidR="00B756C1">
        <w:rPr>
          <w:rFonts w:cstheme="minorHAnsi"/>
        </w:rPr>
        <w:t xml:space="preserve">In the USA, </w:t>
      </w:r>
      <w:r w:rsidR="00B51E8E">
        <w:rPr>
          <w:rFonts w:cstheme="minorHAnsi"/>
        </w:rPr>
        <w:t xml:space="preserve">there are </w:t>
      </w:r>
      <w:r w:rsidR="006F2A2F">
        <w:rPr>
          <w:rFonts w:cstheme="minorHAnsi"/>
        </w:rPr>
        <w:t>several</w:t>
      </w:r>
      <w:r w:rsidR="00B51E8E">
        <w:rPr>
          <w:rFonts w:cstheme="minorHAnsi"/>
        </w:rPr>
        <w:t xml:space="preserve"> </w:t>
      </w:r>
      <w:r w:rsidR="00810E32">
        <w:rPr>
          <w:rFonts w:cstheme="minorHAnsi"/>
        </w:rPr>
        <w:t>procedures which have been shortened or removed under the simplified framework</w:t>
      </w:r>
      <w:r w:rsidR="00AD3469">
        <w:rPr>
          <w:rFonts w:cstheme="minorHAnsi"/>
        </w:rPr>
        <w:t xml:space="preserve">. </w:t>
      </w:r>
      <w:r w:rsidR="00810E32">
        <w:rPr>
          <w:rFonts w:cstheme="minorHAnsi"/>
        </w:rPr>
        <w:t xml:space="preserve">For example, </w:t>
      </w:r>
      <w:r w:rsidR="00B51E8E" w:rsidRPr="00B51E8E">
        <w:rPr>
          <w:rFonts w:cstheme="minorHAnsi"/>
        </w:rPr>
        <w:t>the</w:t>
      </w:r>
      <w:r w:rsidR="00810E32">
        <w:rPr>
          <w:rFonts w:cstheme="minorHAnsi"/>
        </w:rPr>
        <w:t>re is no</w:t>
      </w:r>
      <w:r w:rsidR="00B51E8E" w:rsidRPr="00B51E8E">
        <w:rPr>
          <w:rFonts w:cstheme="minorHAnsi"/>
        </w:rPr>
        <w:t xml:space="preserve"> appointment of an official committee of unsecured creditors.</w:t>
      </w:r>
      <w:r w:rsidR="00C94944">
        <w:rPr>
          <w:rFonts w:cstheme="minorHAnsi"/>
        </w:rPr>
        <w:t xml:space="preserve"> </w:t>
      </w:r>
      <w:r w:rsidR="00C94944">
        <w:t xml:space="preserve">Further, only the debtor can file a plan, not creditors. </w:t>
      </w:r>
      <w:r w:rsidR="00B016B9">
        <w:t xml:space="preserve">Lastly, </w:t>
      </w:r>
      <w:r w:rsidR="00BE2AC2">
        <w:t xml:space="preserve">a status conference needs to be held within 60 days of commencement and </w:t>
      </w:r>
      <w:r w:rsidR="00B016B9">
        <w:t xml:space="preserve">a plan needs to be filed within </w:t>
      </w:r>
      <w:r w:rsidR="00BE2AC2">
        <w:t>90 days</w:t>
      </w:r>
      <w:r w:rsidR="00E23518">
        <w:rPr>
          <w:rStyle w:val="FootnoteReference"/>
        </w:rPr>
        <w:footnoteReference w:id="70"/>
      </w:r>
      <w:r w:rsidR="005327A2">
        <w:t xml:space="preserve"> – </w:t>
      </w:r>
      <w:r w:rsidR="00665A42">
        <w:t xml:space="preserve">under </w:t>
      </w:r>
      <w:r w:rsidR="005327A2">
        <w:t xml:space="preserve">normal Chapter 11 cases </w:t>
      </w:r>
      <w:r w:rsidR="00665A42">
        <w:t xml:space="preserve">a plan needs </w:t>
      </w:r>
      <w:r w:rsidR="004C7920">
        <w:t xml:space="preserve">only </w:t>
      </w:r>
      <w:r w:rsidR="00665A42">
        <w:t>to be filed “</w:t>
      </w:r>
      <w:r w:rsidR="00665A42" w:rsidRPr="00665A42">
        <w:t>as soon as practicable</w:t>
      </w:r>
      <w:r w:rsidR="00665A42">
        <w:t>.”</w:t>
      </w:r>
      <w:r w:rsidR="00665A42">
        <w:rPr>
          <w:rStyle w:val="FootnoteReference"/>
        </w:rPr>
        <w:footnoteReference w:id="71"/>
      </w:r>
      <w:r w:rsidR="00BE2AC2">
        <w:t xml:space="preserve"> </w:t>
      </w:r>
      <w:r w:rsidR="006F2A2F">
        <w:t xml:space="preserve"> </w:t>
      </w:r>
      <w:r w:rsidR="00FC1A41">
        <w:rPr>
          <w:rFonts w:cstheme="minorHAnsi"/>
        </w:rPr>
        <w:t xml:space="preserve">With respect to Singapore, </w:t>
      </w:r>
      <w:r w:rsidR="00F311EA">
        <w:rPr>
          <w:rFonts w:cstheme="minorHAnsi"/>
        </w:rPr>
        <w:t xml:space="preserve">the plan must </w:t>
      </w:r>
      <w:r w:rsidR="0001704F">
        <w:rPr>
          <w:rFonts w:cstheme="minorHAnsi"/>
        </w:rPr>
        <w:t xml:space="preserve">also </w:t>
      </w:r>
      <w:r w:rsidR="00F311EA">
        <w:rPr>
          <w:rFonts w:cstheme="minorHAnsi"/>
        </w:rPr>
        <w:t xml:space="preserve">be adopted within </w:t>
      </w:r>
      <w:r w:rsidR="0001704F">
        <w:rPr>
          <w:rFonts w:cstheme="minorHAnsi"/>
        </w:rPr>
        <w:t>90 days after commencement.</w:t>
      </w:r>
      <w:r w:rsidR="0001704F">
        <w:rPr>
          <w:rStyle w:val="FootnoteReference"/>
          <w:rFonts w:cstheme="minorHAnsi"/>
        </w:rPr>
        <w:footnoteReference w:id="72"/>
      </w:r>
      <w:r w:rsidR="000A465F">
        <w:rPr>
          <w:rFonts w:cstheme="minorHAnsi"/>
        </w:rPr>
        <w:t xml:space="preserve"> </w:t>
      </w:r>
    </w:p>
    <w:p w14:paraId="4A94280E" w14:textId="2CA24224" w:rsidR="00F20B7F" w:rsidRDefault="008C664D" w:rsidP="00F20B7F">
      <w:pPr>
        <w:pStyle w:val="Heading3"/>
        <w:numPr>
          <w:ilvl w:val="0"/>
          <w:numId w:val="11"/>
        </w:numPr>
        <w:rPr>
          <w:rFonts w:cstheme="minorHAnsi"/>
        </w:rPr>
      </w:pPr>
      <w:bookmarkStart w:id="11" w:name="_Toc159866304"/>
      <w:r w:rsidRPr="00A83870">
        <w:rPr>
          <w:rFonts w:cstheme="minorHAnsi"/>
          <w:b/>
          <w:bCs/>
        </w:rPr>
        <w:lastRenderedPageBreak/>
        <w:t>Role of the Debtor</w:t>
      </w:r>
      <w:bookmarkEnd w:id="11"/>
    </w:p>
    <w:p w14:paraId="6FD8A298" w14:textId="77777777" w:rsidR="00F20B7F" w:rsidRDefault="00F20B7F" w:rsidP="00F20B7F">
      <w:pPr>
        <w:pStyle w:val="Heading3"/>
        <w:rPr>
          <w:rFonts w:cstheme="minorHAnsi"/>
          <w:b/>
          <w:bCs/>
        </w:rPr>
      </w:pPr>
    </w:p>
    <w:p w14:paraId="0EE492BB" w14:textId="2BE2FB31" w:rsidR="00125DE6" w:rsidRDefault="008508BB" w:rsidP="00132582">
      <w:pPr>
        <w:spacing w:line="360" w:lineRule="auto"/>
        <w:rPr>
          <w:rFonts w:cstheme="minorHAnsi"/>
        </w:rPr>
      </w:pPr>
      <w:r>
        <w:rPr>
          <w:rFonts w:cstheme="minorHAnsi"/>
        </w:rPr>
        <w:t xml:space="preserve">In all jurisdictions, </w:t>
      </w:r>
      <w:r w:rsidR="00E149D1">
        <w:rPr>
          <w:rFonts w:cstheme="minorHAnsi"/>
        </w:rPr>
        <w:t xml:space="preserve">the </w:t>
      </w:r>
      <w:r w:rsidR="009824C0">
        <w:rPr>
          <w:rFonts w:cstheme="minorHAnsi"/>
        </w:rPr>
        <w:t xml:space="preserve">default position is that the </w:t>
      </w:r>
      <w:r w:rsidR="00E149D1">
        <w:rPr>
          <w:rFonts w:cstheme="minorHAnsi"/>
        </w:rPr>
        <w:t xml:space="preserve">MSE debtor remains in control of the company with </w:t>
      </w:r>
      <w:r w:rsidR="008372DF">
        <w:rPr>
          <w:rFonts w:cstheme="minorHAnsi"/>
        </w:rPr>
        <w:t>varying degrees of</w:t>
      </w:r>
      <w:r w:rsidR="00E149D1">
        <w:rPr>
          <w:rFonts w:cstheme="minorHAnsi"/>
        </w:rPr>
        <w:t xml:space="preserve"> assistance </w:t>
      </w:r>
      <w:r w:rsidR="008372DF">
        <w:rPr>
          <w:rFonts w:cstheme="minorHAnsi"/>
        </w:rPr>
        <w:t>from</w:t>
      </w:r>
      <w:r w:rsidR="00E149D1">
        <w:rPr>
          <w:rFonts w:cstheme="minorHAnsi"/>
        </w:rPr>
        <w:t xml:space="preserve"> an insolvency administrator. </w:t>
      </w:r>
      <w:r w:rsidR="00856B13">
        <w:rPr>
          <w:rFonts w:cstheme="minorHAnsi"/>
        </w:rPr>
        <w:t xml:space="preserve">In OHADA, the debtor </w:t>
      </w:r>
      <w:r w:rsidR="000546B9">
        <w:rPr>
          <w:rFonts w:cstheme="minorHAnsi"/>
        </w:rPr>
        <w:t>remains in place to carry out usual daily management activities</w:t>
      </w:r>
      <w:r w:rsidR="006A6EE1">
        <w:rPr>
          <w:rFonts w:cstheme="minorHAnsi"/>
        </w:rPr>
        <w:t xml:space="preserve"> and reports to the insolvency administrator.</w:t>
      </w:r>
      <w:r w:rsidR="006A6EE1">
        <w:rPr>
          <w:rStyle w:val="FootnoteReference"/>
          <w:rFonts w:cstheme="minorHAnsi"/>
        </w:rPr>
        <w:footnoteReference w:id="73"/>
      </w:r>
      <w:r w:rsidR="00FF76BC">
        <w:rPr>
          <w:rFonts w:cstheme="minorHAnsi"/>
        </w:rPr>
        <w:t xml:space="preserve"> </w:t>
      </w:r>
      <w:r w:rsidR="005957CE">
        <w:rPr>
          <w:rFonts w:cstheme="minorHAnsi"/>
        </w:rPr>
        <w:t>However, the role of the insolvency administrator is extensive. For example,</w:t>
      </w:r>
      <w:r w:rsidR="00FF76BC">
        <w:rPr>
          <w:rFonts w:cstheme="minorHAnsi"/>
        </w:rPr>
        <w:t xml:space="preserve"> the debtor must </w:t>
      </w:r>
      <w:r w:rsidR="00492087">
        <w:rPr>
          <w:rFonts w:cstheme="minorHAnsi"/>
        </w:rPr>
        <w:t>provide the insolvency administrator with all books and records</w:t>
      </w:r>
      <w:r w:rsidR="00351257">
        <w:rPr>
          <w:rFonts w:cstheme="minorHAnsi"/>
        </w:rPr>
        <w:t>,</w:t>
      </w:r>
      <w:r w:rsidR="00492087">
        <w:rPr>
          <w:rStyle w:val="FootnoteReference"/>
          <w:rFonts w:cstheme="minorHAnsi"/>
        </w:rPr>
        <w:footnoteReference w:id="74"/>
      </w:r>
      <w:r w:rsidR="00351257">
        <w:rPr>
          <w:rFonts w:cstheme="minorHAnsi"/>
        </w:rPr>
        <w:t xml:space="preserve"> </w:t>
      </w:r>
      <w:r w:rsidR="00D11B7E">
        <w:rPr>
          <w:rFonts w:cstheme="minorHAnsi"/>
        </w:rPr>
        <w:t xml:space="preserve">receive all </w:t>
      </w:r>
      <w:r w:rsidR="009C1F52">
        <w:rPr>
          <w:rFonts w:cstheme="minorHAnsi"/>
        </w:rPr>
        <w:t>mail and e-mail of the debtor</w:t>
      </w:r>
      <w:r w:rsidR="00D11B7E">
        <w:rPr>
          <w:rFonts w:cstheme="minorHAnsi"/>
        </w:rPr>
        <w:t xml:space="preserve">, </w:t>
      </w:r>
      <w:r w:rsidR="00FE29C9">
        <w:rPr>
          <w:rFonts w:cstheme="minorHAnsi"/>
        </w:rPr>
        <w:t>take inventory over the debtor’s estate</w:t>
      </w:r>
      <w:r w:rsidR="00FE29C9">
        <w:rPr>
          <w:rStyle w:val="FootnoteReference"/>
          <w:rFonts w:cstheme="minorHAnsi"/>
        </w:rPr>
        <w:footnoteReference w:id="75"/>
      </w:r>
      <w:r w:rsidR="00351257">
        <w:rPr>
          <w:rFonts w:cstheme="minorHAnsi"/>
        </w:rPr>
        <w:t xml:space="preserve"> and prepare many reports.</w:t>
      </w:r>
      <w:r w:rsidR="00351257">
        <w:rPr>
          <w:rStyle w:val="FootnoteReference"/>
          <w:rFonts w:cstheme="minorHAnsi"/>
        </w:rPr>
        <w:footnoteReference w:id="76"/>
      </w:r>
      <w:r w:rsidR="00875E39">
        <w:rPr>
          <w:rFonts w:cstheme="minorHAnsi"/>
        </w:rPr>
        <w:t xml:space="preserve"> </w:t>
      </w:r>
      <w:r w:rsidR="00236E14">
        <w:rPr>
          <w:rFonts w:cstheme="minorHAnsi"/>
        </w:rPr>
        <w:t xml:space="preserve">Under the Singapore Act, the restructuring advisor is appointed to assist the debtor </w:t>
      </w:r>
      <w:r w:rsidR="00236E14" w:rsidRPr="00361623">
        <w:rPr>
          <w:rFonts w:cstheme="minorHAnsi"/>
        </w:rPr>
        <w:t xml:space="preserve">in </w:t>
      </w:r>
      <w:r w:rsidR="00236E14">
        <w:rPr>
          <w:rFonts w:cstheme="minorHAnsi"/>
        </w:rPr>
        <w:t xml:space="preserve">negotiating a reorganization plan with creditors; </w:t>
      </w:r>
      <w:r w:rsidR="00236E14" w:rsidRPr="00361623">
        <w:rPr>
          <w:rFonts w:cstheme="minorHAnsi"/>
        </w:rPr>
        <w:t xml:space="preserve">seek </w:t>
      </w:r>
      <w:r w:rsidR="00236E14">
        <w:rPr>
          <w:rFonts w:cstheme="minorHAnsi"/>
        </w:rPr>
        <w:t xml:space="preserve">agreement on the plan from </w:t>
      </w:r>
      <w:r w:rsidR="00236E14" w:rsidRPr="00361623">
        <w:rPr>
          <w:rFonts w:cstheme="minorHAnsi"/>
        </w:rPr>
        <w:t xml:space="preserve">the creditors; and </w:t>
      </w:r>
      <w:r w:rsidR="00236E14">
        <w:rPr>
          <w:rFonts w:cstheme="minorHAnsi"/>
        </w:rPr>
        <w:t xml:space="preserve">if it meets the criteria, make an application for </w:t>
      </w:r>
      <w:r w:rsidR="00236E14" w:rsidRPr="00361623">
        <w:rPr>
          <w:rFonts w:cstheme="minorHAnsi"/>
        </w:rPr>
        <w:t xml:space="preserve">court </w:t>
      </w:r>
      <w:r w:rsidR="00236E14">
        <w:rPr>
          <w:rFonts w:cstheme="minorHAnsi"/>
        </w:rPr>
        <w:t xml:space="preserve">approval </w:t>
      </w:r>
      <w:r w:rsidR="00236E14" w:rsidRPr="00361623">
        <w:rPr>
          <w:rFonts w:cstheme="minorHAnsi"/>
        </w:rPr>
        <w:t xml:space="preserve">of the </w:t>
      </w:r>
      <w:r w:rsidR="00236E14">
        <w:rPr>
          <w:rFonts w:cstheme="minorHAnsi"/>
        </w:rPr>
        <w:t>plan.</w:t>
      </w:r>
      <w:r w:rsidR="00236E14">
        <w:rPr>
          <w:rStyle w:val="FootnoteReference"/>
          <w:rFonts w:cstheme="minorHAnsi"/>
        </w:rPr>
        <w:footnoteReference w:id="77"/>
      </w:r>
      <w:r w:rsidR="00236E14">
        <w:rPr>
          <w:rFonts w:cstheme="minorHAnsi"/>
        </w:rPr>
        <w:t xml:space="preserve"> </w:t>
      </w:r>
      <w:r w:rsidR="003009B3">
        <w:rPr>
          <w:rFonts w:cstheme="minorHAnsi"/>
        </w:rPr>
        <w:t>In the USA, the debtor remains in possession</w:t>
      </w:r>
      <w:r w:rsidR="003009B3">
        <w:rPr>
          <w:rStyle w:val="FootnoteReference"/>
          <w:rFonts w:cstheme="minorHAnsi"/>
        </w:rPr>
        <w:footnoteReference w:id="78"/>
      </w:r>
      <w:r w:rsidR="003009B3">
        <w:rPr>
          <w:rFonts w:cstheme="minorHAnsi"/>
        </w:rPr>
        <w:t xml:space="preserve"> and the key role of the subchapter V trustee is to facilitate the process to develop consensual reorganization plan, operate the business if the debtor is  removed and monitor the payments under the plan.</w:t>
      </w:r>
      <w:r w:rsidR="003009B3">
        <w:rPr>
          <w:rStyle w:val="FootnoteReference"/>
          <w:rFonts w:cstheme="minorHAnsi"/>
        </w:rPr>
        <w:footnoteReference w:id="79"/>
      </w:r>
      <w:r w:rsidR="003009B3">
        <w:rPr>
          <w:rFonts w:cstheme="minorHAnsi"/>
        </w:rPr>
        <w:t xml:space="preserve"> </w:t>
      </w:r>
    </w:p>
    <w:p w14:paraId="010ACFC0" w14:textId="7DDF1A61" w:rsidR="004902DE" w:rsidRPr="004902DE" w:rsidRDefault="008C664D" w:rsidP="004902DE">
      <w:pPr>
        <w:pStyle w:val="Heading3"/>
        <w:numPr>
          <w:ilvl w:val="0"/>
          <w:numId w:val="11"/>
        </w:numPr>
        <w:rPr>
          <w:rFonts w:cstheme="minorHAnsi"/>
          <w:b/>
          <w:bCs/>
        </w:rPr>
      </w:pPr>
      <w:bookmarkStart w:id="12" w:name="_Toc159866305"/>
      <w:r w:rsidRPr="00A83870">
        <w:rPr>
          <w:rFonts w:cstheme="minorHAnsi"/>
          <w:b/>
          <w:bCs/>
        </w:rPr>
        <w:t>Voting</w:t>
      </w:r>
      <w:r w:rsidR="004D2325">
        <w:rPr>
          <w:rFonts w:cstheme="minorHAnsi"/>
          <w:b/>
          <w:bCs/>
        </w:rPr>
        <w:t xml:space="preserve"> on a Plan</w:t>
      </w:r>
      <w:r w:rsidR="00F86042">
        <w:rPr>
          <w:rFonts w:cstheme="minorHAnsi"/>
          <w:b/>
          <w:bCs/>
        </w:rPr>
        <w:t xml:space="preserve"> &amp; Creditors’ Claims</w:t>
      </w:r>
      <w:bookmarkEnd w:id="12"/>
    </w:p>
    <w:p w14:paraId="5CD0F13C" w14:textId="77777777" w:rsidR="004902DE" w:rsidRDefault="004902DE" w:rsidP="004902DE">
      <w:pPr>
        <w:pStyle w:val="Heading3"/>
        <w:rPr>
          <w:rFonts w:cstheme="minorHAnsi"/>
        </w:rPr>
      </w:pPr>
    </w:p>
    <w:p w14:paraId="70614E9A" w14:textId="046BD364" w:rsidR="004A7A0F" w:rsidRDefault="005E5FAF" w:rsidP="00132582">
      <w:pPr>
        <w:spacing w:line="360" w:lineRule="auto"/>
      </w:pPr>
      <w:r>
        <w:t xml:space="preserve">The ICR Standard recommends </w:t>
      </w:r>
      <w:r w:rsidR="00244B47">
        <w:t>establishing simplified voting mechanisms and</w:t>
      </w:r>
      <w:r w:rsidR="00E6383B">
        <w:t>, to combat credit</w:t>
      </w:r>
      <w:r w:rsidR="009E750F">
        <w:t>or</w:t>
      </w:r>
      <w:r w:rsidR="00E6383B">
        <w:t xml:space="preserve"> passivity,</w:t>
      </w:r>
      <w:r w:rsidR="00244B47">
        <w:t xml:space="preserve"> </w:t>
      </w:r>
      <w:r>
        <w:t xml:space="preserve">that </w:t>
      </w:r>
      <w:r w:rsidR="0023780B">
        <w:t>silence or lack of negative vote</w:t>
      </w:r>
      <w:r w:rsidR="00EB2D68">
        <w:t xml:space="preserve"> of a creditor</w:t>
      </w:r>
      <w:r w:rsidR="0023780B">
        <w:t xml:space="preserve"> on </w:t>
      </w:r>
      <w:r w:rsidR="002B4188">
        <w:t xml:space="preserve">a duly notified </w:t>
      </w:r>
      <w:r w:rsidR="0023780B">
        <w:t>plan is counted as an affirmative vote.</w:t>
      </w:r>
      <w:r w:rsidR="00EB5F6E">
        <w:t xml:space="preserve"> </w:t>
      </w:r>
      <w:r w:rsidR="00681767">
        <w:t>Further, the method of submission of creditors’ claims should also be simplified.</w:t>
      </w:r>
      <w:r w:rsidR="002E470C">
        <w:t xml:space="preserve"> Both issues </w:t>
      </w:r>
      <w:r w:rsidR="00CA3A73">
        <w:t>are</w:t>
      </w:r>
      <w:r w:rsidR="002E470C">
        <w:t xml:space="preserve"> discussed below.</w:t>
      </w:r>
    </w:p>
    <w:p w14:paraId="7056A54E" w14:textId="100879B6" w:rsidR="00D86A9A" w:rsidRDefault="004721A2" w:rsidP="00132582">
      <w:pPr>
        <w:pStyle w:val="Default"/>
        <w:spacing w:line="360" w:lineRule="auto"/>
        <w:rPr>
          <w:rFonts w:asciiTheme="minorHAnsi" w:hAnsiTheme="minorHAnsi" w:cstheme="minorHAnsi"/>
          <w:sz w:val="23"/>
          <w:szCs w:val="23"/>
        </w:rPr>
      </w:pPr>
      <w:r w:rsidRPr="00305096">
        <w:rPr>
          <w:rFonts w:asciiTheme="minorHAnsi" w:hAnsiTheme="minorHAnsi" w:cstheme="minorHAnsi"/>
          <w:sz w:val="23"/>
          <w:szCs w:val="23"/>
        </w:rPr>
        <w:t xml:space="preserve">With respect to OHADA, </w:t>
      </w:r>
      <w:r w:rsidR="00DA5C53">
        <w:rPr>
          <w:rFonts w:asciiTheme="minorHAnsi" w:hAnsiTheme="minorHAnsi" w:cstheme="minorHAnsi"/>
          <w:sz w:val="23"/>
          <w:szCs w:val="23"/>
        </w:rPr>
        <w:t xml:space="preserve">although the process is simplified from the regular plan voting mechanism, </w:t>
      </w:r>
      <w:r w:rsidR="000D76E8" w:rsidRPr="00305096">
        <w:rPr>
          <w:rFonts w:asciiTheme="minorHAnsi" w:hAnsiTheme="minorHAnsi" w:cstheme="minorHAnsi"/>
          <w:sz w:val="23"/>
          <w:szCs w:val="23"/>
        </w:rPr>
        <w:t xml:space="preserve">there is no </w:t>
      </w:r>
      <w:r w:rsidR="00F570C3">
        <w:rPr>
          <w:rFonts w:asciiTheme="minorHAnsi" w:hAnsiTheme="minorHAnsi" w:cstheme="minorHAnsi"/>
          <w:sz w:val="23"/>
          <w:szCs w:val="23"/>
        </w:rPr>
        <w:t xml:space="preserve">cram down or </w:t>
      </w:r>
      <w:r w:rsidR="000D76E8" w:rsidRPr="00305096">
        <w:rPr>
          <w:rFonts w:asciiTheme="minorHAnsi" w:hAnsiTheme="minorHAnsi" w:cstheme="minorHAnsi"/>
          <w:sz w:val="23"/>
          <w:szCs w:val="23"/>
        </w:rPr>
        <w:t>deemed approval mechanism</w:t>
      </w:r>
      <w:r w:rsidR="00F570C3">
        <w:rPr>
          <w:rFonts w:asciiTheme="minorHAnsi" w:hAnsiTheme="minorHAnsi" w:cstheme="minorHAnsi"/>
          <w:sz w:val="23"/>
          <w:szCs w:val="23"/>
        </w:rPr>
        <w:t>s</w:t>
      </w:r>
      <w:r w:rsidR="00D215BF">
        <w:rPr>
          <w:rFonts w:asciiTheme="minorHAnsi" w:hAnsiTheme="minorHAnsi" w:cstheme="minorHAnsi"/>
          <w:sz w:val="23"/>
          <w:szCs w:val="23"/>
        </w:rPr>
        <w:t>.</w:t>
      </w:r>
      <w:r w:rsidR="002A252C">
        <w:rPr>
          <w:rFonts w:asciiTheme="minorHAnsi" w:hAnsiTheme="minorHAnsi" w:cstheme="minorHAnsi"/>
          <w:sz w:val="23"/>
          <w:szCs w:val="23"/>
        </w:rPr>
        <w:t xml:space="preserve"> </w:t>
      </w:r>
      <w:r w:rsidR="004B486B">
        <w:rPr>
          <w:rFonts w:asciiTheme="minorHAnsi" w:hAnsiTheme="minorHAnsi" w:cstheme="minorHAnsi"/>
          <w:sz w:val="23"/>
          <w:szCs w:val="23"/>
        </w:rPr>
        <w:t>In fact, it is the opposite, c</w:t>
      </w:r>
      <w:r w:rsidR="00F570C3">
        <w:rPr>
          <w:rFonts w:asciiTheme="minorHAnsi" w:hAnsiTheme="minorHAnsi" w:cstheme="minorHAnsi"/>
          <w:sz w:val="23"/>
          <w:szCs w:val="23"/>
        </w:rPr>
        <w:t>reditors’</w:t>
      </w:r>
      <w:r w:rsidR="002A252C">
        <w:rPr>
          <w:rFonts w:asciiTheme="minorHAnsi" w:hAnsiTheme="minorHAnsi" w:cstheme="minorHAnsi"/>
          <w:sz w:val="23"/>
          <w:szCs w:val="23"/>
        </w:rPr>
        <w:t xml:space="preserve"> silence means rejection rather than acceptance</w:t>
      </w:r>
      <w:r w:rsidR="000D76E8" w:rsidRPr="00305096">
        <w:rPr>
          <w:rFonts w:asciiTheme="minorHAnsi" w:hAnsiTheme="minorHAnsi" w:cstheme="minorHAnsi"/>
          <w:sz w:val="23"/>
          <w:szCs w:val="23"/>
        </w:rPr>
        <w:t>. T</w:t>
      </w:r>
      <w:r w:rsidR="00A925AC" w:rsidRPr="00305096">
        <w:rPr>
          <w:rFonts w:asciiTheme="minorHAnsi" w:hAnsiTheme="minorHAnsi" w:cstheme="minorHAnsi"/>
          <w:sz w:val="23"/>
          <w:szCs w:val="23"/>
        </w:rPr>
        <w:t xml:space="preserve">he plan must be </w:t>
      </w:r>
      <w:r w:rsidR="002E7645" w:rsidRPr="00305096">
        <w:rPr>
          <w:rFonts w:asciiTheme="minorHAnsi" w:hAnsiTheme="minorHAnsi" w:cstheme="minorHAnsi"/>
          <w:sz w:val="23"/>
          <w:szCs w:val="23"/>
        </w:rPr>
        <w:t>hand-delivered or sent by registered mail</w:t>
      </w:r>
      <w:r w:rsidR="00A925AC" w:rsidRPr="00305096">
        <w:rPr>
          <w:rFonts w:asciiTheme="minorHAnsi" w:hAnsiTheme="minorHAnsi" w:cstheme="minorHAnsi"/>
          <w:sz w:val="23"/>
          <w:szCs w:val="23"/>
        </w:rPr>
        <w:t xml:space="preserve"> to each </w:t>
      </w:r>
      <w:r w:rsidR="002E7645" w:rsidRPr="00305096">
        <w:rPr>
          <w:rFonts w:asciiTheme="minorHAnsi" w:hAnsiTheme="minorHAnsi" w:cstheme="minorHAnsi"/>
          <w:sz w:val="23"/>
          <w:szCs w:val="23"/>
        </w:rPr>
        <w:t>creditor.</w:t>
      </w:r>
      <w:r w:rsidR="002E7645" w:rsidRPr="00305096">
        <w:rPr>
          <w:rStyle w:val="FootnoteReference"/>
          <w:rFonts w:asciiTheme="minorHAnsi" w:hAnsiTheme="minorHAnsi" w:cstheme="minorHAnsi"/>
          <w:sz w:val="23"/>
          <w:szCs w:val="23"/>
        </w:rPr>
        <w:footnoteReference w:id="80"/>
      </w:r>
      <w:r w:rsidR="000D76E8" w:rsidRPr="00305096">
        <w:rPr>
          <w:rFonts w:asciiTheme="minorHAnsi" w:hAnsiTheme="minorHAnsi" w:cstheme="minorHAnsi"/>
          <w:sz w:val="23"/>
          <w:szCs w:val="23"/>
        </w:rPr>
        <w:t xml:space="preserve"> </w:t>
      </w:r>
      <w:r w:rsidR="0020072F">
        <w:rPr>
          <w:rFonts w:asciiTheme="minorHAnsi" w:hAnsiTheme="minorHAnsi" w:cstheme="minorHAnsi"/>
          <w:sz w:val="23"/>
          <w:szCs w:val="23"/>
        </w:rPr>
        <w:t xml:space="preserve">The agreement of each </w:t>
      </w:r>
      <w:r w:rsidR="00141D4B">
        <w:rPr>
          <w:rFonts w:asciiTheme="minorHAnsi" w:hAnsiTheme="minorHAnsi" w:cstheme="minorHAnsi"/>
          <w:sz w:val="23"/>
          <w:szCs w:val="23"/>
        </w:rPr>
        <w:t xml:space="preserve">impaired </w:t>
      </w:r>
      <w:r w:rsidR="0020072F">
        <w:rPr>
          <w:rFonts w:asciiTheme="minorHAnsi" w:hAnsiTheme="minorHAnsi" w:cstheme="minorHAnsi"/>
          <w:sz w:val="23"/>
          <w:szCs w:val="23"/>
        </w:rPr>
        <w:t>creditor is required.</w:t>
      </w:r>
      <w:r w:rsidR="00403DFF">
        <w:rPr>
          <w:rFonts w:asciiTheme="minorHAnsi" w:hAnsiTheme="minorHAnsi" w:cstheme="minorHAnsi"/>
          <w:sz w:val="23"/>
          <w:szCs w:val="23"/>
        </w:rPr>
        <w:t xml:space="preserve"> If a creditor does not reply to the plan, </w:t>
      </w:r>
      <w:r w:rsidR="004E101E">
        <w:rPr>
          <w:rFonts w:asciiTheme="minorHAnsi" w:hAnsiTheme="minorHAnsi" w:cstheme="minorHAnsi"/>
          <w:sz w:val="23"/>
          <w:szCs w:val="23"/>
        </w:rPr>
        <w:t>they are counted as rejecting the plan.</w:t>
      </w:r>
      <w:r w:rsidR="00AE33A0">
        <w:rPr>
          <w:rFonts w:asciiTheme="minorHAnsi" w:hAnsiTheme="minorHAnsi" w:cstheme="minorHAnsi"/>
          <w:sz w:val="23"/>
          <w:szCs w:val="23"/>
        </w:rPr>
        <w:t xml:space="preserve"> </w:t>
      </w:r>
      <w:r w:rsidR="00EF3ACD">
        <w:rPr>
          <w:rFonts w:asciiTheme="minorHAnsi" w:hAnsiTheme="minorHAnsi" w:cstheme="minorHAnsi"/>
          <w:sz w:val="23"/>
          <w:szCs w:val="23"/>
        </w:rPr>
        <w:t xml:space="preserve">There is some </w:t>
      </w:r>
      <w:r w:rsidR="007E541F">
        <w:rPr>
          <w:rFonts w:asciiTheme="minorHAnsi" w:hAnsiTheme="minorHAnsi" w:cstheme="minorHAnsi"/>
          <w:sz w:val="23"/>
          <w:szCs w:val="23"/>
        </w:rPr>
        <w:t>ambiguity</w:t>
      </w:r>
      <w:r w:rsidR="00EF3ACD">
        <w:rPr>
          <w:rFonts w:asciiTheme="minorHAnsi" w:hAnsiTheme="minorHAnsi" w:cstheme="minorHAnsi"/>
          <w:sz w:val="23"/>
          <w:szCs w:val="23"/>
        </w:rPr>
        <w:t xml:space="preserve"> in the law whether </w:t>
      </w:r>
      <w:r w:rsidR="00547D5C">
        <w:rPr>
          <w:rFonts w:asciiTheme="minorHAnsi" w:hAnsiTheme="minorHAnsi" w:cstheme="minorHAnsi"/>
          <w:sz w:val="23"/>
          <w:szCs w:val="23"/>
        </w:rPr>
        <w:t xml:space="preserve">the court may decide to confirm a plan </w:t>
      </w:r>
      <w:r w:rsidR="00EF3ACD">
        <w:rPr>
          <w:rFonts w:asciiTheme="minorHAnsi" w:hAnsiTheme="minorHAnsi" w:cstheme="minorHAnsi"/>
          <w:sz w:val="23"/>
          <w:szCs w:val="23"/>
        </w:rPr>
        <w:t>even though creditors have rejected it</w:t>
      </w:r>
      <w:r w:rsidR="002620C5">
        <w:rPr>
          <w:rFonts w:asciiTheme="minorHAnsi" w:hAnsiTheme="minorHAnsi" w:cstheme="minorHAnsi"/>
          <w:sz w:val="23"/>
          <w:szCs w:val="23"/>
        </w:rPr>
        <w:t xml:space="preserve">. For the final confirmation of the plan, the court reviews </w:t>
      </w:r>
      <w:r w:rsidR="0041535B">
        <w:rPr>
          <w:rFonts w:asciiTheme="minorHAnsi" w:hAnsiTheme="minorHAnsi" w:cstheme="minorHAnsi"/>
          <w:sz w:val="23"/>
          <w:szCs w:val="23"/>
        </w:rPr>
        <w:t>all</w:t>
      </w:r>
      <w:r w:rsidR="002620C5">
        <w:rPr>
          <w:rFonts w:asciiTheme="minorHAnsi" w:hAnsiTheme="minorHAnsi" w:cstheme="minorHAnsi"/>
          <w:sz w:val="23"/>
          <w:szCs w:val="23"/>
        </w:rPr>
        <w:t xml:space="preserve"> the creditors’ responses</w:t>
      </w:r>
      <w:r w:rsidR="00261CE3">
        <w:rPr>
          <w:rFonts w:asciiTheme="minorHAnsi" w:hAnsiTheme="minorHAnsi" w:cstheme="minorHAnsi"/>
          <w:sz w:val="23"/>
          <w:szCs w:val="23"/>
        </w:rPr>
        <w:t xml:space="preserve"> and then “may give a ruling </w:t>
      </w:r>
      <w:r w:rsidR="00261CE3">
        <w:rPr>
          <w:rFonts w:asciiTheme="minorHAnsi" w:hAnsiTheme="minorHAnsi" w:cstheme="minorHAnsi"/>
          <w:sz w:val="23"/>
          <w:szCs w:val="23"/>
        </w:rPr>
        <w:lastRenderedPageBreak/>
        <w:t>on the confirmation…without creditors being called to vote.”</w:t>
      </w:r>
      <w:r w:rsidR="00261CE3">
        <w:rPr>
          <w:rStyle w:val="FootnoteReference"/>
          <w:rFonts w:asciiTheme="minorHAnsi" w:hAnsiTheme="minorHAnsi" w:cstheme="minorHAnsi"/>
          <w:sz w:val="23"/>
          <w:szCs w:val="23"/>
        </w:rPr>
        <w:footnoteReference w:id="81"/>
      </w:r>
      <w:r w:rsidR="00E10731">
        <w:rPr>
          <w:rFonts w:asciiTheme="minorHAnsi" w:hAnsiTheme="minorHAnsi" w:cstheme="minorHAnsi"/>
          <w:sz w:val="23"/>
          <w:szCs w:val="23"/>
        </w:rPr>
        <w:t xml:space="preserve"> </w:t>
      </w:r>
      <w:r w:rsidR="009C75D3">
        <w:rPr>
          <w:rFonts w:asciiTheme="minorHAnsi" w:hAnsiTheme="minorHAnsi" w:cstheme="minorHAnsi"/>
          <w:sz w:val="23"/>
          <w:szCs w:val="23"/>
        </w:rPr>
        <w:t xml:space="preserve">Creditors’ claims must be sent to the insolvency administrator within 60 days of </w:t>
      </w:r>
      <w:r w:rsidR="006E78FC">
        <w:rPr>
          <w:rFonts w:asciiTheme="minorHAnsi" w:hAnsiTheme="minorHAnsi" w:cstheme="minorHAnsi"/>
          <w:sz w:val="23"/>
          <w:szCs w:val="23"/>
        </w:rPr>
        <w:t>notification (in a newspaper) of the commencement. Claims must be sent by hand-delivery or registered mail – there is no provision for electronic communication.</w:t>
      </w:r>
      <w:r w:rsidR="006E78FC">
        <w:rPr>
          <w:rStyle w:val="FootnoteReference"/>
          <w:rFonts w:asciiTheme="minorHAnsi" w:hAnsiTheme="minorHAnsi" w:cstheme="minorHAnsi"/>
          <w:sz w:val="23"/>
          <w:szCs w:val="23"/>
        </w:rPr>
        <w:footnoteReference w:id="82"/>
      </w:r>
      <w:r w:rsidR="004B51FC">
        <w:rPr>
          <w:rFonts w:asciiTheme="minorHAnsi" w:hAnsiTheme="minorHAnsi" w:cstheme="minorHAnsi"/>
          <w:sz w:val="23"/>
          <w:szCs w:val="23"/>
        </w:rPr>
        <w:t xml:space="preserve"> It is unclear how </w:t>
      </w:r>
      <w:r w:rsidR="00F765E1">
        <w:rPr>
          <w:rFonts w:asciiTheme="minorHAnsi" w:hAnsiTheme="minorHAnsi" w:cstheme="minorHAnsi"/>
          <w:sz w:val="23"/>
          <w:szCs w:val="23"/>
        </w:rPr>
        <w:t>the plan can be filed within 45 days of opening of the procedure (as mention</w:t>
      </w:r>
      <w:r w:rsidR="00D91822">
        <w:rPr>
          <w:rFonts w:asciiTheme="minorHAnsi" w:hAnsiTheme="minorHAnsi" w:cstheme="minorHAnsi"/>
          <w:sz w:val="23"/>
          <w:szCs w:val="23"/>
        </w:rPr>
        <w:t>ed</w:t>
      </w:r>
      <w:r w:rsidR="00F765E1">
        <w:rPr>
          <w:rFonts w:asciiTheme="minorHAnsi" w:hAnsiTheme="minorHAnsi" w:cstheme="minorHAnsi"/>
          <w:sz w:val="23"/>
          <w:szCs w:val="23"/>
        </w:rPr>
        <w:t xml:space="preserve"> above) if </w:t>
      </w:r>
      <w:r w:rsidR="00C15A8A">
        <w:rPr>
          <w:rFonts w:asciiTheme="minorHAnsi" w:hAnsiTheme="minorHAnsi" w:cstheme="minorHAnsi"/>
          <w:sz w:val="23"/>
          <w:szCs w:val="23"/>
        </w:rPr>
        <w:t xml:space="preserve">creditor claims must only be sent in 60 days after notification. </w:t>
      </w:r>
      <w:r w:rsidR="00970EDE">
        <w:rPr>
          <w:rFonts w:asciiTheme="minorHAnsi" w:hAnsiTheme="minorHAnsi" w:cstheme="minorHAnsi"/>
          <w:sz w:val="23"/>
          <w:szCs w:val="23"/>
        </w:rPr>
        <w:t>Presumably,</w:t>
      </w:r>
      <w:r w:rsidR="00C15A8A">
        <w:rPr>
          <w:rFonts w:asciiTheme="minorHAnsi" w:hAnsiTheme="minorHAnsi" w:cstheme="minorHAnsi"/>
          <w:sz w:val="23"/>
          <w:szCs w:val="23"/>
        </w:rPr>
        <w:t xml:space="preserve"> the plan is filed with the understanding that it includes all known creditors, but the law does not specify.</w:t>
      </w:r>
      <w:r w:rsidR="00D14025">
        <w:rPr>
          <w:rFonts w:asciiTheme="minorHAnsi" w:hAnsiTheme="minorHAnsi" w:cstheme="minorHAnsi"/>
          <w:sz w:val="23"/>
          <w:szCs w:val="23"/>
        </w:rPr>
        <w:t xml:space="preserve"> </w:t>
      </w:r>
    </w:p>
    <w:p w14:paraId="1D5744D8" w14:textId="77777777" w:rsidR="004E101E" w:rsidRPr="00305096" w:rsidRDefault="004E101E" w:rsidP="00132582">
      <w:pPr>
        <w:pStyle w:val="Default"/>
        <w:spacing w:line="360" w:lineRule="auto"/>
        <w:rPr>
          <w:rFonts w:asciiTheme="minorHAnsi" w:hAnsiTheme="minorHAnsi" w:cstheme="minorHAnsi"/>
          <w:sz w:val="23"/>
          <w:szCs w:val="23"/>
        </w:rPr>
      </w:pPr>
    </w:p>
    <w:p w14:paraId="1FBE315E" w14:textId="16B2F262" w:rsidR="00832ABD" w:rsidRDefault="00832ABD" w:rsidP="00132582">
      <w:pPr>
        <w:spacing w:line="360" w:lineRule="auto"/>
        <w:rPr>
          <w:rFonts w:cstheme="minorHAnsi"/>
        </w:rPr>
      </w:pPr>
      <w:r>
        <w:rPr>
          <w:rFonts w:cstheme="minorHAnsi"/>
        </w:rPr>
        <w:t xml:space="preserve">In Singapore, </w:t>
      </w:r>
      <w:r w:rsidR="00E561D3">
        <w:rPr>
          <w:rFonts w:cstheme="minorHAnsi"/>
        </w:rPr>
        <w:t>the voting mechanism has been simplified</w:t>
      </w:r>
      <w:r w:rsidR="000F6ADE">
        <w:rPr>
          <w:rFonts w:cstheme="minorHAnsi"/>
        </w:rPr>
        <w:t xml:space="preserve">, which includes a </w:t>
      </w:r>
      <w:r w:rsidR="008558F1">
        <w:rPr>
          <w:rFonts w:cstheme="minorHAnsi"/>
        </w:rPr>
        <w:t xml:space="preserve">deemed approval mechanism. </w:t>
      </w:r>
      <w:r w:rsidR="00942B32">
        <w:rPr>
          <w:rFonts w:cstheme="minorHAnsi"/>
        </w:rPr>
        <w:t>The company must inform all creditors of the plan and how it may affect their rights</w:t>
      </w:r>
      <w:r w:rsidR="000A442D">
        <w:rPr>
          <w:rFonts w:cstheme="minorHAnsi"/>
        </w:rPr>
        <w:t>.</w:t>
      </w:r>
      <w:r w:rsidR="000A442D">
        <w:rPr>
          <w:rStyle w:val="FootnoteReference"/>
          <w:rFonts w:cstheme="minorHAnsi"/>
        </w:rPr>
        <w:footnoteReference w:id="83"/>
      </w:r>
      <w:r w:rsidR="000A442D">
        <w:rPr>
          <w:rFonts w:cstheme="minorHAnsi"/>
        </w:rPr>
        <w:t xml:space="preserve"> Creditors then can file an objection with the court. </w:t>
      </w:r>
      <w:r w:rsidR="00584D60">
        <w:rPr>
          <w:rFonts w:cstheme="minorHAnsi"/>
        </w:rPr>
        <w:t xml:space="preserve">Among other requirements, </w:t>
      </w:r>
      <w:r w:rsidR="00562FE4">
        <w:rPr>
          <w:rFonts w:cstheme="minorHAnsi"/>
        </w:rPr>
        <w:t xml:space="preserve">to approve the plan </w:t>
      </w:r>
      <w:r w:rsidR="00584D60">
        <w:rPr>
          <w:rFonts w:cstheme="minorHAnsi"/>
        </w:rPr>
        <w:t xml:space="preserve">the court must be </w:t>
      </w:r>
      <w:r w:rsidR="00584D60" w:rsidRPr="00584D60">
        <w:rPr>
          <w:rFonts w:cstheme="minorHAnsi"/>
        </w:rPr>
        <w:t xml:space="preserve">satisfied that </w:t>
      </w:r>
      <w:r w:rsidR="00584D60">
        <w:rPr>
          <w:rFonts w:cstheme="minorHAnsi"/>
        </w:rPr>
        <w:t>“</w:t>
      </w:r>
      <w:r w:rsidR="00584D60" w:rsidRPr="00584D60">
        <w:rPr>
          <w:rFonts w:cstheme="minorHAnsi"/>
        </w:rPr>
        <w:t>had a meeting of the creditors or</w:t>
      </w:r>
      <w:r w:rsidR="00584D60">
        <w:rPr>
          <w:rFonts w:cstheme="minorHAnsi"/>
        </w:rPr>
        <w:t xml:space="preserve"> </w:t>
      </w:r>
      <w:r w:rsidR="00584D60" w:rsidRPr="00584D60">
        <w:rPr>
          <w:rFonts w:cstheme="minorHAnsi"/>
        </w:rPr>
        <w:t>class of creditors been summoned, a majority of at least</w:t>
      </w:r>
      <w:r w:rsidR="00584D60">
        <w:rPr>
          <w:rFonts w:cstheme="minorHAnsi"/>
        </w:rPr>
        <w:t xml:space="preserve"> </w:t>
      </w:r>
      <w:r w:rsidR="00584D60" w:rsidRPr="00584D60">
        <w:rPr>
          <w:rFonts w:cstheme="minorHAnsi"/>
        </w:rPr>
        <w:t>two</w:t>
      </w:r>
      <w:r w:rsidR="00584D60" w:rsidRPr="00584D60">
        <w:rPr>
          <w:rFonts w:ascii="Cambria Math" w:hAnsi="Cambria Math" w:cs="Cambria Math"/>
        </w:rPr>
        <w:t>‑</w:t>
      </w:r>
      <w:r w:rsidR="00584D60" w:rsidRPr="00584D60">
        <w:rPr>
          <w:rFonts w:cstheme="minorHAnsi"/>
        </w:rPr>
        <w:t>thirds in value of the creditors or class of creditors,</w:t>
      </w:r>
      <w:r w:rsidR="00584D60">
        <w:rPr>
          <w:rFonts w:cstheme="minorHAnsi"/>
        </w:rPr>
        <w:t xml:space="preserve"> </w:t>
      </w:r>
      <w:r w:rsidR="00584D60" w:rsidRPr="00584D60">
        <w:rPr>
          <w:rFonts w:cstheme="minorHAnsi"/>
        </w:rPr>
        <w:t>present and voting either in person or by proxy at the</w:t>
      </w:r>
      <w:r w:rsidR="00584D60">
        <w:rPr>
          <w:rFonts w:cstheme="minorHAnsi"/>
        </w:rPr>
        <w:t xml:space="preserve"> </w:t>
      </w:r>
      <w:r w:rsidR="00584D60" w:rsidRPr="00584D60">
        <w:rPr>
          <w:rFonts w:cstheme="minorHAnsi"/>
        </w:rPr>
        <w:t>meeting or any adjourned meeting, would have voted in</w:t>
      </w:r>
      <w:r w:rsidR="00584D60">
        <w:rPr>
          <w:rFonts w:cstheme="minorHAnsi"/>
        </w:rPr>
        <w:t xml:space="preserve"> </w:t>
      </w:r>
      <w:r w:rsidR="00584D60" w:rsidRPr="00584D60">
        <w:rPr>
          <w:rFonts w:cstheme="minorHAnsi"/>
        </w:rPr>
        <w:t>favour</w:t>
      </w:r>
      <w:r w:rsidR="00584D60">
        <w:rPr>
          <w:rFonts w:cstheme="minorHAnsi"/>
        </w:rPr>
        <w:t>”</w:t>
      </w:r>
      <w:r w:rsidR="00584D60">
        <w:rPr>
          <w:rStyle w:val="FootnoteReference"/>
          <w:rFonts w:cstheme="minorHAnsi"/>
        </w:rPr>
        <w:footnoteReference w:id="84"/>
      </w:r>
      <w:r w:rsidR="00584D60">
        <w:rPr>
          <w:rFonts w:cstheme="minorHAnsi"/>
        </w:rPr>
        <w:t xml:space="preserve"> of the plan.</w:t>
      </w:r>
      <w:r w:rsidR="002741B6">
        <w:rPr>
          <w:rFonts w:cstheme="minorHAnsi"/>
        </w:rPr>
        <w:t xml:space="preserve"> The threshold of two-thirds is also lower than the normal </w:t>
      </w:r>
      <w:r w:rsidR="002741B6" w:rsidRPr="002741B6">
        <w:rPr>
          <w:rFonts w:cstheme="minorHAnsi"/>
        </w:rPr>
        <w:t>three-quarters in value of the creditors or class of creditors</w:t>
      </w:r>
      <w:r w:rsidR="002741B6">
        <w:rPr>
          <w:rFonts w:cstheme="minorHAnsi"/>
        </w:rPr>
        <w:t xml:space="preserve"> under the regular </w:t>
      </w:r>
      <w:r w:rsidR="00844367">
        <w:rPr>
          <w:rFonts w:cstheme="minorHAnsi"/>
        </w:rPr>
        <w:t>framework.</w:t>
      </w:r>
      <w:r w:rsidR="007C6A8B">
        <w:rPr>
          <w:rFonts w:cstheme="minorHAnsi"/>
        </w:rPr>
        <w:t xml:space="preserve"> </w:t>
      </w:r>
      <w:r w:rsidR="00E31D6F">
        <w:rPr>
          <w:rFonts w:cstheme="minorHAnsi"/>
        </w:rPr>
        <w:t xml:space="preserve">The creditors’ claims </w:t>
      </w:r>
      <w:r w:rsidR="001363A3">
        <w:rPr>
          <w:rFonts w:cstheme="minorHAnsi"/>
        </w:rPr>
        <w:t>procedure is also simplified as a</w:t>
      </w:r>
      <w:r w:rsidR="00E31D6F">
        <w:rPr>
          <w:rFonts w:cstheme="minorHAnsi"/>
        </w:rPr>
        <w:t xml:space="preserve"> list of </w:t>
      </w:r>
      <w:r w:rsidR="005E64A4">
        <w:rPr>
          <w:rFonts w:cstheme="minorHAnsi"/>
        </w:rPr>
        <w:t xml:space="preserve">claims are </w:t>
      </w:r>
      <w:r w:rsidR="00E31D6F">
        <w:rPr>
          <w:rFonts w:cstheme="minorHAnsi"/>
        </w:rPr>
        <w:t>provided by the debtor with the application for commencement.</w:t>
      </w:r>
      <w:r w:rsidR="001363A3">
        <w:rPr>
          <w:rStyle w:val="FootnoteReference"/>
          <w:rFonts w:cstheme="minorHAnsi"/>
        </w:rPr>
        <w:footnoteReference w:id="85"/>
      </w:r>
    </w:p>
    <w:p w14:paraId="4B625319" w14:textId="12FE412B" w:rsidR="00D86A9A" w:rsidRPr="00D86A9A" w:rsidRDefault="00D86A9A" w:rsidP="00132582">
      <w:pPr>
        <w:spacing w:line="360" w:lineRule="auto"/>
        <w:rPr>
          <w:sz w:val="23"/>
          <w:szCs w:val="23"/>
        </w:rPr>
      </w:pPr>
      <w:r>
        <w:t xml:space="preserve">In the USA, the plan approval process has been significantly simplified and there is a deemed approval mechanism. There are two methods of approval. With a consensual plan approval, all impaired classes accept the plan. Otherwise, it is non-consensual (i.e., cram-down) where the Court may confirm the plan </w:t>
      </w:r>
      <w:r>
        <w:rPr>
          <w:sz w:val="23"/>
          <w:szCs w:val="23"/>
        </w:rPr>
        <w:t>if is fair and equitable,</w:t>
      </w:r>
      <w:r>
        <w:rPr>
          <w:rStyle w:val="FootnoteReference"/>
          <w:sz w:val="23"/>
          <w:szCs w:val="23"/>
        </w:rPr>
        <w:footnoteReference w:id="86"/>
      </w:r>
      <w:r>
        <w:rPr>
          <w:sz w:val="23"/>
          <w:szCs w:val="23"/>
        </w:rPr>
        <w:t xml:space="preserve"> and it does not discriminate unfairly.</w:t>
      </w:r>
      <w:r>
        <w:rPr>
          <w:rStyle w:val="FootnoteReference"/>
          <w:sz w:val="23"/>
          <w:szCs w:val="23"/>
        </w:rPr>
        <w:footnoteReference w:id="87"/>
      </w:r>
      <w:r>
        <w:rPr>
          <w:sz w:val="23"/>
          <w:szCs w:val="23"/>
        </w:rPr>
        <w:t xml:space="preserve"> The non-consensual simplified approach significantly simplified the regular Chapter 11 approach where, for example, at least one impaired class must accept the plan.</w:t>
      </w:r>
      <w:r>
        <w:rPr>
          <w:rStyle w:val="FootnoteReference"/>
          <w:sz w:val="23"/>
          <w:szCs w:val="23"/>
        </w:rPr>
        <w:footnoteReference w:id="88"/>
      </w:r>
      <w:r>
        <w:rPr>
          <w:sz w:val="23"/>
          <w:szCs w:val="23"/>
        </w:rPr>
        <w:t xml:space="preserve"> The SBRA does not outline how voting on the plan is carried out. With respect to creditors’ claims, the debtor files the list of claims at the time of petition and the court sets the deadline for creditors to dispute the claims.</w:t>
      </w:r>
      <w:r>
        <w:rPr>
          <w:rStyle w:val="FootnoteReference"/>
          <w:sz w:val="23"/>
          <w:szCs w:val="23"/>
        </w:rPr>
        <w:footnoteReference w:id="89"/>
      </w:r>
      <w:r>
        <w:rPr>
          <w:sz w:val="23"/>
          <w:szCs w:val="23"/>
        </w:rPr>
        <w:t xml:space="preserve"> The trustee must also examine the </w:t>
      </w:r>
      <w:r>
        <w:rPr>
          <w:sz w:val="23"/>
          <w:szCs w:val="23"/>
        </w:rPr>
        <w:lastRenderedPageBreak/>
        <w:t>claims for any impropriety.</w:t>
      </w:r>
      <w:r>
        <w:rPr>
          <w:rStyle w:val="FootnoteReference"/>
          <w:sz w:val="23"/>
          <w:szCs w:val="23"/>
        </w:rPr>
        <w:footnoteReference w:id="90"/>
      </w:r>
      <w:r>
        <w:rPr>
          <w:sz w:val="23"/>
          <w:szCs w:val="23"/>
        </w:rPr>
        <w:t xml:space="preserve"> However, the US Trustee Handbook states that “[t]he trustee should bear in mind the goal of subchapter V to reduce expenses and not undertake work on claims that duplicates efforts by the debtor or holds no prospect of benefit to the case that would outweigh the administrative costs[.]”</w:t>
      </w:r>
      <w:r>
        <w:rPr>
          <w:rStyle w:val="FootnoteReference"/>
          <w:sz w:val="23"/>
          <w:szCs w:val="23"/>
        </w:rPr>
        <w:footnoteReference w:id="91"/>
      </w:r>
      <w:r>
        <w:rPr>
          <w:sz w:val="23"/>
          <w:szCs w:val="23"/>
        </w:rPr>
        <w:t xml:space="preserve"> </w:t>
      </w:r>
    </w:p>
    <w:p w14:paraId="698A2408" w14:textId="152C4E2B" w:rsidR="008C664D" w:rsidRDefault="008C664D" w:rsidP="00F804A9">
      <w:pPr>
        <w:pStyle w:val="Heading3"/>
        <w:numPr>
          <w:ilvl w:val="0"/>
          <w:numId w:val="11"/>
        </w:numPr>
        <w:rPr>
          <w:rFonts w:cstheme="minorHAnsi"/>
        </w:rPr>
      </w:pPr>
      <w:bookmarkStart w:id="13" w:name="_Toc159866306"/>
      <w:r w:rsidRPr="00A83870">
        <w:rPr>
          <w:rFonts w:cstheme="minorHAnsi"/>
          <w:b/>
          <w:bCs/>
        </w:rPr>
        <w:t>Conversion</w:t>
      </w:r>
      <w:bookmarkEnd w:id="13"/>
    </w:p>
    <w:p w14:paraId="17871C2B" w14:textId="18280D63" w:rsidR="00FA7622" w:rsidRDefault="00FE2FE8" w:rsidP="00132582">
      <w:pPr>
        <w:spacing w:line="360" w:lineRule="auto"/>
        <w:rPr>
          <w:rFonts w:cstheme="minorHAnsi"/>
        </w:rPr>
      </w:pPr>
      <w:r>
        <w:rPr>
          <w:rFonts w:cstheme="minorHAnsi"/>
        </w:rPr>
        <w:br/>
      </w:r>
      <w:r w:rsidR="005A13D2">
        <w:rPr>
          <w:rFonts w:cstheme="minorHAnsi"/>
        </w:rPr>
        <w:t xml:space="preserve">Good practice recommends that </w:t>
      </w:r>
      <w:r w:rsidR="00B754E0">
        <w:rPr>
          <w:rFonts w:cstheme="minorHAnsi"/>
        </w:rPr>
        <w:t xml:space="preserve">the law </w:t>
      </w:r>
      <w:r>
        <w:rPr>
          <w:rFonts w:cstheme="minorHAnsi"/>
        </w:rPr>
        <w:t xml:space="preserve">specify that conversion can be done from simplified to ordinary </w:t>
      </w:r>
      <w:r w:rsidR="00DD1A4A">
        <w:rPr>
          <w:rFonts w:cstheme="minorHAnsi"/>
        </w:rPr>
        <w:t xml:space="preserve">procedures </w:t>
      </w:r>
      <w:r>
        <w:rPr>
          <w:rFonts w:cstheme="minorHAnsi"/>
        </w:rPr>
        <w:t xml:space="preserve">as well as from reorganization to liquidation and vice-versa. </w:t>
      </w:r>
      <w:r w:rsidR="00DD1A4A">
        <w:rPr>
          <w:rFonts w:cstheme="minorHAnsi"/>
        </w:rPr>
        <w:t xml:space="preserve">Further, that the effects of such conversion are clearly stated. </w:t>
      </w:r>
      <w:r w:rsidR="00FA7622">
        <w:rPr>
          <w:rFonts w:cstheme="minorHAnsi"/>
        </w:rPr>
        <w:t xml:space="preserve">None </w:t>
      </w:r>
      <w:r w:rsidR="005A13D2">
        <w:rPr>
          <w:rFonts w:cstheme="minorHAnsi"/>
        </w:rPr>
        <w:t xml:space="preserve">of the jurisdictions </w:t>
      </w:r>
      <w:r w:rsidR="00780D1A">
        <w:rPr>
          <w:rFonts w:cstheme="minorHAnsi"/>
        </w:rPr>
        <w:t xml:space="preserve">adhere to </w:t>
      </w:r>
      <w:r w:rsidR="002B6C14">
        <w:rPr>
          <w:rFonts w:cstheme="minorHAnsi"/>
        </w:rPr>
        <w:t>all</w:t>
      </w:r>
      <w:r w:rsidR="00780D1A">
        <w:rPr>
          <w:rFonts w:cstheme="minorHAnsi"/>
        </w:rPr>
        <w:t xml:space="preserve"> these recommendations.</w:t>
      </w:r>
    </w:p>
    <w:p w14:paraId="08D9753C" w14:textId="1E085B39" w:rsidR="004417EF" w:rsidRDefault="004417EF" w:rsidP="00132582">
      <w:pPr>
        <w:spacing w:line="360" w:lineRule="auto"/>
        <w:rPr>
          <w:rFonts w:cstheme="minorHAnsi"/>
        </w:rPr>
      </w:pPr>
      <w:r>
        <w:rPr>
          <w:rFonts w:cstheme="minorHAnsi"/>
        </w:rPr>
        <w:t xml:space="preserve">Under the OHADA Act, </w:t>
      </w:r>
      <w:r w:rsidR="00C33510">
        <w:rPr>
          <w:rFonts w:cstheme="minorHAnsi"/>
        </w:rPr>
        <w:t xml:space="preserve">provisions on the conversion from reorganization and liquidation are contained in the regular procedure. The law </w:t>
      </w:r>
      <w:r w:rsidR="00EB72FC">
        <w:rPr>
          <w:rFonts w:cstheme="minorHAnsi"/>
        </w:rPr>
        <w:t>speci</w:t>
      </w:r>
      <w:r w:rsidR="0031135B">
        <w:rPr>
          <w:rFonts w:cstheme="minorHAnsi"/>
        </w:rPr>
        <w:t>fies</w:t>
      </w:r>
      <w:r w:rsidR="00EB72FC">
        <w:rPr>
          <w:rFonts w:cstheme="minorHAnsi"/>
        </w:rPr>
        <w:t xml:space="preserve"> that the court may decide not to apply the simplified procedure at any point before the plan is </w:t>
      </w:r>
      <w:r w:rsidR="00F804A9">
        <w:rPr>
          <w:rFonts w:cstheme="minorHAnsi"/>
        </w:rPr>
        <w:t>confirmed but</w:t>
      </w:r>
      <w:r w:rsidR="00EB72FC">
        <w:rPr>
          <w:rFonts w:cstheme="minorHAnsi"/>
        </w:rPr>
        <w:t xml:space="preserve"> does not specify how conversion </w:t>
      </w:r>
      <w:r w:rsidR="00464864">
        <w:rPr>
          <w:rFonts w:cstheme="minorHAnsi"/>
        </w:rPr>
        <w:t>would work</w:t>
      </w:r>
      <w:r w:rsidR="005056EE">
        <w:rPr>
          <w:rFonts w:cstheme="minorHAnsi"/>
        </w:rPr>
        <w:t xml:space="preserve"> or the effects of such conversion</w:t>
      </w:r>
      <w:r w:rsidR="00464864">
        <w:rPr>
          <w:rFonts w:cstheme="minorHAnsi"/>
        </w:rPr>
        <w:t>.</w:t>
      </w:r>
      <w:r w:rsidR="00464864">
        <w:rPr>
          <w:rStyle w:val="FootnoteReference"/>
          <w:rFonts w:cstheme="minorHAnsi"/>
        </w:rPr>
        <w:footnoteReference w:id="92"/>
      </w:r>
    </w:p>
    <w:p w14:paraId="02686784" w14:textId="236399E7" w:rsidR="008E5445" w:rsidRDefault="005C68B1" w:rsidP="00132582">
      <w:pPr>
        <w:spacing w:line="360" w:lineRule="auto"/>
        <w:rPr>
          <w:rFonts w:cstheme="minorHAnsi"/>
        </w:rPr>
      </w:pPr>
      <w:r>
        <w:rPr>
          <w:rFonts w:cstheme="minorHAnsi"/>
        </w:rPr>
        <w:t>I</w:t>
      </w:r>
      <w:r w:rsidR="008E5445">
        <w:rPr>
          <w:rFonts w:cstheme="minorHAnsi"/>
        </w:rPr>
        <w:t>n the USA, conversion is not dealt with specifically under the text of simplified regime. However, it is possible to convert a reorganization case to a liquidation case under the normal Chapter 11 procedure.</w:t>
      </w:r>
      <w:r w:rsidR="008E5445">
        <w:rPr>
          <w:rStyle w:val="FootnoteReference"/>
          <w:rFonts w:cstheme="minorHAnsi"/>
        </w:rPr>
        <w:footnoteReference w:id="93"/>
      </w:r>
      <w:r w:rsidR="009B1CFC">
        <w:rPr>
          <w:rFonts w:cstheme="minorHAnsi"/>
        </w:rPr>
        <w:t xml:space="preserve"> </w:t>
      </w:r>
      <w:r w:rsidR="00D45060">
        <w:rPr>
          <w:rFonts w:cstheme="minorHAnsi"/>
        </w:rPr>
        <w:t xml:space="preserve">The procedure does not conform to good practice </w:t>
      </w:r>
      <w:r w:rsidR="00FF1BE0">
        <w:rPr>
          <w:rFonts w:cstheme="minorHAnsi"/>
        </w:rPr>
        <w:t xml:space="preserve">with respect to conversion to and from an ordinary to </w:t>
      </w:r>
      <w:r w:rsidR="00794EB8">
        <w:rPr>
          <w:rFonts w:cstheme="minorHAnsi"/>
        </w:rPr>
        <w:t xml:space="preserve">a </w:t>
      </w:r>
      <w:r w:rsidR="00FF1BE0">
        <w:rPr>
          <w:rFonts w:cstheme="minorHAnsi"/>
        </w:rPr>
        <w:t>simplified procedure. T</w:t>
      </w:r>
      <w:r w:rsidR="009B1CFC">
        <w:rPr>
          <w:rFonts w:cstheme="minorHAnsi"/>
        </w:rPr>
        <w:t xml:space="preserve">here is no text </w:t>
      </w:r>
      <w:r w:rsidR="00794EB8">
        <w:rPr>
          <w:rFonts w:cstheme="minorHAnsi"/>
        </w:rPr>
        <w:t>in the law for this type of conversion, although it still may be possible</w:t>
      </w:r>
      <w:r w:rsidR="00C31C2C">
        <w:rPr>
          <w:rFonts w:cstheme="minorHAnsi"/>
        </w:rPr>
        <w:t xml:space="preserve"> as US Bankruptcy Judges have wide discretion.</w:t>
      </w:r>
      <w:r w:rsidR="00711E40">
        <w:rPr>
          <w:rStyle w:val="FootnoteReference"/>
          <w:rFonts w:cstheme="minorHAnsi"/>
        </w:rPr>
        <w:footnoteReference w:id="94"/>
      </w:r>
    </w:p>
    <w:p w14:paraId="3EDB5BA9" w14:textId="00E24167" w:rsidR="002C3823" w:rsidRPr="00A83870" w:rsidRDefault="00305555" w:rsidP="00132582">
      <w:pPr>
        <w:spacing w:line="360" w:lineRule="auto"/>
        <w:rPr>
          <w:rFonts w:cstheme="minorHAnsi"/>
        </w:rPr>
      </w:pPr>
      <w:r>
        <w:rPr>
          <w:rFonts w:cstheme="minorHAnsi"/>
        </w:rPr>
        <w:t>Singapore</w:t>
      </w:r>
      <w:r w:rsidR="00361DB3">
        <w:rPr>
          <w:rFonts w:cstheme="minorHAnsi"/>
        </w:rPr>
        <w:t>’s procedure allows for the simplified procedure to be discontinued under certain circumstances, such as not fulfilling the eligibility criteria</w:t>
      </w:r>
      <w:r w:rsidR="000B1035">
        <w:rPr>
          <w:rFonts w:cstheme="minorHAnsi"/>
        </w:rPr>
        <w:t>, insufficient creditor support or failing to cooperate with the Restructuring Advisor.</w:t>
      </w:r>
      <w:r w:rsidR="000B1035">
        <w:rPr>
          <w:rStyle w:val="FootnoteReference"/>
          <w:rFonts w:cstheme="minorHAnsi"/>
        </w:rPr>
        <w:footnoteReference w:id="95"/>
      </w:r>
      <w:r w:rsidR="00B11A21">
        <w:rPr>
          <w:rFonts w:cstheme="minorHAnsi"/>
        </w:rPr>
        <w:t xml:space="preserve"> However, there are no provisions on the consequences of such discontinuation – whether the procedure converts to a regulator procedure or liquidation. </w:t>
      </w:r>
    </w:p>
    <w:p w14:paraId="7395471B" w14:textId="038C35C3" w:rsidR="008C664D" w:rsidRDefault="008C664D" w:rsidP="001758EE">
      <w:pPr>
        <w:pStyle w:val="Heading3"/>
        <w:numPr>
          <w:ilvl w:val="0"/>
          <w:numId w:val="11"/>
        </w:numPr>
        <w:rPr>
          <w:rFonts w:cstheme="minorHAnsi"/>
        </w:rPr>
      </w:pPr>
      <w:bookmarkStart w:id="14" w:name="_Toc159866307"/>
      <w:r w:rsidRPr="00A83870">
        <w:rPr>
          <w:rFonts w:cstheme="minorHAnsi"/>
          <w:b/>
          <w:bCs/>
        </w:rPr>
        <w:t>Costs</w:t>
      </w:r>
      <w:bookmarkEnd w:id="14"/>
    </w:p>
    <w:p w14:paraId="5B57B3C3" w14:textId="59A38577" w:rsidR="0019267D" w:rsidRDefault="00B5738B" w:rsidP="00132582">
      <w:pPr>
        <w:spacing w:line="360" w:lineRule="auto"/>
        <w:rPr>
          <w:rFonts w:cstheme="minorHAnsi"/>
        </w:rPr>
      </w:pPr>
      <w:r>
        <w:rPr>
          <w:rFonts w:cstheme="minorHAnsi"/>
        </w:rPr>
        <w:br/>
      </w:r>
      <w:r w:rsidR="000A1A69">
        <w:rPr>
          <w:rFonts w:cstheme="minorHAnsi"/>
        </w:rPr>
        <w:t xml:space="preserve">MSEs may struggle to </w:t>
      </w:r>
      <w:r w:rsidR="00694EDD">
        <w:rPr>
          <w:rFonts w:cstheme="minorHAnsi"/>
        </w:rPr>
        <w:t xml:space="preserve">find enough </w:t>
      </w:r>
      <w:r w:rsidR="00FF02D8">
        <w:rPr>
          <w:rFonts w:cstheme="minorHAnsi"/>
        </w:rPr>
        <w:t>resources</w:t>
      </w:r>
      <w:r w:rsidR="00694EDD">
        <w:rPr>
          <w:rFonts w:cstheme="minorHAnsi"/>
        </w:rPr>
        <w:t xml:space="preserve"> to cover the costs of a reorganization, even when the </w:t>
      </w:r>
      <w:r w:rsidR="00694EDD">
        <w:rPr>
          <w:rFonts w:cstheme="minorHAnsi"/>
        </w:rPr>
        <w:lastRenderedPageBreak/>
        <w:t xml:space="preserve">business is viable. </w:t>
      </w:r>
      <w:r w:rsidR="000A1A69">
        <w:rPr>
          <w:rFonts w:cstheme="minorHAnsi"/>
        </w:rPr>
        <w:t>Except for OHADA (to a limited extent), n</w:t>
      </w:r>
      <w:r w:rsidR="00556E48">
        <w:rPr>
          <w:rFonts w:cstheme="minorHAnsi"/>
        </w:rPr>
        <w:t>one</w:t>
      </w:r>
      <w:r w:rsidR="00BA2D07">
        <w:rPr>
          <w:rFonts w:cstheme="minorHAnsi"/>
        </w:rPr>
        <w:t xml:space="preserve"> of the jurisdictions examined</w:t>
      </w:r>
      <w:r w:rsidR="00556E48">
        <w:rPr>
          <w:rFonts w:cstheme="minorHAnsi"/>
        </w:rPr>
        <w:t xml:space="preserve"> have facilities to draw from </w:t>
      </w:r>
      <w:r w:rsidR="00FF02D8">
        <w:rPr>
          <w:rFonts w:cstheme="minorHAnsi"/>
        </w:rPr>
        <w:t>to cover costs</w:t>
      </w:r>
      <w:r w:rsidR="00556E48">
        <w:rPr>
          <w:rFonts w:cstheme="minorHAnsi"/>
        </w:rPr>
        <w:t>.</w:t>
      </w:r>
    </w:p>
    <w:p w14:paraId="0BBA3545" w14:textId="097F4918" w:rsidR="001758EE" w:rsidRDefault="00025B32" w:rsidP="00132582">
      <w:pPr>
        <w:spacing w:line="360" w:lineRule="auto"/>
      </w:pPr>
      <w:r>
        <w:t>Under the OHADA Act,</w:t>
      </w:r>
      <w:r w:rsidR="0098024D">
        <w:t xml:space="preserve"> in the regular procedure</w:t>
      </w:r>
      <w:r>
        <w:t xml:space="preserve"> there </w:t>
      </w:r>
      <w:r w:rsidR="000D0548">
        <w:t>is a limited mechanism to cover expenses incurred in a reorganization</w:t>
      </w:r>
      <w:r w:rsidR="00664380">
        <w:t xml:space="preserve"> – although, it is unclear how it would function in practice</w:t>
      </w:r>
      <w:r w:rsidR="000D0548">
        <w:t>.</w:t>
      </w:r>
      <w:r w:rsidR="000D0548">
        <w:rPr>
          <w:rStyle w:val="FootnoteReference"/>
        </w:rPr>
        <w:footnoteReference w:id="96"/>
      </w:r>
      <w:r w:rsidR="00664380">
        <w:t xml:space="preserve"> </w:t>
      </w:r>
      <w:r w:rsidR="00F77203">
        <w:t xml:space="preserve">In case of a lack of funds, the “Treasury” shall give “advances.” These are to be </w:t>
      </w:r>
      <w:r w:rsidR="00D1128F">
        <w:t>paid back “as a priority on the first collections.”</w:t>
      </w:r>
      <w:r w:rsidR="00D1128F">
        <w:rPr>
          <w:rStyle w:val="FootnoteReference"/>
        </w:rPr>
        <w:footnoteReference w:id="97"/>
      </w:r>
      <w:r w:rsidR="00FE2FF1">
        <w:t xml:space="preserve"> </w:t>
      </w:r>
      <w:r w:rsidR="00CD3BD9">
        <w:t>There is no definition of who the “Treasury” is in the OHADA Act</w:t>
      </w:r>
      <w:r w:rsidR="006363CD">
        <w:t>,</w:t>
      </w:r>
      <w:r w:rsidR="00CD3BD9">
        <w:t xml:space="preserve"> and the mechanism seems to only work if there are enough assets which need to be liquidated to </w:t>
      </w:r>
      <w:r w:rsidR="00B955FA">
        <w:t xml:space="preserve">pay for the expenses. Costs may be reduced further from </w:t>
      </w:r>
      <w:r w:rsidR="004361D2">
        <w:t xml:space="preserve">a modest reduction in time </w:t>
      </w:r>
      <w:r w:rsidR="00A85B8B">
        <w:t xml:space="preserve">to prepare a plan </w:t>
      </w:r>
      <w:r w:rsidR="004361D2">
        <w:t>and a simplified voting procedure</w:t>
      </w:r>
      <w:r w:rsidR="00970EDE">
        <w:t xml:space="preserve">. </w:t>
      </w:r>
      <w:r w:rsidR="00B955FA">
        <w:t xml:space="preserve">Although, </w:t>
      </w:r>
      <w:r w:rsidR="004361D2">
        <w:t xml:space="preserve">it does not seem likely that the </w:t>
      </w:r>
      <w:r w:rsidR="00A85B8B">
        <w:t>simplified procedures would lead to very much cost reduction as compared to the regular procedure.</w:t>
      </w:r>
    </w:p>
    <w:p w14:paraId="3FEEBB04" w14:textId="73FF1C73" w:rsidR="00023249" w:rsidRDefault="006A4232" w:rsidP="00132582">
      <w:pPr>
        <w:spacing w:line="360" w:lineRule="auto"/>
      </w:pPr>
      <w:r>
        <w:t xml:space="preserve">In Singapore, the fees </w:t>
      </w:r>
      <w:r w:rsidR="00F842AE">
        <w:t xml:space="preserve">for a simplified restructuring are </w:t>
      </w:r>
      <w:r w:rsidR="00556E48">
        <w:t xml:space="preserve">an initial application fee of $450 </w:t>
      </w:r>
      <w:r w:rsidR="007C4E7D">
        <w:t xml:space="preserve">SGD </w:t>
      </w:r>
      <w:r w:rsidR="00556E48">
        <w:t>and an administration fee of $18,750</w:t>
      </w:r>
      <w:r w:rsidR="007C4E7D">
        <w:t xml:space="preserve"> SGD. The administration fee includes a subsidy from the government of 25%.</w:t>
      </w:r>
      <w:r w:rsidR="007C4E7D">
        <w:rPr>
          <w:rStyle w:val="FootnoteReference"/>
        </w:rPr>
        <w:footnoteReference w:id="98"/>
      </w:r>
      <w:r w:rsidR="00C25FE0">
        <w:t xml:space="preserve">  These fees are meant to cover some of the costs for a company, but additionally they are responsible fo</w:t>
      </w:r>
      <w:r w:rsidR="00AA00EB">
        <w:t>r legal advice, and the cost of publishing notices.</w:t>
      </w:r>
      <w:r w:rsidR="00AA00EB">
        <w:rPr>
          <w:rStyle w:val="FootnoteReference"/>
        </w:rPr>
        <w:footnoteReference w:id="99"/>
      </w:r>
    </w:p>
    <w:p w14:paraId="753D602B" w14:textId="6A1DA6ED" w:rsidR="00C30AE5" w:rsidRDefault="00C30AE5" w:rsidP="00132582">
      <w:pPr>
        <w:spacing w:line="360" w:lineRule="auto"/>
      </w:pPr>
      <w:r>
        <w:t xml:space="preserve">The </w:t>
      </w:r>
      <w:r w:rsidR="003E1445">
        <w:t>SBRA</w:t>
      </w:r>
      <w:r>
        <w:t xml:space="preserve"> has reduced some fees and costs. For example, the normal US Trustees’ fees (which can be up to $30,000 a quarter for large cases) have been eliminated in favor of reasonable compensation </w:t>
      </w:r>
      <w:r w:rsidR="006363CD">
        <w:t xml:space="preserve">to the subchapter v trustee </w:t>
      </w:r>
      <w:r>
        <w:t>for actual, necessary expenses.</w:t>
      </w:r>
      <w:r>
        <w:rPr>
          <w:rStyle w:val="FootnoteReference"/>
        </w:rPr>
        <w:footnoteReference w:id="100"/>
      </w:r>
      <w:r>
        <w:t xml:space="preserve"> Further, as described above, the unsecured creditors’ committee was eliminated, only the debtor can file a plan, and no detailed disclosure statement is necessary.  </w:t>
      </w:r>
    </w:p>
    <w:p w14:paraId="598857C9" w14:textId="13684397" w:rsidR="00F929CD" w:rsidRDefault="00805980" w:rsidP="002275F6">
      <w:pPr>
        <w:pStyle w:val="Heading2"/>
        <w:numPr>
          <w:ilvl w:val="0"/>
          <w:numId w:val="10"/>
        </w:numPr>
      </w:pPr>
      <w:bookmarkStart w:id="15" w:name="_Toc159866308"/>
      <w:r>
        <w:t>Early Observations and Lessons</w:t>
      </w:r>
      <w:bookmarkEnd w:id="15"/>
      <w:r w:rsidR="00591BE7">
        <w:br/>
      </w:r>
    </w:p>
    <w:p w14:paraId="6AB58828" w14:textId="7D1EA24A" w:rsidR="00BA63E8" w:rsidRDefault="00F929CD" w:rsidP="00132582">
      <w:pPr>
        <w:spacing w:line="360" w:lineRule="auto"/>
      </w:pPr>
      <w:r>
        <w:t xml:space="preserve">This </w:t>
      </w:r>
      <w:r w:rsidR="00066F00">
        <w:t xml:space="preserve">last </w:t>
      </w:r>
      <w:r>
        <w:t>section of the paper draw</w:t>
      </w:r>
      <w:r w:rsidR="000D04BB">
        <w:t>s</w:t>
      </w:r>
      <w:r>
        <w:t xml:space="preserve"> from the analysis above to </w:t>
      </w:r>
      <w:r w:rsidR="00541CB2">
        <w:t xml:space="preserve">make </w:t>
      </w:r>
      <w:r w:rsidR="007216CC">
        <w:t xml:space="preserve">several </w:t>
      </w:r>
      <w:r w:rsidR="00541CB2">
        <w:t xml:space="preserve">early observations about </w:t>
      </w:r>
      <w:r w:rsidR="00F548E1">
        <w:t xml:space="preserve">potential </w:t>
      </w:r>
      <w:r w:rsidR="00BA63E8">
        <w:t>learnings from the jurisdictions examined.</w:t>
      </w:r>
      <w:r w:rsidR="00E97703">
        <w:t xml:space="preserve"> </w:t>
      </w:r>
      <w:r w:rsidR="00A61001">
        <w:t>These are early observations as t</w:t>
      </w:r>
      <w:r w:rsidR="00E97703">
        <w:t xml:space="preserve">he only jurisdiction </w:t>
      </w:r>
      <w:r w:rsidR="004362ED">
        <w:t xml:space="preserve">in this paper </w:t>
      </w:r>
      <w:r w:rsidR="004B36FA">
        <w:t xml:space="preserve">where there </w:t>
      </w:r>
      <w:r w:rsidR="00AC7BB7">
        <w:t>is</w:t>
      </w:r>
      <w:r w:rsidR="004B36FA">
        <w:t xml:space="preserve"> some (although still very limited) empirical </w:t>
      </w:r>
      <w:r w:rsidR="00AC7BB7">
        <w:t>analysis is the USA.</w:t>
      </w:r>
      <w:r w:rsidR="002B680E">
        <w:t xml:space="preserve"> Not all the lessons described below will </w:t>
      </w:r>
      <w:r w:rsidR="00DD2B7E">
        <w:t xml:space="preserve">be able to be replicated in all jurisdictions because of </w:t>
      </w:r>
      <w:r w:rsidR="00280599">
        <w:t>diverse cultural</w:t>
      </w:r>
      <w:r w:rsidR="00DD2B7E">
        <w:t>, economic</w:t>
      </w:r>
      <w:r w:rsidR="00BB1CE8">
        <w:t>,</w:t>
      </w:r>
      <w:r w:rsidR="00DD2B7E">
        <w:t xml:space="preserve"> and legal contexts. However, </w:t>
      </w:r>
      <w:r w:rsidR="00BB1CE8">
        <w:t>they still provide a good starting point for a future more in-depth review.</w:t>
      </w:r>
    </w:p>
    <w:p w14:paraId="1AC53182" w14:textId="24669927" w:rsidR="007B2906" w:rsidRPr="006D18D9" w:rsidRDefault="0082014B" w:rsidP="007B2906">
      <w:pPr>
        <w:rPr>
          <w:b/>
          <w:bCs/>
          <w:i/>
          <w:iCs/>
        </w:rPr>
      </w:pPr>
      <w:r w:rsidRPr="006D18D9">
        <w:rPr>
          <w:b/>
          <w:bCs/>
          <w:i/>
          <w:iCs/>
        </w:rPr>
        <w:lastRenderedPageBreak/>
        <w:t xml:space="preserve">Lesson 1: </w:t>
      </w:r>
      <w:r w:rsidR="004617E8" w:rsidRPr="006D18D9">
        <w:rPr>
          <w:b/>
          <w:bCs/>
          <w:i/>
          <w:iCs/>
        </w:rPr>
        <w:t>Bespoke i</w:t>
      </w:r>
      <w:r w:rsidR="007B2906" w:rsidRPr="006D18D9">
        <w:rPr>
          <w:b/>
          <w:bCs/>
          <w:i/>
          <w:iCs/>
        </w:rPr>
        <w:t>nstitutional support is critical</w:t>
      </w:r>
      <w:r w:rsidR="006D18D9">
        <w:rPr>
          <w:b/>
          <w:bCs/>
          <w:i/>
          <w:iCs/>
        </w:rPr>
        <w:t xml:space="preserve">, especially </w:t>
      </w:r>
      <w:r w:rsidR="009636BA">
        <w:rPr>
          <w:b/>
          <w:bCs/>
          <w:i/>
          <w:iCs/>
        </w:rPr>
        <w:t xml:space="preserve">with respect to </w:t>
      </w:r>
      <w:r w:rsidR="006D18D9">
        <w:rPr>
          <w:b/>
          <w:bCs/>
          <w:i/>
          <w:iCs/>
        </w:rPr>
        <w:t xml:space="preserve">insolvency </w:t>
      </w:r>
      <w:r w:rsidR="002D40AA">
        <w:rPr>
          <w:b/>
          <w:bCs/>
          <w:i/>
          <w:iCs/>
        </w:rPr>
        <w:t>administrators.</w:t>
      </w:r>
    </w:p>
    <w:p w14:paraId="0892259B" w14:textId="23E30E57" w:rsidR="00E002F4" w:rsidRDefault="00E53873" w:rsidP="00132582">
      <w:pPr>
        <w:spacing w:line="360" w:lineRule="auto"/>
      </w:pPr>
      <w:r>
        <w:t xml:space="preserve">The ICR Standard </w:t>
      </w:r>
      <w:r w:rsidR="00943215">
        <w:t>highlights the importance of</w:t>
      </w:r>
      <w:r w:rsidR="007455D7">
        <w:t xml:space="preserve"> professionals and</w:t>
      </w:r>
      <w:r w:rsidR="00943215">
        <w:t xml:space="preserve"> institutions for the effective functioning of MSE procedures.</w:t>
      </w:r>
      <w:r w:rsidR="00943215">
        <w:rPr>
          <w:rStyle w:val="FootnoteReference"/>
        </w:rPr>
        <w:footnoteReference w:id="101"/>
      </w:r>
      <w:r w:rsidR="007455D7">
        <w:t xml:space="preserve"> </w:t>
      </w:r>
      <w:r w:rsidR="00E002F4">
        <w:t xml:space="preserve">Many small businesses may lack the capacity to </w:t>
      </w:r>
      <w:r w:rsidR="00221A1F">
        <w:t xml:space="preserve">understand their options, </w:t>
      </w:r>
      <w:r w:rsidR="00E002F4">
        <w:t>negotiate with creditors and develop an effective restructuring plan.</w:t>
      </w:r>
      <w:r w:rsidR="007B3631">
        <w:t xml:space="preserve"> This is a clear area where professionals can assist.</w:t>
      </w:r>
    </w:p>
    <w:p w14:paraId="35A5707F" w14:textId="47FD0FD8" w:rsidR="00967459" w:rsidRDefault="005974DD" w:rsidP="00132582">
      <w:pPr>
        <w:spacing w:line="360" w:lineRule="auto"/>
      </w:pPr>
      <w:r>
        <w:t xml:space="preserve">In the procedures explored here, both the USA and Singapore </w:t>
      </w:r>
      <w:r w:rsidR="00323E11">
        <w:t>established</w:t>
      </w:r>
      <w:r w:rsidR="009A08DE">
        <w:t xml:space="preserve"> a</w:t>
      </w:r>
      <w:r w:rsidR="00323E11">
        <w:t xml:space="preserve"> specialized </w:t>
      </w:r>
      <w:r w:rsidR="009A08DE">
        <w:t xml:space="preserve">category of </w:t>
      </w:r>
      <w:r w:rsidR="00323E11">
        <w:t>profession</w:t>
      </w:r>
      <w:r w:rsidR="009A08DE">
        <w:t xml:space="preserve">als </w:t>
      </w:r>
      <w:r w:rsidR="00323E11">
        <w:t>to assist the debtor in the reorganization proceedings.</w:t>
      </w:r>
      <w:r w:rsidR="00BD3D77">
        <w:t xml:space="preserve"> </w:t>
      </w:r>
      <w:r w:rsidR="00CE44E4">
        <w:t xml:space="preserve">These professionals assist the debtor </w:t>
      </w:r>
      <w:r w:rsidR="00C601BD">
        <w:t xml:space="preserve">with many procedures, including </w:t>
      </w:r>
      <w:r w:rsidR="00CE44E4">
        <w:t xml:space="preserve">developing and negotiating a restructuring plan and communication with the parties and court. </w:t>
      </w:r>
      <w:r w:rsidR="00BD3D77">
        <w:t>The simplified procedure in OHADA relies on the regular insolvency administrator</w:t>
      </w:r>
      <w:r w:rsidR="00D0073D">
        <w:t>s</w:t>
      </w:r>
      <w:r w:rsidR="0029658C">
        <w:t xml:space="preserve">, which </w:t>
      </w:r>
      <w:r w:rsidR="00D0073D">
        <w:t xml:space="preserve">are </w:t>
      </w:r>
      <w:r w:rsidR="00967459">
        <w:t xml:space="preserve">supposed to be selected in accordance with </w:t>
      </w:r>
      <w:r w:rsidR="00753A4B">
        <w:t xml:space="preserve">regulations </w:t>
      </w:r>
      <w:r w:rsidR="00967459">
        <w:t>in each Member State</w:t>
      </w:r>
      <w:r w:rsidR="0029658C">
        <w:t>.</w:t>
      </w:r>
    </w:p>
    <w:p w14:paraId="5203BECF" w14:textId="4861BD11" w:rsidR="001B0F3F" w:rsidRDefault="00403CDD" w:rsidP="00132582">
      <w:pPr>
        <w:spacing w:line="360" w:lineRule="auto"/>
      </w:pPr>
      <w:r>
        <w:t xml:space="preserve">As discussed above, </w:t>
      </w:r>
      <w:r w:rsidR="001923AC">
        <w:t xml:space="preserve">the United States has had the largest number of cases under its simplified insolvency framework. </w:t>
      </w:r>
      <w:r w:rsidR="005D04F1">
        <w:t xml:space="preserve">Further, </w:t>
      </w:r>
      <w:r w:rsidR="00D143AF">
        <w:t xml:space="preserve">early data shows that the debtor was able to confirm a plan in </w:t>
      </w:r>
      <w:r w:rsidR="00D143AF" w:rsidRPr="00F65074">
        <w:t>62 percent</w:t>
      </w:r>
      <w:r w:rsidR="00D143AF">
        <w:t xml:space="preserve"> of cases not dismissed.</w:t>
      </w:r>
      <w:r w:rsidR="00D143AF">
        <w:rPr>
          <w:rStyle w:val="FootnoteReference"/>
        </w:rPr>
        <w:footnoteReference w:id="102"/>
      </w:r>
      <w:r w:rsidR="00B40ACA">
        <w:t xml:space="preserve"> </w:t>
      </w:r>
      <w:r w:rsidR="00891362">
        <w:t>In a</w:t>
      </w:r>
      <w:r w:rsidR="006A1FEC">
        <w:t xml:space="preserve"> study of the initial effects of the SB</w:t>
      </w:r>
      <w:r w:rsidR="006372C6">
        <w:t xml:space="preserve">RA, </w:t>
      </w:r>
      <w:r w:rsidR="00C97D23">
        <w:t>all participants noted the most impactful modification in the simplified procedure was the introduction of the subchapter v trustee.</w:t>
      </w:r>
      <w:r w:rsidR="00C97D23">
        <w:rPr>
          <w:rStyle w:val="FootnoteReference"/>
        </w:rPr>
        <w:footnoteReference w:id="103"/>
      </w:r>
      <w:r w:rsidR="00851263">
        <w:t xml:space="preserve"> The approach of </w:t>
      </w:r>
      <w:r w:rsidR="000322E7">
        <w:t xml:space="preserve">creating a pool of </w:t>
      </w:r>
      <w:r w:rsidR="00851263">
        <w:t>trustee</w:t>
      </w:r>
      <w:r w:rsidR="000322E7">
        <w:t>s</w:t>
      </w:r>
      <w:r w:rsidR="00851263">
        <w:t xml:space="preserve"> </w:t>
      </w:r>
      <w:r w:rsidR="000322E7">
        <w:t>selected</w:t>
      </w:r>
      <w:r w:rsidR="00851263">
        <w:t xml:space="preserve"> specifically for </w:t>
      </w:r>
      <w:r w:rsidR="00AB27E0">
        <w:t xml:space="preserve">skills which will assist </w:t>
      </w:r>
      <w:r w:rsidR="000322E7">
        <w:t>a small</w:t>
      </w:r>
      <w:r w:rsidR="00AB27E0">
        <w:t xml:space="preserve"> </w:t>
      </w:r>
      <w:r w:rsidR="00753A4B">
        <w:t>enterprise</w:t>
      </w:r>
      <w:r w:rsidR="00AB27E0">
        <w:t xml:space="preserve"> negotiate a restructuring </w:t>
      </w:r>
      <w:r w:rsidR="007A10E1">
        <w:t>through a highly competitive process</w:t>
      </w:r>
      <w:r w:rsidR="007A10E1">
        <w:rPr>
          <w:rStyle w:val="FootnoteReference"/>
        </w:rPr>
        <w:footnoteReference w:id="104"/>
      </w:r>
      <w:r w:rsidR="002B7687">
        <w:t xml:space="preserve"> </w:t>
      </w:r>
      <w:r w:rsidR="00C12517">
        <w:t>seems to have</w:t>
      </w:r>
      <w:r w:rsidR="00CC7246">
        <w:t xml:space="preserve"> been successful. </w:t>
      </w:r>
      <w:r w:rsidR="00383504">
        <w:t xml:space="preserve">The US Trustees office also provided the trustees with a detailed handbook on the procedures and provided </w:t>
      </w:r>
      <w:r w:rsidR="00F7564C">
        <w:t xml:space="preserve">extensive </w:t>
      </w:r>
      <w:r w:rsidR="00383504">
        <w:t>training.</w:t>
      </w:r>
    </w:p>
    <w:p w14:paraId="4324709A" w14:textId="172BBD46" w:rsidR="00ED13B2" w:rsidRDefault="00CC7246" w:rsidP="00132582">
      <w:pPr>
        <w:spacing w:line="360" w:lineRule="auto"/>
      </w:pPr>
      <w:r>
        <w:t>Jurisdictions may want to consider adopting a similar approach</w:t>
      </w:r>
      <w:r w:rsidR="00F7564C">
        <w:t xml:space="preserve"> and identify </w:t>
      </w:r>
      <w:r w:rsidR="00F01E0A">
        <w:t xml:space="preserve">professionals in their country who have the appropriate business and interpersonal skills to assist MSEs.  Further, </w:t>
      </w:r>
      <w:r w:rsidR="0094684E">
        <w:t xml:space="preserve">specialized training programs </w:t>
      </w:r>
      <w:r w:rsidR="00236E14">
        <w:t>coul</w:t>
      </w:r>
      <w:r w:rsidR="0094684E">
        <w:t xml:space="preserve">d also be developed for these professionals to teach them the basics regarding the legal and accounting aspects of insolvency. </w:t>
      </w:r>
    </w:p>
    <w:p w14:paraId="1CB0FE49" w14:textId="27D4C715" w:rsidR="000D04BB" w:rsidRPr="0010151F" w:rsidRDefault="000D04BB" w:rsidP="005116A0">
      <w:pPr>
        <w:rPr>
          <w:b/>
          <w:bCs/>
          <w:i/>
          <w:iCs/>
        </w:rPr>
      </w:pPr>
      <w:r w:rsidRPr="0010151F">
        <w:rPr>
          <w:b/>
          <w:bCs/>
          <w:i/>
          <w:iCs/>
        </w:rPr>
        <w:t xml:space="preserve">Lesson 2: </w:t>
      </w:r>
      <w:r w:rsidR="008C0603" w:rsidRPr="0010151F">
        <w:rPr>
          <w:b/>
          <w:bCs/>
          <w:i/>
          <w:iCs/>
        </w:rPr>
        <w:t xml:space="preserve">Deemed approval </w:t>
      </w:r>
      <w:r w:rsidR="00A46F1A" w:rsidRPr="0010151F">
        <w:rPr>
          <w:b/>
          <w:bCs/>
          <w:i/>
          <w:iCs/>
        </w:rPr>
        <w:t>coupled with a cram</w:t>
      </w:r>
      <w:r w:rsidR="00C33317">
        <w:rPr>
          <w:b/>
          <w:bCs/>
          <w:i/>
          <w:iCs/>
        </w:rPr>
        <w:t xml:space="preserve"> </w:t>
      </w:r>
      <w:r w:rsidR="00A46F1A" w:rsidRPr="0010151F">
        <w:rPr>
          <w:b/>
          <w:bCs/>
          <w:i/>
          <w:iCs/>
        </w:rPr>
        <w:t>down</w:t>
      </w:r>
      <w:r w:rsidR="00C40809">
        <w:rPr>
          <w:b/>
          <w:bCs/>
          <w:i/>
          <w:iCs/>
        </w:rPr>
        <w:t xml:space="preserve"> help</w:t>
      </w:r>
      <w:r w:rsidR="00A46F1A" w:rsidRPr="0010151F">
        <w:rPr>
          <w:b/>
          <w:bCs/>
          <w:i/>
          <w:iCs/>
        </w:rPr>
        <w:t xml:space="preserve"> </w:t>
      </w:r>
      <w:r w:rsidR="0000193B" w:rsidRPr="0010151F">
        <w:rPr>
          <w:b/>
          <w:bCs/>
          <w:i/>
          <w:iCs/>
        </w:rPr>
        <w:t xml:space="preserve">enable </w:t>
      </w:r>
      <w:r w:rsidR="00597C81" w:rsidRPr="0010151F">
        <w:rPr>
          <w:b/>
          <w:bCs/>
          <w:i/>
          <w:iCs/>
        </w:rPr>
        <w:t xml:space="preserve">plans to </w:t>
      </w:r>
      <w:r w:rsidR="002D40AA" w:rsidRPr="0010151F">
        <w:rPr>
          <w:b/>
          <w:bCs/>
          <w:i/>
          <w:iCs/>
        </w:rPr>
        <w:t>succeed.</w:t>
      </w:r>
    </w:p>
    <w:p w14:paraId="0F25B6F3" w14:textId="77B18E02" w:rsidR="0065176A" w:rsidRDefault="003C6110" w:rsidP="00132582">
      <w:pPr>
        <w:spacing w:line="360" w:lineRule="auto"/>
      </w:pPr>
      <w:r>
        <w:t xml:space="preserve">As discussed above, </w:t>
      </w:r>
      <w:r w:rsidR="00FA15D7">
        <w:t xml:space="preserve">MSEs often </w:t>
      </w:r>
      <w:r w:rsidR="00DD713D">
        <w:t xml:space="preserve">face the problem of </w:t>
      </w:r>
      <w:r w:rsidR="00C40809">
        <w:t xml:space="preserve">creditor passivity. The cost </w:t>
      </w:r>
      <w:r w:rsidR="00266216">
        <w:t xml:space="preserve">for creditors </w:t>
      </w:r>
      <w:r w:rsidR="00C40809">
        <w:t xml:space="preserve">of </w:t>
      </w:r>
      <w:r w:rsidR="00266216">
        <w:t xml:space="preserve">engaging in an insolvency process is sometimes too high to justify the </w:t>
      </w:r>
      <w:r w:rsidR="007E14FF">
        <w:t xml:space="preserve">time and professional fees. </w:t>
      </w:r>
      <w:r w:rsidR="00F15734">
        <w:t xml:space="preserve">Creditors can </w:t>
      </w:r>
      <w:r w:rsidR="00F15734">
        <w:lastRenderedPageBreak/>
        <w:t xml:space="preserve">also hold out and delay processes if they think </w:t>
      </w:r>
      <w:r w:rsidR="003A1FC9">
        <w:t>they may obtain more recovery</w:t>
      </w:r>
      <w:r w:rsidR="006862D6">
        <w:t xml:space="preserve">. </w:t>
      </w:r>
      <w:r w:rsidR="00715D3C">
        <w:t xml:space="preserve">One of the most important </w:t>
      </w:r>
      <w:r w:rsidR="00833E22">
        <w:t>obstacles to small businesses successfully using Chapter 11 in the USA wa</w:t>
      </w:r>
      <w:r w:rsidR="001B120C">
        <w:t>s a lack of cramdown when creditors did not agree to a plan.</w:t>
      </w:r>
      <w:r w:rsidR="001B120C">
        <w:rPr>
          <w:rStyle w:val="FootnoteReference"/>
        </w:rPr>
        <w:footnoteReference w:id="105"/>
      </w:r>
      <w:r w:rsidR="002B12F9">
        <w:t xml:space="preserve"> </w:t>
      </w:r>
      <w:r w:rsidR="007E4B47">
        <w:t xml:space="preserve">The </w:t>
      </w:r>
      <w:r w:rsidR="0075721F">
        <w:t>existence of the cram</w:t>
      </w:r>
      <w:r w:rsidR="00C33317">
        <w:t xml:space="preserve"> </w:t>
      </w:r>
      <w:r w:rsidR="0075721F">
        <w:t xml:space="preserve">down itself may encourage creditors to seek a consensual negotiation </w:t>
      </w:r>
      <w:r w:rsidR="00A56821">
        <w:t>leading to a plan.</w:t>
      </w:r>
      <w:r w:rsidR="00A56821">
        <w:rPr>
          <w:rStyle w:val="FootnoteReference"/>
        </w:rPr>
        <w:footnoteReference w:id="106"/>
      </w:r>
      <w:r w:rsidR="002B12F9">
        <w:t xml:space="preserve"> </w:t>
      </w:r>
      <w:r w:rsidR="001B35C1">
        <w:t xml:space="preserve">However, such a cram down would likely </w:t>
      </w:r>
      <w:r w:rsidR="00CF1489">
        <w:t xml:space="preserve">only be effective in a jurisdiction with sufficient safeguards for creditors as well as courts who can </w:t>
      </w:r>
      <w:r w:rsidR="00901021">
        <w:t>quickly and properly evaluate objections from creditors.</w:t>
      </w:r>
    </w:p>
    <w:p w14:paraId="7E08B297" w14:textId="20FE113A" w:rsidR="005116A0" w:rsidRPr="003B07CA" w:rsidRDefault="005116A0" w:rsidP="005116A0">
      <w:pPr>
        <w:rPr>
          <w:b/>
          <w:bCs/>
          <w:i/>
          <w:iCs/>
        </w:rPr>
      </w:pPr>
      <w:r w:rsidRPr="003B07CA">
        <w:rPr>
          <w:b/>
          <w:bCs/>
          <w:i/>
          <w:iCs/>
        </w:rPr>
        <w:t xml:space="preserve">Lesson </w:t>
      </w:r>
      <w:r w:rsidR="0010151F" w:rsidRPr="003B07CA">
        <w:rPr>
          <w:b/>
          <w:bCs/>
          <w:i/>
          <w:iCs/>
        </w:rPr>
        <w:t>3</w:t>
      </w:r>
      <w:r w:rsidRPr="003B07CA">
        <w:rPr>
          <w:b/>
          <w:bCs/>
          <w:i/>
          <w:iCs/>
        </w:rPr>
        <w:t xml:space="preserve">: </w:t>
      </w:r>
      <w:r w:rsidR="002C086D" w:rsidRPr="003B07CA">
        <w:rPr>
          <w:b/>
          <w:bCs/>
          <w:i/>
          <w:iCs/>
        </w:rPr>
        <w:t>Create simple, not just simplified legislation</w:t>
      </w:r>
      <w:r w:rsidR="001C2CFD" w:rsidRPr="003B07CA">
        <w:rPr>
          <w:b/>
          <w:bCs/>
          <w:i/>
          <w:iCs/>
        </w:rPr>
        <w:t>.</w:t>
      </w:r>
    </w:p>
    <w:p w14:paraId="12A50BB9" w14:textId="5EC124A6" w:rsidR="002548BB" w:rsidRDefault="002548BB" w:rsidP="00132582">
      <w:pPr>
        <w:spacing w:line="360" w:lineRule="auto"/>
      </w:pPr>
      <w:r>
        <w:t xml:space="preserve">Simplicity is at the heart of the MSE insolvency good practice. </w:t>
      </w:r>
      <w:r w:rsidR="007B06EE">
        <w:t xml:space="preserve">However, it is not enough to </w:t>
      </w:r>
      <w:r w:rsidR="000D6545">
        <w:t>remove a few requirements from an already complex procedure</w:t>
      </w:r>
      <w:r w:rsidR="00A30810">
        <w:t xml:space="preserve">. The MSE procedure should </w:t>
      </w:r>
      <w:r w:rsidR="00B01A36">
        <w:t xml:space="preserve">be designed from the start </w:t>
      </w:r>
      <w:r w:rsidR="00E31E81">
        <w:t>with simplicity in every element.</w:t>
      </w:r>
    </w:p>
    <w:p w14:paraId="1291F74F" w14:textId="18A46100" w:rsidR="007B3631" w:rsidRDefault="00E31E81" w:rsidP="00132582">
      <w:pPr>
        <w:spacing w:line="360" w:lineRule="auto"/>
      </w:pPr>
      <w:r>
        <w:t>One of the most important</w:t>
      </w:r>
      <w:r w:rsidR="00361A64">
        <w:t xml:space="preserve"> in this regard</w:t>
      </w:r>
      <w:r>
        <w:t xml:space="preserve"> is eligibility criteria</w:t>
      </w:r>
      <w:r w:rsidR="00C8320F">
        <w:t xml:space="preserve">, which is how MSEs know they can use the procedure. </w:t>
      </w:r>
      <w:r w:rsidR="00152994">
        <w:t xml:space="preserve">The ICR Standard recommends having </w:t>
      </w:r>
      <w:r w:rsidR="00C533EE">
        <w:t xml:space="preserve">well defined and simple eligibility criteria. The OHADA Act and </w:t>
      </w:r>
      <w:r w:rsidR="007C6226">
        <w:t xml:space="preserve">SBRA both </w:t>
      </w:r>
      <w:r w:rsidR="00A061C4">
        <w:t>have eligibility definitions which are easy to follow, using the number of employees and annual turnover</w:t>
      </w:r>
      <w:r w:rsidR="00062167">
        <w:t xml:space="preserve"> on one hand and the outstanding debt of the debtor on the other</w:t>
      </w:r>
      <w:r w:rsidR="00970EDE">
        <w:t xml:space="preserve">. </w:t>
      </w:r>
      <w:r w:rsidR="00062167">
        <w:t>However,</w:t>
      </w:r>
      <w:r w:rsidR="00A061C4">
        <w:t xml:space="preserve"> Singapore has a complex definition with five components</w:t>
      </w:r>
      <w:r w:rsidR="0054223C">
        <w:t xml:space="preserve"> and twelve exceptions where small businesses would still not be eligible</w:t>
      </w:r>
      <w:r w:rsidR="00A061C4">
        <w:t>.</w:t>
      </w:r>
      <w:r w:rsidR="000B090C">
        <w:t xml:space="preserve"> As noted above, Singapore has </w:t>
      </w:r>
      <w:r w:rsidR="000C1C59">
        <w:t>very few</w:t>
      </w:r>
      <w:r w:rsidR="000B090C">
        <w:t xml:space="preserve"> simplified reorganization cases</w:t>
      </w:r>
      <w:r w:rsidR="00311C11">
        <w:t xml:space="preserve"> – one barrier could be that small enterprises are not sure if they would fit the entry criteria</w:t>
      </w:r>
      <w:r w:rsidR="00970EDE">
        <w:t xml:space="preserve">. </w:t>
      </w:r>
    </w:p>
    <w:p w14:paraId="5F7FB5C9" w14:textId="666876CF" w:rsidR="000E4420" w:rsidRDefault="001640AE" w:rsidP="00132582">
      <w:pPr>
        <w:spacing w:line="360" w:lineRule="auto"/>
      </w:pPr>
      <w:r>
        <w:t>Another</w:t>
      </w:r>
      <w:r w:rsidR="008C3CAA">
        <w:t xml:space="preserve"> element of simplicity which is not </w:t>
      </w:r>
      <w:r>
        <w:t xml:space="preserve">specifically </w:t>
      </w:r>
      <w:r w:rsidR="008C3CAA">
        <w:t xml:space="preserve">prescribed in good </w:t>
      </w:r>
      <w:r w:rsidR="00467B40">
        <w:t>practice but</w:t>
      </w:r>
      <w:r w:rsidR="008C3CAA">
        <w:t xml:space="preserve"> is important </w:t>
      </w:r>
      <w:r w:rsidR="00507D87">
        <w:t>for accessibility</w:t>
      </w:r>
      <w:r w:rsidR="008C3CAA">
        <w:t xml:space="preserve"> is the structure of the legislation itself. </w:t>
      </w:r>
      <w:r w:rsidR="00467B40">
        <w:t xml:space="preserve">All the jurisdictions examined </w:t>
      </w:r>
      <w:r w:rsidR="00483E7A">
        <w:t xml:space="preserve">structured their simplified procedures as a section of the existing insolvency law. </w:t>
      </w:r>
      <w:r w:rsidR="00276725">
        <w:t>The OHADA Act ha</w:t>
      </w:r>
      <w:r w:rsidR="00EE37E9">
        <w:t>s</w:t>
      </w:r>
      <w:r w:rsidR="00276725">
        <w:t xml:space="preserve"> very few provisions for simplified reorganization</w:t>
      </w:r>
      <w:r w:rsidR="00705800">
        <w:t>. The reader would need to refer to the entire complex law</w:t>
      </w:r>
      <w:r w:rsidR="00FB7979">
        <w:t>, which has almost 300 articles to understand the procedure from start to finish. The Singapore Act</w:t>
      </w:r>
      <w:r w:rsidR="00E70F31">
        <w:t xml:space="preserve"> and SBRA are more like standalone procedures, with much of the detail in the simplified procedure itself. However, the SBRA </w:t>
      </w:r>
      <w:r w:rsidR="00221466">
        <w:t xml:space="preserve">disapplies many </w:t>
      </w:r>
      <w:r w:rsidR="002859BB">
        <w:t xml:space="preserve">regular Chapter 11 </w:t>
      </w:r>
      <w:r w:rsidR="00221466">
        <w:t xml:space="preserve">articles, so the reader would need to </w:t>
      </w:r>
      <w:proofErr w:type="gramStart"/>
      <w:r w:rsidR="00221466">
        <w:t>refer back</w:t>
      </w:r>
      <w:proofErr w:type="gramEnd"/>
      <w:r w:rsidR="00221466">
        <w:t xml:space="preserve"> to them to understand the whole procedure.</w:t>
      </w:r>
    </w:p>
    <w:p w14:paraId="5E3A4E2C" w14:textId="05577465" w:rsidR="002B1918" w:rsidRDefault="002B1918" w:rsidP="00FB7483">
      <w:pPr>
        <w:pStyle w:val="Heading1"/>
        <w:numPr>
          <w:ilvl w:val="0"/>
          <w:numId w:val="8"/>
        </w:numPr>
        <w:rPr>
          <w:b/>
          <w:bCs/>
        </w:rPr>
      </w:pPr>
      <w:bookmarkStart w:id="16" w:name="_Toc159866309"/>
      <w:r w:rsidRPr="00A65B0B">
        <w:rPr>
          <w:b/>
          <w:bCs/>
        </w:rPr>
        <w:lastRenderedPageBreak/>
        <w:t>Conclusion</w:t>
      </w:r>
      <w:bookmarkEnd w:id="16"/>
    </w:p>
    <w:p w14:paraId="55454BEA" w14:textId="3E5312F4" w:rsidR="00AF1E07" w:rsidRDefault="00082949" w:rsidP="00132582">
      <w:pPr>
        <w:spacing w:line="360" w:lineRule="auto"/>
      </w:pPr>
      <w:r>
        <w:br/>
      </w:r>
      <w:r w:rsidR="00AF1E07">
        <w:t xml:space="preserve">This paper </w:t>
      </w:r>
      <w:r w:rsidR="00331E76">
        <w:t xml:space="preserve">has provided a </w:t>
      </w:r>
      <w:r w:rsidR="006906E5">
        <w:t xml:space="preserve">brief </w:t>
      </w:r>
      <w:r w:rsidR="00331E76">
        <w:t xml:space="preserve">comparative analysis of simplified reorganization procedures for MSEs in three jurisdictions. </w:t>
      </w:r>
      <w:r w:rsidR="00E2633E">
        <w:t xml:space="preserve">The adherence </w:t>
      </w:r>
      <w:r w:rsidR="00D9527A">
        <w:t xml:space="preserve">of those procedures </w:t>
      </w:r>
      <w:r w:rsidR="00E2633E">
        <w:t xml:space="preserve">to the key features of </w:t>
      </w:r>
      <w:r w:rsidR="00D9527A">
        <w:t xml:space="preserve">international good practice for MSE insolvency was also </w:t>
      </w:r>
      <w:r w:rsidR="00484261">
        <w:t>examined.</w:t>
      </w:r>
      <w:r w:rsidR="009B0CAB">
        <w:t xml:space="preserve"> Finally, </w:t>
      </w:r>
      <w:r w:rsidR="00264EB5">
        <w:t xml:space="preserve">based upon the analysis, </w:t>
      </w:r>
      <w:r w:rsidR="006D281A">
        <w:t xml:space="preserve">the paper made several </w:t>
      </w:r>
      <w:r w:rsidR="00264EB5">
        <w:t xml:space="preserve">early </w:t>
      </w:r>
      <w:r w:rsidR="006D281A">
        <w:t xml:space="preserve">observations </w:t>
      </w:r>
      <w:r w:rsidR="0096103D">
        <w:t xml:space="preserve">for strengthening MSE </w:t>
      </w:r>
      <w:r w:rsidR="00264EB5">
        <w:t xml:space="preserve">frameworks which </w:t>
      </w:r>
      <w:r w:rsidR="00370EE5">
        <w:t>supplement</w:t>
      </w:r>
      <w:r w:rsidR="00264EB5">
        <w:t xml:space="preserve"> the international good practice standard.</w:t>
      </w:r>
      <w:r w:rsidR="00785623">
        <w:t xml:space="preserve"> These emphasize the importance of</w:t>
      </w:r>
      <w:r w:rsidR="00B0217B">
        <w:t>:</w:t>
      </w:r>
      <w:r w:rsidR="00785623">
        <w:t xml:space="preserve"> </w:t>
      </w:r>
      <w:r w:rsidR="00B8412E">
        <w:t xml:space="preserve">specialized insolvency administrators, </w:t>
      </w:r>
      <w:r w:rsidR="00B0217B">
        <w:t xml:space="preserve">deemed approval and cramdown </w:t>
      </w:r>
      <w:r w:rsidR="00C53DD9">
        <w:t xml:space="preserve">for successful reorganizations and </w:t>
      </w:r>
      <w:r w:rsidR="00370EE5">
        <w:t>accessible legislation</w:t>
      </w:r>
      <w:r w:rsidR="002D40AA">
        <w:t>.</w:t>
      </w:r>
      <w:r w:rsidR="00153E07">
        <w:t xml:space="preserve"> </w:t>
      </w:r>
    </w:p>
    <w:p w14:paraId="3A4133EF" w14:textId="2E77BD90" w:rsidR="00C744AF" w:rsidRDefault="004A126B" w:rsidP="00132582">
      <w:pPr>
        <w:spacing w:line="360" w:lineRule="auto"/>
      </w:pPr>
      <w:r>
        <w:t xml:space="preserve">The goal of this short paper was to examine three jurisdictions with </w:t>
      </w:r>
      <w:r w:rsidR="00280599">
        <w:t>quite different</w:t>
      </w:r>
      <w:r>
        <w:t xml:space="preserve"> economic, cultural, and legal contexts to explore potential lessons for future new or amended MSE reorganization procedures. </w:t>
      </w:r>
      <w:r w:rsidR="00294790">
        <w:t>A future</w:t>
      </w:r>
      <w:r w:rsidR="00540294">
        <w:t xml:space="preserve"> deeper</w:t>
      </w:r>
      <w:r w:rsidR="00294790">
        <w:t xml:space="preserve"> analysis would benefit from expanding the number of jurisdictions examined beyond thre</w:t>
      </w:r>
      <w:r w:rsidR="00C937EE">
        <w:t xml:space="preserve">e, reviewing data from cases and conducting interviews with entrepreneurs </w:t>
      </w:r>
      <w:r w:rsidR="00666D3D">
        <w:t>on their experiences using the system.</w:t>
      </w:r>
    </w:p>
    <w:p w14:paraId="42B015E1" w14:textId="77777777" w:rsidR="00C744AF" w:rsidRDefault="00C744AF">
      <w:r>
        <w:br w:type="page"/>
      </w:r>
    </w:p>
    <w:p w14:paraId="04AB0832" w14:textId="1EA9CEF9" w:rsidR="008C423A" w:rsidRDefault="00372CB6" w:rsidP="008C423A">
      <w:pPr>
        <w:pStyle w:val="Heading1"/>
        <w:numPr>
          <w:ilvl w:val="0"/>
          <w:numId w:val="8"/>
        </w:numPr>
        <w:rPr>
          <w:b/>
          <w:bCs/>
        </w:rPr>
      </w:pPr>
      <w:bookmarkStart w:id="17" w:name="_Toc159866310"/>
      <w:r w:rsidRPr="00A65B0B">
        <w:rPr>
          <w:b/>
          <w:bCs/>
        </w:rPr>
        <w:lastRenderedPageBreak/>
        <w:t>Bibliography</w:t>
      </w:r>
      <w:bookmarkEnd w:id="17"/>
    </w:p>
    <w:p w14:paraId="1B5F1D1B" w14:textId="77777777" w:rsidR="00C34408" w:rsidRDefault="00C34408" w:rsidP="001723C4">
      <w:pPr>
        <w:pStyle w:val="FootnoteText"/>
        <w:rPr>
          <w:rFonts w:cstheme="minorHAnsi"/>
          <w:sz w:val="18"/>
          <w:szCs w:val="18"/>
        </w:rPr>
      </w:pPr>
    </w:p>
    <w:p w14:paraId="7CE6D460" w14:textId="2E999796" w:rsidR="00611240" w:rsidRDefault="00611240" w:rsidP="007B06EE">
      <w:pPr>
        <w:pStyle w:val="ListParagraph"/>
        <w:numPr>
          <w:ilvl w:val="0"/>
          <w:numId w:val="14"/>
        </w:numPr>
        <w:spacing w:line="360" w:lineRule="auto"/>
      </w:pPr>
      <w:r w:rsidRPr="00611240">
        <w:t xml:space="preserve">Andre, Christophe; Demmou, Lilas, “Enhancing Insolvency Frameworks to Support Economic Renewal”, OECD Working Paper No. 1738, </w:t>
      </w:r>
      <w:r>
        <w:t xml:space="preserve">December </w:t>
      </w:r>
      <w:r w:rsidRPr="00611240">
        <w:t>2022</w:t>
      </w:r>
      <w:r>
        <w:t>.</w:t>
      </w:r>
    </w:p>
    <w:p w14:paraId="20012A47" w14:textId="432B35D8" w:rsidR="007A6978" w:rsidRPr="007A6978" w:rsidRDefault="007A6978" w:rsidP="007B06EE">
      <w:pPr>
        <w:pStyle w:val="ListParagraph"/>
        <w:numPr>
          <w:ilvl w:val="0"/>
          <w:numId w:val="14"/>
        </w:numPr>
        <w:spacing w:line="360" w:lineRule="auto"/>
      </w:pPr>
      <w:r w:rsidRPr="007A6978">
        <w:t xml:space="preserve">Gotberg, Brook E., </w:t>
      </w:r>
      <w:r w:rsidR="003E41D3">
        <w:t>“</w:t>
      </w:r>
      <w:r w:rsidRPr="007A6978">
        <w:t>Reluctant to Restructure: Small Businesses, the SBRA, and COVID-109”, 95</w:t>
      </w:r>
      <w:r w:rsidR="003E41D3">
        <w:t xml:space="preserve"> </w:t>
      </w:r>
      <w:r w:rsidRPr="007A6978">
        <w:t>American Bankruptcy Law Journal 389 (2021)</w:t>
      </w:r>
      <w:r w:rsidR="002A36AC">
        <w:t>.</w:t>
      </w:r>
    </w:p>
    <w:p w14:paraId="67BF9D2A" w14:textId="18A2EA9E" w:rsidR="007A6978" w:rsidRPr="007A6978" w:rsidRDefault="007A6978" w:rsidP="007B06EE">
      <w:pPr>
        <w:pStyle w:val="ListParagraph"/>
        <w:numPr>
          <w:ilvl w:val="0"/>
          <w:numId w:val="14"/>
        </w:numPr>
        <w:spacing w:line="360" w:lineRule="auto"/>
      </w:pPr>
      <w:r w:rsidRPr="007A6978">
        <w:t>Gurrea-Martínez, Aurelio, “Implementing an insolvency framework for micro and small firms”, International Insolvency Review, vol. 30, 2021, pp. S46–S66</w:t>
      </w:r>
      <w:r w:rsidR="002A36AC">
        <w:t>.</w:t>
      </w:r>
    </w:p>
    <w:p w14:paraId="3CFD3704" w14:textId="77777777" w:rsidR="007A6978" w:rsidRPr="007A6978" w:rsidRDefault="007A6978" w:rsidP="007B06EE">
      <w:pPr>
        <w:pStyle w:val="ListParagraph"/>
        <w:numPr>
          <w:ilvl w:val="0"/>
          <w:numId w:val="14"/>
        </w:numPr>
        <w:spacing w:line="360" w:lineRule="auto"/>
      </w:pPr>
      <w:r w:rsidRPr="007A6978">
        <w:t>Han, Denise, "Initial Effects of Subchapter V of Chapter 11 Bankruptcy During COVID-19" (2021). Undergraduate Honors Theses.187. https://scholarsarchive.byu.edu/cgi/viewcontent.cgi?article=1178&amp;context=studentpub_uht</w:t>
      </w:r>
    </w:p>
    <w:p w14:paraId="5934575D" w14:textId="17F7CDE8" w:rsidR="007A6978" w:rsidRPr="007A6978" w:rsidRDefault="007A6978" w:rsidP="007B06EE">
      <w:pPr>
        <w:pStyle w:val="ListParagraph"/>
        <w:numPr>
          <w:ilvl w:val="0"/>
          <w:numId w:val="14"/>
        </w:numPr>
        <w:spacing w:line="360" w:lineRule="auto"/>
      </w:pPr>
      <w:r w:rsidRPr="007A6978">
        <w:t>Harner, Michelle; Goodwin-Maigetter, Kimberly, “Subchapter V Cases by the Numbers”, ABI Journal, October 2021 at p. 12</w:t>
      </w:r>
      <w:r w:rsidR="002A36AC">
        <w:t>.</w:t>
      </w:r>
    </w:p>
    <w:p w14:paraId="48086C7E" w14:textId="4909CC84" w:rsidR="007A6978" w:rsidRPr="007A6978" w:rsidRDefault="007A6978" w:rsidP="007B06EE">
      <w:pPr>
        <w:pStyle w:val="ListParagraph"/>
        <w:numPr>
          <w:ilvl w:val="0"/>
          <w:numId w:val="14"/>
        </w:numPr>
        <w:spacing w:line="360" w:lineRule="auto"/>
      </w:pPr>
      <w:r w:rsidRPr="007A6978">
        <w:t>Hotchkiss, Edith; Iverson, Benjamin; Zheng, Ziang, “Can Small Businesses Survive Chapter 11” Unpublished Draft, February 2024</w:t>
      </w:r>
      <w:r w:rsidR="002A36AC">
        <w:t>.</w:t>
      </w:r>
    </w:p>
    <w:p w14:paraId="0636F239" w14:textId="42B58706" w:rsidR="007A6978" w:rsidRPr="007A6978" w:rsidRDefault="007A6978" w:rsidP="007B06EE">
      <w:pPr>
        <w:pStyle w:val="ListParagraph"/>
        <w:numPr>
          <w:ilvl w:val="0"/>
          <w:numId w:val="14"/>
        </w:numPr>
        <w:spacing w:line="360" w:lineRule="auto"/>
      </w:pPr>
      <w:r w:rsidRPr="007A6978">
        <w:t>Janger, Edward J., “The U.S. Small Business Bankruptcy Amendments: A Global Model for Reform?”, International Insolvency Review, vol. 29, 2020, pp. 254-266</w:t>
      </w:r>
      <w:r w:rsidR="002A36AC">
        <w:t>.</w:t>
      </w:r>
    </w:p>
    <w:p w14:paraId="04F71D06" w14:textId="12C2C625" w:rsidR="007A6978" w:rsidRPr="007A6978" w:rsidRDefault="007A6978" w:rsidP="007B06EE">
      <w:pPr>
        <w:pStyle w:val="ListParagraph"/>
        <w:numPr>
          <w:ilvl w:val="0"/>
          <w:numId w:val="14"/>
        </w:numPr>
        <w:spacing w:line="360" w:lineRule="auto"/>
      </w:pPr>
      <w:r w:rsidRPr="007A6978">
        <w:t>Landry, Robert J. III. "Subchapter V and the COVID-19 Disruption: Did Congress Get Small Business Bankruptcy Reform Right This Time?" Ohio State Business Law Journal, vol. 16, no. 1, 2021, pp. 66-90</w:t>
      </w:r>
      <w:r w:rsidR="002A36AC">
        <w:t>.</w:t>
      </w:r>
    </w:p>
    <w:p w14:paraId="17211805" w14:textId="4A13DCDD" w:rsidR="007A6978" w:rsidRPr="007A6978" w:rsidRDefault="007A6978" w:rsidP="007B06EE">
      <w:pPr>
        <w:pStyle w:val="ListParagraph"/>
        <w:numPr>
          <w:ilvl w:val="0"/>
          <w:numId w:val="14"/>
        </w:numPr>
        <w:spacing w:line="360" w:lineRule="auto"/>
      </w:pPr>
      <w:r w:rsidRPr="007A6978">
        <w:t>Mokal, Riz, et al., Micro, Small, and Medium Enterprise Insolvency: A Modular Approach, Oxford University Press (2018)</w:t>
      </w:r>
      <w:r w:rsidR="002A36AC">
        <w:t>.</w:t>
      </w:r>
    </w:p>
    <w:p w14:paraId="6BA32B11" w14:textId="6BC39ABB" w:rsidR="007A6978" w:rsidRPr="007A6978" w:rsidRDefault="007A6978" w:rsidP="007B06EE">
      <w:pPr>
        <w:pStyle w:val="ListParagraph"/>
        <w:numPr>
          <w:ilvl w:val="0"/>
          <w:numId w:val="14"/>
        </w:numPr>
        <w:spacing w:line="360" w:lineRule="auto"/>
      </w:pPr>
      <w:r w:rsidRPr="007A6978">
        <w:t>Mulevičienė, Salvija, “Evaluation of the Effectiveness of Insolvency Frameworks: Does the Small Business Perspective Matter?” Entrepreneurship and Sustainability Issues, Volume 8, no. 2, 2020, pp. 383-398</w:t>
      </w:r>
      <w:r w:rsidR="002A36AC">
        <w:t>.</w:t>
      </w:r>
    </w:p>
    <w:p w14:paraId="6DB80E4E" w14:textId="44EA4E1D" w:rsidR="007A6978" w:rsidRPr="007A6978" w:rsidRDefault="007A6978" w:rsidP="007B06EE">
      <w:pPr>
        <w:pStyle w:val="ListParagraph"/>
        <w:numPr>
          <w:ilvl w:val="0"/>
          <w:numId w:val="14"/>
        </w:numPr>
        <w:spacing w:line="360" w:lineRule="auto"/>
      </w:pPr>
      <w:r w:rsidRPr="007A6978">
        <w:t>Norton III, William L.; Bailey, James B., “The Pros and Cons of the Small Business Reorganization Act of 2019”, 36 EMORY BANKR. DEV. J. 383 (2020)</w:t>
      </w:r>
      <w:r w:rsidR="002A36AC">
        <w:t>.</w:t>
      </w:r>
    </w:p>
    <w:p w14:paraId="4909AC2A" w14:textId="41D5DF74" w:rsidR="007A6978" w:rsidRPr="007A6978" w:rsidRDefault="007A6978" w:rsidP="007B06EE">
      <w:pPr>
        <w:pStyle w:val="ListParagraph"/>
        <w:numPr>
          <w:ilvl w:val="0"/>
          <w:numId w:val="14"/>
        </w:numPr>
        <w:spacing w:line="360" w:lineRule="auto"/>
      </w:pPr>
      <w:r w:rsidRPr="007A6978">
        <w:t>Rea, Katherine, “There is a New Trustee in Town”, ABI Journal, December 2019 at p. 36</w:t>
      </w:r>
      <w:r w:rsidR="002A36AC">
        <w:t>.</w:t>
      </w:r>
    </w:p>
    <w:p w14:paraId="131E9B68" w14:textId="6309F3E9" w:rsidR="007A6978" w:rsidRDefault="007A6978" w:rsidP="007B06EE">
      <w:pPr>
        <w:pStyle w:val="ListParagraph"/>
        <w:numPr>
          <w:ilvl w:val="0"/>
          <w:numId w:val="14"/>
        </w:numPr>
        <w:spacing w:line="360" w:lineRule="auto"/>
      </w:pPr>
      <w:r w:rsidRPr="007A6978">
        <w:t xml:space="preserve">UNICTRAL, </w:t>
      </w:r>
      <w:r w:rsidRPr="004C1666">
        <w:rPr>
          <w:i/>
          <w:iCs/>
        </w:rPr>
        <w:t>Legislative Guide on Insolvency of Micro- and Small Enterprises</w:t>
      </w:r>
      <w:r w:rsidRPr="007A6978">
        <w:t>, Part Five</w:t>
      </w:r>
      <w:r w:rsidR="004C1666">
        <w:t xml:space="preserve"> (</w:t>
      </w:r>
      <w:r w:rsidRPr="007A6978">
        <w:t>2021</w:t>
      </w:r>
      <w:r w:rsidR="004C1666">
        <w:t>).</w:t>
      </w:r>
    </w:p>
    <w:p w14:paraId="0E7BF2F1" w14:textId="6D04D314" w:rsidR="004B7C79" w:rsidRPr="007A6978" w:rsidRDefault="004B7C79" w:rsidP="007B06EE">
      <w:pPr>
        <w:pStyle w:val="ListParagraph"/>
        <w:numPr>
          <w:ilvl w:val="0"/>
          <w:numId w:val="14"/>
        </w:numPr>
        <w:spacing w:line="360" w:lineRule="auto"/>
      </w:pPr>
      <w:r w:rsidRPr="007A6978">
        <w:t xml:space="preserve">World Bank Group, </w:t>
      </w:r>
      <w:r>
        <w:rPr>
          <w:i/>
          <w:iCs/>
        </w:rPr>
        <w:t>Principles for Effective</w:t>
      </w:r>
      <w:r w:rsidR="00AF67A0">
        <w:rPr>
          <w:i/>
          <w:iCs/>
        </w:rPr>
        <w:t xml:space="preserve"> Insolvency and Creditor/Debtor Regimes</w:t>
      </w:r>
      <w:r>
        <w:rPr>
          <w:i/>
          <w:iCs/>
        </w:rPr>
        <w:t xml:space="preserve"> </w:t>
      </w:r>
      <w:r w:rsidRPr="007A6978">
        <w:t>(</w:t>
      </w:r>
      <w:r w:rsidR="00AF67A0">
        <w:t>2021</w:t>
      </w:r>
      <w:r w:rsidRPr="007A6978">
        <w:t>)</w:t>
      </w:r>
      <w:r>
        <w:t>.</w:t>
      </w:r>
    </w:p>
    <w:p w14:paraId="183C9796" w14:textId="369CBDD6" w:rsidR="007A6978" w:rsidRPr="007A6978" w:rsidRDefault="007A6978" w:rsidP="007B06EE">
      <w:pPr>
        <w:pStyle w:val="ListParagraph"/>
        <w:numPr>
          <w:ilvl w:val="0"/>
          <w:numId w:val="14"/>
        </w:numPr>
        <w:spacing w:line="360" w:lineRule="auto"/>
      </w:pPr>
      <w:r w:rsidRPr="007A6978">
        <w:t xml:space="preserve">World Bank Group, </w:t>
      </w:r>
      <w:r w:rsidRPr="004C1666">
        <w:rPr>
          <w:i/>
          <w:iCs/>
        </w:rPr>
        <w:t>Report on the Treatment of MSME Insolvency</w:t>
      </w:r>
      <w:r w:rsidRPr="007A6978">
        <w:t xml:space="preserve"> (2017)</w:t>
      </w:r>
      <w:r w:rsidR="002A36AC">
        <w:t>.</w:t>
      </w:r>
    </w:p>
    <w:p w14:paraId="67900ECF" w14:textId="7B74458A" w:rsidR="007A6978" w:rsidRPr="007A6978" w:rsidRDefault="007A6978" w:rsidP="007B06EE">
      <w:pPr>
        <w:pStyle w:val="ListParagraph"/>
        <w:numPr>
          <w:ilvl w:val="0"/>
          <w:numId w:val="14"/>
        </w:numPr>
        <w:spacing w:line="360" w:lineRule="auto"/>
      </w:pPr>
      <w:r w:rsidRPr="007A6978">
        <w:lastRenderedPageBreak/>
        <w:t xml:space="preserve">World Bank Group, </w:t>
      </w:r>
      <w:r w:rsidRPr="004C1666">
        <w:rPr>
          <w:i/>
          <w:iCs/>
        </w:rPr>
        <w:t>Saving Entrepreneurs, Saving Enterprises: Proposals on the Treatment of MSME Insolvency</w:t>
      </w:r>
      <w:r w:rsidRPr="007A6978">
        <w:t xml:space="preserve"> (2018)</w:t>
      </w:r>
      <w:r w:rsidR="002A36AC">
        <w:t>.</w:t>
      </w:r>
    </w:p>
    <w:p w14:paraId="497ABDB4" w14:textId="77777777" w:rsidR="00C34408" w:rsidRPr="008C423A" w:rsidRDefault="00C34408" w:rsidP="001723C4"/>
    <w:sectPr w:rsidR="00C34408" w:rsidRPr="008C423A" w:rsidSect="00793BB3">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877042" w14:textId="77777777" w:rsidR="003F4624" w:rsidRDefault="003F4624" w:rsidP="00031BD2">
      <w:pPr>
        <w:spacing w:after="0" w:line="240" w:lineRule="auto"/>
      </w:pPr>
      <w:r>
        <w:separator/>
      </w:r>
    </w:p>
  </w:endnote>
  <w:endnote w:type="continuationSeparator" w:id="0">
    <w:p w14:paraId="3B273E5B" w14:textId="77777777" w:rsidR="003F4624" w:rsidRDefault="003F4624" w:rsidP="00031B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514205"/>
      <w:docPartObj>
        <w:docPartGallery w:val="Page Numbers (Bottom of Page)"/>
        <w:docPartUnique/>
      </w:docPartObj>
    </w:sdtPr>
    <w:sdtEndPr>
      <w:rPr>
        <w:noProof/>
      </w:rPr>
    </w:sdtEndPr>
    <w:sdtContent>
      <w:p w14:paraId="717AAADC" w14:textId="5DC57F99" w:rsidR="00494632" w:rsidRDefault="0049463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1AEA692" w14:textId="77777777" w:rsidR="00494632" w:rsidRDefault="004946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97B5A1" w14:textId="77777777" w:rsidR="003F4624" w:rsidRDefault="003F4624" w:rsidP="00031BD2">
      <w:pPr>
        <w:spacing w:after="0" w:line="240" w:lineRule="auto"/>
      </w:pPr>
      <w:r>
        <w:separator/>
      </w:r>
    </w:p>
  </w:footnote>
  <w:footnote w:type="continuationSeparator" w:id="0">
    <w:p w14:paraId="709F6282" w14:textId="77777777" w:rsidR="003F4624" w:rsidRDefault="003F4624" w:rsidP="00031BD2">
      <w:pPr>
        <w:spacing w:after="0" w:line="240" w:lineRule="auto"/>
      </w:pPr>
      <w:r>
        <w:continuationSeparator/>
      </w:r>
    </w:p>
  </w:footnote>
  <w:footnote w:id="1">
    <w:p w14:paraId="2E15EF12" w14:textId="0E88CBF6" w:rsidR="00C70317" w:rsidRPr="000F1FD5" w:rsidRDefault="00C70317">
      <w:pPr>
        <w:pStyle w:val="FootnoteText"/>
        <w:rPr>
          <w:rFonts w:cstheme="minorHAnsi"/>
          <w:sz w:val="18"/>
          <w:szCs w:val="18"/>
        </w:rPr>
      </w:pPr>
      <w:r w:rsidRPr="000F1FD5">
        <w:rPr>
          <w:rStyle w:val="FootnoteReference"/>
          <w:rFonts w:cstheme="minorHAnsi"/>
          <w:sz w:val="18"/>
          <w:szCs w:val="18"/>
        </w:rPr>
        <w:footnoteRef/>
      </w:r>
      <w:r w:rsidRPr="000F1FD5">
        <w:rPr>
          <w:rFonts w:cstheme="minorHAnsi"/>
          <w:sz w:val="18"/>
          <w:szCs w:val="18"/>
        </w:rPr>
        <w:t xml:space="preserve"> </w:t>
      </w:r>
      <w:r w:rsidR="008113FC" w:rsidRPr="000F1FD5">
        <w:rPr>
          <w:rFonts w:cstheme="minorHAnsi"/>
          <w:sz w:val="18"/>
          <w:szCs w:val="18"/>
        </w:rPr>
        <w:t xml:space="preserve">See </w:t>
      </w:r>
      <w:hyperlink r:id="rId1" w:history="1">
        <w:r w:rsidR="008113FC" w:rsidRPr="000F1FD5">
          <w:rPr>
            <w:rStyle w:val="Hyperlink"/>
            <w:rFonts w:cstheme="minorHAnsi"/>
            <w:sz w:val="18"/>
            <w:szCs w:val="18"/>
          </w:rPr>
          <w:t>https://www.worldbank.org/en/topic/smefinance</w:t>
        </w:r>
      </w:hyperlink>
      <w:r w:rsidR="00807061" w:rsidRPr="000F1FD5">
        <w:rPr>
          <w:rFonts w:cstheme="minorHAnsi"/>
          <w:sz w:val="18"/>
          <w:szCs w:val="18"/>
        </w:rPr>
        <w:t>, accessed on 2/10/2024.</w:t>
      </w:r>
      <w:r w:rsidR="008D7908" w:rsidRPr="000F1FD5">
        <w:rPr>
          <w:rFonts w:cstheme="minorHAnsi"/>
          <w:sz w:val="18"/>
          <w:szCs w:val="18"/>
        </w:rPr>
        <w:t xml:space="preserve"> Data is not available worldwide on micro enterprises</w:t>
      </w:r>
      <w:r w:rsidR="00AE2994" w:rsidRPr="000F1FD5">
        <w:rPr>
          <w:rFonts w:cstheme="minorHAnsi"/>
          <w:sz w:val="18"/>
          <w:szCs w:val="18"/>
        </w:rPr>
        <w:t xml:space="preserve"> – most datasets are of small and medium enterprises.</w:t>
      </w:r>
    </w:p>
  </w:footnote>
  <w:footnote w:id="2">
    <w:p w14:paraId="4485941F" w14:textId="7D8A3535" w:rsidR="00385477" w:rsidRPr="000F1FD5" w:rsidRDefault="00385477">
      <w:pPr>
        <w:pStyle w:val="FootnoteText"/>
        <w:rPr>
          <w:rFonts w:cstheme="minorHAnsi"/>
          <w:sz w:val="18"/>
          <w:szCs w:val="18"/>
        </w:rPr>
      </w:pPr>
      <w:r w:rsidRPr="000F1FD5">
        <w:rPr>
          <w:rStyle w:val="FootnoteReference"/>
          <w:rFonts w:cstheme="minorHAnsi"/>
          <w:sz w:val="18"/>
          <w:szCs w:val="18"/>
        </w:rPr>
        <w:footnoteRef/>
      </w:r>
      <w:r w:rsidRPr="000F1FD5">
        <w:rPr>
          <w:rFonts w:cstheme="minorHAnsi"/>
          <w:sz w:val="18"/>
          <w:szCs w:val="18"/>
        </w:rPr>
        <w:t xml:space="preserve"> </w:t>
      </w:r>
      <w:r w:rsidR="00750671" w:rsidRPr="000F1FD5">
        <w:rPr>
          <w:rFonts w:cstheme="minorHAnsi"/>
          <w:sz w:val="18"/>
          <w:szCs w:val="18"/>
        </w:rPr>
        <w:t>Countries will also be benchmarked in t</w:t>
      </w:r>
      <w:r w:rsidRPr="000F1FD5">
        <w:rPr>
          <w:rFonts w:cstheme="minorHAnsi"/>
          <w:sz w:val="18"/>
          <w:szCs w:val="18"/>
        </w:rPr>
        <w:t xml:space="preserve">he World Bank’s upcoming Business Ready </w:t>
      </w:r>
      <w:r w:rsidR="00750671" w:rsidRPr="000F1FD5">
        <w:rPr>
          <w:rFonts w:cstheme="minorHAnsi"/>
          <w:sz w:val="18"/>
          <w:szCs w:val="18"/>
        </w:rPr>
        <w:t>R</w:t>
      </w:r>
      <w:r w:rsidRPr="000F1FD5">
        <w:rPr>
          <w:rFonts w:cstheme="minorHAnsi"/>
          <w:sz w:val="18"/>
          <w:szCs w:val="18"/>
        </w:rPr>
        <w:t>eport</w:t>
      </w:r>
      <w:r w:rsidR="00750671" w:rsidRPr="000F1FD5">
        <w:rPr>
          <w:rFonts w:cstheme="minorHAnsi"/>
          <w:sz w:val="18"/>
          <w:szCs w:val="18"/>
        </w:rPr>
        <w:t xml:space="preserve"> (B-READY). B-READY </w:t>
      </w:r>
      <w:r w:rsidRPr="000F1FD5">
        <w:rPr>
          <w:rFonts w:cstheme="minorHAnsi"/>
          <w:sz w:val="18"/>
          <w:szCs w:val="18"/>
        </w:rPr>
        <w:t xml:space="preserve">will include a </w:t>
      </w:r>
      <w:r w:rsidR="00874619" w:rsidRPr="000F1FD5">
        <w:rPr>
          <w:rFonts w:cstheme="minorHAnsi"/>
          <w:sz w:val="18"/>
          <w:szCs w:val="18"/>
        </w:rPr>
        <w:t>component on Business Insolvency, which includes points for countries who have a simplified MSE insolvency procedure in place. See</w:t>
      </w:r>
      <w:r w:rsidR="00750671" w:rsidRPr="000F1FD5">
        <w:rPr>
          <w:rFonts w:cstheme="minorHAnsi"/>
          <w:sz w:val="18"/>
          <w:szCs w:val="18"/>
        </w:rPr>
        <w:t xml:space="preserve"> https://www.worldbank.org/en/businessready</w:t>
      </w:r>
      <w:r w:rsidR="0021205B" w:rsidRPr="000F1FD5">
        <w:rPr>
          <w:rFonts w:cstheme="minorHAnsi"/>
          <w:sz w:val="18"/>
          <w:szCs w:val="18"/>
        </w:rPr>
        <w:t>.</w:t>
      </w:r>
    </w:p>
  </w:footnote>
  <w:footnote w:id="3">
    <w:p w14:paraId="1009558C" w14:textId="1403CDD5" w:rsidR="009003DB" w:rsidRPr="000F1FD5" w:rsidRDefault="009003DB">
      <w:pPr>
        <w:pStyle w:val="FootnoteText"/>
        <w:rPr>
          <w:rFonts w:cstheme="minorHAnsi"/>
          <w:sz w:val="18"/>
          <w:szCs w:val="18"/>
        </w:rPr>
      </w:pPr>
      <w:r w:rsidRPr="000F1FD5">
        <w:rPr>
          <w:rStyle w:val="FootnoteReference"/>
          <w:rFonts w:cstheme="minorHAnsi"/>
          <w:sz w:val="18"/>
          <w:szCs w:val="18"/>
        </w:rPr>
        <w:footnoteRef/>
      </w:r>
      <w:r w:rsidRPr="000F1FD5">
        <w:rPr>
          <w:rFonts w:cstheme="minorHAnsi"/>
          <w:sz w:val="18"/>
          <w:szCs w:val="18"/>
        </w:rPr>
        <w:t xml:space="preserve"> </w:t>
      </w:r>
      <w:r w:rsidR="00BB314A" w:rsidRPr="000F1FD5">
        <w:rPr>
          <w:rFonts w:cstheme="minorHAnsi"/>
          <w:sz w:val="18"/>
          <w:szCs w:val="18"/>
        </w:rPr>
        <w:t>For example, t</w:t>
      </w:r>
      <w:r w:rsidRPr="000F1FD5">
        <w:rPr>
          <w:rFonts w:cstheme="minorHAnsi"/>
          <w:sz w:val="18"/>
          <w:szCs w:val="18"/>
        </w:rPr>
        <w:t xml:space="preserve">he UNCITRAL Guide for MSEs has </w:t>
      </w:r>
      <w:r w:rsidR="00BB314A" w:rsidRPr="000F1FD5">
        <w:rPr>
          <w:rFonts w:cstheme="minorHAnsi"/>
          <w:sz w:val="18"/>
          <w:szCs w:val="18"/>
        </w:rPr>
        <w:t>double the number of recommendations for reorganization than for liquidation.</w:t>
      </w:r>
      <w:r w:rsidR="0094079D" w:rsidRPr="000F1FD5">
        <w:rPr>
          <w:rFonts w:cstheme="minorHAnsi"/>
          <w:sz w:val="18"/>
          <w:szCs w:val="18"/>
        </w:rPr>
        <w:t xml:space="preserve"> See https://uncitral.un.org/sites/uncitral.un.org/files/media-documents/uncitral/en/msms_insolvency_ebook.pdf.</w:t>
      </w:r>
    </w:p>
  </w:footnote>
  <w:footnote w:id="4">
    <w:p w14:paraId="3BEDB4CC" w14:textId="1FB79443" w:rsidR="00031BD2" w:rsidRPr="000F1FD5" w:rsidRDefault="00031BD2" w:rsidP="00AC0842">
      <w:pPr>
        <w:pStyle w:val="FootnoteText"/>
        <w:rPr>
          <w:rFonts w:cstheme="minorHAnsi"/>
          <w:sz w:val="18"/>
          <w:szCs w:val="18"/>
        </w:rPr>
      </w:pPr>
      <w:r w:rsidRPr="000F1FD5">
        <w:rPr>
          <w:rStyle w:val="FootnoteReference"/>
          <w:rFonts w:cstheme="minorHAnsi"/>
          <w:sz w:val="18"/>
          <w:szCs w:val="18"/>
        </w:rPr>
        <w:footnoteRef/>
      </w:r>
      <w:r w:rsidRPr="000F1FD5">
        <w:rPr>
          <w:rFonts w:cstheme="minorHAnsi"/>
          <w:sz w:val="18"/>
          <w:szCs w:val="18"/>
        </w:rPr>
        <w:t xml:space="preserve"> The OHADA region </w:t>
      </w:r>
      <w:r w:rsidR="00AC0842" w:rsidRPr="000F1FD5">
        <w:rPr>
          <w:rFonts w:cstheme="minorHAnsi"/>
          <w:sz w:val="18"/>
          <w:szCs w:val="18"/>
        </w:rPr>
        <w:t xml:space="preserve">was established by the Treaty on the Harmonization of Business Law in Africa (OHADA) signed </w:t>
      </w:r>
      <w:r w:rsidR="005A6FF5" w:rsidRPr="000F1FD5">
        <w:rPr>
          <w:rFonts w:cstheme="minorHAnsi"/>
          <w:sz w:val="18"/>
          <w:szCs w:val="18"/>
        </w:rPr>
        <w:t>in</w:t>
      </w:r>
      <w:r w:rsidR="00AC0842" w:rsidRPr="000F1FD5">
        <w:rPr>
          <w:rFonts w:cstheme="minorHAnsi"/>
          <w:sz w:val="18"/>
          <w:szCs w:val="18"/>
        </w:rPr>
        <w:t xml:space="preserve"> 1993</w:t>
      </w:r>
      <w:r w:rsidR="00164B07" w:rsidRPr="000F1FD5">
        <w:rPr>
          <w:rFonts w:cstheme="minorHAnsi"/>
          <w:sz w:val="18"/>
          <w:szCs w:val="18"/>
        </w:rPr>
        <w:t>. Seventeen</w:t>
      </w:r>
      <w:r w:rsidR="00AC0842" w:rsidRPr="000F1FD5">
        <w:rPr>
          <w:rFonts w:cstheme="minorHAnsi"/>
          <w:sz w:val="18"/>
          <w:szCs w:val="18"/>
        </w:rPr>
        <w:t xml:space="preserve"> States are members: Benin, Burkina Faso, Cameroon, Central African Republic, Côte d’Ivoire, Congo, Comoros, Gabon, Guinea, Guinea Bissau, Equatorial Guinea, Mali, Niger, the Democratic Republic of Congo (DRC), Senegal, Chad</w:t>
      </w:r>
      <w:r w:rsidR="00164B07" w:rsidRPr="000F1FD5">
        <w:rPr>
          <w:rFonts w:cstheme="minorHAnsi"/>
          <w:sz w:val="18"/>
          <w:szCs w:val="18"/>
        </w:rPr>
        <w:t>,</w:t>
      </w:r>
      <w:r w:rsidR="00AC0842" w:rsidRPr="000F1FD5">
        <w:rPr>
          <w:rFonts w:cstheme="minorHAnsi"/>
          <w:sz w:val="18"/>
          <w:szCs w:val="18"/>
        </w:rPr>
        <w:t xml:space="preserve"> and Togo.</w:t>
      </w:r>
    </w:p>
  </w:footnote>
  <w:footnote w:id="5">
    <w:p w14:paraId="10375995" w14:textId="6C8BB835" w:rsidR="00DD6703" w:rsidRPr="000F1FD5" w:rsidRDefault="00DD6703">
      <w:pPr>
        <w:pStyle w:val="FootnoteText"/>
        <w:rPr>
          <w:rFonts w:cstheme="minorHAnsi"/>
          <w:sz w:val="18"/>
          <w:szCs w:val="18"/>
        </w:rPr>
      </w:pPr>
      <w:r w:rsidRPr="000F1FD5">
        <w:rPr>
          <w:rStyle w:val="FootnoteReference"/>
          <w:rFonts w:cstheme="minorHAnsi"/>
          <w:sz w:val="18"/>
          <w:szCs w:val="18"/>
        </w:rPr>
        <w:footnoteRef/>
      </w:r>
      <w:r w:rsidRPr="000F1FD5">
        <w:rPr>
          <w:rFonts w:cstheme="minorHAnsi"/>
          <w:sz w:val="18"/>
          <w:szCs w:val="18"/>
        </w:rPr>
        <w:t xml:space="preserve"> World Bank, Principles for Effective Insolvency and Creditor/Debtor Regimes</w:t>
      </w:r>
      <w:r w:rsidR="00EE2641" w:rsidRPr="000F1FD5">
        <w:rPr>
          <w:rFonts w:cstheme="minorHAnsi"/>
          <w:sz w:val="18"/>
          <w:szCs w:val="18"/>
        </w:rPr>
        <w:t xml:space="preserve">, 2021 </w:t>
      </w:r>
      <w:r w:rsidRPr="000F1FD5">
        <w:rPr>
          <w:rFonts w:cstheme="minorHAnsi"/>
          <w:sz w:val="18"/>
          <w:szCs w:val="18"/>
        </w:rPr>
        <w:t>(WB Principles)</w:t>
      </w:r>
      <w:r w:rsidR="00EE2641" w:rsidRPr="000F1FD5">
        <w:rPr>
          <w:rFonts w:cstheme="minorHAnsi"/>
          <w:sz w:val="18"/>
          <w:szCs w:val="18"/>
        </w:rPr>
        <w:t>.</w:t>
      </w:r>
    </w:p>
  </w:footnote>
  <w:footnote w:id="6">
    <w:p w14:paraId="072DB438" w14:textId="541BA686" w:rsidR="00F07984" w:rsidRPr="000F1FD5" w:rsidRDefault="00F07984">
      <w:pPr>
        <w:pStyle w:val="FootnoteText"/>
        <w:rPr>
          <w:rFonts w:cstheme="minorHAnsi"/>
          <w:sz w:val="18"/>
          <w:szCs w:val="18"/>
        </w:rPr>
      </w:pPr>
      <w:r w:rsidRPr="000F1FD5">
        <w:rPr>
          <w:rStyle w:val="FootnoteReference"/>
          <w:rFonts w:cstheme="minorHAnsi"/>
          <w:sz w:val="18"/>
          <w:szCs w:val="18"/>
        </w:rPr>
        <w:footnoteRef/>
      </w:r>
      <w:r w:rsidRPr="000F1FD5">
        <w:rPr>
          <w:rFonts w:cstheme="minorHAnsi"/>
          <w:sz w:val="18"/>
          <w:szCs w:val="18"/>
        </w:rPr>
        <w:t xml:space="preserve"> See </w:t>
      </w:r>
      <w:r w:rsidR="009A69AC" w:rsidRPr="000F1FD5">
        <w:rPr>
          <w:rFonts w:cstheme="minorHAnsi"/>
          <w:sz w:val="18"/>
          <w:szCs w:val="18"/>
        </w:rPr>
        <w:t xml:space="preserve">Financial Stability Board Standard: </w:t>
      </w:r>
      <w:r w:rsidRPr="000F1FD5">
        <w:rPr>
          <w:rFonts w:cstheme="minorHAnsi"/>
          <w:sz w:val="18"/>
          <w:szCs w:val="18"/>
        </w:rPr>
        <w:t>https://www.fsb.org/2011/01/cos_051201/</w:t>
      </w:r>
      <w:r w:rsidR="008113FC" w:rsidRPr="000F1FD5">
        <w:rPr>
          <w:rFonts w:cstheme="minorHAnsi"/>
          <w:sz w:val="18"/>
          <w:szCs w:val="18"/>
        </w:rPr>
        <w:t>.</w:t>
      </w:r>
    </w:p>
  </w:footnote>
  <w:footnote w:id="7">
    <w:p w14:paraId="0390C6A3" w14:textId="763C4C4B" w:rsidR="008D6917" w:rsidRPr="000F1FD5" w:rsidRDefault="008D6917">
      <w:pPr>
        <w:pStyle w:val="FootnoteText"/>
        <w:rPr>
          <w:rFonts w:cstheme="minorHAnsi"/>
          <w:sz w:val="18"/>
          <w:szCs w:val="18"/>
        </w:rPr>
      </w:pPr>
      <w:r w:rsidRPr="000F1FD5">
        <w:rPr>
          <w:rStyle w:val="FootnoteReference"/>
          <w:rFonts w:cstheme="minorHAnsi"/>
          <w:sz w:val="18"/>
          <w:szCs w:val="18"/>
        </w:rPr>
        <w:footnoteRef/>
      </w:r>
      <w:r w:rsidRPr="000F1FD5">
        <w:rPr>
          <w:rFonts w:cstheme="minorHAnsi"/>
          <w:sz w:val="18"/>
          <w:szCs w:val="18"/>
        </w:rPr>
        <w:t xml:space="preserve"> </w:t>
      </w:r>
      <w:r w:rsidR="00B834DD" w:rsidRPr="000F1FD5">
        <w:rPr>
          <w:rFonts w:cstheme="minorHAnsi"/>
          <w:sz w:val="18"/>
          <w:szCs w:val="18"/>
        </w:rPr>
        <w:t>Ibid.</w:t>
      </w:r>
    </w:p>
  </w:footnote>
  <w:footnote w:id="8">
    <w:p w14:paraId="2A150FFA" w14:textId="221ADF94" w:rsidR="00081C3B" w:rsidRPr="000F1FD5" w:rsidRDefault="00081C3B" w:rsidP="00081C3B">
      <w:pPr>
        <w:pStyle w:val="FootnoteText"/>
        <w:rPr>
          <w:rFonts w:cstheme="minorHAnsi"/>
          <w:sz w:val="18"/>
          <w:szCs w:val="18"/>
        </w:rPr>
      </w:pPr>
      <w:r w:rsidRPr="000F1FD5">
        <w:rPr>
          <w:rStyle w:val="FootnoteReference"/>
          <w:rFonts w:cstheme="minorHAnsi"/>
          <w:sz w:val="18"/>
          <w:szCs w:val="18"/>
        </w:rPr>
        <w:footnoteRef/>
      </w:r>
      <w:r w:rsidRPr="000F1FD5">
        <w:rPr>
          <w:rFonts w:cstheme="minorHAnsi"/>
          <w:sz w:val="18"/>
          <w:szCs w:val="18"/>
        </w:rPr>
        <w:t xml:space="preserve"> W</w:t>
      </w:r>
      <w:r w:rsidR="00BC2485" w:rsidRPr="000F1FD5">
        <w:rPr>
          <w:rFonts w:cstheme="minorHAnsi"/>
          <w:sz w:val="18"/>
          <w:szCs w:val="18"/>
        </w:rPr>
        <w:t>orld Bank</w:t>
      </w:r>
      <w:r w:rsidR="001A50B6" w:rsidRPr="000F1FD5">
        <w:rPr>
          <w:rFonts w:cstheme="minorHAnsi"/>
          <w:sz w:val="18"/>
          <w:szCs w:val="18"/>
        </w:rPr>
        <w:t xml:space="preserve"> Group, Report on the Treatment of MSME Insolvency</w:t>
      </w:r>
      <w:r w:rsidR="001F3978" w:rsidRPr="000F1FD5">
        <w:rPr>
          <w:rFonts w:cstheme="minorHAnsi"/>
          <w:sz w:val="18"/>
          <w:szCs w:val="18"/>
        </w:rPr>
        <w:t xml:space="preserve"> (</w:t>
      </w:r>
      <w:r w:rsidR="001A50B6" w:rsidRPr="000F1FD5">
        <w:rPr>
          <w:rFonts w:cstheme="minorHAnsi"/>
          <w:sz w:val="18"/>
          <w:szCs w:val="18"/>
        </w:rPr>
        <w:t>2017</w:t>
      </w:r>
      <w:r w:rsidR="001F3978" w:rsidRPr="000F1FD5">
        <w:rPr>
          <w:rFonts w:cstheme="minorHAnsi"/>
          <w:sz w:val="18"/>
          <w:szCs w:val="18"/>
        </w:rPr>
        <w:t>)</w:t>
      </w:r>
      <w:r w:rsidRPr="000F1FD5">
        <w:rPr>
          <w:rFonts w:cstheme="minorHAnsi"/>
          <w:sz w:val="18"/>
          <w:szCs w:val="18"/>
        </w:rPr>
        <w:t xml:space="preserve"> “arises out of a panel presentation that took place during the 2015 meeting of the World Bank Group’s  Insolvency and Creditor/Debtor Regimes Task Force.” P. </w:t>
      </w:r>
      <w:r w:rsidR="00227373" w:rsidRPr="000F1FD5">
        <w:rPr>
          <w:rFonts w:cstheme="minorHAnsi"/>
          <w:sz w:val="18"/>
          <w:szCs w:val="18"/>
        </w:rPr>
        <w:t>iii.</w:t>
      </w:r>
    </w:p>
  </w:footnote>
  <w:footnote w:id="9">
    <w:p w14:paraId="45093913" w14:textId="0DD479A0" w:rsidR="00B47BFB" w:rsidRPr="000F1FD5" w:rsidRDefault="00B47BFB" w:rsidP="00A0435E">
      <w:pPr>
        <w:pStyle w:val="FootnoteText"/>
        <w:rPr>
          <w:rFonts w:cstheme="minorHAnsi"/>
          <w:sz w:val="18"/>
          <w:szCs w:val="18"/>
        </w:rPr>
      </w:pPr>
      <w:r w:rsidRPr="000F1FD5">
        <w:rPr>
          <w:rStyle w:val="FootnoteReference"/>
          <w:rFonts w:cstheme="minorHAnsi"/>
          <w:sz w:val="18"/>
          <w:szCs w:val="18"/>
        </w:rPr>
        <w:footnoteRef/>
      </w:r>
      <w:r w:rsidRPr="000F1FD5">
        <w:rPr>
          <w:rFonts w:cstheme="minorHAnsi"/>
          <w:sz w:val="18"/>
          <w:szCs w:val="18"/>
        </w:rPr>
        <w:t xml:space="preserve"> </w:t>
      </w:r>
      <w:r w:rsidR="001F3978" w:rsidRPr="000F1FD5">
        <w:rPr>
          <w:rFonts w:cstheme="minorHAnsi"/>
          <w:sz w:val="18"/>
          <w:szCs w:val="18"/>
        </w:rPr>
        <w:t>Ibid.</w:t>
      </w:r>
      <w:r w:rsidR="001F3978" w:rsidRPr="000F1FD5">
        <w:rPr>
          <w:rFonts w:cstheme="minorHAnsi"/>
          <w:i/>
          <w:iCs/>
          <w:sz w:val="18"/>
          <w:szCs w:val="18"/>
        </w:rPr>
        <w:t xml:space="preserve"> </w:t>
      </w:r>
      <w:r w:rsidR="001F3978" w:rsidRPr="000F1FD5">
        <w:rPr>
          <w:rFonts w:cstheme="minorHAnsi"/>
          <w:sz w:val="18"/>
          <w:szCs w:val="18"/>
        </w:rPr>
        <w:t xml:space="preserve">and World Bank Group, </w:t>
      </w:r>
      <w:r w:rsidR="00A0435E" w:rsidRPr="000F1FD5">
        <w:rPr>
          <w:rFonts w:cstheme="minorHAnsi"/>
          <w:sz w:val="18"/>
          <w:szCs w:val="18"/>
        </w:rPr>
        <w:t xml:space="preserve">Saving Entrepreneurs, Saving Enterprises: Proposals on the Treatment of MSME Insolvency </w:t>
      </w:r>
      <w:r w:rsidR="001F3978" w:rsidRPr="000F1FD5">
        <w:rPr>
          <w:rFonts w:cstheme="minorHAnsi"/>
          <w:sz w:val="18"/>
          <w:szCs w:val="18"/>
        </w:rPr>
        <w:t>(201</w:t>
      </w:r>
      <w:r w:rsidR="00A0435E" w:rsidRPr="000F1FD5">
        <w:rPr>
          <w:rFonts w:cstheme="minorHAnsi"/>
          <w:sz w:val="18"/>
          <w:szCs w:val="18"/>
        </w:rPr>
        <w:t>8</w:t>
      </w:r>
      <w:r w:rsidR="001F3978" w:rsidRPr="000F1FD5">
        <w:rPr>
          <w:rFonts w:cstheme="minorHAnsi"/>
          <w:sz w:val="18"/>
          <w:szCs w:val="18"/>
        </w:rPr>
        <w:t>)</w:t>
      </w:r>
      <w:r w:rsidR="00E36D9E" w:rsidRPr="000F1FD5">
        <w:rPr>
          <w:rFonts w:cstheme="minorHAnsi"/>
          <w:sz w:val="18"/>
          <w:szCs w:val="18"/>
        </w:rPr>
        <w:t>.</w:t>
      </w:r>
    </w:p>
  </w:footnote>
  <w:footnote w:id="10">
    <w:p w14:paraId="682A1108" w14:textId="3A98B89C" w:rsidR="000414E3" w:rsidRPr="000F1FD5" w:rsidRDefault="000414E3">
      <w:pPr>
        <w:pStyle w:val="FootnoteText"/>
        <w:rPr>
          <w:rFonts w:cstheme="minorHAnsi"/>
          <w:sz w:val="18"/>
          <w:szCs w:val="18"/>
        </w:rPr>
      </w:pPr>
      <w:r w:rsidRPr="000F1FD5">
        <w:rPr>
          <w:rStyle w:val="FootnoteReference"/>
          <w:rFonts w:cstheme="minorHAnsi"/>
          <w:sz w:val="18"/>
          <w:szCs w:val="18"/>
        </w:rPr>
        <w:footnoteRef/>
      </w:r>
      <w:r w:rsidRPr="000F1FD5">
        <w:rPr>
          <w:rFonts w:cstheme="minorHAnsi"/>
          <w:sz w:val="18"/>
          <w:szCs w:val="18"/>
        </w:rPr>
        <w:t xml:space="preserve"> </w:t>
      </w:r>
      <w:r w:rsidR="00480543" w:rsidRPr="000F1FD5">
        <w:rPr>
          <w:rFonts w:cstheme="minorHAnsi"/>
          <w:sz w:val="18"/>
          <w:szCs w:val="18"/>
        </w:rPr>
        <w:t>See https://uncitral.un.org/sites/uncitral.un.org/files/media-documents/uncitral/en/msms_insolvency_ebook.pdf</w:t>
      </w:r>
      <w:r w:rsidR="00E36D9E" w:rsidRPr="000F1FD5">
        <w:rPr>
          <w:rFonts w:cstheme="minorHAnsi"/>
          <w:sz w:val="18"/>
          <w:szCs w:val="18"/>
        </w:rPr>
        <w:t>.</w:t>
      </w:r>
    </w:p>
  </w:footnote>
  <w:footnote w:id="11">
    <w:p w14:paraId="46240ED6" w14:textId="5F899593" w:rsidR="00480543" w:rsidRPr="000F1FD5" w:rsidRDefault="00480543">
      <w:pPr>
        <w:pStyle w:val="FootnoteText"/>
        <w:rPr>
          <w:rFonts w:cstheme="minorHAnsi"/>
          <w:sz w:val="18"/>
          <w:szCs w:val="18"/>
        </w:rPr>
      </w:pPr>
      <w:r w:rsidRPr="000F1FD5">
        <w:rPr>
          <w:rStyle w:val="FootnoteReference"/>
          <w:rFonts w:cstheme="minorHAnsi"/>
          <w:sz w:val="18"/>
          <w:szCs w:val="18"/>
        </w:rPr>
        <w:footnoteRef/>
      </w:r>
      <w:r w:rsidRPr="000F1FD5">
        <w:rPr>
          <w:rFonts w:cstheme="minorHAnsi"/>
          <w:sz w:val="18"/>
          <w:szCs w:val="18"/>
        </w:rPr>
        <w:t xml:space="preserve"> </w:t>
      </w:r>
      <w:r w:rsidR="007D2B59" w:rsidRPr="000F1FD5">
        <w:rPr>
          <w:rFonts w:cstheme="minorHAnsi"/>
          <w:sz w:val="18"/>
          <w:szCs w:val="18"/>
        </w:rPr>
        <w:t>See https://abli.asia/abli-publications/guide-on-the-treatment-of-insolvent-micro-and-small-enterprises-in-asia-april-2022/</w:t>
      </w:r>
      <w:r w:rsidR="00E36D9E" w:rsidRPr="000F1FD5">
        <w:rPr>
          <w:rFonts w:cstheme="minorHAnsi"/>
          <w:sz w:val="18"/>
          <w:szCs w:val="18"/>
        </w:rPr>
        <w:t>.</w:t>
      </w:r>
    </w:p>
  </w:footnote>
  <w:footnote w:id="12">
    <w:p w14:paraId="17BCB99E" w14:textId="09F6CFF1" w:rsidR="00B618F4" w:rsidRPr="000F1FD5" w:rsidRDefault="00B618F4">
      <w:pPr>
        <w:pStyle w:val="FootnoteText"/>
        <w:rPr>
          <w:rFonts w:cstheme="minorHAnsi"/>
          <w:sz w:val="18"/>
          <w:szCs w:val="18"/>
        </w:rPr>
      </w:pPr>
      <w:r w:rsidRPr="000F1FD5">
        <w:rPr>
          <w:rStyle w:val="FootnoteReference"/>
          <w:rFonts w:cstheme="minorHAnsi"/>
          <w:sz w:val="18"/>
          <w:szCs w:val="18"/>
        </w:rPr>
        <w:footnoteRef/>
      </w:r>
      <w:r w:rsidRPr="000F1FD5">
        <w:rPr>
          <w:rFonts w:cstheme="minorHAnsi"/>
          <w:sz w:val="18"/>
          <w:szCs w:val="18"/>
        </w:rPr>
        <w:t xml:space="preserve"> </w:t>
      </w:r>
      <w:r w:rsidR="001F6B13" w:rsidRPr="000F1FD5">
        <w:rPr>
          <w:rFonts w:cstheme="minorHAnsi"/>
          <w:sz w:val="18"/>
          <w:szCs w:val="18"/>
        </w:rPr>
        <w:t>UNICTRAL, Legislative Guide on Insolvency of Micro- and Small Enterprises, Part Five</w:t>
      </w:r>
      <w:r w:rsidR="00DD6703" w:rsidRPr="000F1FD5">
        <w:rPr>
          <w:rFonts w:cstheme="minorHAnsi"/>
          <w:sz w:val="18"/>
          <w:szCs w:val="18"/>
        </w:rPr>
        <w:t>, 2021</w:t>
      </w:r>
      <w:r w:rsidR="00DA5180" w:rsidRPr="000F1FD5">
        <w:rPr>
          <w:rFonts w:cstheme="minorHAnsi"/>
          <w:sz w:val="18"/>
          <w:szCs w:val="18"/>
        </w:rPr>
        <w:t xml:space="preserve"> (UNCITRAL MSE Guide)</w:t>
      </w:r>
      <w:r w:rsidRPr="000F1FD5">
        <w:rPr>
          <w:rFonts w:cstheme="minorHAnsi"/>
          <w:sz w:val="18"/>
          <w:szCs w:val="18"/>
        </w:rPr>
        <w:t xml:space="preserve">, p. </w:t>
      </w:r>
      <w:r w:rsidR="00E13ED6" w:rsidRPr="000F1FD5">
        <w:rPr>
          <w:rFonts w:cstheme="minorHAnsi"/>
          <w:sz w:val="18"/>
          <w:szCs w:val="18"/>
        </w:rPr>
        <w:t>5.</w:t>
      </w:r>
      <w:r w:rsidR="000F301C" w:rsidRPr="000F1FD5">
        <w:rPr>
          <w:rFonts w:cstheme="minorHAnsi"/>
          <w:sz w:val="18"/>
          <w:szCs w:val="18"/>
        </w:rPr>
        <w:t xml:space="preserve"> See also WB Principles C18.</w:t>
      </w:r>
    </w:p>
  </w:footnote>
  <w:footnote w:id="13">
    <w:p w14:paraId="6B261EFF" w14:textId="176311AA" w:rsidR="00790DAE" w:rsidRPr="000F1FD5" w:rsidRDefault="00790DAE">
      <w:pPr>
        <w:pStyle w:val="FootnoteText"/>
        <w:rPr>
          <w:rFonts w:cstheme="minorHAnsi"/>
          <w:sz w:val="18"/>
          <w:szCs w:val="18"/>
        </w:rPr>
      </w:pPr>
      <w:r w:rsidRPr="000F1FD5">
        <w:rPr>
          <w:rStyle w:val="FootnoteReference"/>
          <w:rFonts w:cstheme="minorHAnsi"/>
          <w:sz w:val="18"/>
          <w:szCs w:val="18"/>
        </w:rPr>
        <w:footnoteRef/>
      </w:r>
      <w:r w:rsidRPr="000F1FD5">
        <w:rPr>
          <w:rFonts w:cstheme="minorHAnsi"/>
          <w:sz w:val="18"/>
          <w:szCs w:val="18"/>
        </w:rPr>
        <w:t xml:space="preserve"> Some </w:t>
      </w:r>
      <w:r w:rsidR="00EF1D9A" w:rsidRPr="000F1FD5">
        <w:rPr>
          <w:rFonts w:cstheme="minorHAnsi"/>
          <w:sz w:val="18"/>
          <w:szCs w:val="18"/>
        </w:rPr>
        <w:t xml:space="preserve">important </w:t>
      </w:r>
      <w:r w:rsidR="0004436B" w:rsidRPr="000F1FD5">
        <w:rPr>
          <w:rFonts w:cstheme="minorHAnsi"/>
          <w:sz w:val="18"/>
          <w:szCs w:val="18"/>
        </w:rPr>
        <w:t>aspects of a</w:t>
      </w:r>
      <w:r w:rsidR="00F40E3D" w:rsidRPr="000F1FD5">
        <w:rPr>
          <w:rFonts w:cstheme="minorHAnsi"/>
          <w:sz w:val="18"/>
          <w:szCs w:val="18"/>
        </w:rPr>
        <w:t xml:space="preserve">n effective </w:t>
      </w:r>
      <w:r w:rsidR="0004436B" w:rsidRPr="000F1FD5">
        <w:rPr>
          <w:rFonts w:cstheme="minorHAnsi"/>
          <w:sz w:val="18"/>
          <w:szCs w:val="18"/>
        </w:rPr>
        <w:t>reorganization procedure</w:t>
      </w:r>
      <w:r w:rsidR="00F40E3D" w:rsidRPr="000F1FD5">
        <w:rPr>
          <w:rFonts w:cstheme="minorHAnsi"/>
          <w:sz w:val="18"/>
          <w:szCs w:val="18"/>
        </w:rPr>
        <w:t>s such as</w:t>
      </w:r>
      <w:r w:rsidR="0004436B" w:rsidRPr="000F1FD5">
        <w:rPr>
          <w:rFonts w:cstheme="minorHAnsi"/>
          <w:sz w:val="18"/>
          <w:szCs w:val="18"/>
        </w:rPr>
        <w:t xml:space="preserve"> </w:t>
      </w:r>
      <w:r w:rsidR="00F40E3D" w:rsidRPr="000F1FD5">
        <w:rPr>
          <w:rFonts w:cstheme="minorHAnsi"/>
          <w:sz w:val="18"/>
          <w:szCs w:val="18"/>
        </w:rPr>
        <w:t>a</w:t>
      </w:r>
      <w:r w:rsidR="0004436B" w:rsidRPr="000F1FD5">
        <w:rPr>
          <w:rFonts w:cstheme="minorHAnsi"/>
          <w:sz w:val="18"/>
          <w:szCs w:val="18"/>
        </w:rPr>
        <w:t xml:space="preserve"> stay of actions are not discussed because they are not specific to MSEs.</w:t>
      </w:r>
    </w:p>
  </w:footnote>
  <w:footnote w:id="14">
    <w:p w14:paraId="7FA15880" w14:textId="4B70FDA5" w:rsidR="001365AC" w:rsidRPr="000F1FD5" w:rsidRDefault="001365AC">
      <w:pPr>
        <w:pStyle w:val="FootnoteText"/>
        <w:rPr>
          <w:rFonts w:cstheme="minorHAnsi"/>
          <w:sz w:val="18"/>
          <w:szCs w:val="18"/>
        </w:rPr>
      </w:pPr>
      <w:r w:rsidRPr="000F1FD5">
        <w:rPr>
          <w:rStyle w:val="FootnoteReference"/>
          <w:rFonts w:cstheme="minorHAnsi"/>
          <w:sz w:val="18"/>
          <w:szCs w:val="18"/>
        </w:rPr>
        <w:footnoteRef/>
      </w:r>
      <w:r w:rsidRPr="000F1FD5">
        <w:rPr>
          <w:rFonts w:cstheme="minorHAnsi"/>
          <w:sz w:val="18"/>
          <w:szCs w:val="18"/>
        </w:rPr>
        <w:t xml:space="preserve"> </w:t>
      </w:r>
      <w:r w:rsidR="00DA5180" w:rsidRPr="000F1FD5">
        <w:rPr>
          <w:rFonts w:cstheme="minorHAnsi"/>
          <w:sz w:val="18"/>
          <w:szCs w:val="18"/>
        </w:rPr>
        <w:t>UNCITRAL MSE Guide</w:t>
      </w:r>
      <w:r w:rsidR="00A04DBF" w:rsidRPr="000F1FD5">
        <w:rPr>
          <w:rFonts w:cstheme="minorHAnsi"/>
          <w:sz w:val="18"/>
          <w:szCs w:val="18"/>
        </w:rPr>
        <w:t>,</w:t>
      </w:r>
      <w:r w:rsidR="00DA5180" w:rsidRPr="000F1FD5">
        <w:rPr>
          <w:rFonts w:cstheme="minorHAnsi"/>
          <w:sz w:val="18"/>
          <w:szCs w:val="18"/>
        </w:rPr>
        <w:t xml:space="preserve"> Recommendation</w:t>
      </w:r>
      <w:r w:rsidRPr="000F1FD5">
        <w:rPr>
          <w:rFonts w:cstheme="minorHAnsi"/>
          <w:sz w:val="18"/>
          <w:szCs w:val="18"/>
        </w:rPr>
        <w:t xml:space="preserve"> 279.</w:t>
      </w:r>
    </w:p>
  </w:footnote>
  <w:footnote w:id="15">
    <w:p w14:paraId="0CB63579" w14:textId="6B336614" w:rsidR="00C52EAE" w:rsidRPr="000F1FD5" w:rsidRDefault="00C52EAE">
      <w:pPr>
        <w:pStyle w:val="FootnoteText"/>
        <w:rPr>
          <w:rFonts w:cstheme="minorHAnsi"/>
          <w:sz w:val="18"/>
          <w:szCs w:val="18"/>
        </w:rPr>
      </w:pPr>
      <w:r w:rsidRPr="000F1FD5">
        <w:rPr>
          <w:rStyle w:val="FootnoteReference"/>
          <w:rFonts w:cstheme="minorHAnsi"/>
          <w:sz w:val="18"/>
          <w:szCs w:val="18"/>
        </w:rPr>
        <w:footnoteRef/>
      </w:r>
      <w:r w:rsidRPr="000F1FD5">
        <w:rPr>
          <w:rFonts w:cstheme="minorHAnsi"/>
          <w:sz w:val="18"/>
          <w:szCs w:val="18"/>
        </w:rPr>
        <w:t xml:space="preserve"> WB Principles, C19.1.</w:t>
      </w:r>
    </w:p>
  </w:footnote>
  <w:footnote w:id="16">
    <w:p w14:paraId="1EDCA779" w14:textId="285864EA" w:rsidR="009D43A9" w:rsidRPr="000F1FD5" w:rsidRDefault="009D43A9">
      <w:pPr>
        <w:pStyle w:val="FootnoteText"/>
        <w:rPr>
          <w:rFonts w:cstheme="minorHAnsi"/>
          <w:sz w:val="18"/>
          <w:szCs w:val="18"/>
        </w:rPr>
      </w:pPr>
      <w:r w:rsidRPr="000F1FD5">
        <w:rPr>
          <w:rStyle w:val="FootnoteReference"/>
          <w:rFonts w:cstheme="minorHAnsi"/>
          <w:sz w:val="18"/>
          <w:szCs w:val="18"/>
        </w:rPr>
        <w:footnoteRef/>
      </w:r>
      <w:r w:rsidRPr="000F1FD5">
        <w:rPr>
          <w:rFonts w:cstheme="minorHAnsi"/>
          <w:sz w:val="18"/>
          <w:szCs w:val="18"/>
        </w:rPr>
        <w:t xml:space="preserve"> WB Principles, C19.2.</w:t>
      </w:r>
    </w:p>
  </w:footnote>
  <w:footnote w:id="17">
    <w:p w14:paraId="7EBEA8D8" w14:textId="4567BF69" w:rsidR="0011503A" w:rsidRPr="00132582" w:rsidRDefault="0011503A">
      <w:pPr>
        <w:pStyle w:val="FootnoteText"/>
        <w:rPr>
          <w:rFonts w:cstheme="minorHAnsi"/>
          <w:sz w:val="18"/>
          <w:szCs w:val="18"/>
        </w:rPr>
      </w:pPr>
      <w:r w:rsidRPr="000F1FD5">
        <w:rPr>
          <w:rStyle w:val="FootnoteReference"/>
          <w:rFonts w:cstheme="minorHAnsi"/>
          <w:sz w:val="18"/>
          <w:szCs w:val="18"/>
        </w:rPr>
        <w:footnoteRef/>
      </w:r>
      <w:r w:rsidRPr="00132582">
        <w:rPr>
          <w:rFonts w:cstheme="minorHAnsi"/>
          <w:sz w:val="18"/>
          <w:szCs w:val="18"/>
        </w:rPr>
        <w:t xml:space="preserve"> WB Principles, C19.5</w:t>
      </w:r>
      <w:r w:rsidR="00CF3363" w:rsidRPr="00132582">
        <w:rPr>
          <w:rFonts w:cstheme="minorHAnsi"/>
          <w:sz w:val="18"/>
          <w:szCs w:val="18"/>
        </w:rPr>
        <w:t xml:space="preserve"> ; </w:t>
      </w:r>
      <w:r w:rsidR="00DA5180" w:rsidRPr="00132582">
        <w:rPr>
          <w:rFonts w:cstheme="minorHAnsi"/>
          <w:sz w:val="18"/>
          <w:szCs w:val="18"/>
        </w:rPr>
        <w:t>UNCITRAL MSE Guide Recommendation</w:t>
      </w:r>
      <w:r w:rsidRPr="00132582">
        <w:rPr>
          <w:rFonts w:cstheme="minorHAnsi"/>
          <w:sz w:val="18"/>
          <w:szCs w:val="18"/>
        </w:rPr>
        <w:t xml:space="preserve"> </w:t>
      </w:r>
      <w:r w:rsidR="00203592" w:rsidRPr="00132582">
        <w:rPr>
          <w:rFonts w:cstheme="minorHAnsi"/>
          <w:sz w:val="18"/>
          <w:szCs w:val="18"/>
        </w:rPr>
        <w:t>284.</w:t>
      </w:r>
    </w:p>
  </w:footnote>
  <w:footnote w:id="18">
    <w:p w14:paraId="15D302E0" w14:textId="48BF8339" w:rsidR="00C138D1" w:rsidRPr="000F1FD5" w:rsidRDefault="00C138D1">
      <w:pPr>
        <w:pStyle w:val="FootnoteText"/>
        <w:rPr>
          <w:rFonts w:cstheme="minorHAnsi"/>
          <w:sz w:val="18"/>
          <w:szCs w:val="18"/>
        </w:rPr>
      </w:pPr>
      <w:r w:rsidRPr="000F1FD5">
        <w:rPr>
          <w:rStyle w:val="FootnoteReference"/>
          <w:rFonts w:cstheme="minorHAnsi"/>
          <w:sz w:val="18"/>
          <w:szCs w:val="18"/>
        </w:rPr>
        <w:footnoteRef/>
      </w:r>
      <w:r w:rsidRPr="000F1FD5">
        <w:rPr>
          <w:rFonts w:cstheme="minorHAnsi"/>
          <w:sz w:val="18"/>
          <w:szCs w:val="18"/>
        </w:rPr>
        <w:t xml:space="preserve"> </w:t>
      </w:r>
      <w:r w:rsidR="00DA5180" w:rsidRPr="000F1FD5">
        <w:rPr>
          <w:rFonts w:cstheme="minorHAnsi"/>
          <w:sz w:val="18"/>
          <w:szCs w:val="18"/>
        </w:rPr>
        <w:t>UNCITRAL MSE Guide</w:t>
      </w:r>
      <w:r w:rsidR="00A04DBF" w:rsidRPr="000F1FD5">
        <w:rPr>
          <w:rFonts w:cstheme="minorHAnsi"/>
          <w:sz w:val="18"/>
          <w:szCs w:val="18"/>
        </w:rPr>
        <w:t>,</w:t>
      </w:r>
      <w:r w:rsidR="00DA5180" w:rsidRPr="000F1FD5">
        <w:rPr>
          <w:rFonts w:cstheme="minorHAnsi"/>
          <w:sz w:val="18"/>
          <w:szCs w:val="18"/>
        </w:rPr>
        <w:t xml:space="preserve"> Recommendation</w:t>
      </w:r>
      <w:r w:rsidRPr="000F1FD5">
        <w:rPr>
          <w:rFonts w:cstheme="minorHAnsi"/>
          <w:sz w:val="18"/>
          <w:szCs w:val="18"/>
        </w:rPr>
        <w:t xml:space="preserve"> 286.</w:t>
      </w:r>
    </w:p>
  </w:footnote>
  <w:footnote w:id="19">
    <w:p w14:paraId="10AC2AF4" w14:textId="761A0B34" w:rsidR="004F4C27" w:rsidRPr="000F1FD5" w:rsidRDefault="004F4C27">
      <w:pPr>
        <w:pStyle w:val="FootnoteText"/>
        <w:rPr>
          <w:rFonts w:cstheme="minorHAnsi"/>
          <w:sz w:val="18"/>
          <w:szCs w:val="18"/>
        </w:rPr>
      </w:pPr>
      <w:r w:rsidRPr="000F1FD5">
        <w:rPr>
          <w:rStyle w:val="FootnoteReference"/>
          <w:rFonts w:cstheme="minorHAnsi"/>
          <w:sz w:val="18"/>
          <w:szCs w:val="18"/>
        </w:rPr>
        <w:footnoteRef/>
      </w:r>
      <w:r w:rsidRPr="000F1FD5">
        <w:rPr>
          <w:rFonts w:cstheme="minorHAnsi"/>
          <w:sz w:val="18"/>
          <w:szCs w:val="18"/>
        </w:rPr>
        <w:t xml:space="preserve"> </w:t>
      </w:r>
      <w:r w:rsidR="00DA5180" w:rsidRPr="000F1FD5">
        <w:rPr>
          <w:rFonts w:cstheme="minorHAnsi"/>
          <w:sz w:val="18"/>
          <w:szCs w:val="18"/>
        </w:rPr>
        <w:t>UNCITRAL MSE Guide</w:t>
      </w:r>
      <w:r w:rsidR="00A04DBF" w:rsidRPr="000F1FD5">
        <w:rPr>
          <w:rFonts w:cstheme="minorHAnsi"/>
          <w:sz w:val="18"/>
          <w:szCs w:val="18"/>
        </w:rPr>
        <w:t>,</w:t>
      </w:r>
      <w:r w:rsidR="00DA5180" w:rsidRPr="000F1FD5">
        <w:rPr>
          <w:rFonts w:cstheme="minorHAnsi"/>
          <w:sz w:val="18"/>
          <w:szCs w:val="18"/>
        </w:rPr>
        <w:t xml:space="preserve"> Recommendation</w:t>
      </w:r>
      <w:r w:rsidRPr="000F1FD5">
        <w:rPr>
          <w:rFonts w:cstheme="minorHAnsi"/>
          <w:sz w:val="18"/>
          <w:szCs w:val="18"/>
        </w:rPr>
        <w:t xml:space="preserve"> 338.</w:t>
      </w:r>
    </w:p>
  </w:footnote>
  <w:footnote w:id="20">
    <w:p w14:paraId="6667679E" w14:textId="06E8DF96" w:rsidR="00CF3363" w:rsidRPr="00132582" w:rsidRDefault="00CF3363" w:rsidP="00CF3363">
      <w:pPr>
        <w:pStyle w:val="FootnoteText"/>
        <w:rPr>
          <w:rFonts w:cstheme="minorHAnsi"/>
          <w:sz w:val="18"/>
          <w:szCs w:val="18"/>
        </w:rPr>
      </w:pPr>
      <w:r w:rsidRPr="000F1FD5">
        <w:rPr>
          <w:rStyle w:val="FootnoteReference"/>
          <w:rFonts w:cstheme="minorHAnsi"/>
          <w:sz w:val="18"/>
          <w:szCs w:val="18"/>
        </w:rPr>
        <w:footnoteRef/>
      </w:r>
      <w:r w:rsidRPr="00132582">
        <w:rPr>
          <w:rFonts w:cstheme="minorHAnsi"/>
          <w:sz w:val="18"/>
          <w:szCs w:val="18"/>
        </w:rPr>
        <w:t xml:space="preserve"> WB Principles, C19.7; </w:t>
      </w:r>
      <w:r w:rsidR="00DA5180" w:rsidRPr="00132582">
        <w:rPr>
          <w:rFonts w:cstheme="minorHAnsi"/>
          <w:sz w:val="18"/>
          <w:szCs w:val="18"/>
        </w:rPr>
        <w:t>UNCITRAL MSE Guide</w:t>
      </w:r>
      <w:r w:rsidR="00A04DBF" w:rsidRPr="00132582">
        <w:rPr>
          <w:rFonts w:cstheme="minorHAnsi"/>
          <w:sz w:val="18"/>
          <w:szCs w:val="18"/>
        </w:rPr>
        <w:t>,</w:t>
      </w:r>
      <w:r w:rsidR="00DA5180" w:rsidRPr="00132582">
        <w:rPr>
          <w:rFonts w:cstheme="minorHAnsi"/>
          <w:sz w:val="18"/>
          <w:szCs w:val="18"/>
        </w:rPr>
        <w:t xml:space="preserve"> Recommendation</w:t>
      </w:r>
      <w:r w:rsidRPr="00132582">
        <w:rPr>
          <w:rFonts w:cstheme="minorHAnsi"/>
          <w:sz w:val="18"/>
          <w:szCs w:val="18"/>
        </w:rPr>
        <w:t xml:space="preserve"> 288.</w:t>
      </w:r>
    </w:p>
  </w:footnote>
  <w:footnote w:id="21">
    <w:p w14:paraId="0EEE656F" w14:textId="602CC080" w:rsidR="0063637D" w:rsidRPr="000F1FD5" w:rsidRDefault="0063637D">
      <w:pPr>
        <w:pStyle w:val="FootnoteText"/>
        <w:rPr>
          <w:rFonts w:cstheme="minorHAnsi"/>
          <w:sz w:val="18"/>
          <w:szCs w:val="18"/>
        </w:rPr>
      </w:pPr>
      <w:r w:rsidRPr="000F1FD5">
        <w:rPr>
          <w:rStyle w:val="FootnoteReference"/>
          <w:rFonts w:cstheme="minorHAnsi"/>
          <w:sz w:val="18"/>
          <w:szCs w:val="18"/>
        </w:rPr>
        <w:footnoteRef/>
      </w:r>
      <w:r w:rsidRPr="000F1FD5">
        <w:rPr>
          <w:rFonts w:cstheme="minorHAnsi"/>
          <w:sz w:val="18"/>
          <w:szCs w:val="18"/>
        </w:rPr>
        <w:t xml:space="preserve"> </w:t>
      </w:r>
      <w:r w:rsidR="00DA5180" w:rsidRPr="000F1FD5">
        <w:rPr>
          <w:rFonts w:cstheme="minorHAnsi"/>
          <w:sz w:val="18"/>
          <w:szCs w:val="18"/>
        </w:rPr>
        <w:t>UNCITRAL MSE Guide</w:t>
      </w:r>
      <w:r w:rsidR="00A04DBF" w:rsidRPr="000F1FD5">
        <w:rPr>
          <w:rFonts w:cstheme="minorHAnsi"/>
          <w:sz w:val="18"/>
          <w:szCs w:val="18"/>
        </w:rPr>
        <w:t>,</w:t>
      </w:r>
      <w:r w:rsidR="00DA5180" w:rsidRPr="000F1FD5">
        <w:rPr>
          <w:rFonts w:cstheme="minorHAnsi"/>
          <w:sz w:val="18"/>
          <w:szCs w:val="18"/>
        </w:rPr>
        <w:t xml:space="preserve"> Recommendation</w:t>
      </w:r>
      <w:r w:rsidR="00125BA0" w:rsidRPr="000F1FD5">
        <w:rPr>
          <w:rFonts w:cstheme="minorHAnsi"/>
          <w:sz w:val="18"/>
          <w:szCs w:val="18"/>
        </w:rPr>
        <w:t>s</w:t>
      </w:r>
      <w:r w:rsidRPr="000F1FD5">
        <w:rPr>
          <w:rFonts w:cstheme="minorHAnsi"/>
          <w:sz w:val="18"/>
          <w:szCs w:val="18"/>
        </w:rPr>
        <w:t xml:space="preserve"> 3</w:t>
      </w:r>
      <w:r w:rsidR="00125BA0" w:rsidRPr="000F1FD5">
        <w:rPr>
          <w:rFonts w:cstheme="minorHAnsi"/>
          <w:sz w:val="18"/>
          <w:szCs w:val="18"/>
        </w:rPr>
        <w:t>19-321.</w:t>
      </w:r>
    </w:p>
  </w:footnote>
  <w:footnote w:id="22">
    <w:p w14:paraId="4D63A467" w14:textId="49A6AD0F" w:rsidR="000D23AB" w:rsidRPr="000F1FD5" w:rsidRDefault="000D23AB">
      <w:pPr>
        <w:pStyle w:val="FootnoteText"/>
        <w:rPr>
          <w:rFonts w:cstheme="minorHAnsi"/>
          <w:sz w:val="18"/>
          <w:szCs w:val="18"/>
        </w:rPr>
      </w:pPr>
      <w:r w:rsidRPr="000F1FD5">
        <w:rPr>
          <w:rStyle w:val="FootnoteReference"/>
          <w:rFonts w:cstheme="minorHAnsi"/>
          <w:sz w:val="18"/>
          <w:szCs w:val="18"/>
        </w:rPr>
        <w:footnoteRef/>
      </w:r>
      <w:r w:rsidRPr="000F1FD5">
        <w:rPr>
          <w:rFonts w:cstheme="minorHAnsi"/>
          <w:sz w:val="18"/>
          <w:szCs w:val="18"/>
        </w:rPr>
        <w:t xml:space="preserve"> WB Principles, C19.3.</w:t>
      </w:r>
    </w:p>
  </w:footnote>
  <w:footnote w:id="23">
    <w:p w14:paraId="57622CB7" w14:textId="721F0B7A" w:rsidR="00555136" w:rsidRPr="00132582" w:rsidRDefault="00555136">
      <w:pPr>
        <w:pStyle w:val="FootnoteText"/>
        <w:rPr>
          <w:rFonts w:cstheme="minorHAnsi"/>
          <w:sz w:val="18"/>
          <w:szCs w:val="18"/>
        </w:rPr>
      </w:pPr>
      <w:r w:rsidRPr="000F1FD5">
        <w:rPr>
          <w:rStyle w:val="FootnoteReference"/>
          <w:rFonts w:cstheme="minorHAnsi"/>
          <w:sz w:val="18"/>
          <w:szCs w:val="18"/>
        </w:rPr>
        <w:footnoteRef/>
      </w:r>
      <w:r w:rsidRPr="00132582">
        <w:rPr>
          <w:rFonts w:cstheme="minorHAnsi"/>
          <w:sz w:val="18"/>
          <w:szCs w:val="18"/>
        </w:rPr>
        <w:t xml:space="preserve"> WB Principle</w:t>
      </w:r>
      <w:r w:rsidR="00C016C6" w:rsidRPr="00132582">
        <w:rPr>
          <w:rFonts w:cstheme="minorHAnsi"/>
          <w:sz w:val="18"/>
          <w:szCs w:val="18"/>
        </w:rPr>
        <w:t>s</w:t>
      </w:r>
      <w:r w:rsidRPr="00132582">
        <w:rPr>
          <w:rFonts w:cstheme="minorHAnsi"/>
          <w:sz w:val="18"/>
          <w:szCs w:val="18"/>
        </w:rPr>
        <w:t>, C19.</w:t>
      </w:r>
      <w:r w:rsidR="00FC221C" w:rsidRPr="00132582">
        <w:rPr>
          <w:rFonts w:cstheme="minorHAnsi"/>
          <w:sz w:val="18"/>
          <w:szCs w:val="18"/>
        </w:rPr>
        <w:t>9</w:t>
      </w:r>
      <w:r w:rsidRPr="00132582">
        <w:rPr>
          <w:rFonts w:cstheme="minorHAnsi"/>
          <w:sz w:val="18"/>
          <w:szCs w:val="18"/>
        </w:rPr>
        <w:t xml:space="preserve">; </w:t>
      </w:r>
      <w:r w:rsidR="00DA5180" w:rsidRPr="00132582">
        <w:rPr>
          <w:rFonts w:cstheme="minorHAnsi"/>
          <w:sz w:val="18"/>
          <w:szCs w:val="18"/>
        </w:rPr>
        <w:t>UNCITRAL MSE Guide</w:t>
      </w:r>
      <w:r w:rsidR="00A04DBF" w:rsidRPr="00132582">
        <w:rPr>
          <w:rFonts w:cstheme="minorHAnsi"/>
          <w:sz w:val="18"/>
          <w:szCs w:val="18"/>
        </w:rPr>
        <w:t>,</w:t>
      </w:r>
      <w:r w:rsidR="00DA5180" w:rsidRPr="00132582">
        <w:rPr>
          <w:rFonts w:cstheme="minorHAnsi"/>
          <w:sz w:val="18"/>
          <w:szCs w:val="18"/>
        </w:rPr>
        <w:t xml:space="preserve"> Recommendation</w:t>
      </w:r>
      <w:r w:rsidRPr="00132582">
        <w:rPr>
          <w:rFonts w:cstheme="minorHAnsi"/>
          <w:sz w:val="18"/>
          <w:szCs w:val="18"/>
        </w:rPr>
        <w:t xml:space="preserve"> 28</w:t>
      </w:r>
      <w:r w:rsidR="00FC221C" w:rsidRPr="00132582">
        <w:rPr>
          <w:rFonts w:cstheme="minorHAnsi"/>
          <w:sz w:val="18"/>
          <w:szCs w:val="18"/>
        </w:rPr>
        <w:t>0</w:t>
      </w:r>
      <w:r w:rsidRPr="00132582">
        <w:rPr>
          <w:rFonts w:cstheme="minorHAnsi"/>
          <w:sz w:val="18"/>
          <w:szCs w:val="18"/>
        </w:rPr>
        <w:t>.</w:t>
      </w:r>
    </w:p>
  </w:footnote>
  <w:footnote w:id="24">
    <w:p w14:paraId="4BA94247" w14:textId="77777777" w:rsidR="000B03C8" w:rsidRPr="000F1FD5" w:rsidRDefault="000B03C8" w:rsidP="000B03C8">
      <w:pPr>
        <w:pStyle w:val="FootnoteText"/>
        <w:rPr>
          <w:rFonts w:cstheme="minorHAnsi"/>
          <w:sz w:val="18"/>
          <w:szCs w:val="18"/>
        </w:rPr>
      </w:pPr>
      <w:r w:rsidRPr="000F1FD5">
        <w:rPr>
          <w:rStyle w:val="FootnoteReference"/>
          <w:rFonts w:cstheme="minorHAnsi"/>
          <w:sz w:val="18"/>
          <w:szCs w:val="18"/>
        </w:rPr>
        <w:footnoteRef/>
      </w:r>
      <w:r w:rsidRPr="000F1FD5">
        <w:rPr>
          <w:rFonts w:cstheme="minorHAnsi"/>
          <w:sz w:val="18"/>
          <w:szCs w:val="18"/>
        </w:rPr>
        <w:t xml:space="preserve"> OHADA Uniform Act on the Organization of Collective Procedures 2015 (OHADA Act).</w:t>
      </w:r>
    </w:p>
  </w:footnote>
  <w:footnote w:id="25">
    <w:p w14:paraId="376087F8" w14:textId="77777777" w:rsidR="000B03C8" w:rsidRPr="000F1FD5" w:rsidRDefault="000B03C8" w:rsidP="000B03C8">
      <w:pPr>
        <w:pStyle w:val="FootnoteText"/>
        <w:rPr>
          <w:rFonts w:cstheme="minorHAnsi"/>
          <w:sz w:val="18"/>
          <w:szCs w:val="18"/>
        </w:rPr>
      </w:pPr>
      <w:r w:rsidRPr="000F1FD5">
        <w:rPr>
          <w:rStyle w:val="FootnoteReference"/>
          <w:rFonts w:cstheme="minorHAnsi"/>
          <w:sz w:val="18"/>
          <w:szCs w:val="18"/>
        </w:rPr>
        <w:footnoteRef/>
      </w:r>
      <w:r w:rsidRPr="000F1FD5">
        <w:rPr>
          <w:rFonts w:cstheme="minorHAnsi"/>
          <w:sz w:val="18"/>
          <w:szCs w:val="18"/>
        </w:rPr>
        <w:t xml:space="preserve"> For example, the simplified reorganization procedure is only 10 articles in length.</w:t>
      </w:r>
    </w:p>
  </w:footnote>
  <w:footnote w:id="26">
    <w:p w14:paraId="0D4CF755" w14:textId="77777777" w:rsidR="000B03C8" w:rsidRPr="000F1FD5" w:rsidRDefault="000B03C8" w:rsidP="000B03C8">
      <w:pPr>
        <w:pStyle w:val="FootnoteText"/>
        <w:rPr>
          <w:rFonts w:cstheme="minorHAnsi"/>
          <w:sz w:val="18"/>
          <w:szCs w:val="18"/>
        </w:rPr>
      </w:pPr>
      <w:r w:rsidRPr="000F1FD5">
        <w:rPr>
          <w:rStyle w:val="FootnoteReference"/>
          <w:rFonts w:cstheme="minorHAnsi"/>
          <w:sz w:val="18"/>
          <w:szCs w:val="18"/>
        </w:rPr>
        <w:footnoteRef/>
      </w:r>
      <w:r w:rsidRPr="000F1FD5">
        <w:rPr>
          <w:rFonts w:cstheme="minorHAnsi"/>
          <w:sz w:val="18"/>
          <w:szCs w:val="18"/>
        </w:rPr>
        <w:t xml:space="preserve"> OHADA Act, Article 1-3.</w:t>
      </w:r>
    </w:p>
  </w:footnote>
  <w:footnote w:id="27">
    <w:p w14:paraId="5CB9413B" w14:textId="77777777" w:rsidR="000B03C8" w:rsidRPr="000F1FD5" w:rsidRDefault="000B03C8" w:rsidP="000B03C8">
      <w:pPr>
        <w:pStyle w:val="FootnoteText"/>
        <w:rPr>
          <w:rFonts w:cstheme="minorHAnsi"/>
          <w:sz w:val="18"/>
          <w:szCs w:val="18"/>
        </w:rPr>
      </w:pPr>
      <w:r w:rsidRPr="000F1FD5">
        <w:rPr>
          <w:rStyle w:val="FootnoteReference"/>
          <w:rFonts w:cstheme="minorHAnsi"/>
          <w:sz w:val="18"/>
          <w:szCs w:val="18"/>
        </w:rPr>
        <w:footnoteRef/>
      </w:r>
      <w:r w:rsidRPr="000F1FD5">
        <w:rPr>
          <w:rFonts w:cstheme="minorHAnsi"/>
          <w:sz w:val="18"/>
          <w:szCs w:val="18"/>
        </w:rPr>
        <w:t xml:space="preserve"> OHADA Act, Articles 41-46.</w:t>
      </w:r>
    </w:p>
  </w:footnote>
  <w:footnote w:id="28">
    <w:p w14:paraId="4A086DF8" w14:textId="4FDD89A0" w:rsidR="000B03C8" w:rsidRPr="000F1FD5" w:rsidRDefault="000B03C8" w:rsidP="000B03C8">
      <w:pPr>
        <w:pStyle w:val="FootnoteText"/>
        <w:rPr>
          <w:rFonts w:cstheme="minorHAnsi"/>
          <w:sz w:val="18"/>
          <w:szCs w:val="18"/>
        </w:rPr>
      </w:pPr>
      <w:r w:rsidRPr="000F1FD5">
        <w:rPr>
          <w:rStyle w:val="FootnoteReference"/>
          <w:rFonts w:cstheme="minorHAnsi"/>
          <w:sz w:val="18"/>
          <w:szCs w:val="18"/>
        </w:rPr>
        <w:footnoteRef/>
      </w:r>
      <w:r w:rsidRPr="000F1FD5">
        <w:rPr>
          <w:rFonts w:cstheme="minorHAnsi"/>
          <w:sz w:val="18"/>
          <w:szCs w:val="18"/>
        </w:rPr>
        <w:t xml:space="preserve"> Ivory Coast and Senegal. Although, it is</w:t>
      </w:r>
      <w:r w:rsidR="00286A41" w:rsidRPr="000F1FD5">
        <w:rPr>
          <w:rFonts w:cstheme="minorHAnsi"/>
          <w:sz w:val="18"/>
          <w:szCs w:val="18"/>
        </w:rPr>
        <w:t xml:space="preserve"> also</w:t>
      </w:r>
      <w:r w:rsidRPr="000F1FD5">
        <w:rPr>
          <w:rFonts w:cstheme="minorHAnsi"/>
          <w:sz w:val="18"/>
          <w:szCs w:val="18"/>
        </w:rPr>
        <w:t xml:space="preserve"> not clear whether the trustee regulations have been fully implemented even in these two countries.</w:t>
      </w:r>
    </w:p>
  </w:footnote>
  <w:footnote w:id="29">
    <w:p w14:paraId="406F8E66" w14:textId="77777777" w:rsidR="000B03C8" w:rsidRPr="000F1FD5" w:rsidRDefault="000B03C8" w:rsidP="000B03C8">
      <w:pPr>
        <w:pStyle w:val="FootnoteText"/>
        <w:rPr>
          <w:rFonts w:cstheme="minorHAnsi"/>
          <w:sz w:val="18"/>
          <w:szCs w:val="18"/>
        </w:rPr>
      </w:pPr>
      <w:r w:rsidRPr="000F1FD5">
        <w:rPr>
          <w:rStyle w:val="FootnoteReference"/>
          <w:rFonts w:cstheme="minorHAnsi"/>
          <w:sz w:val="18"/>
          <w:szCs w:val="18"/>
        </w:rPr>
        <w:footnoteRef/>
      </w:r>
      <w:r w:rsidRPr="000F1FD5">
        <w:rPr>
          <w:rFonts w:cstheme="minorHAnsi"/>
          <w:sz w:val="18"/>
          <w:szCs w:val="18"/>
        </w:rPr>
        <w:t xml:space="preserve"> OHADA Act, Articles 26 &amp; 145-2. The procedure relaxes the standard for three pieces of information as part of the statement: the summary financial statement can be any document which shows the economic position of the debtor, a provisional inventory and an estimate of employees’ salaries can be provided.</w:t>
      </w:r>
    </w:p>
  </w:footnote>
  <w:footnote w:id="30">
    <w:p w14:paraId="12B6A797" w14:textId="77777777" w:rsidR="000B03C8" w:rsidRPr="000F1FD5" w:rsidRDefault="000B03C8" w:rsidP="000B03C8">
      <w:pPr>
        <w:pStyle w:val="FootnoteText"/>
        <w:rPr>
          <w:rFonts w:cstheme="minorHAnsi"/>
          <w:sz w:val="18"/>
          <w:szCs w:val="18"/>
        </w:rPr>
      </w:pPr>
      <w:r w:rsidRPr="000F1FD5">
        <w:rPr>
          <w:rStyle w:val="FootnoteReference"/>
          <w:rFonts w:cstheme="minorHAnsi"/>
          <w:sz w:val="18"/>
          <w:szCs w:val="18"/>
        </w:rPr>
        <w:footnoteRef/>
      </w:r>
      <w:r w:rsidRPr="000F1FD5">
        <w:rPr>
          <w:rFonts w:cstheme="minorHAnsi"/>
          <w:sz w:val="18"/>
          <w:szCs w:val="18"/>
        </w:rPr>
        <w:t xml:space="preserve"> OHADA Act, Article 52.</w:t>
      </w:r>
    </w:p>
  </w:footnote>
  <w:footnote w:id="31">
    <w:p w14:paraId="0447F8BE" w14:textId="77777777" w:rsidR="000B03C8" w:rsidRPr="000F1FD5" w:rsidRDefault="000B03C8" w:rsidP="000B03C8">
      <w:pPr>
        <w:pStyle w:val="FootnoteText"/>
        <w:rPr>
          <w:rFonts w:cstheme="minorHAnsi"/>
          <w:sz w:val="18"/>
          <w:szCs w:val="18"/>
        </w:rPr>
      </w:pPr>
      <w:r w:rsidRPr="000F1FD5">
        <w:rPr>
          <w:rStyle w:val="FootnoteReference"/>
          <w:rFonts w:cstheme="minorHAnsi"/>
          <w:sz w:val="18"/>
          <w:szCs w:val="18"/>
        </w:rPr>
        <w:footnoteRef/>
      </w:r>
      <w:r w:rsidRPr="000F1FD5">
        <w:rPr>
          <w:rFonts w:cstheme="minorHAnsi"/>
          <w:sz w:val="18"/>
          <w:szCs w:val="18"/>
        </w:rPr>
        <w:t xml:space="preserve"> OHADA Act, Article 145-3.</w:t>
      </w:r>
    </w:p>
  </w:footnote>
  <w:footnote w:id="32">
    <w:p w14:paraId="581E3CEE" w14:textId="77777777" w:rsidR="000B03C8" w:rsidRPr="000F1FD5" w:rsidRDefault="000B03C8" w:rsidP="000B03C8">
      <w:pPr>
        <w:pStyle w:val="FootnoteText"/>
        <w:rPr>
          <w:rFonts w:cstheme="minorHAnsi"/>
          <w:sz w:val="18"/>
          <w:szCs w:val="18"/>
        </w:rPr>
      </w:pPr>
      <w:r w:rsidRPr="000F1FD5">
        <w:rPr>
          <w:rStyle w:val="FootnoteReference"/>
          <w:rFonts w:cstheme="minorHAnsi"/>
          <w:sz w:val="18"/>
          <w:szCs w:val="18"/>
        </w:rPr>
        <w:footnoteRef/>
      </w:r>
      <w:r w:rsidRPr="000F1FD5">
        <w:rPr>
          <w:rFonts w:cstheme="minorHAnsi"/>
          <w:sz w:val="18"/>
          <w:szCs w:val="18"/>
        </w:rPr>
        <w:t xml:space="preserve"> OHADA Act, Article 145-8. Failure of a creditor to reply to the trustee’s letter means rejection of the proposal.</w:t>
      </w:r>
    </w:p>
  </w:footnote>
  <w:footnote w:id="33">
    <w:p w14:paraId="1B14613D" w14:textId="77777777" w:rsidR="000B03C8" w:rsidRPr="000F1FD5" w:rsidRDefault="000B03C8" w:rsidP="000B03C8">
      <w:pPr>
        <w:pStyle w:val="FootnoteText"/>
        <w:rPr>
          <w:rFonts w:cstheme="minorHAnsi"/>
          <w:sz w:val="18"/>
          <w:szCs w:val="18"/>
        </w:rPr>
      </w:pPr>
      <w:r w:rsidRPr="000F1FD5">
        <w:rPr>
          <w:rStyle w:val="FootnoteReference"/>
          <w:rFonts w:cstheme="minorHAnsi"/>
          <w:sz w:val="18"/>
          <w:szCs w:val="18"/>
        </w:rPr>
        <w:footnoteRef/>
      </w:r>
      <w:r w:rsidRPr="000F1FD5">
        <w:rPr>
          <w:rFonts w:cstheme="minorHAnsi"/>
          <w:sz w:val="18"/>
          <w:szCs w:val="18"/>
        </w:rPr>
        <w:t xml:space="preserve"> OHADA Act, Articles 127 &amp; 145-9.</w:t>
      </w:r>
    </w:p>
  </w:footnote>
  <w:footnote w:id="34">
    <w:p w14:paraId="77E30E6A" w14:textId="09EA3531" w:rsidR="000B03C8" w:rsidRPr="000F1FD5" w:rsidRDefault="000B03C8" w:rsidP="000B03C8">
      <w:pPr>
        <w:pStyle w:val="FootnoteText"/>
        <w:rPr>
          <w:rFonts w:cstheme="minorHAnsi"/>
          <w:sz w:val="18"/>
          <w:szCs w:val="18"/>
        </w:rPr>
      </w:pPr>
      <w:r w:rsidRPr="000F1FD5">
        <w:rPr>
          <w:rStyle w:val="FootnoteReference"/>
          <w:rFonts w:cstheme="minorHAnsi"/>
          <w:sz w:val="18"/>
          <w:szCs w:val="18"/>
        </w:rPr>
        <w:footnoteRef/>
      </w:r>
      <w:r w:rsidRPr="000F1FD5">
        <w:rPr>
          <w:rFonts w:cstheme="minorHAnsi"/>
          <w:sz w:val="18"/>
          <w:szCs w:val="18"/>
        </w:rPr>
        <w:t xml:space="preserve"> </w:t>
      </w:r>
      <w:r w:rsidR="000C3281" w:rsidRPr="000F1FD5">
        <w:rPr>
          <w:rFonts w:cstheme="minorHAnsi"/>
          <w:sz w:val="18"/>
          <w:szCs w:val="18"/>
        </w:rPr>
        <w:t xml:space="preserve">See </w:t>
      </w:r>
      <w:r w:rsidRPr="000F1FD5">
        <w:rPr>
          <w:rFonts w:cstheme="minorHAnsi"/>
          <w:sz w:val="18"/>
          <w:szCs w:val="18"/>
        </w:rPr>
        <w:t>https://www.ohada.org/ccja-en-bref/</w:t>
      </w:r>
      <w:r w:rsidR="000C3281" w:rsidRPr="000F1FD5">
        <w:rPr>
          <w:rFonts w:cstheme="minorHAnsi"/>
          <w:sz w:val="18"/>
          <w:szCs w:val="18"/>
        </w:rPr>
        <w:t>.</w:t>
      </w:r>
    </w:p>
  </w:footnote>
  <w:footnote w:id="35">
    <w:p w14:paraId="5CACED9F" w14:textId="73121EBD" w:rsidR="000B03C8" w:rsidRPr="000F1FD5" w:rsidRDefault="000B03C8" w:rsidP="000B03C8">
      <w:pPr>
        <w:pStyle w:val="FootnoteText"/>
        <w:rPr>
          <w:rFonts w:cstheme="minorHAnsi"/>
          <w:sz w:val="18"/>
          <w:szCs w:val="18"/>
        </w:rPr>
      </w:pPr>
      <w:r w:rsidRPr="000F1FD5">
        <w:rPr>
          <w:rStyle w:val="FootnoteReference"/>
          <w:rFonts w:cstheme="minorHAnsi"/>
          <w:sz w:val="18"/>
          <w:szCs w:val="18"/>
        </w:rPr>
        <w:footnoteRef/>
      </w:r>
      <w:r w:rsidRPr="000F1FD5">
        <w:rPr>
          <w:rFonts w:cstheme="minorHAnsi"/>
          <w:sz w:val="18"/>
          <w:szCs w:val="18"/>
        </w:rPr>
        <w:t xml:space="preserve"> </w:t>
      </w:r>
      <w:r w:rsidR="000C3281" w:rsidRPr="000F1FD5">
        <w:rPr>
          <w:rFonts w:cstheme="minorHAnsi"/>
          <w:sz w:val="18"/>
          <w:szCs w:val="18"/>
        </w:rPr>
        <w:t xml:space="preserve">See  </w:t>
      </w:r>
      <w:hyperlink r:id="rId2" w:history="1">
        <w:r w:rsidR="000C3281" w:rsidRPr="000F1FD5">
          <w:rPr>
            <w:rStyle w:val="Hyperlink"/>
            <w:rFonts w:cstheme="minorHAnsi"/>
            <w:sz w:val="18"/>
            <w:szCs w:val="18"/>
          </w:rPr>
          <w:t>https://tribunaldecommerce.sn/wp-content/uploads/2020/02/Chiffres20clc3a9s20du20contentieux20traitc3a920au20TCHCD202019.pdf</w:t>
        </w:r>
      </w:hyperlink>
      <w:r w:rsidR="000C3281" w:rsidRPr="000F1FD5">
        <w:rPr>
          <w:rFonts w:cstheme="minorHAnsi"/>
          <w:sz w:val="18"/>
          <w:szCs w:val="18"/>
        </w:rPr>
        <w:t>, accessed on 2/</w:t>
      </w:r>
      <w:r w:rsidR="00E06192" w:rsidRPr="000F1FD5">
        <w:rPr>
          <w:rFonts w:cstheme="minorHAnsi"/>
          <w:sz w:val="18"/>
          <w:szCs w:val="18"/>
        </w:rPr>
        <w:t>20/2024.</w:t>
      </w:r>
    </w:p>
  </w:footnote>
  <w:footnote w:id="36">
    <w:p w14:paraId="7124C300" w14:textId="19322263" w:rsidR="000B03C8" w:rsidRPr="000F1FD5" w:rsidRDefault="000B03C8" w:rsidP="000B03C8">
      <w:pPr>
        <w:pStyle w:val="FootnoteText"/>
        <w:rPr>
          <w:rFonts w:cstheme="minorHAnsi"/>
          <w:sz w:val="18"/>
          <w:szCs w:val="18"/>
        </w:rPr>
      </w:pPr>
      <w:r w:rsidRPr="000F1FD5">
        <w:rPr>
          <w:rStyle w:val="FootnoteReference"/>
          <w:rFonts w:cstheme="minorHAnsi"/>
          <w:sz w:val="18"/>
          <w:szCs w:val="18"/>
        </w:rPr>
        <w:footnoteRef/>
      </w:r>
      <w:r w:rsidRPr="000F1FD5">
        <w:rPr>
          <w:rFonts w:cstheme="minorHAnsi"/>
          <w:sz w:val="18"/>
          <w:szCs w:val="18"/>
        </w:rPr>
        <w:t xml:space="preserve"> See https://tribunalcommerceabidjan.ci/accueil</w:t>
      </w:r>
      <w:r w:rsidR="00E06192" w:rsidRPr="000F1FD5">
        <w:rPr>
          <w:rFonts w:cstheme="minorHAnsi"/>
          <w:sz w:val="18"/>
          <w:szCs w:val="18"/>
        </w:rPr>
        <w:t>.</w:t>
      </w:r>
    </w:p>
  </w:footnote>
  <w:footnote w:id="37">
    <w:p w14:paraId="7AA73B27" w14:textId="335DFA5F" w:rsidR="00A3171D" w:rsidRPr="000F1FD5" w:rsidRDefault="00A3171D">
      <w:pPr>
        <w:pStyle w:val="FootnoteText"/>
        <w:rPr>
          <w:rFonts w:cstheme="minorHAnsi"/>
          <w:sz w:val="18"/>
          <w:szCs w:val="18"/>
        </w:rPr>
      </w:pPr>
      <w:r w:rsidRPr="000F1FD5">
        <w:rPr>
          <w:rStyle w:val="FootnoteReference"/>
          <w:rFonts w:cstheme="minorHAnsi"/>
          <w:sz w:val="18"/>
          <w:szCs w:val="18"/>
        </w:rPr>
        <w:footnoteRef/>
      </w:r>
      <w:r w:rsidRPr="000F1FD5">
        <w:rPr>
          <w:rFonts w:cstheme="minorHAnsi"/>
          <w:sz w:val="18"/>
          <w:szCs w:val="18"/>
        </w:rPr>
        <w:t xml:space="preserve"> See https://io.mlaw.gov.sg/corporate-insolvency/sip-faq/</w:t>
      </w:r>
      <w:r w:rsidR="00E06192" w:rsidRPr="000F1FD5">
        <w:rPr>
          <w:rFonts w:cstheme="minorHAnsi"/>
          <w:sz w:val="18"/>
          <w:szCs w:val="18"/>
        </w:rPr>
        <w:t>.</w:t>
      </w:r>
    </w:p>
  </w:footnote>
  <w:footnote w:id="38">
    <w:p w14:paraId="5DA7424B" w14:textId="375AD026" w:rsidR="0052134E" w:rsidRPr="000F1FD5" w:rsidRDefault="0052134E">
      <w:pPr>
        <w:pStyle w:val="FootnoteText"/>
        <w:rPr>
          <w:rFonts w:cstheme="minorHAnsi"/>
          <w:sz w:val="18"/>
          <w:szCs w:val="18"/>
        </w:rPr>
      </w:pPr>
      <w:r w:rsidRPr="000F1FD5">
        <w:rPr>
          <w:rStyle w:val="FootnoteReference"/>
          <w:rFonts w:cstheme="minorHAnsi"/>
          <w:sz w:val="18"/>
          <w:szCs w:val="18"/>
        </w:rPr>
        <w:footnoteRef/>
      </w:r>
      <w:r w:rsidRPr="000F1FD5">
        <w:rPr>
          <w:rFonts w:cstheme="minorHAnsi"/>
          <w:sz w:val="18"/>
          <w:szCs w:val="18"/>
        </w:rPr>
        <w:t xml:space="preserve"> See https://www.businesstimes.com.sg/singapore/smes/minlaw-looking-making-simplified-insolvency-programme-micro-small-firms-permanent</w:t>
      </w:r>
      <w:r w:rsidR="00E06192" w:rsidRPr="000F1FD5">
        <w:rPr>
          <w:rFonts w:cstheme="minorHAnsi"/>
          <w:sz w:val="18"/>
          <w:szCs w:val="18"/>
        </w:rPr>
        <w:t>.</w:t>
      </w:r>
    </w:p>
  </w:footnote>
  <w:footnote w:id="39">
    <w:p w14:paraId="2A23EE8A" w14:textId="2A677FEA" w:rsidR="004850B3" w:rsidRPr="000F1FD5" w:rsidRDefault="004850B3">
      <w:pPr>
        <w:pStyle w:val="FootnoteText"/>
        <w:rPr>
          <w:rFonts w:cstheme="minorHAnsi"/>
          <w:sz w:val="18"/>
          <w:szCs w:val="18"/>
        </w:rPr>
      </w:pPr>
      <w:r w:rsidRPr="000F1FD5">
        <w:rPr>
          <w:rStyle w:val="FootnoteReference"/>
          <w:rFonts w:cstheme="minorHAnsi"/>
          <w:sz w:val="18"/>
          <w:szCs w:val="18"/>
        </w:rPr>
        <w:footnoteRef/>
      </w:r>
      <w:r w:rsidRPr="000F1FD5">
        <w:rPr>
          <w:rFonts w:cstheme="minorHAnsi"/>
          <w:sz w:val="18"/>
          <w:szCs w:val="18"/>
        </w:rPr>
        <w:t xml:space="preserve"> </w:t>
      </w:r>
      <w:r w:rsidR="007C6D92" w:rsidRPr="000F1FD5">
        <w:rPr>
          <w:rFonts w:cstheme="minorHAnsi"/>
          <w:sz w:val="18"/>
          <w:szCs w:val="18"/>
        </w:rPr>
        <w:t xml:space="preserve">Singapore </w:t>
      </w:r>
      <w:r w:rsidRPr="000F1FD5">
        <w:rPr>
          <w:rFonts w:cstheme="minorHAnsi"/>
          <w:sz w:val="18"/>
          <w:szCs w:val="18"/>
        </w:rPr>
        <w:t xml:space="preserve">Insolvency, Restructuring and Dissolution Act 2020 (Singapore Act), Article </w:t>
      </w:r>
      <w:r w:rsidR="00FF12B8" w:rsidRPr="000F1FD5">
        <w:rPr>
          <w:rFonts w:cstheme="minorHAnsi"/>
          <w:sz w:val="18"/>
          <w:szCs w:val="18"/>
        </w:rPr>
        <w:t>250F.</w:t>
      </w:r>
    </w:p>
  </w:footnote>
  <w:footnote w:id="40">
    <w:p w14:paraId="6EB408D4" w14:textId="1B90E7C3" w:rsidR="00F40B90" w:rsidRPr="000F1FD5" w:rsidRDefault="00F40B90">
      <w:pPr>
        <w:pStyle w:val="FootnoteText"/>
        <w:rPr>
          <w:rFonts w:cstheme="minorHAnsi"/>
          <w:sz w:val="18"/>
          <w:szCs w:val="18"/>
        </w:rPr>
      </w:pPr>
      <w:r w:rsidRPr="000F1FD5">
        <w:rPr>
          <w:rStyle w:val="FootnoteReference"/>
          <w:rFonts w:cstheme="minorHAnsi"/>
          <w:sz w:val="18"/>
          <w:szCs w:val="18"/>
        </w:rPr>
        <w:footnoteRef/>
      </w:r>
      <w:r w:rsidRPr="000F1FD5">
        <w:rPr>
          <w:rFonts w:cstheme="minorHAnsi"/>
          <w:sz w:val="18"/>
          <w:szCs w:val="18"/>
        </w:rPr>
        <w:t xml:space="preserve"> Singapore Act, Article </w:t>
      </w:r>
      <w:r w:rsidR="001C76B5" w:rsidRPr="000F1FD5">
        <w:rPr>
          <w:rFonts w:cstheme="minorHAnsi"/>
          <w:sz w:val="18"/>
          <w:szCs w:val="18"/>
        </w:rPr>
        <w:t>72D.</w:t>
      </w:r>
    </w:p>
  </w:footnote>
  <w:footnote w:id="41">
    <w:p w14:paraId="532FE8BE" w14:textId="76081A6E" w:rsidR="007228FF" w:rsidRPr="000F1FD5" w:rsidRDefault="007228FF">
      <w:pPr>
        <w:pStyle w:val="FootnoteText"/>
        <w:rPr>
          <w:rFonts w:cstheme="minorHAnsi"/>
          <w:sz w:val="18"/>
          <w:szCs w:val="18"/>
        </w:rPr>
      </w:pPr>
      <w:r w:rsidRPr="000F1FD5">
        <w:rPr>
          <w:rStyle w:val="FootnoteReference"/>
          <w:rFonts w:cstheme="minorHAnsi"/>
          <w:sz w:val="18"/>
          <w:szCs w:val="18"/>
        </w:rPr>
        <w:footnoteRef/>
      </w:r>
      <w:r w:rsidRPr="000F1FD5">
        <w:rPr>
          <w:rFonts w:cstheme="minorHAnsi"/>
          <w:sz w:val="18"/>
          <w:szCs w:val="18"/>
        </w:rPr>
        <w:t xml:space="preserve"> </w:t>
      </w:r>
      <w:r w:rsidR="006A29E1" w:rsidRPr="000F1FD5">
        <w:rPr>
          <w:rFonts w:cstheme="minorHAnsi"/>
          <w:sz w:val="18"/>
          <w:szCs w:val="18"/>
        </w:rPr>
        <w:t>Singapore Act, Article 72D(7).</w:t>
      </w:r>
    </w:p>
  </w:footnote>
  <w:footnote w:id="42">
    <w:p w14:paraId="3C311083" w14:textId="262D4963" w:rsidR="00124BF3" w:rsidRPr="000F1FD5" w:rsidRDefault="00124BF3">
      <w:pPr>
        <w:pStyle w:val="FootnoteText"/>
        <w:rPr>
          <w:rFonts w:cstheme="minorHAnsi"/>
          <w:sz w:val="18"/>
          <w:szCs w:val="18"/>
        </w:rPr>
      </w:pPr>
      <w:r w:rsidRPr="000F1FD5">
        <w:rPr>
          <w:rStyle w:val="FootnoteReference"/>
          <w:rFonts w:cstheme="minorHAnsi"/>
          <w:sz w:val="18"/>
          <w:szCs w:val="18"/>
        </w:rPr>
        <w:footnoteRef/>
      </w:r>
      <w:r w:rsidRPr="000F1FD5">
        <w:rPr>
          <w:rFonts w:cstheme="minorHAnsi"/>
          <w:sz w:val="18"/>
          <w:szCs w:val="18"/>
        </w:rPr>
        <w:t xml:space="preserve"> Singapore Act, Article 72L.</w:t>
      </w:r>
    </w:p>
  </w:footnote>
  <w:footnote w:id="43">
    <w:p w14:paraId="55DB8076" w14:textId="3ACBFACE" w:rsidR="00AC52A4" w:rsidRPr="000F1FD5" w:rsidRDefault="00AC52A4">
      <w:pPr>
        <w:pStyle w:val="FootnoteText"/>
        <w:rPr>
          <w:rFonts w:cstheme="minorHAnsi"/>
          <w:sz w:val="18"/>
          <w:szCs w:val="18"/>
        </w:rPr>
      </w:pPr>
      <w:r w:rsidRPr="000F1FD5">
        <w:rPr>
          <w:rStyle w:val="FootnoteReference"/>
          <w:rFonts w:cstheme="minorHAnsi"/>
          <w:sz w:val="18"/>
          <w:szCs w:val="18"/>
        </w:rPr>
        <w:footnoteRef/>
      </w:r>
      <w:r w:rsidRPr="000F1FD5">
        <w:rPr>
          <w:rFonts w:cstheme="minorHAnsi"/>
          <w:sz w:val="18"/>
          <w:szCs w:val="18"/>
        </w:rPr>
        <w:t xml:space="preserve"> See https://io.mlaw.gov.sg/corporate-insolvency/sip-faq/</w:t>
      </w:r>
      <w:r w:rsidR="00673897" w:rsidRPr="000F1FD5">
        <w:rPr>
          <w:rFonts w:cstheme="minorHAnsi"/>
          <w:sz w:val="18"/>
          <w:szCs w:val="18"/>
        </w:rPr>
        <w:t>.</w:t>
      </w:r>
    </w:p>
  </w:footnote>
  <w:footnote w:id="44">
    <w:p w14:paraId="23CD33C4" w14:textId="64495992" w:rsidR="00765543" w:rsidRPr="000F1FD5" w:rsidRDefault="00765543" w:rsidP="00765543">
      <w:pPr>
        <w:pStyle w:val="FootnoteText"/>
        <w:rPr>
          <w:rFonts w:cstheme="minorHAnsi"/>
          <w:sz w:val="18"/>
          <w:szCs w:val="18"/>
        </w:rPr>
      </w:pPr>
      <w:r w:rsidRPr="000F1FD5">
        <w:rPr>
          <w:rStyle w:val="FootnoteReference"/>
          <w:rFonts w:cstheme="minorHAnsi"/>
          <w:sz w:val="18"/>
          <w:szCs w:val="18"/>
        </w:rPr>
        <w:footnoteRef/>
      </w:r>
      <w:r w:rsidRPr="000F1FD5">
        <w:rPr>
          <w:rFonts w:cstheme="minorHAnsi"/>
          <w:sz w:val="18"/>
          <w:szCs w:val="18"/>
        </w:rPr>
        <w:t xml:space="preserve"> </w:t>
      </w:r>
      <w:r w:rsidR="00654DF6" w:rsidRPr="000F1FD5">
        <w:rPr>
          <w:rFonts w:cstheme="minorHAnsi"/>
          <w:sz w:val="18"/>
          <w:szCs w:val="18"/>
        </w:rPr>
        <w:t>Singapore Act, Article 72K.</w:t>
      </w:r>
    </w:p>
  </w:footnote>
  <w:footnote w:id="45">
    <w:p w14:paraId="2B2645CA" w14:textId="61B7C060" w:rsidR="00A71AE1" w:rsidRPr="000F1FD5" w:rsidRDefault="00A71AE1">
      <w:pPr>
        <w:pStyle w:val="FootnoteText"/>
        <w:rPr>
          <w:rFonts w:cstheme="minorHAnsi"/>
          <w:sz w:val="18"/>
          <w:szCs w:val="18"/>
        </w:rPr>
      </w:pPr>
      <w:r w:rsidRPr="000F1FD5">
        <w:rPr>
          <w:rStyle w:val="FootnoteReference"/>
          <w:rFonts w:cstheme="minorHAnsi"/>
          <w:sz w:val="18"/>
          <w:szCs w:val="18"/>
        </w:rPr>
        <w:footnoteRef/>
      </w:r>
      <w:r w:rsidRPr="000F1FD5">
        <w:rPr>
          <w:rFonts w:cstheme="minorHAnsi"/>
          <w:sz w:val="18"/>
          <w:szCs w:val="18"/>
        </w:rPr>
        <w:t xml:space="preserve"> Singapore Act, Article 72M.</w:t>
      </w:r>
    </w:p>
  </w:footnote>
  <w:footnote w:id="46">
    <w:p w14:paraId="657A1C95" w14:textId="338E4F0E" w:rsidR="0031509F" w:rsidRPr="000F1FD5" w:rsidRDefault="0031509F">
      <w:pPr>
        <w:pStyle w:val="FootnoteText"/>
        <w:rPr>
          <w:rFonts w:cstheme="minorHAnsi"/>
          <w:sz w:val="18"/>
          <w:szCs w:val="18"/>
        </w:rPr>
      </w:pPr>
      <w:r w:rsidRPr="000F1FD5">
        <w:rPr>
          <w:rStyle w:val="FootnoteReference"/>
          <w:rFonts w:cstheme="minorHAnsi"/>
          <w:sz w:val="18"/>
          <w:szCs w:val="18"/>
        </w:rPr>
        <w:footnoteRef/>
      </w:r>
      <w:r w:rsidRPr="000F1FD5">
        <w:rPr>
          <w:rFonts w:cstheme="minorHAnsi"/>
          <w:sz w:val="18"/>
          <w:szCs w:val="18"/>
        </w:rPr>
        <w:t xml:space="preserve"> Singapore Act, Article 72M (3)(d).</w:t>
      </w:r>
    </w:p>
  </w:footnote>
  <w:footnote w:id="47">
    <w:p w14:paraId="57E01F0D" w14:textId="4145DCE0" w:rsidR="009B57D8" w:rsidRPr="000F1FD5" w:rsidRDefault="009B57D8">
      <w:pPr>
        <w:pStyle w:val="FootnoteText"/>
        <w:rPr>
          <w:rFonts w:cstheme="minorHAnsi"/>
          <w:sz w:val="18"/>
          <w:szCs w:val="18"/>
        </w:rPr>
      </w:pPr>
      <w:r w:rsidRPr="000F1FD5">
        <w:rPr>
          <w:rStyle w:val="FootnoteReference"/>
          <w:rFonts w:cstheme="minorHAnsi"/>
          <w:sz w:val="18"/>
          <w:szCs w:val="18"/>
        </w:rPr>
        <w:footnoteRef/>
      </w:r>
      <w:r w:rsidRPr="000F1FD5">
        <w:rPr>
          <w:rFonts w:cstheme="minorHAnsi"/>
          <w:sz w:val="18"/>
          <w:szCs w:val="18"/>
        </w:rPr>
        <w:t xml:space="preserve"> Singapore Act, Article 72Q.</w:t>
      </w:r>
    </w:p>
  </w:footnote>
  <w:footnote w:id="48">
    <w:p w14:paraId="7D70212F" w14:textId="4342FF94" w:rsidR="00655B27" w:rsidRPr="000F1FD5" w:rsidRDefault="00655B27">
      <w:pPr>
        <w:pStyle w:val="FootnoteText"/>
        <w:rPr>
          <w:rFonts w:cstheme="minorHAnsi"/>
          <w:sz w:val="18"/>
          <w:szCs w:val="18"/>
        </w:rPr>
      </w:pPr>
      <w:r w:rsidRPr="000F1FD5">
        <w:rPr>
          <w:rStyle w:val="FootnoteReference"/>
          <w:rFonts w:cstheme="minorHAnsi"/>
          <w:sz w:val="18"/>
          <w:szCs w:val="18"/>
        </w:rPr>
        <w:footnoteRef/>
      </w:r>
      <w:r w:rsidRPr="000F1FD5">
        <w:rPr>
          <w:rFonts w:cstheme="minorHAnsi"/>
          <w:sz w:val="18"/>
          <w:szCs w:val="18"/>
        </w:rPr>
        <w:t xml:space="preserve"> https://io.mlaw.gov.sg/corporate-insolvency/notices/</w:t>
      </w:r>
    </w:p>
  </w:footnote>
  <w:footnote w:id="49">
    <w:p w14:paraId="3EBB4020" w14:textId="5D8DB267" w:rsidR="000B03C8" w:rsidRPr="000F1FD5" w:rsidRDefault="000B03C8" w:rsidP="009A628A">
      <w:pPr>
        <w:pStyle w:val="FootnoteText"/>
        <w:rPr>
          <w:rFonts w:cstheme="minorHAnsi"/>
          <w:sz w:val="18"/>
          <w:szCs w:val="18"/>
        </w:rPr>
      </w:pPr>
      <w:r w:rsidRPr="000F1FD5">
        <w:rPr>
          <w:rStyle w:val="FootnoteReference"/>
          <w:rFonts w:cstheme="minorHAnsi"/>
          <w:sz w:val="18"/>
          <w:szCs w:val="18"/>
        </w:rPr>
        <w:footnoteRef/>
      </w:r>
      <w:r w:rsidRPr="000F1FD5">
        <w:rPr>
          <w:rFonts w:cstheme="minorHAnsi"/>
          <w:sz w:val="18"/>
          <w:szCs w:val="18"/>
        </w:rPr>
        <w:t xml:space="preserve"> The</w:t>
      </w:r>
      <w:r w:rsidR="009A628A" w:rsidRPr="000F1FD5">
        <w:rPr>
          <w:rFonts w:cstheme="minorHAnsi"/>
          <w:sz w:val="18"/>
          <w:szCs w:val="18"/>
        </w:rPr>
        <w:t xml:space="preserve"> United States Small Business Reorganization Act, 2019</w:t>
      </w:r>
      <w:r w:rsidRPr="000F1FD5">
        <w:rPr>
          <w:rFonts w:cstheme="minorHAnsi"/>
          <w:sz w:val="18"/>
          <w:szCs w:val="18"/>
        </w:rPr>
        <w:t xml:space="preserve"> amended </w:t>
      </w:r>
      <w:r w:rsidR="00DC1A5D" w:rsidRPr="000F1FD5">
        <w:rPr>
          <w:rFonts w:cstheme="minorHAnsi"/>
          <w:sz w:val="18"/>
          <w:szCs w:val="18"/>
        </w:rPr>
        <w:t xml:space="preserve">the </w:t>
      </w:r>
      <w:r w:rsidR="00DB6872" w:rsidRPr="000F1FD5">
        <w:rPr>
          <w:rFonts w:cstheme="minorHAnsi"/>
          <w:sz w:val="18"/>
          <w:szCs w:val="18"/>
        </w:rPr>
        <w:t>United States Code, 2012 Edition, Supplement 3, Title 11 – BANKRUPTCY (11 USC).</w:t>
      </w:r>
    </w:p>
  </w:footnote>
  <w:footnote w:id="50">
    <w:p w14:paraId="3097DC79" w14:textId="77777777" w:rsidR="000B03C8" w:rsidRPr="000F1FD5" w:rsidRDefault="000B03C8" w:rsidP="000B03C8">
      <w:pPr>
        <w:pStyle w:val="FootnoteText"/>
        <w:rPr>
          <w:rFonts w:cstheme="minorHAnsi"/>
          <w:sz w:val="18"/>
          <w:szCs w:val="18"/>
        </w:rPr>
      </w:pPr>
      <w:r w:rsidRPr="000F1FD5">
        <w:rPr>
          <w:rStyle w:val="FootnoteReference"/>
          <w:rFonts w:cstheme="minorHAnsi"/>
          <w:sz w:val="18"/>
          <w:szCs w:val="18"/>
        </w:rPr>
        <w:footnoteRef/>
      </w:r>
      <w:r w:rsidRPr="000F1FD5">
        <w:rPr>
          <w:rFonts w:cstheme="minorHAnsi"/>
          <w:sz w:val="18"/>
          <w:szCs w:val="18"/>
        </w:rPr>
        <w:t xml:space="preserve"> Handbook for Small Business Chapter 11 Subchapter V Trustees, p. 1.</w:t>
      </w:r>
    </w:p>
  </w:footnote>
  <w:footnote w:id="51">
    <w:p w14:paraId="4CF1E76C" w14:textId="77777777" w:rsidR="000B03C8" w:rsidRPr="000F1FD5" w:rsidRDefault="000B03C8" w:rsidP="000B03C8">
      <w:pPr>
        <w:pStyle w:val="FootnoteText"/>
        <w:rPr>
          <w:rFonts w:cstheme="minorHAnsi"/>
          <w:sz w:val="18"/>
          <w:szCs w:val="18"/>
        </w:rPr>
      </w:pPr>
      <w:r w:rsidRPr="000F1FD5">
        <w:rPr>
          <w:rStyle w:val="FootnoteReference"/>
          <w:rFonts w:cstheme="minorHAnsi"/>
          <w:sz w:val="18"/>
          <w:szCs w:val="18"/>
        </w:rPr>
        <w:footnoteRef/>
      </w:r>
      <w:r w:rsidRPr="000F1FD5">
        <w:rPr>
          <w:rFonts w:cstheme="minorHAnsi"/>
          <w:sz w:val="18"/>
          <w:szCs w:val="18"/>
        </w:rPr>
        <w:t xml:space="preserve"> See Bankruptcy Threshold Adjustment and Technical Corrections Act, Pub. L. No. 117-151, 2022.</w:t>
      </w:r>
    </w:p>
  </w:footnote>
  <w:footnote w:id="52">
    <w:p w14:paraId="7747EF6D" w14:textId="77777777" w:rsidR="000B03C8" w:rsidRPr="000F1FD5" w:rsidRDefault="000B03C8" w:rsidP="000B03C8">
      <w:pPr>
        <w:pStyle w:val="FootnoteText"/>
        <w:rPr>
          <w:rFonts w:cstheme="minorHAnsi"/>
          <w:sz w:val="18"/>
          <w:szCs w:val="18"/>
        </w:rPr>
      </w:pPr>
      <w:r w:rsidRPr="000F1FD5">
        <w:rPr>
          <w:rStyle w:val="FootnoteReference"/>
          <w:rFonts w:cstheme="minorHAnsi"/>
          <w:sz w:val="18"/>
          <w:szCs w:val="18"/>
        </w:rPr>
        <w:footnoteRef/>
      </w:r>
      <w:r w:rsidRPr="000F1FD5">
        <w:rPr>
          <w:rFonts w:cstheme="minorHAnsi"/>
          <w:sz w:val="18"/>
          <w:szCs w:val="18"/>
        </w:rPr>
        <w:t xml:space="preserve"> See </w:t>
      </w:r>
      <w:hyperlink r:id="rId3" w:history="1">
        <w:r w:rsidRPr="000F1FD5">
          <w:rPr>
            <w:rStyle w:val="Hyperlink"/>
            <w:rFonts w:cstheme="minorHAnsi"/>
            <w:sz w:val="18"/>
            <w:szCs w:val="18"/>
          </w:rPr>
          <w:t>https://www.justice.gov/ust/eo/private_trustee/vacancies/11ad</w:t>
        </w:r>
      </w:hyperlink>
      <w:r w:rsidRPr="000F1FD5">
        <w:rPr>
          <w:rFonts w:cstheme="minorHAnsi"/>
          <w:sz w:val="18"/>
          <w:szCs w:val="18"/>
        </w:rPr>
        <w:t xml:space="preserve"> and 11 USC 1183.</w:t>
      </w:r>
    </w:p>
  </w:footnote>
  <w:footnote w:id="53">
    <w:p w14:paraId="1DB91698" w14:textId="39ACBE08" w:rsidR="000B03C8" w:rsidRPr="000F1FD5" w:rsidRDefault="000B03C8" w:rsidP="000B03C8">
      <w:pPr>
        <w:pStyle w:val="FootnoteText"/>
        <w:rPr>
          <w:rFonts w:cstheme="minorHAnsi"/>
          <w:sz w:val="18"/>
          <w:szCs w:val="18"/>
        </w:rPr>
      </w:pPr>
      <w:r w:rsidRPr="000F1FD5">
        <w:rPr>
          <w:rStyle w:val="FootnoteReference"/>
          <w:rFonts w:cstheme="minorHAnsi"/>
          <w:sz w:val="18"/>
          <w:szCs w:val="18"/>
        </w:rPr>
        <w:footnoteRef/>
      </w:r>
      <w:r w:rsidRPr="000F1FD5">
        <w:rPr>
          <w:rFonts w:cstheme="minorHAnsi"/>
          <w:sz w:val="18"/>
          <w:szCs w:val="18"/>
        </w:rPr>
        <w:t xml:space="preserve"> </w:t>
      </w:r>
      <w:r w:rsidR="004B577E" w:rsidRPr="000F1FD5">
        <w:rPr>
          <w:rFonts w:cstheme="minorHAnsi"/>
          <w:sz w:val="18"/>
          <w:szCs w:val="18"/>
        </w:rPr>
        <w:t xml:space="preserve">United States Code, 2012 Edition, Supplement 3, Title 28 - JUDICIARY AND JUDICIAL PROCEDURE at section </w:t>
      </w:r>
      <w:r w:rsidRPr="000F1FD5">
        <w:rPr>
          <w:rFonts w:cstheme="minorHAnsi"/>
          <w:sz w:val="18"/>
          <w:szCs w:val="18"/>
        </w:rPr>
        <w:t>1930 (6).</w:t>
      </w:r>
    </w:p>
  </w:footnote>
  <w:footnote w:id="54">
    <w:p w14:paraId="60A49192" w14:textId="77777777" w:rsidR="000B03C8" w:rsidRPr="000F1FD5" w:rsidRDefault="000B03C8" w:rsidP="000B03C8">
      <w:pPr>
        <w:pStyle w:val="FootnoteText"/>
        <w:rPr>
          <w:rFonts w:cstheme="minorHAnsi"/>
          <w:sz w:val="18"/>
          <w:szCs w:val="18"/>
        </w:rPr>
      </w:pPr>
      <w:r w:rsidRPr="000F1FD5">
        <w:rPr>
          <w:rStyle w:val="FootnoteReference"/>
          <w:rFonts w:cstheme="minorHAnsi"/>
          <w:sz w:val="18"/>
          <w:szCs w:val="18"/>
        </w:rPr>
        <w:footnoteRef/>
      </w:r>
      <w:r w:rsidRPr="000F1FD5">
        <w:rPr>
          <w:rFonts w:cstheme="minorHAnsi"/>
          <w:sz w:val="18"/>
          <w:szCs w:val="18"/>
        </w:rPr>
        <w:t xml:space="preserve"> See https://www.uscourts.gov/forms/bankruptcy-forms.</w:t>
      </w:r>
    </w:p>
  </w:footnote>
  <w:footnote w:id="55">
    <w:p w14:paraId="24716B67" w14:textId="1C6526BC" w:rsidR="000B03C8" w:rsidRPr="000F1FD5" w:rsidRDefault="000B03C8" w:rsidP="000B03C8">
      <w:pPr>
        <w:pStyle w:val="FootnoteText"/>
        <w:rPr>
          <w:rFonts w:cstheme="minorHAnsi"/>
          <w:sz w:val="18"/>
          <w:szCs w:val="18"/>
        </w:rPr>
      </w:pPr>
      <w:r w:rsidRPr="000F1FD5">
        <w:rPr>
          <w:rStyle w:val="FootnoteReference"/>
          <w:rFonts w:cstheme="minorHAnsi"/>
          <w:sz w:val="18"/>
          <w:szCs w:val="18"/>
        </w:rPr>
        <w:footnoteRef/>
      </w:r>
      <w:r w:rsidRPr="000F1FD5">
        <w:rPr>
          <w:rFonts w:cstheme="minorHAnsi"/>
          <w:sz w:val="18"/>
          <w:szCs w:val="18"/>
        </w:rPr>
        <w:t xml:space="preserve"> 11 USC </w:t>
      </w:r>
      <w:r w:rsidR="004A3472" w:rsidRPr="000F1FD5">
        <w:rPr>
          <w:rFonts w:cstheme="minorHAnsi"/>
          <w:sz w:val="18"/>
          <w:szCs w:val="18"/>
        </w:rPr>
        <w:t xml:space="preserve">§ </w:t>
      </w:r>
      <w:r w:rsidRPr="000F1FD5">
        <w:rPr>
          <w:rFonts w:cstheme="minorHAnsi"/>
          <w:sz w:val="18"/>
          <w:szCs w:val="18"/>
        </w:rPr>
        <w:t>1181 (b). Although, no definition of what “cause” means is included in the SBRA.</w:t>
      </w:r>
    </w:p>
  </w:footnote>
  <w:footnote w:id="56">
    <w:p w14:paraId="2E320E55" w14:textId="474F519C" w:rsidR="000B03C8" w:rsidRPr="000F1FD5" w:rsidRDefault="000B03C8" w:rsidP="000B03C8">
      <w:pPr>
        <w:pStyle w:val="FootnoteText"/>
        <w:rPr>
          <w:rFonts w:cstheme="minorHAnsi"/>
          <w:sz w:val="18"/>
          <w:szCs w:val="18"/>
        </w:rPr>
      </w:pPr>
      <w:r w:rsidRPr="000F1FD5">
        <w:rPr>
          <w:rStyle w:val="FootnoteReference"/>
          <w:rFonts w:cstheme="minorHAnsi"/>
          <w:sz w:val="18"/>
          <w:szCs w:val="18"/>
        </w:rPr>
        <w:footnoteRef/>
      </w:r>
      <w:r w:rsidRPr="000F1FD5">
        <w:rPr>
          <w:rFonts w:cstheme="minorHAnsi"/>
          <w:sz w:val="18"/>
          <w:szCs w:val="18"/>
        </w:rPr>
        <w:t xml:space="preserve"> 11 USC </w:t>
      </w:r>
      <w:r w:rsidR="004A3472" w:rsidRPr="000F1FD5">
        <w:rPr>
          <w:rFonts w:cstheme="minorHAnsi"/>
          <w:sz w:val="18"/>
          <w:szCs w:val="18"/>
        </w:rPr>
        <w:t xml:space="preserve">§ </w:t>
      </w:r>
      <w:r w:rsidRPr="000F1FD5">
        <w:rPr>
          <w:rFonts w:cstheme="minorHAnsi"/>
          <w:sz w:val="18"/>
          <w:szCs w:val="18"/>
        </w:rPr>
        <w:t>1189.</w:t>
      </w:r>
    </w:p>
  </w:footnote>
  <w:footnote w:id="57">
    <w:p w14:paraId="515CAA65" w14:textId="543B0FC7" w:rsidR="000B03C8" w:rsidRPr="000F1FD5" w:rsidRDefault="000B03C8" w:rsidP="000B03C8">
      <w:pPr>
        <w:pStyle w:val="FootnoteText"/>
        <w:rPr>
          <w:rFonts w:cstheme="minorHAnsi"/>
          <w:sz w:val="18"/>
          <w:szCs w:val="18"/>
        </w:rPr>
      </w:pPr>
      <w:r w:rsidRPr="000F1FD5">
        <w:rPr>
          <w:rStyle w:val="FootnoteReference"/>
          <w:rFonts w:cstheme="minorHAnsi"/>
          <w:sz w:val="18"/>
          <w:szCs w:val="18"/>
        </w:rPr>
        <w:footnoteRef/>
      </w:r>
      <w:r w:rsidRPr="000F1FD5">
        <w:rPr>
          <w:rFonts w:cstheme="minorHAnsi"/>
          <w:sz w:val="18"/>
          <w:szCs w:val="18"/>
        </w:rPr>
        <w:t xml:space="preserve"> 11 USC </w:t>
      </w:r>
      <w:r w:rsidR="004A3472" w:rsidRPr="000F1FD5">
        <w:rPr>
          <w:rFonts w:cstheme="minorHAnsi"/>
          <w:sz w:val="18"/>
          <w:szCs w:val="18"/>
        </w:rPr>
        <w:t xml:space="preserve">§ </w:t>
      </w:r>
      <w:r w:rsidRPr="000F1FD5">
        <w:rPr>
          <w:rFonts w:cstheme="minorHAnsi"/>
          <w:sz w:val="18"/>
          <w:szCs w:val="18"/>
        </w:rPr>
        <w:t xml:space="preserve">1190. In particular, a detailed disclosure statement does not need to be filed. The requirements are only a brief history of the business operations, a liquidation analysis of projections of the debtor’s ability to make payments under the proposed plan. </w:t>
      </w:r>
    </w:p>
  </w:footnote>
  <w:footnote w:id="58">
    <w:p w14:paraId="6B01C486" w14:textId="4B3482CE" w:rsidR="000B03C8" w:rsidRPr="000F1FD5" w:rsidRDefault="000B03C8" w:rsidP="000B03C8">
      <w:pPr>
        <w:pStyle w:val="FootnoteText"/>
        <w:rPr>
          <w:rFonts w:cstheme="minorHAnsi"/>
          <w:sz w:val="18"/>
          <w:szCs w:val="18"/>
        </w:rPr>
      </w:pPr>
      <w:r w:rsidRPr="000F1FD5">
        <w:rPr>
          <w:rStyle w:val="FootnoteReference"/>
          <w:rFonts w:cstheme="minorHAnsi"/>
          <w:sz w:val="18"/>
          <w:szCs w:val="18"/>
        </w:rPr>
        <w:footnoteRef/>
      </w:r>
      <w:r w:rsidRPr="000F1FD5">
        <w:rPr>
          <w:rFonts w:cstheme="minorHAnsi"/>
          <w:sz w:val="18"/>
          <w:szCs w:val="18"/>
        </w:rPr>
        <w:t xml:space="preserve"> 11 USC </w:t>
      </w:r>
      <w:r w:rsidR="004A3472" w:rsidRPr="000F1FD5">
        <w:rPr>
          <w:rFonts w:cstheme="minorHAnsi"/>
          <w:sz w:val="18"/>
          <w:szCs w:val="18"/>
        </w:rPr>
        <w:t xml:space="preserve">§ </w:t>
      </w:r>
      <w:r w:rsidRPr="000F1FD5">
        <w:rPr>
          <w:rFonts w:cstheme="minorHAnsi"/>
          <w:sz w:val="18"/>
          <w:szCs w:val="18"/>
        </w:rPr>
        <w:t>1991(c). For example, the plan needs to provide all the projected disposable income of the debtor within a period of 3-5 years and there is a reasonable likelihood that the debtor will be able to make all payments under the plan.</w:t>
      </w:r>
    </w:p>
  </w:footnote>
  <w:footnote w:id="59">
    <w:p w14:paraId="3DDD2EBC" w14:textId="4392BF48" w:rsidR="000B03C8" w:rsidRPr="000F1FD5" w:rsidRDefault="000B03C8" w:rsidP="000B03C8">
      <w:pPr>
        <w:pStyle w:val="FootnoteText"/>
        <w:rPr>
          <w:rFonts w:cstheme="minorHAnsi"/>
          <w:sz w:val="18"/>
          <w:szCs w:val="18"/>
        </w:rPr>
      </w:pPr>
      <w:r w:rsidRPr="000F1FD5">
        <w:rPr>
          <w:rStyle w:val="FootnoteReference"/>
          <w:rFonts w:cstheme="minorHAnsi"/>
          <w:sz w:val="18"/>
          <w:szCs w:val="18"/>
        </w:rPr>
        <w:footnoteRef/>
      </w:r>
      <w:r w:rsidRPr="000F1FD5">
        <w:rPr>
          <w:rFonts w:cstheme="minorHAnsi"/>
          <w:sz w:val="18"/>
          <w:szCs w:val="18"/>
        </w:rPr>
        <w:t xml:space="preserve"> 11 USC </w:t>
      </w:r>
      <w:r w:rsidR="004A3472" w:rsidRPr="000F1FD5">
        <w:rPr>
          <w:rFonts w:cstheme="minorHAnsi"/>
          <w:sz w:val="18"/>
          <w:szCs w:val="18"/>
        </w:rPr>
        <w:t xml:space="preserve">§ </w:t>
      </w:r>
      <w:r w:rsidRPr="000F1FD5">
        <w:rPr>
          <w:rFonts w:cstheme="minorHAnsi"/>
          <w:sz w:val="18"/>
          <w:szCs w:val="18"/>
        </w:rPr>
        <w:t>1991(b).</w:t>
      </w:r>
    </w:p>
  </w:footnote>
  <w:footnote w:id="60">
    <w:p w14:paraId="6956A50E" w14:textId="5A9AFD4A" w:rsidR="000B03C8" w:rsidRPr="000F1FD5" w:rsidRDefault="000B03C8" w:rsidP="000B03C8">
      <w:pPr>
        <w:pStyle w:val="FootnoteText"/>
        <w:rPr>
          <w:rFonts w:cstheme="minorHAnsi"/>
          <w:sz w:val="18"/>
          <w:szCs w:val="18"/>
        </w:rPr>
      </w:pPr>
      <w:r w:rsidRPr="000F1FD5">
        <w:rPr>
          <w:rStyle w:val="FootnoteReference"/>
          <w:rFonts w:cstheme="minorHAnsi"/>
          <w:sz w:val="18"/>
          <w:szCs w:val="18"/>
        </w:rPr>
        <w:footnoteRef/>
      </w:r>
      <w:r w:rsidRPr="000F1FD5">
        <w:rPr>
          <w:rFonts w:cstheme="minorHAnsi"/>
          <w:sz w:val="18"/>
          <w:szCs w:val="18"/>
        </w:rPr>
        <w:t xml:space="preserve"> 11 USC</w:t>
      </w:r>
      <w:r w:rsidR="004A3472" w:rsidRPr="000F1FD5">
        <w:rPr>
          <w:rFonts w:cstheme="minorHAnsi"/>
          <w:sz w:val="18"/>
          <w:szCs w:val="18"/>
        </w:rPr>
        <w:t xml:space="preserve"> §</w:t>
      </w:r>
      <w:r w:rsidRPr="000F1FD5">
        <w:rPr>
          <w:rFonts w:cstheme="minorHAnsi"/>
          <w:sz w:val="18"/>
          <w:szCs w:val="18"/>
        </w:rPr>
        <w:t xml:space="preserve"> 1992.</w:t>
      </w:r>
    </w:p>
  </w:footnote>
  <w:footnote w:id="61">
    <w:p w14:paraId="56E60309" w14:textId="1D362B5A" w:rsidR="00E63836" w:rsidRPr="00CB6ABA" w:rsidRDefault="00E63836">
      <w:pPr>
        <w:pStyle w:val="FootnoteText"/>
        <w:rPr>
          <w:sz w:val="18"/>
          <w:szCs w:val="18"/>
        </w:rPr>
      </w:pPr>
      <w:r w:rsidRPr="00CB6ABA">
        <w:rPr>
          <w:rStyle w:val="FootnoteReference"/>
          <w:sz w:val="18"/>
          <w:szCs w:val="18"/>
        </w:rPr>
        <w:footnoteRef/>
      </w:r>
      <w:r w:rsidR="00CB6ABA" w:rsidRPr="00CB6ABA">
        <w:rPr>
          <w:sz w:val="18"/>
          <w:szCs w:val="18"/>
        </w:rPr>
        <w:t xml:space="preserve"> Hotchkiss, Edith; Iverson, Benjamin; Zheng, Ziang, “Can Small Businesses Survive Chapter 11” Unpublished Draft, February 2024, p. 4.</w:t>
      </w:r>
    </w:p>
  </w:footnote>
  <w:footnote w:id="62">
    <w:p w14:paraId="3C070438" w14:textId="77777777" w:rsidR="000B03C8" w:rsidRPr="000F1FD5" w:rsidRDefault="000B03C8" w:rsidP="000B03C8">
      <w:pPr>
        <w:pStyle w:val="FootnoteText"/>
        <w:rPr>
          <w:rFonts w:cstheme="minorHAnsi"/>
          <w:sz w:val="18"/>
          <w:szCs w:val="18"/>
        </w:rPr>
      </w:pPr>
      <w:r w:rsidRPr="000F1FD5">
        <w:rPr>
          <w:rStyle w:val="FootnoteReference"/>
          <w:rFonts w:cstheme="minorHAnsi"/>
          <w:sz w:val="18"/>
          <w:szCs w:val="18"/>
        </w:rPr>
        <w:footnoteRef/>
      </w:r>
      <w:r w:rsidRPr="000F1FD5">
        <w:rPr>
          <w:rFonts w:cstheme="minorHAnsi"/>
          <w:sz w:val="18"/>
          <w:szCs w:val="18"/>
        </w:rPr>
        <w:t xml:space="preserve"> See https://www.justice.gov/ust/page/file/1499276/dl?inline.</w:t>
      </w:r>
    </w:p>
  </w:footnote>
  <w:footnote w:id="63">
    <w:p w14:paraId="7439B507" w14:textId="37709DF8" w:rsidR="000B03C8" w:rsidRPr="000F1FD5" w:rsidRDefault="000B03C8" w:rsidP="000B03C8">
      <w:pPr>
        <w:pStyle w:val="FootnoteText"/>
        <w:rPr>
          <w:rFonts w:cstheme="minorHAnsi"/>
          <w:sz w:val="18"/>
          <w:szCs w:val="18"/>
        </w:rPr>
      </w:pPr>
      <w:r w:rsidRPr="000F1FD5">
        <w:rPr>
          <w:rStyle w:val="FootnoteReference"/>
          <w:rFonts w:cstheme="minorHAnsi"/>
          <w:sz w:val="18"/>
          <w:szCs w:val="18"/>
        </w:rPr>
        <w:footnoteRef/>
      </w:r>
      <w:r w:rsidRPr="000F1FD5">
        <w:rPr>
          <w:rFonts w:cstheme="minorHAnsi"/>
          <w:sz w:val="18"/>
          <w:szCs w:val="18"/>
        </w:rPr>
        <w:t xml:space="preserve"> Harner, </w:t>
      </w:r>
      <w:r w:rsidR="00C52E09" w:rsidRPr="000F1FD5">
        <w:rPr>
          <w:rFonts w:cstheme="minorHAnsi"/>
          <w:sz w:val="18"/>
          <w:szCs w:val="18"/>
        </w:rPr>
        <w:t>Michelle</w:t>
      </w:r>
      <w:r w:rsidR="005F34CE">
        <w:rPr>
          <w:rFonts w:cstheme="minorHAnsi"/>
          <w:sz w:val="18"/>
          <w:szCs w:val="18"/>
        </w:rPr>
        <w:t xml:space="preserve">; </w:t>
      </w:r>
      <w:r w:rsidR="00A17E3A" w:rsidRPr="000F1FD5">
        <w:rPr>
          <w:rFonts w:cstheme="minorHAnsi"/>
          <w:sz w:val="18"/>
          <w:szCs w:val="18"/>
        </w:rPr>
        <w:t xml:space="preserve">Goodwin-Maigetter, Kimberly, </w:t>
      </w:r>
      <w:r w:rsidRPr="000F1FD5">
        <w:rPr>
          <w:rFonts w:cstheme="minorHAnsi"/>
          <w:sz w:val="18"/>
          <w:szCs w:val="18"/>
        </w:rPr>
        <w:t>“Subchapter V Cases by the Numbers”, ABI Journal, 12 October 2021, p. 49.</w:t>
      </w:r>
    </w:p>
  </w:footnote>
  <w:footnote w:id="64">
    <w:p w14:paraId="34FF2175" w14:textId="58C7C1F9" w:rsidR="001A0E22" w:rsidRPr="000F1FD5" w:rsidRDefault="001A0E22">
      <w:pPr>
        <w:pStyle w:val="FootnoteText"/>
        <w:rPr>
          <w:rFonts w:cstheme="minorHAnsi"/>
          <w:sz w:val="18"/>
          <w:szCs w:val="18"/>
        </w:rPr>
      </w:pPr>
      <w:r w:rsidRPr="000F1FD5">
        <w:rPr>
          <w:rStyle w:val="FootnoteReference"/>
          <w:rFonts w:cstheme="minorHAnsi"/>
          <w:sz w:val="18"/>
          <w:szCs w:val="18"/>
        </w:rPr>
        <w:footnoteRef/>
      </w:r>
      <w:r w:rsidRPr="000F1FD5">
        <w:rPr>
          <w:rFonts w:cstheme="minorHAnsi"/>
          <w:sz w:val="18"/>
          <w:szCs w:val="18"/>
        </w:rPr>
        <w:t xml:space="preserve"> See https://io.mlaw.gov.sg/corporate-insolvency/forms/</w:t>
      </w:r>
      <w:r w:rsidR="00C52E09" w:rsidRPr="000F1FD5">
        <w:rPr>
          <w:rFonts w:cstheme="minorHAnsi"/>
          <w:sz w:val="18"/>
          <w:szCs w:val="18"/>
        </w:rPr>
        <w:t>.</w:t>
      </w:r>
    </w:p>
  </w:footnote>
  <w:footnote w:id="65">
    <w:p w14:paraId="5640C6FE" w14:textId="75E7D823" w:rsidR="00004D28" w:rsidRPr="000F1FD5" w:rsidRDefault="00004D28">
      <w:pPr>
        <w:pStyle w:val="FootnoteText"/>
        <w:rPr>
          <w:rFonts w:cstheme="minorHAnsi"/>
          <w:sz w:val="18"/>
          <w:szCs w:val="18"/>
        </w:rPr>
      </w:pPr>
      <w:r w:rsidRPr="000F1FD5">
        <w:rPr>
          <w:rStyle w:val="FootnoteReference"/>
          <w:rFonts w:cstheme="minorHAnsi"/>
          <w:sz w:val="18"/>
          <w:szCs w:val="18"/>
        </w:rPr>
        <w:footnoteRef/>
      </w:r>
      <w:r w:rsidRPr="000F1FD5">
        <w:rPr>
          <w:rFonts w:cstheme="minorHAnsi"/>
          <w:sz w:val="18"/>
          <w:szCs w:val="18"/>
        </w:rPr>
        <w:t xml:space="preserve"> OHADA Act, Article 25: “Insolvency means that the debtor is unable to pay its due claims out of its available assets except in situations where credit reserves or payment deadline extensions consented by creditors enable the debtor to deal with current debts.”</w:t>
      </w:r>
    </w:p>
  </w:footnote>
  <w:footnote w:id="66">
    <w:p w14:paraId="55B28B81" w14:textId="77777777" w:rsidR="005D33B4" w:rsidRPr="000F1FD5" w:rsidRDefault="005D33B4" w:rsidP="005D33B4">
      <w:pPr>
        <w:pStyle w:val="FootnoteText"/>
        <w:rPr>
          <w:rFonts w:cstheme="minorHAnsi"/>
          <w:sz w:val="18"/>
          <w:szCs w:val="18"/>
        </w:rPr>
      </w:pPr>
      <w:r w:rsidRPr="000F1FD5">
        <w:rPr>
          <w:rStyle w:val="FootnoteReference"/>
          <w:rFonts w:cstheme="minorHAnsi"/>
          <w:sz w:val="18"/>
          <w:szCs w:val="18"/>
        </w:rPr>
        <w:footnoteRef/>
      </w:r>
      <w:r w:rsidRPr="000F1FD5">
        <w:rPr>
          <w:rFonts w:cstheme="minorHAnsi"/>
          <w:sz w:val="18"/>
          <w:szCs w:val="18"/>
        </w:rPr>
        <w:t xml:space="preserve"> </w:t>
      </w:r>
      <w:r w:rsidRPr="000F1FD5">
        <w:rPr>
          <w:rFonts w:cstheme="minorHAnsi"/>
          <w:color w:val="333333"/>
          <w:sz w:val="18"/>
          <w:szCs w:val="18"/>
        </w:rPr>
        <w:t>11 U.S.C. </w:t>
      </w:r>
      <w:r w:rsidRPr="000F1FD5">
        <w:rPr>
          <w:rFonts w:cstheme="minorHAnsi"/>
          <w:sz w:val="18"/>
          <w:szCs w:val="18"/>
        </w:rPr>
        <w:t>§</w:t>
      </w:r>
      <w:r w:rsidRPr="000F1FD5">
        <w:rPr>
          <w:rFonts w:cstheme="minorHAnsi"/>
          <w:color w:val="333333"/>
          <w:sz w:val="18"/>
          <w:szCs w:val="18"/>
        </w:rPr>
        <w:t xml:space="preserve"> 308, 1116, 1187</w:t>
      </w:r>
    </w:p>
  </w:footnote>
  <w:footnote w:id="67">
    <w:p w14:paraId="66337012" w14:textId="783F86D1" w:rsidR="004A0A8C" w:rsidRPr="000F1FD5" w:rsidRDefault="004A0A8C">
      <w:pPr>
        <w:pStyle w:val="FootnoteText"/>
        <w:rPr>
          <w:rFonts w:cstheme="minorHAnsi"/>
          <w:sz w:val="18"/>
          <w:szCs w:val="18"/>
        </w:rPr>
      </w:pPr>
      <w:r w:rsidRPr="000F1FD5">
        <w:rPr>
          <w:rStyle w:val="FootnoteReference"/>
          <w:rFonts w:cstheme="minorHAnsi"/>
          <w:sz w:val="18"/>
          <w:szCs w:val="18"/>
        </w:rPr>
        <w:footnoteRef/>
      </w:r>
      <w:r w:rsidRPr="000F1FD5">
        <w:rPr>
          <w:rFonts w:cstheme="minorHAnsi"/>
          <w:sz w:val="18"/>
          <w:szCs w:val="18"/>
        </w:rPr>
        <w:t xml:space="preserve"> OHADA Act, Article </w:t>
      </w:r>
      <w:r w:rsidR="00DF0B14" w:rsidRPr="000F1FD5">
        <w:rPr>
          <w:rFonts w:cstheme="minorHAnsi"/>
          <w:sz w:val="18"/>
          <w:szCs w:val="18"/>
        </w:rPr>
        <w:t>145</w:t>
      </w:r>
    </w:p>
  </w:footnote>
  <w:footnote w:id="68">
    <w:p w14:paraId="57624C87" w14:textId="69FBAB24" w:rsidR="00DF0B14" w:rsidRPr="000F1FD5" w:rsidRDefault="00DF0B14">
      <w:pPr>
        <w:pStyle w:val="FootnoteText"/>
        <w:rPr>
          <w:rFonts w:cstheme="minorHAnsi"/>
          <w:sz w:val="18"/>
          <w:szCs w:val="18"/>
        </w:rPr>
      </w:pPr>
      <w:r w:rsidRPr="000F1FD5">
        <w:rPr>
          <w:rStyle w:val="FootnoteReference"/>
          <w:rFonts w:cstheme="minorHAnsi"/>
          <w:sz w:val="18"/>
          <w:szCs w:val="18"/>
        </w:rPr>
        <w:footnoteRef/>
      </w:r>
      <w:r w:rsidRPr="000F1FD5">
        <w:rPr>
          <w:rFonts w:cstheme="minorHAnsi"/>
          <w:sz w:val="18"/>
          <w:szCs w:val="18"/>
        </w:rPr>
        <w:t xml:space="preserve"> OHADA Act, Article 27</w:t>
      </w:r>
    </w:p>
  </w:footnote>
  <w:footnote w:id="69">
    <w:p w14:paraId="3F1E6F2C" w14:textId="2D6CA91B" w:rsidR="00353A84" w:rsidRPr="000F1FD5" w:rsidRDefault="00353A84">
      <w:pPr>
        <w:pStyle w:val="FootnoteText"/>
        <w:rPr>
          <w:rFonts w:cstheme="minorHAnsi"/>
          <w:sz w:val="18"/>
          <w:szCs w:val="18"/>
        </w:rPr>
      </w:pPr>
      <w:r w:rsidRPr="000F1FD5">
        <w:rPr>
          <w:rStyle w:val="FootnoteReference"/>
          <w:rFonts w:cstheme="minorHAnsi"/>
          <w:sz w:val="18"/>
          <w:szCs w:val="18"/>
        </w:rPr>
        <w:footnoteRef/>
      </w:r>
      <w:r w:rsidRPr="000F1FD5">
        <w:rPr>
          <w:rFonts w:cstheme="minorHAnsi"/>
          <w:sz w:val="18"/>
          <w:szCs w:val="18"/>
        </w:rPr>
        <w:t xml:space="preserve"> OHADA Act, Article 145-6.</w:t>
      </w:r>
    </w:p>
  </w:footnote>
  <w:footnote w:id="70">
    <w:p w14:paraId="66710D69" w14:textId="49E7E9CE" w:rsidR="00E23518" w:rsidRPr="00132582" w:rsidRDefault="00E23518">
      <w:pPr>
        <w:pStyle w:val="FootnoteText"/>
        <w:rPr>
          <w:rFonts w:cstheme="minorHAnsi"/>
          <w:sz w:val="18"/>
          <w:szCs w:val="18"/>
          <w:lang w:val="fr-FR"/>
        </w:rPr>
      </w:pPr>
      <w:r w:rsidRPr="000F1FD5">
        <w:rPr>
          <w:rStyle w:val="FootnoteReference"/>
          <w:rFonts w:cstheme="minorHAnsi"/>
          <w:sz w:val="18"/>
          <w:szCs w:val="18"/>
        </w:rPr>
        <w:footnoteRef/>
      </w:r>
      <w:r w:rsidRPr="00132582">
        <w:rPr>
          <w:rFonts w:cstheme="minorHAnsi"/>
          <w:sz w:val="18"/>
          <w:szCs w:val="18"/>
          <w:lang w:val="fr-FR"/>
        </w:rPr>
        <w:t xml:space="preserve"> </w:t>
      </w:r>
      <w:r w:rsidRPr="00132582">
        <w:rPr>
          <w:rFonts w:cstheme="minorHAnsi"/>
          <w:color w:val="333333"/>
          <w:sz w:val="18"/>
          <w:szCs w:val="18"/>
          <w:lang w:val="fr-FR"/>
        </w:rPr>
        <w:t>11 U</w:t>
      </w:r>
      <w:r w:rsidR="004A3472" w:rsidRPr="00132582">
        <w:rPr>
          <w:rFonts w:cstheme="minorHAnsi"/>
          <w:color w:val="333333"/>
          <w:sz w:val="18"/>
          <w:szCs w:val="18"/>
          <w:lang w:val="fr-FR"/>
        </w:rPr>
        <w:t xml:space="preserve">SC </w:t>
      </w:r>
      <w:r w:rsidR="004A3472" w:rsidRPr="00132582">
        <w:rPr>
          <w:rFonts w:cstheme="minorHAnsi"/>
          <w:sz w:val="18"/>
          <w:szCs w:val="18"/>
          <w:lang w:val="fr-FR"/>
        </w:rPr>
        <w:t xml:space="preserve">§ </w:t>
      </w:r>
      <w:r w:rsidRPr="00132582">
        <w:rPr>
          <w:rFonts w:cstheme="minorHAnsi"/>
          <w:sz w:val="18"/>
          <w:szCs w:val="18"/>
          <w:lang w:val="fr-FR"/>
        </w:rPr>
        <w:t>1189</w:t>
      </w:r>
    </w:p>
  </w:footnote>
  <w:footnote w:id="71">
    <w:p w14:paraId="753DDB93" w14:textId="7EF10AAB" w:rsidR="00665A42" w:rsidRPr="00132582" w:rsidRDefault="00665A42">
      <w:pPr>
        <w:pStyle w:val="FootnoteText"/>
        <w:rPr>
          <w:rFonts w:cstheme="minorHAnsi"/>
          <w:sz w:val="18"/>
          <w:szCs w:val="18"/>
          <w:lang w:val="fr-FR"/>
        </w:rPr>
      </w:pPr>
      <w:r w:rsidRPr="000F1FD5">
        <w:rPr>
          <w:rStyle w:val="FootnoteReference"/>
          <w:rFonts w:cstheme="minorHAnsi"/>
          <w:sz w:val="18"/>
          <w:szCs w:val="18"/>
        </w:rPr>
        <w:footnoteRef/>
      </w:r>
      <w:r w:rsidRPr="00132582">
        <w:rPr>
          <w:rFonts w:cstheme="minorHAnsi"/>
          <w:sz w:val="18"/>
          <w:szCs w:val="18"/>
          <w:lang w:val="fr-FR"/>
        </w:rPr>
        <w:t xml:space="preserve"> </w:t>
      </w:r>
      <w:r w:rsidRPr="00132582">
        <w:rPr>
          <w:rFonts w:cstheme="minorHAnsi"/>
          <w:color w:val="333333"/>
          <w:sz w:val="18"/>
          <w:szCs w:val="18"/>
          <w:lang w:val="fr-FR"/>
        </w:rPr>
        <w:t>11 U</w:t>
      </w:r>
      <w:r w:rsidR="004A3472" w:rsidRPr="00132582">
        <w:rPr>
          <w:rFonts w:cstheme="minorHAnsi"/>
          <w:color w:val="333333"/>
          <w:sz w:val="18"/>
          <w:szCs w:val="18"/>
          <w:lang w:val="fr-FR"/>
        </w:rPr>
        <w:t xml:space="preserve">SC </w:t>
      </w:r>
      <w:r w:rsidR="004A3472" w:rsidRPr="00132582">
        <w:rPr>
          <w:rFonts w:cstheme="minorHAnsi"/>
          <w:sz w:val="18"/>
          <w:szCs w:val="18"/>
          <w:lang w:val="fr-FR"/>
        </w:rPr>
        <w:t>§</w:t>
      </w:r>
      <w:r w:rsidRPr="00132582">
        <w:rPr>
          <w:rFonts w:cstheme="minorHAnsi"/>
          <w:sz w:val="18"/>
          <w:szCs w:val="18"/>
          <w:lang w:val="fr-FR"/>
        </w:rPr>
        <w:t xml:space="preserve"> 1106</w:t>
      </w:r>
      <w:r w:rsidR="007F18E5" w:rsidRPr="00132582">
        <w:rPr>
          <w:rFonts w:cstheme="minorHAnsi"/>
          <w:sz w:val="18"/>
          <w:szCs w:val="18"/>
          <w:lang w:val="fr-FR"/>
        </w:rPr>
        <w:t>(a)(5).</w:t>
      </w:r>
    </w:p>
  </w:footnote>
  <w:footnote w:id="72">
    <w:p w14:paraId="0CB537B6" w14:textId="188AD708" w:rsidR="0001704F" w:rsidRPr="00132582" w:rsidRDefault="0001704F">
      <w:pPr>
        <w:pStyle w:val="FootnoteText"/>
        <w:rPr>
          <w:rFonts w:cstheme="minorHAnsi"/>
          <w:sz w:val="18"/>
          <w:szCs w:val="18"/>
          <w:lang w:val="fr-FR"/>
        </w:rPr>
      </w:pPr>
      <w:r w:rsidRPr="000F1FD5">
        <w:rPr>
          <w:rStyle w:val="FootnoteReference"/>
          <w:rFonts w:cstheme="minorHAnsi"/>
          <w:sz w:val="18"/>
          <w:szCs w:val="18"/>
        </w:rPr>
        <w:footnoteRef/>
      </w:r>
      <w:r w:rsidRPr="00132582">
        <w:rPr>
          <w:rFonts w:cstheme="minorHAnsi"/>
          <w:sz w:val="18"/>
          <w:szCs w:val="18"/>
          <w:lang w:val="fr-FR"/>
        </w:rPr>
        <w:t xml:space="preserve"> SDRA, Article 72Q</w:t>
      </w:r>
    </w:p>
  </w:footnote>
  <w:footnote w:id="73">
    <w:p w14:paraId="7922C5F1" w14:textId="19A31079" w:rsidR="006A6EE1" w:rsidRPr="000F1FD5" w:rsidRDefault="006A6EE1">
      <w:pPr>
        <w:pStyle w:val="FootnoteText"/>
        <w:rPr>
          <w:rFonts w:cstheme="minorHAnsi"/>
          <w:sz w:val="18"/>
          <w:szCs w:val="18"/>
        </w:rPr>
      </w:pPr>
      <w:r w:rsidRPr="000F1FD5">
        <w:rPr>
          <w:rStyle w:val="FootnoteReference"/>
          <w:rFonts w:cstheme="minorHAnsi"/>
          <w:sz w:val="18"/>
          <w:szCs w:val="18"/>
        </w:rPr>
        <w:footnoteRef/>
      </w:r>
      <w:r w:rsidRPr="000F1FD5">
        <w:rPr>
          <w:rFonts w:cstheme="minorHAnsi"/>
          <w:sz w:val="18"/>
          <w:szCs w:val="18"/>
        </w:rPr>
        <w:t xml:space="preserve"> OHADA Act, Article 52</w:t>
      </w:r>
      <w:r w:rsidR="00B67949" w:rsidRPr="000F1FD5">
        <w:rPr>
          <w:rFonts w:cstheme="minorHAnsi"/>
          <w:sz w:val="18"/>
          <w:szCs w:val="18"/>
        </w:rPr>
        <w:t xml:space="preserve">  &amp; 112.</w:t>
      </w:r>
    </w:p>
  </w:footnote>
  <w:footnote w:id="74">
    <w:p w14:paraId="2EAA07CE" w14:textId="11910773" w:rsidR="00492087" w:rsidRPr="000F1FD5" w:rsidRDefault="00492087">
      <w:pPr>
        <w:pStyle w:val="FootnoteText"/>
        <w:rPr>
          <w:rFonts w:cstheme="minorHAnsi"/>
          <w:sz w:val="18"/>
          <w:szCs w:val="18"/>
        </w:rPr>
      </w:pPr>
      <w:r w:rsidRPr="000F1FD5">
        <w:rPr>
          <w:rStyle w:val="FootnoteReference"/>
          <w:rFonts w:cstheme="minorHAnsi"/>
          <w:sz w:val="18"/>
          <w:szCs w:val="18"/>
        </w:rPr>
        <w:footnoteRef/>
      </w:r>
      <w:r w:rsidRPr="000F1FD5">
        <w:rPr>
          <w:rFonts w:cstheme="minorHAnsi"/>
          <w:sz w:val="18"/>
          <w:szCs w:val="18"/>
        </w:rPr>
        <w:t xml:space="preserve"> OHADA Act, Article 54.</w:t>
      </w:r>
    </w:p>
  </w:footnote>
  <w:footnote w:id="75">
    <w:p w14:paraId="1CFE1771" w14:textId="39B653BB" w:rsidR="00FE29C9" w:rsidRPr="000F1FD5" w:rsidRDefault="00FE29C9">
      <w:pPr>
        <w:pStyle w:val="FootnoteText"/>
        <w:rPr>
          <w:rFonts w:cstheme="minorHAnsi"/>
          <w:sz w:val="18"/>
          <w:szCs w:val="18"/>
        </w:rPr>
      </w:pPr>
      <w:r w:rsidRPr="000F1FD5">
        <w:rPr>
          <w:rStyle w:val="FootnoteReference"/>
          <w:rFonts w:cstheme="minorHAnsi"/>
          <w:sz w:val="18"/>
          <w:szCs w:val="18"/>
        </w:rPr>
        <w:footnoteRef/>
      </w:r>
      <w:r w:rsidRPr="000F1FD5">
        <w:rPr>
          <w:rFonts w:cstheme="minorHAnsi"/>
          <w:sz w:val="18"/>
          <w:szCs w:val="18"/>
        </w:rPr>
        <w:t xml:space="preserve"> OHADA Act, Article 63.</w:t>
      </w:r>
    </w:p>
  </w:footnote>
  <w:footnote w:id="76">
    <w:p w14:paraId="2AA29EDD" w14:textId="50C57285" w:rsidR="00351257" w:rsidRPr="000F1FD5" w:rsidRDefault="00351257">
      <w:pPr>
        <w:pStyle w:val="FootnoteText"/>
        <w:rPr>
          <w:rFonts w:cstheme="minorHAnsi"/>
          <w:sz w:val="18"/>
          <w:szCs w:val="18"/>
        </w:rPr>
      </w:pPr>
      <w:r w:rsidRPr="000F1FD5">
        <w:rPr>
          <w:rStyle w:val="FootnoteReference"/>
          <w:rFonts w:cstheme="minorHAnsi"/>
          <w:sz w:val="18"/>
          <w:szCs w:val="18"/>
        </w:rPr>
        <w:footnoteRef/>
      </w:r>
      <w:r w:rsidRPr="000F1FD5">
        <w:rPr>
          <w:rFonts w:cstheme="minorHAnsi"/>
          <w:sz w:val="18"/>
          <w:szCs w:val="18"/>
        </w:rPr>
        <w:t xml:space="preserve"> </w:t>
      </w:r>
      <w:r w:rsidR="00402CFB" w:rsidRPr="000F1FD5">
        <w:rPr>
          <w:rFonts w:cstheme="minorHAnsi"/>
          <w:sz w:val="18"/>
          <w:szCs w:val="18"/>
        </w:rPr>
        <w:t>OHADA Act, Article 112.</w:t>
      </w:r>
    </w:p>
  </w:footnote>
  <w:footnote w:id="77">
    <w:p w14:paraId="3DCB5447" w14:textId="77777777" w:rsidR="00236E14" w:rsidRPr="00132582" w:rsidRDefault="00236E14" w:rsidP="00236E14">
      <w:pPr>
        <w:pStyle w:val="FootnoteText"/>
        <w:rPr>
          <w:rFonts w:cstheme="minorHAnsi"/>
          <w:sz w:val="18"/>
          <w:szCs w:val="18"/>
          <w:lang w:val="fr-FR"/>
        </w:rPr>
      </w:pPr>
      <w:r w:rsidRPr="000F1FD5">
        <w:rPr>
          <w:rStyle w:val="FootnoteReference"/>
          <w:rFonts w:cstheme="minorHAnsi"/>
          <w:sz w:val="18"/>
          <w:szCs w:val="18"/>
        </w:rPr>
        <w:footnoteRef/>
      </w:r>
      <w:r w:rsidRPr="00132582">
        <w:rPr>
          <w:rFonts w:cstheme="minorHAnsi"/>
          <w:sz w:val="18"/>
          <w:szCs w:val="18"/>
          <w:lang w:val="fr-FR"/>
        </w:rPr>
        <w:t xml:space="preserve"> SDRA, Article 72L.</w:t>
      </w:r>
    </w:p>
  </w:footnote>
  <w:footnote w:id="78">
    <w:p w14:paraId="58DA98A3" w14:textId="2AEC1371" w:rsidR="003009B3" w:rsidRPr="00132582" w:rsidRDefault="003009B3" w:rsidP="003009B3">
      <w:pPr>
        <w:pStyle w:val="FootnoteText"/>
        <w:rPr>
          <w:rFonts w:cstheme="minorHAnsi"/>
          <w:sz w:val="18"/>
          <w:szCs w:val="18"/>
          <w:lang w:val="fr-FR"/>
        </w:rPr>
      </w:pPr>
      <w:r w:rsidRPr="000F1FD5">
        <w:rPr>
          <w:rStyle w:val="FootnoteReference"/>
          <w:rFonts w:cstheme="minorHAnsi"/>
          <w:sz w:val="18"/>
          <w:szCs w:val="18"/>
        </w:rPr>
        <w:footnoteRef/>
      </w:r>
      <w:r w:rsidRPr="00132582">
        <w:rPr>
          <w:rFonts w:cstheme="minorHAnsi"/>
          <w:sz w:val="18"/>
          <w:szCs w:val="18"/>
          <w:lang w:val="fr-FR"/>
        </w:rPr>
        <w:t xml:space="preserve"> 11 </w:t>
      </w:r>
      <w:r w:rsidR="004A3472" w:rsidRPr="00132582">
        <w:rPr>
          <w:rFonts w:cstheme="minorHAnsi"/>
          <w:sz w:val="18"/>
          <w:szCs w:val="18"/>
          <w:lang w:val="fr-FR"/>
        </w:rPr>
        <w:t>USC §</w:t>
      </w:r>
      <w:r w:rsidRPr="00132582">
        <w:rPr>
          <w:rFonts w:cstheme="minorHAnsi"/>
          <w:sz w:val="18"/>
          <w:szCs w:val="18"/>
          <w:lang w:val="fr-FR"/>
        </w:rPr>
        <w:t xml:space="preserve"> 1184.</w:t>
      </w:r>
    </w:p>
  </w:footnote>
  <w:footnote w:id="79">
    <w:p w14:paraId="551E8E57" w14:textId="0E4674E3" w:rsidR="003009B3" w:rsidRPr="00132582" w:rsidRDefault="003009B3" w:rsidP="003009B3">
      <w:pPr>
        <w:pStyle w:val="FootnoteText"/>
        <w:rPr>
          <w:rFonts w:cstheme="minorHAnsi"/>
          <w:sz w:val="18"/>
          <w:szCs w:val="18"/>
          <w:lang w:val="fr-FR"/>
        </w:rPr>
      </w:pPr>
      <w:r w:rsidRPr="000F1FD5">
        <w:rPr>
          <w:rStyle w:val="FootnoteReference"/>
          <w:rFonts w:cstheme="minorHAnsi"/>
          <w:sz w:val="18"/>
          <w:szCs w:val="18"/>
        </w:rPr>
        <w:footnoteRef/>
      </w:r>
      <w:r w:rsidRPr="00132582">
        <w:rPr>
          <w:rFonts w:cstheme="minorHAnsi"/>
          <w:sz w:val="18"/>
          <w:szCs w:val="18"/>
          <w:lang w:val="fr-FR"/>
        </w:rPr>
        <w:t xml:space="preserve"> 11 </w:t>
      </w:r>
      <w:r w:rsidR="004A3472" w:rsidRPr="00132582">
        <w:rPr>
          <w:rFonts w:cstheme="minorHAnsi"/>
          <w:sz w:val="18"/>
          <w:szCs w:val="18"/>
          <w:lang w:val="fr-FR"/>
        </w:rPr>
        <w:t>USC §</w:t>
      </w:r>
      <w:r w:rsidRPr="00132582">
        <w:rPr>
          <w:rFonts w:cstheme="minorHAnsi"/>
          <w:sz w:val="18"/>
          <w:szCs w:val="18"/>
          <w:lang w:val="fr-FR"/>
        </w:rPr>
        <w:t xml:space="preserve"> 1183.</w:t>
      </w:r>
    </w:p>
  </w:footnote>
  <w:footnote w:id="80">
    <w:p w14:paraId="62A23DF3" w14:textId="2F792432" w:rsidR="002E7645" w:rsidRPr="000F1FD5" w:rsidRDefault="002E7645">
      <w:pPr>
        <w:pStyle w:val="FootnoteText"/>
        <w:rPr>
          <w:rFonts w:cstheme="minorHAnsi"/>
          <w:sz w:val="18"/>
          <w:szCs w:val="18"/>
        </w:rPr>
      </w:pPr>
      <w:r w:rsidRPr="000F1FD5">
        <w:rPr>
          <w:rStyle w:val="FootnoteReference"/>
          <w:rFonts w:cstheme="minorHAnsi"/>
          <w:sz w:val="18"/>
          <w:szCs w:val="18"/>
        </w:rPr>
        <w:footnoteRef/>
      </w:r>
      <w:r w:rsidRPr="000F1FD5">
        <w:rPr>
          <w:rFonts w:cstheme="minorHAnsi"/>
          <w:sz w:val="18"/>
          <w:szCs w:val="18"/>
        </w:rPr>
        <w:t xml:space="preserve"> OHADA Act, Article </w:t>
      </w:r>
      <w:r w:rsidR="000D76E8" w:rsidRPr="000F1FD5">
        <w:rPr>
          <w:rFonts w:cstheme="minorHAnsi"/>
          <w:sz w:val="18"/>
          <w:szCs w:val="18"/>
        </w:rPr>
        <w:t>145-8.</w:t>
      </w:r>
    </w:p>
  </w:footnote>
  <w:footnote w:id="81">
    <w:p w14:paraId="31FAFDB6" w14:textId="7A9CADF0" w:rsidR="00261CE3" w:rsidRPr="000F1FD5" w:rsidRDefault="00261CE3">
      <w:pPr>
        <w:pStyle w:val="FootnoteText"/>
        <w:rPr>
          <w:rFonts w:cstheme="minorHAnsi"/>
          <w:sz w:val="18"/>
          <w:szCs w:val="18"/>
        </w:rPr>
      </w:pPr>
      <w:r w:rsidRPr="000F1FD5">
        <w:rPr>
          <w:rStyle w:val="FootnoteReference"/>
          <w:rFonts w:cstheme="minorHAnsi"/>
          <w:sz w:val="18"/>
          <w:szCs w:val="18"/>
        </w:rPr>
        <w:footnoteRef/>
      </w:r>
      <w:r w:rsidRPr="000F1FD5">
        <w:rPr>
          <w:rFonts w:cstheme="minorHAnsi"/>
          <w:sz w:val="18"/>
          <w:szCs w:val="18"/>
        </w:rPr>
        <w:t xml:space="preserve"> OHADA Act, Article 145-9.</w:t>
      </w:r>
    </w:p>
  </w:footnote>
  <w:footnote w:id="82">
    <w:p w14:paraId="67714FDF" w14:textId="5C02E317" w:rsidR="006E78FC" w:rsidRPr="000F1FD5" w:rsidRDefault="006E78FC">
      <w:pPr>
        <w:pStyle w:val="FootnoteText"/>
        <w:rPr>
          <w:rFonts w:cstheme="minorHAnsi"/>
          <w:sz w:val="18"/>
          <w:szCs w:val="18"/>
        </w:rPr>
      </w:pPr>
      <w:r w:rsidRPr="000F1FD5">
        <w:rPr>
          <w:rStyle w:val="FootnoteReference"/>
          <w:rFonts w:cstheme="minorHAnsi"/>
          <w:sz w:val="18"/>
          <w:szCs w:val="18"/>
        </w:rPr>
        <w:footnoteRef/>
      </w:r>
      <w:r w:rsidRPr="000F1FD5">
        <w:rPr>
          <w:rFonts w:cstheme="minorHAnsi"/>
          <w:sz w:val="18"/>
          <w:szCs w:val="18"/>
        </w:rPr>
        <w:t xml:space="preserve"> OHADA Act, Article 78.</w:t>
      </w:r>
    </w:p>
  </w:footnote>
  <w:footnote w:id="83">
    <w:p w14:paraId="48CFAEA5" w14:textId="719D8E6A" w:rsidR="000A442D" w:rsidRPr="000F1FD5" w:rsidRDefault="000A442D">
      <w:pPr>
        <w:pStyle w:val="FootnoteText"/>
        <w:rPr>
          <w:rFonts w:cstheme="minorHAnsi"/>
          <w:sz w:val="18"/>
          <w:szCs w:val="18"/>
        </w:rPr>
      </w:pPr>
      <w:r w:rsidRPr="000F1FD5">
        <w:rPr>
          <w:rStyle w:val="FootnoteReference"/>
          <w:rFonts w:cstheme="minorHAnsi"/>
          <w:sz w:val="18"/>
          <w:szCs w:val="18"/>
        </w:rPr>
        <w:footnoteRef/>
      </w:r>
      <w:r w:rsidRPr="000F1FD5">
        <w:rPr>
          <w:rFonts w:cstheme="minorHAnsi"/>
          <w:sz w:val="18"/>
          <w:szCs w:val="18"/>
        </w:rPr>
        <w:t xml:space="preserve"> Singapore Act, 72M.</w:t>
      </w:r>
    </w:p>
  </w:footnote>
  <w:footnote w:id="84">
    <w:p w14:paraId="5FABA39F" w14:textId="3C5FCF91" w:rsidR="00584D60" w:rsidRPr="000F1FD5" w:rsidRDefault="00584D60">
      <w:pPr>
        <w:pStyle w:val="FootnoteText"/>
        <w:rPr>
          <w:rFonts w:cstheme="minorHAnsi"/>
          <w:sz w:val="18"/>
          <w:szCs w:val="18"/>
        </w:rPr>
      </w:pPr>
      <w:r w:rsidRPr="000F1FD5">
        <w:rPr>
          <w:rStyle w:val="FootnoteReference"/>
          <w:rFonts w:cstheme="minorHAnsi"/>
          <w:sz w:val="18"/>
          <w:szCs w:val="18"/>
        </w:rPr>
        <w:footnoteRef/>
      </w:r>
      <w:r w:rsidRPr="000F1FD5">
        <w:rPr>
          <w:rFonts w:cstheme="minorHAnsi"/>
          <w:sz w:val="18"/>
          <w:szCs w:val="18"/>
        </w:rPr>
        <w:t xml:space="preserve"> Singapore Act, 72M (3)(d)</w:t>
      </w:r>
    </w:p>
  </w:footnote>
  <w:footnote w:id="85">
    <w:p w14:paraId="6A0958B0" w14:textId="2AF82BC2" w:rsidR="001363A3" w:rsidRPr="000F1FD5" w:rsidRDefault="001363A3">
      <w:pPr>
        <w:pStyle w:val="FootnoteText"/>
        <w:rPr>
          <w:rFonts w:cstheme="minorHAnsi"/>
          <w:sz w:val="18"/>
          <w:szCs w:val="18"/>
        </w:rPr>
      </w:pPr>
      <w:r w:rsidRPr="000F1FD5">
        <w:rPr>
          <w:rStyle w:val="FootnoteReference"/>
          <w:rFonts w:cstheme="minorHAnsi"/>
          <w:sz w:val="18"/>
          <w:szCs w:val="18"/>
        </w:rPr>
        <w:footnoteRef/>
      </w:r>
      <w:r w:rsidRPr="000F1FD5">
        <w:rPr>
          <w:rFonts w:cstheme="minorHAnsi"/>
          <w:sz w:val="18"/>
          <w:szCs w:val="18"/>
        </w:rPr>
        <w:t xml:space="preserve"> Singapore Act, 72E (2)(a)(ii)</w:t>
      </w:r>
    </w:p>
  </w:footnote>
  <w:footnote w:id="86">
    <w:p w14:paraId="1ADA1711" w14:textId="6C8A4EE2" w:rsidR="00D86A9A" w:rsidRPr="000F1FD5" w:rsidRDefault="00D86A9A" w:rsidP="00D86A9A">
      <w:pPr>
        <w:pStyle w:val="FootnoteText"/>
        <w:rPr>
          <w:rFonts w:cstheme="minorHAnsi"/>
          <w:sz w:val="18"/>
          <w:szCs w:val="18"/>
        </w:rPr>
      </w:pPr>
      <w:r w:rsidRPr="000F1FD5">
        <w:rPr>
          <w:rStyle w:val="FootnoteReference"/>
          <w:rFonts w:cstheme="minorHAnsi"/>
          <w:sz w:val="18"/>
          <w:szCs w:val="18"/>
        </w:rPr>
        <w:footnoteRef/>
      </w:r>
      <w:r w:rsidRPr="000F1FD5">
        <w:rPr>
          <w:rFonts w:cstheme="minorHAnsi"/>
          <w:sz w:val="18"/>
          <w:szCs w:val="18"/>
        </w:rPr>
        <w:t xml:space="preserve"> With respect to each class of claims or interests that is impaired and has not accepted the plan. The test for “fair and equitable” includes a requirement that the plan includes </w:t>
      </w:r>
      <w:r w:rsidR="005F326D" w:rsidRPr="000F1FD5">
        <w:rPr>
          <w:rFonts w:cstheme="minorHAnsi"/>
          <w:sz w:val="18"/>
          <w:szCs w:val="18"/>
        </w:rPr>
        <w:t>all</w:t>
      </w:r>
      <w:r w:rsidRPr="000F1FD5">
        <w:rPr>
          <w:rFonts w:cstheme="minorHAnsi"/>
          <w:sz w:val="18"/>
          <w:szCs w:val="18"/>
        </w:rPr>
        <w:t xml:space="preserve"> the debtor’s disposable income for a </w:t>
      </w:r>
      <w:r w:rsidR="004E382A" w:rsidRPr="000F1FD5">
        <w:rPr>
          <w:rFonts w:cstheme="minorHAnsi"/>
          <w:sz w:val="18"/>
          <w:szCs w:val="18"/>
        </w:rPr>
        <w:t>3–5-year</w:t>
      </w:r>
      <w:r w:rsidRPr="000F1FD5">
        <w:rPr>
          <w:rFonts w:cstheme="minorHAnsi"/>
          <w:sz w:val="18"/>
          <w:szCs w:val="18"/>
        </w:rPr>
        <w:t xml:space="preserve"> period.</w:t>
      </w:r>
    </w:p>
  </w:footnote>
  <w:footnote w:id="87">
    <w:p w14:paraId="3BB3951B" w14:textId="35EE9561" w:rsidR="00D86A9A" w:rsidRPr="000F1FD5" w:rsidRDefault="00D86A9A" w:rsidP="00D86A9A">
      <w:pPr>
        <w:pStyle w:val="FootnoteText"/>
        <w:rPr>
          <w:rFonts w:cstheme="minorHAnsi"/>
          <w:sz w:val="18"/>
          <w:szCs w:val="18"/>
        </w:rPr>
      </w:pPr>
      <w:r w:rsidRPr="000F1FD5">
        <w:rPr>
          <w:rStyle w:val="FootnoteReference"/>
          <w:rFonts w:cstheme="minorHAnsi"/>
          <w:sz w:val="18"/>
          <w:szCs w:val="18"/>
        </w:rPr>
        <w:footnoteRef/>
      </w:r>
      <w:r w:rsidRPr="000F1FD5">
        <w:rPr>
          <w:rFonts w:cstheme="minorHAnsi"/>
          <w:sz w:val="18"/>
          <w:szCs w:val="18"/>
        </w:rPr>
        <w:t xml:space="preserve"> 11 </w:t>
      </w:r>
      <w:r w:rsidR="004A3472" w:rsidRPr="000F1FD5">
        <w:rPr>
          <w:rFonts w:cstheme="minorHAnsi"/>
          <w:sz w:val="18"/>
          <w:szCs w:val="18"/>
        </w:rPr>
        <w:t>USC §</w:t>
      </w:r>
      <w:r w:rsidRPr="000F1FD5">
        <w:rPr>
          <w:rFonts w:cstheme="minorHAnsi"/>
          <w:sz w:val="18"/>
          <w:szCs w:val="18"/>
        </w:rPr>
        <w:t xml:space="preserve"> 1191(b).</w:t>
      </w:r>
    </w:p>
  </w:footnote>
  <w:footnote w:id="88">
    <w:p w14:paraId="736C13E8" w14:textId="4C600E2A" w:rsidR="00D86A9A" w:rsidRPr="000F1FD5" w:rsidRDefault="00D86A9A" w:rsidP="00D86A9A">
      <w:pPr>
        <w:pStyle w:val="FootnoteText"/>
        <w:rPr>
          <w:rFonts w:cstheme="minorHAnsi"/>
          <w:sz w:val="18"/>
          <w:szCs w:val="18"/>
        </w:rPr>
      </w:pPr>
      <w:r w:rsidRPr="000F1FD5">
        <w:rPr>
          <w:rStyle w:val="FootnoteReference"/>
          <w:rFonts w:cstheme="minorHAnsi"/>
          <w:sz w:val="18"/>
          <w:szCs w:val="18"/>
        </w:rPr>
        <w:footnoteRef/>
      </w:r>
      <w:r w:rsidRPr="000F1FD5">
        <w:rPr>
          <w:rFonts w:cstheme="minorHAnsi"/>
          <w:sz w:val="18"/>
          <w:szCs w:val="18"/>
        </w:rPr>
        <w:t xml:space="preserve"> 11 </w:t>
      </w:r>
      <w:r w:rsidR="004A3472" w:rsidRPr="000F1FD5">
        <w:rPr>
          <w:rFonts w:cstheme="minorHAnsi"/>
          <w:sz w:val="18"/>
          <w:szCs w:val="18"/>
        </w:rPr>
        <w:t xml:space="preserve">USC § </w:t>
      </w:r>
      <w:r w:rsidRPr="000F1FD5">
        <w:rPr>
          <w:rFonts w:cstheme="minorHAnsi"/>
          <w:sz w:val="18"/>
          <w:szCs w:val="18"/>
        </w:rPr>
        <w:t>1129(a).</w:t>
      </w:r>
    </w:p>
  </w:footnote>
  <w:footnote w:id="89">
    <w:p w14:paraId="1444A917" w14:textId="7AF961A4" w:rsidR="00D86A9A" w:rsidRPr="000F1FD5" w:rsidRDefault="00D86A9A" w:rsidP="00D86A9A">
      <w:pPr>
        <w:pStyle w:val="FootnoteText"/>
        <w:rPr>
          <w:rFonts w:cstheme="minorHAnsi"/>
          <w:sz w:val="18"/>
          <w:szCs w:val="18"/>
        </w:rPr>
      </w:pPr>
      <w:r w:rsidRPr="000F1FD5">
        <w:rPr>
          <w:rStyle w:val="FootnoteReference"/>
          <w:rFonts w:cstheme="minorHAnsi"/>
          <w:sz w:val="18"/>
          <w:szCs w:val="18"/>
        </w:rPr>
        <w:footnoteRef/>
      </w:r>
      <w:r w:rsidRPr="000F1FD5">
        <w:rPr>
          <w:rFonts w:cstheme="minorHAnsi"/>
          <w:sz w:val="18"/>
          <w:szCs w:val="18"/>
        </w:rPr>
        <w:t xml:space="preserve"> 11 </w:t>
      </w:r>
      <w:r w:rsidR="004A3472" w:rsidRPr="000F1FD5">
        <w:rPr>
          <w:rFonts w:cstheme="minorHAnsi"/>
          <w:sz w:val="18"/>
          <w:szCs w:val="18"/>
        </w:rPr>
        <w:t xml:space="preserve">USC § </w:t>
      </w:r>
      <w:r w:rsidRPr="000F1FD5">
        <w:rPr>
          <w:rFonts w:cstheme="minorHAnsi"/>
          <w:sz w:val="18"/>
          <w:szCs w:val="18"/>
        </w:rPr>
        <w:t>502(a).</w:t>
      </w:r>
    </w:p>
  </w:footnote>
  <w:footnote w:id="90">
    <w:p w14:paraId="291789EF" w14:textId="1D1178CA" w:rsidR="00D86A9A" w:rsidRPr="000F1FD5" w:rsidRDefault="00D86A9A" w:rsidP="00D86A9A">
      <w:pPr>
        <w:pStyle w:val="FootnoteText"/>
        <w:rPr>
          <w:rFonts w:cstheme="minorHAnsi"/>
          <w:sz w:val="18"/>
          <w:szCs w:val="18"/>
        </w:rPr>
      </w:pPr>
      <w:r w:rsidRPr="000F1FD5">
        <w:rPr>
          <w:rStyle w:val="FootnoteReference"/>
          <w:rFonts w:cstheme="minorHAnsi"/>
          <w:sz w:val="18"/>
          <w:szCs w:val="18"/>
        </w:rPr>
        <w:footnoteRef/>
      </w:r>
      <w:r w:rsidRPr="000F1FD5">
        <w:rPr>
          <w:rFonts w:cstheme="minorHAnsi"/>
          <w:sz w:val="18"/>
          <w:szCs w:val="18"/>
        </w:rPr>
        <w:t xml:space="preserve"> 11 </w:t>
      </w:r>
      <w:r w:rsidR="004A3472" w:rsidRPr="000F1FD5">
        <w:rPr>
          <w:rFonts w:cstheme="minorHAnsi"/>
          <w:sz w:val="18"/>
          <w:szCs w:val="18"/>
        </w:rPr>
        <w:t xml:space="preserve">USC § </w:t>
      </w:r>
      <w:r w:rsidRPr="000F1FD5">
        <w:rPr>
          <w:rFonts w:cstheme="minorHAnsi"/>
          <w:sz w:val="18"/>
          <w:szCs w:val="18"/>
        </w:rPr>
        <w:t>1183.</w:t>
      </w:r>
    </w:p>
  </w:footnote>
  <w:footnote w:id="91">
    <w:p w14:paraId="0713609B" w14:textId="77777777" w:rsidR="00D86A9A" w:rsidRPr="000F1FD5" w:rsidRDefault="00D86A9A" w:rsidP="00D86A9A">
      <w:pPr>
        <w:pStyle w:val="FootnoteText"/>
        <w:rPr>
          <w:rFonts w:cstheme="minorHAnsi"/>
          <w:sz w:val="18"/>
          <w:szCs w:val="18"/>
        </w:rPr>
      </w:pPr>
      <w:r w:rsidRPr="000F1FD5">
        <w:rPr>
          <w:rStyle w:val="FootnoteReference"/>
          <w:rFonts w:cstheme="minorHAnsi"/>
          <w:sz w:val="18"/>
          <w:szCs w:val="18"/>
        </w:rPr>
        <w:footnoteRef/>
      </w:r>
      <w:r w:rsidRPr="000F1FD5">
        <w:rPr>
          <w:rFonts w:cstheme="minorHAnsi"/>
          <w:sz w:val="18"/>
          <w:szCs w:val="18"/>
        </w:rPr>
        <w:t xml:space="preserve"> US Trustee’s Handbook, p. 3-15.</w:t>
      </w:r>
    </w:p>
  </w:footnote>
  <w:footnote w:id="92">
    <w:p w14:paraId="43C4A82B" w14:textId="42BA0F30" w:rsidR="00464864" w:rsidRPr="000F1FD5" w:rsidRDefault="00464864">
      <w:pPr>
        <w:pStyle w:val="FootnoteText"/>
        <w:rPr>
          <w:rFonts w:cstheme="minorHAnsi"/>
          <w:sz w:val="18"/>
          <w:szCs w:val="18"/>
        </w:rPr>
      </w:pPr>
      <w:r w:rsidRPr="000F1FD5">
        <w:rPr>
          <w:rStyle w:val="FootnoteReference"/>
          <w:rFonts w:cstheme="minorHAnsi"/>
          <w:sz w:val="18"/>
          <w:szCs w:val="18"/>
        </w:rPr>
        <w:footnoteRef/>
      </w:r>
      <w:r w:rsidRPr="000F1FD5">
        <w:rPr>
          <w:rFonts w:cstheme="minorHAnsi"/>
          <w:sz w:val="18"/>
          <w:szCs w:val="18"/>
        </w:rPr>
        <w:t xml:space="preserve"> OHADA Act, Article 145-7.</w:t>
      </w:r>
    </w:p>
  </w:footnote>
  <w:footnote w:id="93">
    <w:p w14:paraId="65831531" w14:textId="72C2B4EA" w:rsidR="008E5445" w:rsidRPr="00132582" w:rsidRDefault="008E5445">
      <w:pPr>
        <w:pStyle w:val="FootnoteText"/>
        <w:rPr>
          <w:rFonts w:cstheme="minorHAnsi"/>
          <w:sz w:val="18"/>
          <w:szCs w:val="18"/>
        </w:rPr>
      </w:pPr>
      <w:r w:rsidRPr="000F1FD5">
        <w:rPr>
          <w:rStyle w:val="FootnoteReference"/>
          <w:rFonts w:cstheme="minorHAnsi"/>
          <w:sz w:val="18"/>
          <w:szCs w:val="18"/>
        </w:rPr>
        <w:footnoteRef/>
      </w:r>
      <w:r w:rsidRPr="00132582">
        <w:rPr>
          <w:rFonts w:cstheme="minorHAnsi"/>
          <w:sz w:val="18"/>
          <w:szCs w:val="18"/>
        </w:rPr>
        <w:t xml:space="preserve"> 11 </w:t>
      </w:r>
      <w:r w:rsidR="004A3472" w:rsidRPr="00132582">
        <w:rPr>
          <w:rFonts w:cstheme="minorHAnsi"/>
          <w:sz w:val="18"/>
          <w:szCs w:val="18"/>
        </w:rPr>
        <w:t>USC §</w:t>
      </w:r>
      <w:r w:rsidRPr="00132582">
        <w:rPr>
          <w:rFonts w:cstheme="minorHAnsi"/>
          <w:sz w:val="18"/>
          <w:szCs w:val="18"/>
        </w:rPr>
        <w:t xml:space="preserve"> </w:t>
      </w:r>
      <w:r w:rsidR="00F667EE" w:rsidRPr="00132582">
        <w:rPr>
          <w:rFonts w:cstheme="minorHAnsi"/>
          <w:sz w:val="18"/>
          <w:szCs w:val="18"/>
        </w:rPr>
        <w:t>1112.</w:t>
      </w:r>
    </w:p>
  </w:footnote>
  <w:footnote w:id="94">
    <w:p w14:paraId="378A9170" w14:textId="6917E4B2" w:rsidR="00711E40" w:rsidRPr="000F1FD5" w:rsidRDefault="00711E40">
      <w:pPr>
        <w:pStyle w:val="FootnoteText"/>
        <w:rPr>
          <w:rFonts w:cstheme="minorHAnsi"/>
          <w:sz w:val="18"/>
          <w:szCs w:val="18"/>
        </w:rPr>
      </w:pPr>
      <w:r w:rsidRPr="000F1FD5">
        <w:rPr>
          <w:rStyle w:val="FootnoteReference"/>
          <w:rFonts w:cstheme="minorHAnsi"/>
          <w:sz w:val="18"/>
          <w:szCs w:val="18"/>
        </w:rPr>
        <w:footnoteRef/>
      </w:r>
      <w:r w:rsidRPr="000F1FD5">
        <w:rPr>
          <w:rFonts w:cstheme="minorHAnsi"/>
          <w:sz w:val="18"/>
          <w:szCs w:val="18"/>
        </w:rPr>
        <w:t xml:space="preserve"> Gennaioli</w:t>
      </w:r>
      <w:r w:rsidR="00D30F26" w:rsidRPr="000F1FD5">
        <w:rPr>
          <w:rFonts w:cstheme="minorHAnsi"/>
          <w:sz w:val="18"/>
          <w:szCs w:val="18"/>
        </w:rPr>
        <w:t>, Nicola</w:t>
      </w:r>
      <w:r w:rsidRPr="000F1FD5">
        <w:rPr>
          <w:rFonts w:cstheme="minorHAnsi"/>
          <w:sz w:val="18"/>
          <w:szCs w:val="18"/>
        </w:rPr>
        <w:t xml:space="preserve"> &amp; Rossi, </w:t>
      </w:r>
      <w:r w:rsidR="00D30F26" w:rsidRPr="000F1FD5">
        <w:rPr>
          <w:rFonts w:cstheme="minorHAnsi"/>
          <w:sz w:val="18"/>
          <w:szCs w:val="18"/>
        </w:rPr>
        <w:t>Stefano</w:t>
      </w:r>
      <w:r w:rsidR="001C38F3" w:rsidRPr="000F1FD5">
        <w:rPr>
          <w:rFonts w:cstheme="minorHAnsi"/>
          <w:sz w:val="18"/>
          <w:szCs w:val="18"/>
        </w:rPr>
        <w:t>,</w:t>
      </w:r>
      <w:r w:rsidRPr="000F1FD5">
        <w:rPr>
          <w:rFonts w:cstheme="minorHAnsi"/>
          <w:sz w:val="18"/>
          <w:szCs w:val="18"/>
        </w:rPr>
        <w:t xml:space="preserve"> "Judicial Discretion in Corporate Bankruptcy," </w:t>
      </w:r>
      <w:r w:rsidR="00171ACF" w:rsidRPr="000F1FD5">
        <w:rPr>
          <w:rFonts w:cstheme="minorHAnsi"/>
          <w:sz w:val="18"/>
          <w:szCs w:val="18"/>
        </w:rPr>
        <w:t xml:space="preserve">23 </w:t>
      </w:r>
      <w:r w:rsidRPr="000F1FD5">
        <w:rPr>
          <w:rFonts w:cstheme="minorHAnsi"/>
          <w:sz w:val="18"/>
          <w:szCs w:val="18"/>
        </w:rPr>
        <w:t>Review of Financial Studies, Society for Financial Studies</w:t>
      </w:r>
      <w:r w:rsidR="001C38F3" w:rsidRPr="000F1FD5">
        <w:rPr>
          <w:rFonts w:cstheme="minorHAnsi"/>
          <w:sz w:val="18"/>
          <w:szCs w:val="18"/>
        </w:rPr>
        <w:t xml:space="preserve"> 2010</w:t>
      </w:r>
      <w:r w:rsidRPr="000F1FD5">
        <w:rPr>
          <w:rFonts w:cstheme="minorHAnsi"/>
          <w:sz w:val="18"/>
          <w:szCs w:val="18"/>
        </w:rPr>
        <w:t>, p</w:t>
      </w:r>
      <w:r w:rsidR="001C38F3" w:rsidRPr="000F1FD5">
        <w:rPr>
          <w:rFonts w:cstheme="minorHAnsi"/>
          <w:sz w:val="18"/>
          <w:szCs w:val="18"/>
        </w:rPr>
        <w:t>gs.</w:t>
      </w:r>
      <w:r w:rsidRPr="000F1FD5">
        <w:rPr>
          <w:rFonts w:cstheme="minorHAnsi"/>
          <w:sz w:val="18"/>
          <w:szCs w:val="18"/>
        </w:rPr>
        <w:t xml:space="preserve"> 4078-4114.</w:t>
      </w:r>
    </w:p>
  </w:footnote>
  <w:footnote w:id="95">
    <w:p w14:paraId="57E3FAA8" w14:textId="752F15CB" w:rsidR="000B1035" w:rsidRPr="000F1FD5" w:rsidRDefault="000B1035">
      <w:pPr>
        <w:pStyle w:val="FootnoteText"/>
        <w:rPr>
          <w:rFonts w:cstheme="minorHAnsi"/>
          <w:sz w:val="18"/>
          <w:szCs w:val="18"/>
        </w:rPr>
      </w:pPr>
      <w:r w:rsidRPr="000F1FD5">
        <w:rPr>
          <w:rStyle w:val="FootnoteReference"/>
          <w:rFonts w:cstheme="minorHAnsi"/>
          <w:sz w:val="18"/>
          <w:szCs w:val="18"/>
        </w:rPr>
        <w:footnoteRef/>
      </w:r>
      <w:r w:rsidRPr="000F1FD5">
        <w:rPr>
          <w:rFonts w:cstheme="minorHAnsi"/>
          <w:sz w:val="18"/>
          <w:szCs w:val="18"/>
        </w:rPr>
        <w:t xml:space="preserve"> Singapore Act, </w:t>
      </w:r>
      <w:r w:rsidR="00EB0B86" w:rsidRPr="000F1FD5">
        <w:rPr>
          <w:rFonts w:cstheme="minorHAnsi"/>
          <w:sz w:val="18"/>
          <w:szCs w:val="18"/>
        </w:rPr>
        <w:t>72Q(7).</w:t>
      </w:r>
    </w:p>
  </w:footnote>
  <w:footnote w:id="96">
    <w:p w14:paraId="6A53BB8C" w14:textId="2952E88F" w:rsidR="000D0548" w:rsidRPr="000F1FD5" w:rsidRDefault="000D0548">
      <w:pPr>
        <w:pStyle w:val="FootnoteText"/>
        <w:rPr>
          <w:rFonts w:cstheme="minorHAnsi"/>
          <w:sz w:val="18"/>
          <w:szCs w:val="18"/>
        </w:rPr>
      </w:pPr>
      <w:r w:rsidRPr="000F1FD5">
        <w:rPr>
          <w:rStyle w:val="FootnoteReference"/>
          <w:rFonts w:cstheme="minorHAnsi"/>
          <w:sz w:val="18"/>
          <w:szCs w:val="18"/>
        </w:rPr>
        <w:footnoteRef/>
      </w:r>
      <w:r w:rsidRPr="000F1FD5">
        <w:rPr>
          <w:rFonts w:cstheme="minorHAnsi"/>
          <w:sz w:val="18"/>
          <w:szCs w:val="18"/>
        </w:rPr>
        <w:t xml:space="preserve"> OHADA Act, Article 50.</w:t>
      </w:r>
    </w:p>
  </w:footnote>
  <w:footnote w:id="97">
    <w:p w14:paraId="044FDA99" w14:textId="34429A7C" w:rsidR="00D1128F" w:rsidRPr="000F1FD5" w:rsidRDefault="00D1128F">
      <w:pPr>
        <w:pStyle w:val="FootnoteText"/>
        <w:rPr>
          <w:rFonts w:cstheme="minorHAnsi"/>
          <w:sz w:val="18"/>
          <w:szCs w:val="18"/>
        </w:rPr>
      </w:pPr>
      <w:r w:rsidRPr="000F1FD5">
        <w:rPr>
          <w:rStyle w:val="FootnoteReference"/>
          <w:rFonts w:cstheme="minorHAnsi"/>
          <w:sz w:val="18"/>
          <w:szCs w:val="18"/>
        </w:rPr>
        <w:footnoteRef/>
      </w:r>
      <w:r w:rsidRPr="000F1FD5">
        <w:rPr>
          <w:rFonts w:cstheme="minorHAnsi"/>
          <w:sz w:val="18"/>
          <w:szCs w:val="18"/>
        </w:rPr>
        <w:t xml:space="preserve"> OHADA Act, Article 50.</w:t>
      </w:r>
    </w:p>
  </w:footnote>
  <w:footnote w:id="98">
    <w:p w14:paraId="732D7894" w14:textId="6B2B9F7C" w:rsidR="007C4E7D" w:rsidRPr="000F1FD5" w:rsidRDefault="007C4E7D">
      <w:pPr>
        <w:pStyle w:val="FootnoteText"/>
        <w:rPr>
          <w:rFonts w:cstheme="minorHAnsi"/>
          <w:sz w:val="18"/>
          <w:szCs w:val="18"/>
        </w:rPr>
      </w:pPr>
      <w:r w:rsidRPr="000F1FD5">
        <w:rPr>
          <w:rStyle w:val="FootnoteReference"/>
          <w:rFonts w:cstheme="minorHAnsi"/>
          <w:sz w:val="18"/>
          <w:szCs w:val="18"/>
        </w:rPr>
        <w:footnoteRef/>
      </w:r>
      <w:r w:rsidRPr="000F1FD5">
        <w:rPr>
          <w:rFonts w:cstheme="minorHAnsi"/>
          <w:sz w:val="18"/>
          <w:szCs w:val="18"/>
        </w:rPr>
        <w:t xml:space="preserve"> </w:t>
      </w:r>
      <w:r w:rsidR="00C25FE0" w:rsidRPr="000F1FD5">
        <w:rPr>
          <w:rFonts w:cstheme="minorHAnsi"/>
          <w:sz w:val="18"/>
          <w:szCs w:val="18"/>
        </w:rPr>
        <w:t>See https://io.mlaw.gov.sg/corporate-insolvency/sip-faq/</w:t>
      </w:r>
      <w:r w:rsidR="00970EDE">
        <w:rPr>
          <w:rFonts w:cstheme="minorHAnsi"/>
          <w:sz w:val="18"/>
          <w:szCs w:val="18"/>
        </w:rPr>
        <w:t>.</w:t>
      </w:r>
    </w:p>
  </w:footnote>
  <w:footnote w:id="99">
    <w:p w14:paraId="7DA5B1D9" w14:textId="2C7DA4E5" w:rsidR="00AA00EB" w:rsidRPr="000F1FD5" w:rsidRDefault="00AA00EB" w:rsidP="00AA00EB">
      <w:pPr>
        <w:pStyle w:val="FootnoteText"/>
        <w:rPr>
          <w:rFonts w:cstheme="minorHAnsi"/>
          <w:sz w:val="18"/>
          <w:szCs w:val="18"/>
        </w:rPr>
      </w:pPr>
      <w:r w:rsidRPr="000F1FD5">
        <w:rPr>
          <w:rStyle w:val="FootnoteReference"/>
          <w:rFonts w:cstheme="minorHAnsi"/>
          <w:sz w:val="18"/>
          <w:szCs w:val="18"/>
        </w:rPr>
        <w:footnoteRef/>
      </w:r>
      <w:r w:rsidRPr="000F1FD5">
        <w:rPr>
          <w:rFonts w:cstheme="minorHAnsi"/>
          <w:sz w:val="18"/>
          <w:szCs w:val="18"/>
        </w:rPr>
        <w:t xml:space="preserve"> See https://io.mlaw.gov.sg/corporate-insolvency/sip-faq/</w:t>
      </w:r>
      <w:r w:rsidR="00970EDE">
        <w:rPr>
          <w:rFonts w:cstheme="minorHAnsi"/>
          <w:sz w:val="18"/>
          <w:szCs w:val="18"/>
        </w:rPr>
        <w:t>.</w:t>
      </w:r>
    </w:p>
  </w:footnote>
  <w:footnote w:id="100">
    <w:p w14:paraId="4E9F459C" w14:textId="1F02C7B6" w:rsidR="00C30AE5" w:rsidRPr="00132582" w:rsidRDefault="00C30AE5" w:rsidP="00C30AE5">
      <w:pPr>
        <w:pStyle w:val="FootnoteText"/>
        <w:rPr>
          <w:rFonts w:cstheme="minorHAnsi"/>
          <w:sz w:val="18"/>
          <w:szCs w:val="18"/>
          <w:lang w:val="fr-FR"/>
        </w:rPr>
      </w:pPr>
      <w:r w:rsidRPr="000F1FD5">
        <w:rPr>
          <w:rStyle w:val="FootnoteReference"/>
          <w:rFonts w:cstheme="minorHAnsi"/>
          <w:sz w:val="18"/>
          <w:szCs w:val="18"/>
        </w:rPr>
        <w:footnoteRef/>
      </w:r>
      <w:r w:rsidRPr="00132582">
        <w:rPr>
          <w:rFonts w:cstheme="minorHAnsi"/>
          <w:sz w:val="18"/>
          <w:szCs w:val="18"/>
          <w:lang w:val="fr-FR"/>
        </w:rPr>
        <w:t xml:space="preserve"> 11 </w:t>
      </w:r>
      <w:r w:rsidR="004A3472" w:rsidRPr="00132582">
        <w:rPr>
          <w:rFonts w:cstheme="minorHAnsi"/>
          <w:sz w:val="18"/>
          <w:szCs w:val="18"/>
          <w:lang w:val="fr-FR"/>
        </w:rPr>
        <w:t xml:space="preserve">USC § </w:t>
      </w:r>
      <w:r w:rsidRPr="00132582">
        <w:rPr>
          <w:rFonts w:cstheme="minorHAnsi"/>
          <w:sz w:val="18"/>
          <w:szCs w:val="18"/>
          <w:lang w:val="fr-FR"/>
        </w:rPr>
        <w:t xml:space="preserve">4 (3); 28 </w:t>
      </w:r>
      <w:r w:rsidR="007926FE" w:rsidRPr="00132582">
        <w:rPr>
          <w:rFonts w:cstheme="minorHAnsi"/>
          <w:sz w:val="18"/>
          <w:szCs w:val="18"/>
          <w:lang w:val="fr-FR"/>
        </w:rPr>
        <w:t>USC §</w:t>
      </w:r>
      <w:r w:rsidRPr="00132582">
        <w:rPr>
          <w:rFonts w:cstheme="minorHAnsi"/>
          <w:sz w:val="18"/>
          <w:szCs w:val="18"/>
          <w:lang w:val="fr-FR"/>
        </w:rPr>
        <w:t xml:space="preserve"> 1930(a)</w:t>
      </w:r>
    </w:p>
  </w:footnote>
  <w:footnote w:id="101">
    <w:p w14:paraId="75585CE1" w14:textId="2C0848A6" w:rsidR="00943215" w:rsidRPr="00132582" w:rsidRDefault="00943215">
      <w:pPr>
        <w:pStyle w:val="FootnoteText"/>
        <w:rPr>
          <w:rFonts w:cstheme="minorHAnsi"/>
          <w:sz w:val="18"/>
          <w:szCs w:val="18"/>
          <w:lang w:val="fr-FR"/>
        </w:rPr>
      </w:pPr>
      <w:r w:rsidRPr="00C016C6">
        <w:rPr>
          <w:rStyle w:val="FootnoteReference"/>
          <w:rFonts w:cstheme="minorHAnsi"/>
          <w:sz w:val="18"/>
          <w:szCs w:val="18"/>
        </w:rPr>
        <w:footnoteRef/>
      </w:r>
      <w:r w:rsidRPr="00132582">
        <w:rPr>
          <w:rFonts w:cstheme="minorHAnsi"/>
          <w:sz w:val="18"/>
          <w:szCs w:val="18"/>
          <w:lang w:val="fr-FR"/>
        </w:rPr>
        <w:t xml:space="preserve"> </w:t>
      </w:r>
      <w:r w:rsidR="004617E8" w:rsidRPr="00132582">
        <w:rPr>
          <w:rFonts w:cstheme="minorHAnsi"/>
          <w:sz w:val="18"/>
          <w:szCs w:val="18"/>
          <w:lang w:val="fr-FR"/>
        </w:rPr>
        <w:t>WB Principle</w:t>
      </w:r>
      <w:r w:rsidR="00C016C6" w:rsidRPr="00132582">
        <w:rPr>
          <w:rFonts w:cstheme="minorHAnsi"/>
          <w:sz w:val="18"/>
          <w:szCs w:val="18"/>
          <w:lang w:val="fr-FR"/>
        </w:rPr>
        <w:t>s</w:t>
      </w:r>
      <w:r w:rsidR="004617E8" w:rsidRPr="00132582">
        <w:rPr>
          <w:rFonts w:cstheme="minorHAnsi"/>
          <w:sz w:val="18"/>
          <w:szCs w:val="18"/>
          <w:lang w:val="fr-FR"/>
        </w:rPr>
        <w:t xml:space="preserve"> D1.6</w:t>
      </w:r>
    </w:p>
  </w:footnote>
  <w:footnote w:id="102">
    <w:p w14:paraId="4115ED58" w14:textId="04716F17" w:rsidR="00D143AF" w:rsidRPr="00C016C6" w:rsidRDefault="00D143AF">
      <w:pPr>
        <w:pStyle w:val="FootnoteText"/>
        <w:rPr>
          <w:rFonts w:cstheme="minorHAnsi"/>
          <w:sz w:val="18"/>
          <w:szCs w:val="18"/>
        </w:rPr>
      </w:pPr>
      <w:r w:rsidRPr="00C016C6">
        <w:rPr>
          <w:rStyle w:val="FootnoteReference"/>
          <w:rFonts w:cstheme="minorHAnsi"/>
          <w:sz w:val="18"/>
          <w:szCs w:val="18"/>
        </w:rPr>
        <w:footnoteRef/>
      </w:r>
      <w:r w:rsidRPr="00C016C6">
        <w:rPr>
          <w:rFonts w:cstheme="minorHAnsi"/>
          <w:sz w:val="18"/>
          <w:szCs w:val="18"/>
        </w:rPr>
        <w:t xml:space="preserve"> </w:t>
      </w:r>
      <w:r w:rsidR="00A17E3A" w:rsidRPr="00C016C6">
        <w:rPr>
          <w:rFonts w:cstheme="minorHAnsi"/>
          <w:sz w:val="18"/>
          <w:szCs w:val="18"/>
        </w:rPr>
        <w:t>Harner, Michelle &amp; Goodwin-Maigetter, Kimberly, “Subchapter V Cases by the Numbers”, ABI Journal, 12 October 2021, p. 49.</w:t>
      </w:r>
    </w:p>
  </w:footnote>
  <w:footnote w:id="103">
    <w:p w14:paraId="7292482F" w14:textId="2A57AE4F" w:rsidR="00C97D23" w:rsidRPr="00C016C6" w:rsidRDefault="00C97D23">
      <w:pPr>
        <w:pStyle w:val="FootnoteText"/>
        <w:rPr>
          <w:rFonts w:cstheme="minorHAnsi"/>
          <w:sz w:val="18"/>
          <w:szCs w:val="18"/>
        </w:rPr>
      </w:pPr>
      <w:r w:rsidRPr="00C016C6">
        <w:rPr>
          <w:rStyle w:val="FootnoteReference"/>
          <w:rFonts w:cstheme="minorHAnsi"/>
          <w:sz w:val="18"/>
          <w:szCs w:val="18"/>
        </w:rPr>
        <w:footnoteRef/>
      </w:r>
      <w:r w:rsidRPr="00C016C6">
        <w:rPr>
          <w:rFonts w:cstheme="minorHAnsi"/>
          <w:sz w:val="18"/>
          <w:szCs w:val="18"/>
        </w:rPr>
        <w:t xml:space="preserve"> See Han, Denise, "Initial Effects of Subchapter V of Chapter 11 Bankruptcy During COVID-19" (2021).</w:t>
      </w:r>
      <w:r w:rsidR="00D642AA" w:rsidRPr="00C016C6">
        <w:rPr>
          <w:rFonts w:cstheme="minorHAnsi"/>
          <w:sz w:val="18"/>
          <w:szCs w:val="18"/>
        </w:rPr>
        <w:t xml:space="preserve"> </w:t>
      </w:r>
      <w:r w:rsidRPr="00C016C6">
        <w:rPr>
          <w:rFonts w:cstheme="minorHAnsi"/>
          <w:sz w:val="18"/>
          <w:szCs w:val="18"/>
        </w:rPr>
        <w:t>Undergraduate Honors Theses. 187.</w:t>
      </w:r>
      <w:r w:rsidR="00D642AA" w:rsidRPr="00C016C6">
        <w:rPr>
          <w:rFonts w:cstheme="minorHAnsi"/>
          <w:sz w:val="18"/>
          <w:szCs w:val="18"/>
        </w:rPr>
        <w:t xml:space="preserve"> https://scholarsarchive.byu.edu/cgi/viewcontent.cgi?article=1178&amp;context=studentpub_uht</w:t>
      </w:r>
    </w:p>
  </w:footnote>
  <w:footnote w:id="104">
    <w:p w14:paraId="4F1C1647" w14:textId="519C6860" w:rsidR="007A10E1" w:rsidRPr="00C016C6" w:rsidRDefault="007A10E1">
      <w:pPr>
        <w:pStyle w:val="FootnoteText"/>
        <w:rPr>
          <w:rFonts w:cstheme="minorHAnsi"/>
          <w:sz w:val="18"/>
          <w:szCs w:val="18"/>
        </w:rPr>
      </w:pPr>
      <w:r w:rsidRPr="00C016C6">
        <w:rPr>
          <w:rStyle w:val="FootnoteReference"/>
          <w:rFonts w:cstheme="minorHAnsi"/>
          <w:sz w:val="18"/>
          <w:szCs w:val="18"/>
        </w:rPr>
        <w:footnoteRef/>
      </w:r>
      <w:r w:rsidRPr="00C016C6">
        <w:rPr>
          <w:rFonts w:cstheme="minorHAnsi"/>
          <w:sz w:val="18"/>
          <w:szCs w:val="18"/>
        </w:rPr>
        <w:t xml:space="preserve"> </w:t>
      </w:r>
      <w:r w:rsidR="00826C0E" w:rsidRPr="00C016C6">
        <w:rPr>
          <w:rFonts w:cstheme="minorHAnsi"/>
          <w:sz w:val="18"/>
          <w:szCs w:val="18"/>
        </w:rPr>
        <w:t xml:space="preserve">See </w:t>
      </w:r>
      <w:hyperlink r:id="rId4" w:history="1">
        <w:r w:rsidR="007D1EE4" w:rsidRPr="00C016C6">
          <w:rPr>
            <w:rStyle w:val="Hyperlink"/>
            <w:rFonts w:cstheme="minorHAnsi"/>
            <w:sz w:val="18"/>
            <w:szCs w:val="18"/>
          </w:rPr>
          <w:t>https://www.justice.gov/opa/pr/us-trustee-program-ready-implement-small-business-reorganization-act-2019</w:t>
        </w:r>
      </w:hyperlink>
      <w:r w:rsidR="007D1EE4" w:rsidRPr="00C016C6">
        <w:rPr>
          <w:rFonts w:cstheme="minorHAnsi"/>
          <w:sz w:val="18"/>
          <w:szCs w:val="18"/>
        </w:rPr>
        <w:t>, accessed 2/25/2024</w:t>
      </w:r>
      <w:r w:rsidR="00826C0E" w:rsidRPr="00C016C6">
        <w:rPr>
          <w:rFonts w:cstheme="minorHAnsi"/>
          <w:sz w:val="18"/>
          <w:szCs w:val="18"/>
        </w:rPr>
        <w:t xml:space="preserve">. </w:t>
      </w:r>
      <w:r w:rsidRPr="00C016C6">
        <w:rPr>
          <w:rFonts w:cstheme="minorHAnsi"/>
          <w:sz w:val="18"/>
          <w:szCs w:val="18"/>
        </w:rPr>
        <w:t xml:space="preserve">250 </w:t>
      </w:r>
      <w:r w:rsidR="001F1EFF" w:rsidRPr="00C016C6">
        <w:rPr>
          <w:rFonts w:cstheme="minorHAnsi"/>
          <w:sz w:val="18"/>
          <w:szCs w:val="18"/>
        </w:rPr>
        <w:t xml:space="preserve">trustees </w:t>
      </w:r>
      <w:r w:rsidRPr="00C016C6">
        <w:rPr>
          <w:rFonts w:cstheme="minorHAnsi"/>
          <w:sz w:val="18"/>
          <w:szCs w:val="18"/>
        </w:rPr>
        <w:t>selected out of an initial 3000 applicants.</w:t>
      </w:r>
    </w:p>
  </w:footnote>
  <w:footnote w:id="105">
    <w:p w14:paraId="4997F18D" w14:textId="636A6061" w:rsidR="001B120C" w:rsidRPr="000F1FD5" w:rsidRDefault="001B120C" w:rsidP="00186B36">
      <w:pPr>
        <w:pStyle w:val="FootnoteText"/>
        <w:rPr>
          <w:rFonts w:cstheme="minorHAnsi"/>
          <w:sz w:val="18"/>
          <w:szCs w:val="18"/>
        </w:rPr>
      </w:pPr>
      <w:r w:rsidRPr="00C016C6">
        <w:rPr>
          <w:rStyle w:val="FootnoteReference"/>
          <w:rFonts w:cstheme="minorHAnsi"/>
          <w:sz w:val="18"/>
          <w:szCs w:val="18"/>
        </w:rPr>
        <w:footnoteRef/>
      </w:r>
      <w:r w:rsidRPr="00C016C6">
        <w:rPr>
          <w:rFonts w:cstheme="minorHAnsi"/>
          <w:sz w:val="18"/>
          <w:szCs w:val="18"/>
        </w:rPr>
        <w:t xml:space="preserve"> </w:t>
      </w:r>
      <w:r w:rsidR="00186B36" w:rsidRPr="00C016C6">
        <w:rPr>
          <w:rFonts w:cstheme="minorHAnsi"/>
          <w:sz w:val="18"/>
          <w:szCs w:val="18"/>
        </w:rPr>
        <w:t xml:space="preserve">Gotberg, </w:t>
      </w:r>
      <w:r w:rsidR="0052503A" w:rsidRPr="00C016C6">
        <w:rPr>
          <w:rFonts w:cstheme="minorHAnsi"/>
          <w:sz w:val="18"/>
          <w:szCs w:val="18"/>
        </w:rPr>
        <w:t xml:space="preserve">Brook E., </w:t>
      </w:r>
      <w:r w:rsidR="00186B36" w:rsidRPr="00C016C6">
        <w:rPr>
          <w:rFonts w:cstheme="minorHAnsi"/>
          <w:sz w:val="18"/>
          <w:szCs w:val="18"/>
        </w:rPr>
        <w:t>Reluctant to Restructure: Small Businesses, the SBRA, and COVID-1</w:t>
      </w:r>
      <w:r w:rsidR="00872173" w:rsidRPr="00C016C6">
        <w:rPr>
          <w:rFonts w:cstheme="minorHAnsi"/>
          <w:sz w:val="18"/>
          <w:szCs w:val="18"/>
        </w:rPr>
        <w:t>0</w:t>
      </w:r>
      <w:r w:rsidR="00186B36" w:rsidRPr="00C016C6">
        <w:rPr>
          <w:rFonts w:cstheme="minorHAnsi"/>
          <w:sz w:val="18"/>
          <w:szCs w:val="18"/>
        </w:rPr>
        <w:t>9</w:t>
      </w:r>
      <w:r w:rsidR="00872173" w:rsidRPr="00C016C6">
        <w:rPr>
          <w:rFonts w:cstheme="minorHAnsi"/>
          <w:sz w:val="18"/>
          <w:szCs w:val="18"/>
        </w:rPr>
        <w:t>”</w:t>
      </w:r>
      <w:r w:rsidR="00186B36" w:rsidRPr="00C016C6">
        <w:rPr>
          <w:rFonts w:cstheme="minorHAnsi"/>
          <w:sz w:val="18"/>
          <w:szCs w:val="18"/>
        </w:rPr>
        <w:t xml:space="preserve">, </w:t>
      </w:r>
      <w:r w:rsidR="00872173" w:rsidRPr="00C016C6">
        <w:rPr>
          <w:rFonts w:cstheme="minorHAnsi"/>
          <w:sz w:val="18"/>
          <w:szCs w:val="18"/>
        </w:rPr>
        <w:t>95 American Bankruptcy Law Journal 389 (2021)</w:t>
      </w:r>
      <w:r w:rsidR="00B44398">
        <w:rPr>
          <w:rFonts w:cstheme="minorHAnsi"/>
          <w:sz w:val="18"/>
          <w:szCs w:val="18"/>
        </w:rPr>
        <w:t xml:space="preserve">, </w:t>
      </w:r>
      <w:r w:rsidR="0052503A" w:rsidRPr="00C016C6">
        <w:rPr>
          <w:rFonts w:cstheme="minorHAnsi"/>
          <w:sz w:val="18"/>
          <w:szCs w:val="18"/>
        </w:rPr>
        <w:t xml:space="preserve">p. </w:t>
      </w:r>
      <w:r w:rsidR="001F78C7" w:rsidRPr="00C016C6">
        <w:rPr>
          <w:rFonts w:cstheme="minorHAnsi"/>
          <w:sz w:val="18"/>
          <w:szCs w:val="18"/>
        </w:rPr>
        <w:t>407</w:t>
      </w:r>
      <w:r w:rsidR="00872173" w:rsidRPr="00C016C6">
        <w:rPr>
          <w:rFonts w:cstheme="minorHAnsi"/>
          <w:sz w:val="18"/>
          <w:szCs w:val="18"/>
        </w:rPr>
        <w:t>.</w:t>
      </w:r>
    </w:p>
  </w:footnote>
  <w:footnote w:id="106">
    <w:p w14:paraId="6DC71A94" w14:textId="2624F9B6" w:rsidR="00A56821" w:rsidRPr="00611240" w:rsidRDefault="00A56821">
      <w:pPr>
        <w:pStyle w:val="FootnoteText"/>
        <w:rPr>
          <w:sz w:val="18"/>
          <w:szCs w:val="18"/>
        </w:rPr>
      </w:pPr>
      <w:r w:rsidRPr="00611240">
        <w:rPr>
          <w:rStyle w:val="FootnoteReference"/>
          <w:sz w:val="18"/>
          <w:szCs w:val="18"/>
        </w:rPr>
        <w:footnoteRef/>
      </w:r>
      <w:r w:rsidRPr="00611240">
        <w:rPr>
          <w:sz w:val="18"/>
          <w:szCs w:val="18"/>
        </w:rPr>
        <w:t xml:space="preserve"> </w:t>
      </w:r>
      <w:r w:rsidR="001F3600" w:rsidRPr="00611240">
        <w:rPr>
          <w:sz w:val="18"/>
          <w:szCs w:val="18"/>
        </w:rPr>
        <w:t>Andre, Christophe; Demmou, Lilas, “Enhancing Insolvency Frameworks to Support Economic Renewal”, OECD Working Paper N</w:t>
      </w:r>
      <w:r w:rsidR="00611240">
        <w:rPr>
          <w:sz w:val="18"/>
          <w:szCs w:val="18"/>
        </w:rPr>
        <w:t>o</w:t>
      </w:r>
      <w:r w:rsidR="001F3600" w:rsidRPr="00611240">
        <w:rPr>
          <w:sz w:val="18"/>
          <w:szCs w:val="18"/>
        </w:rPr>
        <w:t>. 1738</w:t>
      </w:r>
      <w:r w:rsidR="00B44398" w:rsidRPr="00611240">
        <w:rPr>
          <w:sz w:val="18"/>
          <w:szCs w:val="18"/>
        </w:rPr>
        <w:t>, 2022, p. 16.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E2607"/>
    <w:multiLevelType w:val="hybridMultilevel"/>
    <w:tmpl w:val="2556C16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ECF5700"/>
    <w:multiLevelType w:val="hybridMultilevel"/>
    <w:tmpl w:val="25E642E0"/>
    <w:lvl w:ilvl="0" w:tplc="2872E08E">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0943FC"/>
    <w:multiLevelType w:val="hybridMultilevel"/>
    <w:tmpl w:val="02D0475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26E63C4"/>
    <w:multiLevelType w:val="hybridMultilevel"/>
    <w:tmpl w:val="F41445A6"/>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3BF13C39"/>
    <w:multiLevelType w:val="hybridMultilevel"/>
    <w:tmpl w:val="822AED36"/>
    <w:lvl w:ilvl="0" w:tplc="C354283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573EE6"/>
    <w:multiLevelType w:val="hybridMultilevel"/>
    <w:tmpl w:val="954887BE"/>
    <w:lvl w:ilvl="0" w:tplc="148237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D21997"/>
    <w:multiLevelType w:val="hybridMultilevel"/>
    <w:tmpl w:val="FA9E1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2E398B"/>
    <w:multiLevelType w:val="hybridMultilevel"/>
    <w:tmpl w:val="732CDA2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49391A"/>
    <w:multiLevelType w:val="hybridMultilevel"/>
    <w:tmpl w:val="53F68E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654BED"/>
    <w:multiLevelType w:val="hybridMultilevel"/>
    <w:tmpl w:val="7592EB0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B7970D3"/>
    <w:multiLevelType w:val="hybridMultilevel"/>
    <w:tmpl w:val="99EEB788"/>
    <w:lvl w:ilvl="0" w:tplc="C3542832">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3F62DA8"/>
    <w:multiLevelType w:val="hybridMultilevel"/>
    <w:tmpl w:val="B1DA8AC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6092725"/>
    <w:multiLevelType w:val="hybridMultilevel"/>
    <w:tmpl w:val="F4EED52C"/>
    <w:lvl w:ilvl="0" w:tplc="0409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76061EB3"/>
    <w:multiLevelType w:val="hybridMultilevel"/>
    <w:tmpl w:val="7592EB00"/>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1096368638">
    <w:abstractNumId w:val="2"/>
  </w:num>
  <w:num w:numId="2" w16cid:durableId="2016221330">
    <w:abstractNumId w:val="7"/>
  </w:num>
  <w:num w:numId="3" w16cid:durableId="1943142656">
    <w:abstractNumId w:val="1"/>
  </w:num>
  <w:num w:numId="4" w16cid:durableId="956645454">
    <w:abstractNumId w:val="6"/>
  </w:num>
  <w:num w:numId="5" w16cid:durableId="754473205">
    <w:abstractNumId w:val="3"/>
  </w:num>
  <w:num w:numId="6" w16cid:durableId="328604198">
    <w:abstractNumId w:val="4"/>
  </w:num>
  <w:num w:numId="7" w16cid:durableId="436028994">
    <w:abstractNumId w:val="0"/>
  </w:num>
  <w:num w:numId="8" w16cid:durableId="1888683410">
    <w:abstractNumId w:val="11"/>
  </w:num>
  <w:num w:numId="9" w16cid:durableId="1800876226">
    <w:abstractNumId w:val="9"/>
  </w:num>
  <w:num w:numId="10" w16cid:durableId="1877034993">
    <w:abstractNumId w:val="13"/>
  </w:num>
  <w:num w:numId="11" w16cid:durableId="2059165604">
    <w:abstractNumId w:val="10"/>
  </w:num>
  <w:num w:numId="12" w16cid:durableId="1038049994">
    <w:abstractNumId w:val="8"/>
  </w:num>
  <w:num w:numId="13" w16cid:durableId="857500426">
    <w:abstractNumId w:val="5"/>
  </w:num>
  <w:num w:numId="14" w16cid:durableId="189577368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5BB"/>
    <w:rsid w:val="00000344"/>
    <w:rsid w:val="0000193B"/>
    <w:rsid w:val="00001989"/>
    <w:rsid w:val="00002EB5"/>
    <w:rsid w:val="000031CD"/>
    <w:rsid w:val="00003B0D"/>
    <w:rsid w:val="00004D28"/>
    <w:rsid w:val="00010C85"/>
    <w:rsid w:val="00011A10"/>
    <w:rsid w:val="00014EF4"/>
    <w:rsid w:val="000165AB"/>
    <w:rsid w:val="0001704F"/>
    <w:rsid w:val="00017A20"/>
    <w:rsid w:val="00023249"/>
    <w:rsid w:val="00025B32"/>
    <w:rsid w:val="0002676B"/>
    <w:rsid w:val="000311BB"/>
    <w:rsid w:val="00031BD2"/>
    <w:rsid w:val="00031FA4"/>
    <w:rsid w:val="000322E7"/>
    <w:rsid w:val="00032550"/>
    <w:rsid w:val="000332F6"/>
    <w:rsid w:val="00036505"/>
    <w:rsid w:val="00036C77"/>
    <w:rsid w:val="00037405"/>
    <w:rsid w:val="000414E3"/>
    <w:rsid w:val="0004436B"/>
    <w:rsid w:val="00044B18"/>
    <w:rsid w:val="00047013"/>
    <w:rsid w:val="00052F7A"/>
    <w:rsid w:val="000535BB"/>
    <w:rsid w:val="00053AD0"/>
    <w:rsid w:val="000546B9"/>
    <w:rsid w:val="00055292"/>
    <w:rsid w:val="0005545C"/>
    <w:rsid w:val="00061C35"/>
    <w:rsid w:val="00062167"/>
    <w:rsid w:val="00063897"/>
    <w:rsid w:val="0006547B"/>
    <w:rsid w:val="00066F00"/>
    <w:rsid w:val="0007367B"/>
    <w:rsid w:val="00074768"/>
    <w:rsid w:val="00081C3B"/>
    <w:rsid w:val="00082949"/>
    <w:rsid w:val="0008436F"/>
    <w:rsid w:val="00084C12"/>
    <w:rsid w:val="000879A9"/>
    <w:rsid w:val="00087ED9"/>
    <w:rsid w:val="0009056B"/>
    <w:rsid w:val="0009119E"/>
    <w:rsid w:val="00091BBF"/>
    <w:rsid w:val="00091DB9"/>
    <w:rsid w:val="000A1A69"/>
    <w:rsid w:val="000A4071"/>
    <w:rsid w:val="000A442D"/>
    <w:rsid w:val="000A465F"/>
    <w:rsid w:val="000A69ED"/>
    <w:rsid w:val="000B03C8"/>
    <w:rsid w:val="000B090C"/>
    <w:rsid w:val="000B1035"/>
    <w:rsid w:val="000B2AF4"/>
    <w:rsid w:val="000B609C"/>
    <w:rsid w:val="000B781A"/>
    <w:rsid w:val="000B7F0B"/>
    <w:rsid w:val="000C1C59"/>
    <w:rsid w:val="000C3281"/>
    <w:rsid w:val="000C57A1"/>
    <w:rsid w:val="000C58A3"/>
    <w:rsid w:val="000D04BB"/>
    <w:rsid w:val="000D0548"/>
    <w:rsid w:val="000D0947"/>
    <w:rsid w:val="000D1943"/>
    <w:rsid w:val="000D23AB"/>
    <w:rsid w:val="000D6545"/>
    <w:rsid w:val="000D73EB"/>
    <w:rsid w:val="000D76E8"/>
    <w:rsid w:val="000E060A"/>
    <w:rsid w:val="000E11CE"/>
    <w:rsid w:val="000E4420"/>
    <w:rsid w:val="000E4655"/>
    <w:rsid w:val="000F1FD5"/>
    <w:rsid w:val="000F282A"/>
    <w:rsid w:val="000F301C"/>
    <w:rsid w:val="000F3616"/>
    <w:rsid w:val="000F5324"/>
    <w:rsid w:val="000F6620"/>
    <w:rsid w:val="000F6ADE"/>
    <w:rsid w:val="000F7324"/>
    <w:rsid w:val="0010151F"/>
    <w:rsid w:val="00102069"/>
    <w:rsid w:val="001034AE"/>
    <w:rsid w:val="00104261"/>
    <w:rsid w:val="00105A1D"/>
    <w:rsid w:val="00114765"/>
    <w:rsid w:val="001148DB"/>
    <w:rsid w:val="0011503A"/>
    <w:rsid w:val="0011666B"/>
    <w:rsid w:val="00117153"/>
    <w:rsid w:val="00120F42"/>
    <w:rsid w:val="00124BF3"/>
    <w:rsid w:val="001258B3"/>
    <w:rsid w:val="00125BA0"/>
    <w:rsid w:val="00125DE6"/>
    <w:rsid w:val="00130425"/>
    <w:rsid w:val="00132582"/>
    <w:rsid w:val="001363A3"/>
    <w:rsid w:val="001365AC"/>
    <w:rsid w:val="001376C5"/>
    <w:rsid w:val="00141D4B"/>
    <w:rsid w:val="00145837"/>
    <w:rsid w:val="00146D19"/>
    <w:rsid w:val="00150097"/>
    <w:rsid w:val="00150E05"/>
    <w:rsid w:val="001527D1"/>
    <w:rsid w:val="00152994"/>
    <w:rsid w:val="0015389C"/>
    <w:rsid w:val="00153E07"/>
    <w:rsid w:val="001573B8"/>
    <w:rsid w:val="00161B7E"/>
    <w:rsid w:val="001640AE"/>
    <w:rsid w:val="00164B07"/>
    <w:rsid w:val="00171224"/>
    <w:rsid w:val="00171ACF"/>
    <w:rsid w:val="00171C32"/>
    <w:rsid w:val="001723C4"/>
    <w:rsid w:val="00174033"/>
    <w:rsid w:val="001744DE"/>
    <w:rsid w:val="001758EE"/>
    <w:rsid w:val="001777F8"/>
    <w:rsid w:val="00181449"/>
    <w:rsid w:val="00182F05"/>
    <w:rsid w:val="00186B36"/>
    <w:rsid w:val="00190004"/>
    <w:rsid w:val="00190207"/>
    <w:rsid w:val="0019070B"/>
    <w:rsid w:val="0019091B"/>
    <w:rsid w:val="001923AC"/>
    <w:rsid w:val="0019267D"/>
    <w:rsid w:val="00194893"/>
    <w:rsid w:val="00197994"/>
    <w:rsid w:val="001A05EC"/>
    <w:rsid w:val="001A0AA7"/>
    <w:rsid w:val="001A0E22"/>
    <w:rsid w:val="001A1133"/>
    <w:rsid w:val="001A47F5"/>
    <w:rsid w:val="001A4C26"/>
    <w:rsid w:val="001A50B6"/>
    <w:rsid w:val="001A5E3C"/>
    <w:rsid w:val="001A746E"/>
    <w:rsid w:val="001B055C"/>
    <w:rsid w:val="001B0799"/>
    <w:rsid w:val="001B0F3F"/>
    <w:rsid w:val="001B120C"/>
    <w:rsid w:val="001B35C1"/>
    <w:rsid w:val="001B3FE2"/>
    <w:rsid w:val="001B4D96"/>
    <w:rsid w:val="001B73AC"/>
    <w:rsid w:val="001C19EE"/>
    <w:rsid w:val="001C2392"/>
    <w:rsid w:val="001C2CFD"/>
    <w:rsid w:val="001C2F58"/>
    <w:rsid w:val="001C38F3"/>
    <w:rsid w:val="001C76B5"/>
    <w:rsid w:val="001D0DB7"/>
    <w:rsid w:val="001D1168"/>
    <w:rsid w:val="001D1C39"/>
    <w:rsid w:val="001D6A64"/>
    <w:rsid w:val="001D7B05"/>
    <w:rsid w:val="001D7D76"/>
    <w:rsid w:val="001E18BD"/>
    <w:rsid w:val="001E28C5"/>
    <w:rsid w:val="001E42D4"/>
    <w:rsid w:val="001E5306"/>
    <w:rsid w:val="001E58EE"/>
    <w:rsid w:val="001E6A3B"/>
    <w:rsid w:val="001F1EFF"/>
    <w:rsid w:val="001F3600"/>
    <w:rsid w:val="001F3978"/>
    <w:rsid w:val="001F60CE"/>
    <w:rsid w:val="001F6B13"/>
    <w:rsid w:val="001F7451"/>
    <w:rsid w:val="001F78C7"/>
    <w:rsid w:val="0020072F"/>
    <w:rsid w:val="00202741"/>
    <w:rsid w:val="00203592"/>
    <w:rsid w:val="0021205B"/>
    <w:rsid w:val="00213028"/>
    <w:rsid w:val="00214320"/>
    <w:rsid w:val="002146CA"/>
    <w:rsid w:val="00221466"/>
    <w:rsid w:val="00221A1F"/>
    <w:rsid w:val="00226A80"/>
    <w:rsid w:val="00227373"/>
    <w:rsid w:val="002275F6"/>
    <w:rsid w:val="00230605"/>
    <w:rsid w:val="00236E14"/>
    <w:rsid w:val="0023780B"/>
    <w:rsid w:val="002405D8"/>
    <w:rsid w:val="00244B47"/>
    <w:rsid w:val="002548BB"/>
    <w:rsid w:val="00254DBA"/>
    <w:rsid w:val="00260CDD"/>
    <w:rsid w:val="00261CE3"/>
    <w:rsid w:val="002620C5"/>
    <w:rsid w:val="002623E0"/>
    <w:rsid w:val="00262A07"/>
    <w:rsid w:val="00264EB5"/>
    <w:rsid w:val="00265156"/>
    <w:rsid w:val="00265B64"/>
    <w:rsid w:val="00266216"/>
    <w:rsid w:val="00270F44"/>
    <w:rsid w:val="00273EFB"/>
    <w:rsid w:val="00274006"/>
    <w:rsid w:val="002741B6"/>
    <w:rsid w:val="00276725"/>
    <w:rsid w:val="00280599"/>
    <w:rsid w:val="00281924"/>
    <w:rsid w:val="00285876"/>
    <w:rsid w:val="002859BB"/>
    <w:rsid w:val="00286A41"/>
    <w:rsid w:val="002932D8"/>
    <w:rsid w:val="0029346B"/>
    <w:rsid w:val="00294790"/>
    <w:rsid w:val="0029658C"/>
    <w:rsid w:val="002A252C"/>
    <w:rsid w:val="002A33C5"/>
    <w:rsid w:val="002A36AC"/>
    <w:rsid w:val="002B11D7"/>
    <w:rsid w:val="002B12F9"/>
    <w:rsid w:val="002B1918"/>
    <w:rsid w:val="002B4188"/>
    <w:rsid w:val="002B5AB2"/>
    <w:rsid w:val="002B680E"/>
    <w:rsid w:val="002B6C14"/>
    <w:rsid w:val="002B7687"/>
    <w:rsid w:val="002C086D"/>
    <w:rsid w:val="002C1CC9"/>
    <w:rsid w:val="002C27B8"/>
    <w:rsid w:val="002C3823"/>
    <w:rsid w:val="002C4222"/>
    <w:rsid w:val="002C58D6"/>
    <w:rsid w:val="002D1841"/>
    <w:rsid w:val="002D38BE"/>
    <w:rsid w:val="002D3D1E"/>
    <w:rsid w:val="002D40AA"/>
    <w:rsid w:val="002D76F5"/>
    <w:rsid w:val="002E02E6"/>
    <w:rsid w:val="002E0EAA"/>
    <w:rsid w:val="002E141F"/>
    <w:rsid w:val="002E4516"/>
    <w:rsid w:val="002E470C"/>
    <w:rsid w:val="002E5F5B"/>
    <w:rsid w:val="002E7645"/>
    <w:rsid w:val="002F7AA5"/>
    <w:rsid w:val="0030001F"/>
    <w:rsid w:val="003009B3"/>
    <w:rsid w:val="003031EF"/>
    <w:rsid w:val="00304A99"/>
    <w:rsid w:val="00305096"/>
    <w:rsid w:val="00305555"/>
    <w:rsid w:val="00306BEB"/>
    <w:rsid w:val="00307AB4"/>
    <w:rsid w:val="0031135B"/>
    <w:rsid w:val="00311C11"/>
    <w:rsid w:val="0031509F"/>
    <w:rsid w:val="003152B5"/>
    <w:rsid w:val="00323E11"/>
    <w:rsid w:val="00325F85"/>
    <w:rsid w:val="003262F3"/>
    <w:rsid w:val="00327614"/>
    <w:rsid w:val="0032782C"/>
    <w:rsid w:val="0033083C"/>
    <w:rsid w:val="00331E76"/>
    <w:rsid w:val="003348C4"/>
    <w:rsid w:val="00335A92"/>
    <w:rsid w:val="00340151"/>
    <w:rsid w:val="0034214B"/>
    <w:rsid w:val="00345102"/>
    <w:rsid w:val="00345CFF"/>
    <w:rsid w:val="00351257"/>
    <w:rsid w:val="00353A84"/>
    <w:rsid w:val="00361623"/>
    <w:rsid w:val="00361A64"/>
    <w:rsid w:val="00361DB3"/>
    <w:rsid w:val="003629D6"/>
    <w:rsid w:val="00363C96"/>
    <w:rsid w:val="00370EE5"/>
    <w:rsid w:val="00372CB6"/>
    <w:rsid w:val="0037313F"/>
    <w:rsid w:val="003778F2"/>
    <w:rsid w:val="003828FF"/>
    <w:rsid w:val="00383504"/>
    <w:rsid w:val="00383C4A"/>
    <w:rsid w:val="00383F35"/>
    <w:rsid w:val="00385477"/>
    <w:rsid w:val="00386BC1"/>
    <w:rsid w:val="00393187"/>
    <w:rsid w:val="00394CD7"/>
    <w:rsid w:val="003A1F36"/>
    <w:rsid w:val="003A1FC9"/>
    <w:rsid w:val="003A44DC"/>
    <w:rsid w:val="003A6739"/>
    <w:rsid w:val="003A7C01"/>
    <w:rsid w:val="003B07CA"/>
    <w:rsid w:val="003B5156"/>
    <w:rsid w:val="003C1349"/>
    <w:rsid w:val="003C1AB3"/>
    <w:rsid w:val="003C3CD0"/>
    <w:rsid w:val="003C506C"/>
    <w:rsid w:val="003C6110"/>
    <w:rsid w:val="003D0821"/>
    <w:rsid w:val="003D0DC4"/>
    <w:rsid w:val="003D367E"/>
    <w:rsid w:val="003D673A"/>
    <w:rsid w:val="003D738C"/>
    <w:rsid w:val="003E1204"/>
    <w:rsid w:val="003E1445"/>
    <w:rsid w:val="003E1732"/>
    <w:rsid w:val="003E3924"/>
    <w:rsid w:val="003E41D3"/>
    <w:rsid w:val="003F06EA"/>
    <w:rsid w:val="003F27A3"/>
    <w:rsid w:val="003F4624"/>
    <w:rsid w:val="003F53B5"/>
    <w:rsid w:val="0040076F"/>
    <w:rsid w:val="00402308"/>
    <w:rsid w:val="00402CFB"/>
    <w:rsid w:val="00403CDD"/>
    <w:rsid w:val="00403DFF"/>
    <w:rsid w:val="0040456C"/>
    <w:rsid w:val="004079B1"/>
    <w:rsid w:val="00413814"/>
    <w:rsid w:val="00414890"/>
    <w:rsid w:val="0041535B"/>
    <w:rsid w:val="00415832"/>
    <w:rsid w:val="00422116"/>
    <w:rsid w:val="0042275F"/>
    <w:rsid w:val="00423E32"/>
    <w:rsid w:val="0042469F"/>
    <w:rsid w:val="004311AD"/>
    <w:rsid w:val="00434E55"/>
    <w:rsid w:val="004361D2"/>
    <w:rsid w:val="004362ED"/>
    <w:rsid w:val="00440EB7"/>
    <w:rsid w:val="004417EF"/>
    <w:rsid w:val="00447CE2"/>
    <w:rsid w:val="00450DA7"/>
    <w:rsid w:val="00450ED0"/>
    <w:rsid w:val="004520D4"/>
    <w:rsid w:val="00456E9A"/>
    <w:rsid w:val="004617E8"/>
    <w:rsid w:val="00464864"/>
    <w:rsid w:val="00465ABC"/>
    <w:rsid w:val="0046740B"/>
    <w:rsid w:val="00467B40"/>
    <w:rsid w:val="00470A49"/>
    <w:rsid w:val="00471B19"/>
    <w:rsid w:val="0047203C"/>
    <w:rsid w:val="004721A2"/>
    <w:rsid w:val="00472EA0"/>
    <w:rsid w:val="004730CB"/>
    <w:rsid w:val="00480543"/>
    <w:rsid w:val="00481E50"/>
    <w:rsid w:val="004825CB"/>
    <w:rsid w:val="00483243"/>
    <w:rsid w:val="00483553"/>
    <w:rsid w:val="00483E7A"/>
    <w:rsid w:val="0048411E"/>
    <w:rsid w:val="00484261"/>
    <w:rsid w:val="004850B3"/>
    <w:rsid w:val="004902DE"/>
    <w:rsid w:val="00492087"/>
    <w:rsid w:val="00494632"/>
    <w:rsid w:val="004A01C7"/>
    <w:rsid w:val="004A08D9"/>
    <w:rsid w:val="004A0A8C"/>
    <w:rsid w:val="004A126B"/>
    <w:rsid w:val="004A3472"/>
    <w:rsid w:val="004A48DA"/>
    <w:rsid w:val="004A6849"/>
    <w:rsid w:val="004A6C54"/>
    <w:rsid w:val="004A7775"/>
    <w:rsid w:val="004A7A0F"/>
    <w:rsid w:val="004A7BAB"/>
    <w:rsid w:val="004B36FA"/>
    <w:rsid w:val="004B486B"/>
    <w:rsid w:val="004B51FC"/>
    <w:rsid w:val="004B577E"/>
    <w:rsid w:val="004B7C79"/>
    <w:rsid w:val="004C13B2"/>
    <w:rsid w:val="004C1666"/>
    <w:rsid w:val="004C7920"/>
    <w:rsid w:val="004D2325"/>
    <w:rsid w:val="004D43DB"/>
    <w:rsid w:val="004D46F9"/>
    <w:rsid w:val="004E0F02"/>
    <w:rsid w:val="004E101E"/>
    <w:rsid w:val="004E1B57"/>
    <w:rsid w:val="004E382A"/>
    <w:rsid w:val="004E7374"/>
    <w:rsid w:val="004F1140"/>
    <w:rsid w:val="004F1E78"/>
    <w:rsid w:val="004F3147"/>
    <w:rsid w:val="004F461B"/>
    <w:rsid w:val="004F47AC"/>
    <w:rsid w:val="004F4B95"/>
    <w:rsid w:val="004F4C27"/>
    <w:rsid w:val="004F5FC0"/>
    <w:rsid w:val="004F67CE"/>
    <w:rsid w:val="005056EE"/>
    <w:rsid w:val="00505FEF"/>
    <w:rsid w:val="00507D87"/>
    <w:rsid w:val="00510BE8"/>
    <w:rsid w:val="005116A0"/>
    <w:rsid w:val="00516297"/>
    <w:rsid w:val="0052134E"/>
    <w:rsid w:val="0052388D"/>
    <w:rsid w:val="00523FAA"/>
    <w:rsid w:val="0052503A"/>
    <w:rsid w:val="005251C4"/>
    <w:rsid w:val="00525EB4"/>
    <w:rsid w:val="005327A2"/>
    <w:rsid w:val="00533C13"/>
    <w:rsid w:val="00533E91"/>
    <w:rsid w:val="005366B1"/>
    <w:rsid w:val="00540294"/>
    <w:rsid w:val="00540632"/>
    <w:rsid w:val="00541CB2"/>
    <w:rsid w:val="0054223C"/>
    <w:rsid w:val="005460C0"/>
    <w:rsid w:val="00547D5C"/>
    <w:rsid w:val="00551033"/>
    <w:rsid w:val="00555136"/>
    <w:rsid w:val="00555D96"/>
    <w:rsid w:val="00555E44"/>
    <w:rsid w:val="00556E48"/>
    <w:rsid w:val="00561B9B"/>
    <w:rsid w:val="00562FE4"/>
    <w:rsid w:val="00565DAF"/>
    <w:rsid w:val="00567DD2"/>
    <w:rsid w:val="00571700"/>
    <w:rsid w:val="00581480"/>
    <w:rsid w:val="00583FF4"/>
    <w:rsid w:val="00584D60"/>
    <w:rsid w:val="00584FE6"/>
    <w:rsid w:val="00587375"/>
    <w:rsid w:val="00591BE7"/>
    <w:rsid w:val="00592B97"/>
    <w:rsid w:val="00592F17"/>
    <w:rsid w:val="00594B67"/>
    <w:rsid w:val="00595695"/>
    <w:rsid w:val="005957CE"/>
    <w:rsid w:val="005974DD"/>
    <w:rsid w:val="00597C81"/>
    <w:rsid w:val="005A13D2"/>
    <w:rsid w:val="005A2637"/>
    <w:rsid w:val="005A3AEF"/>
    <w:rsid w:val="005A46EA"/>
    <w:rsid w:val="005A5806"/>
    <w:rsid w:val="005A6FF5"/>
    <w:rsid w:val="005B6F07"/>
    <w:rsid w:val="005C0EA5"/>
    <w:rsid w:val="005C1F18"/>
    <w:rsid w:val="005C3316"/>
    <w:rsid w:val="005C3AA4"/>
    <w:rsid w:val="005C488A"/>
    <w:rsid w:val="005C5EEE"/>
    <w:rsid w:val="005C6775"/>
    <w:rsid w:val="005C68B1"/>
    <w:rsid w:val="005D04F1"/>
    <w:rsid w:val="005D08D2"/>
    <w:rsid w:val="005D2341"/>
    <w:rsid w:val="005D2DE9"/>
    <w:rsid w:val="005D33B4"/>
    <w:rsid w:val="005D3CA8"/>
    <w:rsid w:val="005D4EFA"/>
    <w:rsid w:val="005D689E"/>
    <w:rsid w:val="005E02AC"/>
    <w:rsid w:val="005E0314"/>
    <w:rsid w:val="005E11BC"/>
    <w:rsid w:val="005E1D17"/>
    <w:rsid w:val="005E4D04"/>
    <w:rsid w:val="005E5FAF"/>
    <w:rsid w:val="005E64A4"/>
    <w:rsid w:val="005F0861"/>
    <w:rsid w:val="005F326D"/>
    <w:rsid w:val="005F34CE"/>
    <w:rsid w:val="005F34EC"/>
    <w:rsid w:val="005F4D9E"/>
    <w:rsid w:val="00601182"/>
    <w:rsid w:val="006023A5"/>
    <w:rsid w:val="00605C37"/>
    <w:rsid w:val="00611240"/>
    <w:rsid w:val="006153B8"/>
    <w:rsid w:val="00617A94"/>
    <w:rsid w:val="00623EFB"/>
    <w:rsid w:val="00624111"/>
    <w:rsid w:val="00630D5A"/>
    <w:rsid w:val="00633252"/>
    <w:rsid w:val="00633E1C"/>
    <w:rsid w:val="0063637D"/>
    <w:rsid w:val="006363CD"/>
    <w:rsid w:val="006372C6"/>
    <w:rsid w:val="006418A7"/>
    <w:rsid w:val="00642A59"/>
    <w:rsid w:val="00643DCB"/>
    <w:rsid w:val="00646215"/>
    <w:rsid w:val="00647474"/>
    <w:rsid w:val="0065122E"/>
    <w:rsid w:val="0065176A"/>
    <w:rsid w:val="00651894"/>
    <w:rsid w:val="006534F2"/>
    <w:rsid w:val="00654DF6"/>
    <w:rsid w:val="00655B27"/>
    <w:rsid w:val="0066014F"/>
    <w:rsid w:val="00660B57"/>
    <w:rsid w:val="00662D42"/>
    <w:rsid w:val="00664380"/>
    <w:rsid w:val="00664E2C"/>
    <w:rsid w:val="00665A42"/>
    <w:rsid w:val="00666D3D"/>
    <w:rsid w:val="00666D99"/>
    <w:rsid w:val="0067247D"/>
    <w:rsid w:val="00673897"/>
    <w:rsid w:val="00674B65"/>
    <w:rsid w:val="00676D05"/>
    <w:rsid w:val="00680210"/>
    <w:rsid w:val="00680F16"/>
    <w:rsid w:val="00681767"/>
    <w:rsid w:val="006830FB"/>
    <w:rsid w:val="006862D6"/>
    <w:rsid w:val="006906E5"/>
    <w:rsid w:val="006947DD"/>
    <w:rsid w:val="00694EDD"/>
    <w:rsid w:val="00697056"/>
    <w:rsid w:val="006A0022"/>
    <w:rsid w:val="006A1FEC"/>
    <w:rsid w:val="006A232D"/>
    <w:rsid w:val="006A29E1"/>
    <w:rsid w:val="006A4232"/>
    <w:rsid w:val="006A5B8E"/>
    <w:rsid w:val="006A6EE1"/>
    <w:rsid w:val="006B49EA"/>
    <w:rsid w:val="006B4FE5"/>
    <w:rsid w:val="006C1464"/>
    <w:rsid w:val="006C15AE"/>
    <w:rsid w:val="006C3A02"/>
    <w:rsid w:val="006C7590"/>
    <w:rsid w:val="006D18D9"/>
    <w:rsid w:val="006D1AF1"/>
    <w:rsid w:val="006D1FA3"/>
    <w:rsid w:val="006D281A"/>
    <w:rsid w:val="006D37A5"/>
    <w:rsid w:val="006D404D"/>
    <w:rsid w:val="006E0BFA"/>
    <w:rsid w:val="006E11A3"/>
    <w:rsid w:val="006E391F"/>
    <w:rsid w:val="006E58D3"/>
    <w:rsid w:val="006E78FC"/>
    <w:rsid w:val="006F2A2F"/>
    <w:rsid w:val="006F656B"/>
    <w:rsid w:val="00705800"/>
    <w:rsid w:val="00705C03"/>
    <w:rsid w:val="00711E40"/>
    <w:rsid w:val="00715D3C"/>
    <w:rsid w:val="00717941"/>
    <w:rsid w:val="00720817"/>
    <w:rsid w:val="007216CC"/>
    <w:rsid w:val="007228FF"/>
    <w:rsid w:val="00723204"/>
    <w:rsid w:val="007245DC"/>
    <w:rsid w:val="00724AD8"/>
    <w:rsid w:val="00725B48"/>
    <w:rsid w:val="00726051"/>
    <w:rsid w:val="00726F50"/>
    <w:rsid w:val="00727099"/>
    <w:rsid w:val="00733BE9"/>
    <w:rsid w:val="0073536B"/>
    <w:rsid w:val="00737F5A"/>
    <w:rsid w:val="00741B8B"/>
    <w:rsid w:val="007439DA"/>
    <w:rsid w:val="007455D7"/>
    <w:rsid w:val="00745890"/>
    <w:rsid w:val="00750106"/>
    <w:rsid w:val="00750671"/>
    <w:rsid w:val="00750E5F"/>
    <w:rsid w:val="00752BB8"/>
    <w:rsid w:val="00753A4B"/>
    <w:rsid w:val="00755CA8"/>
    <w:rsid w:val="00755EE2"/>
    <w:rsid w:val="0075721F"/>
    <w:rsid w:val="00760056"/>
    <w:rsid w:val="007602D4"/>
    <w:rsid w:val="00760E47"/>
    <w:rsid w:val="00762309"/>
    <w:rsid w:val="00765543"/>
    <w:rsid w:val="007659B8"/>
    <w:rsid w:val="0077061E"/>
    <w:rsid w:val="00772180"/>
    <w:rsid w:val="0077228A"/>
    <w:rsid w:val="00772E0D"/>
    <w:rsid w:val="00773D84"/>
    <w:rsid w:val="00774626"/>
    <w:rsid w:val="00780D1A"/>
    <w:rsid w:val="00784735"/>
    <w:rsid w:val="00785623"/>
    <w:rsid w:val="00785AC4"/>
    <w:rsid w:val="00786FE5"/>
    <w:rsid w:val="00790DAE"/>
    <w:rsid w:val="007926FE"/>
    <w:rsid w:val="00793BB3"/>
    <w:rsid w:val="00794EB8"/>
    <w:rsid w:val="007952DE"/>
    <w:rsid w:val="007965BA"/>
    <w:rsid w:val="007A10E1"/>
    <w:rsid w:val="007A343C"/>
    <w:rsid w:val="007A3854"/>
    <w:rsid w:val="007A4488"/>
    <w:rsid w:val="007A5D71"/>
    <w:rsid w:val="007A6978"/>
    <w:rsid w:val="007B06EE"/>
    <w:rsid w:val="007B2057"/>
    <w:rsid w:val="007B288E"/>
    <w:rsid w:val="007B2906"/>
    <w:rsid w:val="007B3631"/>
    <w:rsid w:val="007B49DD"/>
    <w:rsid w:val="007C2A34"/>
    <w:rsid w:val="007C4E7D"/>
    <w:rsid w:val="007C5BA0"/>
    <w:rsid w:val="007C6226"/>
    <w:rsid w:val="007C6A8B"/>
    <w:rsid w:val="007C6D92"/>
    <w:rsid w:val="007D01D9"/>
    <w:rsid w:val="007D1EE4"/>
    <w:rsid w:val="007D2B59"/>
    <w:rsid w:val="007D2C07"/>
    <w:rsid w:val="007E14FF"/>
    <w:rsid w:val="007E2C90"/>
    <w:rsid w:val="007E456A"/>
    <w:rsid w:val="007E4B47"/>
    <w:rsid w:val="007E541F"/>
    <w:rsid w:val="007E753F"/>
    <w:rsid w:val="007F0683"/>
    <w:rsid w:val="007F18E5"/>
    <w:rsid w:val="007F2079"/>
    <w:rsid w:val="007F2FED"/>
    <w:rsid w:val="007F3E76"/>
    <w:rsid w:val="007F4FBD"/>
    <w:rsid w:val="00804513"/>
    <w:rsid w:val="00805980"/>
    <w:rsid w:val="00807061"/>
    <w:rsid w:val="00810AF6"/>
    <w:rsid w:val="00810E32"/>
    <w:rsid w:val="008113FC"/>
    <w:rsid w:val="0081180C"/>
    <w:rsid w:val="00812AC5"/>
    <w:rsid w:val="00812DBC"/>
    <w:rsid w:val="00815564"/>
    <w:rsid w:val="0082014B"/>
    <w:rsid w:val="00821B66"/>
    <w:rsid w:val="00823009"/>
    <w:rsid w:val="00826263"/>
    <w:rsid w:val="00826767"/>
    <w:rsid w:val="008269C1"/>
    <w:rsid w:val="008269FA"/>
    <w:rsid w:val="00826C0E"/>
    <w:rsid w:val="00832ABD"/>
    <w:rsid w:val="00833E22"/>
    <w:rsid w:val="00834FA2"/>
    <w:rsid w:val="00834FDC"/>
    <w:rsid w:val="00836810"/>
    <w:rsid w:val="008372DF"/>
    <w:rsid w:val="00844367"/>
    <w:rsid w:val="00846AD3"/>
    <w:rsid w:val="00847B2A"/>
    <w:rsid w:val="008508BB"/>
    <w:rsid w:val="00851263"/>
    <w:rsid w:val="00853F13"/>
    <w:rsid w:val="008558F1"/>
    <w:rsid w:val="00856B13"/>
    <w:rsid w:val="00860124"/>
    <w:rsid w:val="008616E5"/>
    <w:rsid w:val="00872173"/>
    <w:rsid w:val="00873A5E"/>
    <w:rsid w:val="00874619"/>
    <w:rsid w:val="00875E39"/>
    <w:rsid w:val="008825D5"/>
    <w:rsid w:val="008828F9"/>
    <w:rsid w:val="008836DF"/>
    <w:rsid w:val="008879AB"/>
    <w:rsid w:val="00891362"/>
    <w:rsid w:val="00891EB2"/>
    <w:rsid w:val="0089374C"/>
    <w:rsid w:val="0089392F"/>
    <w:rsid w:val="00896AED"/>
    <w:rsid w:val="00897613"/>
    <w:rsid w:val="008A0670"/>
    <w:rsid w:val="008A0D98"/>
    <w:rsid w:val="008A74CE"/>
    <w:rsid w:val="008B0629"/>
    <w:rsid w:val="008B1DD0"/>
    <w:rsid w:val="008C0603"/>
    <w:rsid w:val="008C3CAA"/>
    <w:rsid w:val="008C423A"/>
    <w:rsid w:val="008C5F37"/>
    <w:rsid w:val="008C60F3"/>
    <w:rsid w:val="008C664D"/>
    <w:rsid w:val="008D0E42"/>
    <w:rsid w:val="008D2320"/>
    <w:rsid w:val="008D4560"/>
    <w:rsid w:val="008D6917"/>
    <w:rsid w:val="008D7908"/>
    <w:rsid w:val="008E22C5"/>
    <w:rsid w:val="008E5445"/>
    <w:rsid w:val="008F53F0"/>
    <w:rsid w:val="009003DB"/>
    <w:rsid w:val="00901021"/>
    <w:rsid w:val="00902285"/>
    <w:rsid w:val="00903A79"/>
    <w:rsid w:val="00903C0C"/>
    <w:rsid w:val="00906E81"/>
    <w:rsid w:val="00907609"/>
    <w:rsid w:val="0091012D"/>
    <w:rsid w:val="00910277"/>
    <w:rsid w:val="0091209C"/>
    <w:rsid w:val="009131A1"/>
    <w:rsid w:val="00914A45"/>
    <w:rsid w:val="00915430"/>
    <w:rsid w:val="00915F9D"/>
    <w:rsid w:val="00921D61"/>
    <w:rsid w:val="0092273E"/>
    <w:rsid w:val="009229B3"/>
    <w:rsid w:val="00926087"/>
    <w:rsid w:val="00932936"/>
    <w:rsid w:val="009343D5"/>
    <w:rsid w:val="00940730"/>
    <w:rsid w:val="0094079D"/>
    <w:rsid w:val="00942B32"/>
    <w:rsid w:val="00942D43"/>
    <w:rsid w:val="00943215"/>
    <w:rsid w:val="00945212"/>
    <w:rsid w:val="0094684E"/>
    <w:rsid w:val="00950BD3"/>
    <w:rsid w:val="00953F8D"/>
    <w:rsid w:val="009575DA"/>
    <w:rsid w:val="0096103D"/>
    <w:rsid w:val="00961DE3"/>
    <w:rsid w:val="009636BA"/>
    <w:rsid w:val="0096382C"/>
    <w:rsid w:val="00964D74"/>
    <w:rsid w:val="00967459"/>
    <w:rsid w:val="009701CC"/>
    <w:rsid w:val="00970EDE"/>
    <w:rsid w:val="0098024D"/>
    <w:rsid w:val="009824C0"/>
    <w:rsid w:val="00982636"/>
    <w:rsid w:val="00983469"/>
    <w:rsid w:val="009846DC"/>
    <w:rsid w:val="00985F14"/>
    <w:rsid w:val="00987056"/>
    <w:rsid w:val="009870E4"/>
    <w:rsid w:val="00990D7B"/>
    <w:rsid w:val="009A08DE"/>
    <w:rsid w:val="009A2D47"/>
    <w:rsid w:val="009A5A9E"/>
    <w:rsid w:val="009A5E01"/>
    <w:rsid w:val="009A6075"/>
    <w:rsid w:val="009A628A"/>
    <w:rsid w:val="009A69AC"/>
    <w:rsid w:val="009B0CAB"/>
    <w:rsid w:val="009B1A8D"/>
    <w:rsid w:val="009B1CFC"/>
    <w:rsid w:val="009B30D7"/>
    <w:rsid w:val="009B373B"/>
    <w:rsid w:val="009B57D8"/>
    <w:rsid w:val="009B6468"/>
    <w:rsid w:val="009C1F52"/>
    <w:rsid w:val="009C5887"/>
    <w:rsid w:val="009C6CBE"/>
    <w:rsid w:val="009C75D3"/>
    <w:rsid w:val="009D0D89"/>
    <w:rsid w:val="009D43A9"/>
    <w:rsid w:val="009D754F"/>
    <w:rsid w:val="009D7C95"/>
    <w:rsid w:val="009E0445"/>
    <w:rsid w:val="009E1941"/>
    <w:rsid w:val="009E3EEA"/>
    <w:rsid w:val="009E750F"/>
    <w:rsid w:val="009F05DD"/>
    <w:rsid w:val="009F54D2"/>
    <w:rsid w:val="009F73DD"/>
    <w:rsid w:val="00A016E6"/>
    <w:rsid w:val="00A0435E"/>
    <w:rsid w:val="00A04A66"/>
    <w:rsid w:val="00A04DBF"/>
    <w:rsid w:val="00A061C4"/>
    <w:rsid w:val="00A12758"/>
    <w:rsid w:val="00A1420F"/>
    <w:rsid w:val="00A159B3"/>
    <w:rsid w:val="00A17E3A"/>
    <w:rsid w:val="00A20DB1"/>
    <w:rsid w:val="00A2168B"/>
    <w:rsid w:val="00A22859"/>
    <w:rsid w:val="00A22D79"/>
    <w:rsid w:val="00A25C70"/>
    <w:rsid w:val="00A27350"/>
    <w:rsid w:val="00A30810"/>
    <w:rsid w:val="00A3171D"/>
    <w:rsid w:val="00A3323C"/>
    <w:rsid w:val="00A335A5"/>
    <w:rsid w:val="00A33912"/>
    <w:rsid w:val="00A41298"/>
    <w:rsid w:val="00A43BDE"/>
    <w:rsid w:val="00A45CC9"/>
    <w:rsid w:val="00A46F1A"/>
    <w:rsid w:val="00A47257"/>
    <w:rsid w:val="00A5231C"/>
    <w:rsid w:val="00A52F6A"/>
    <w:rsid w:val="00A5356A"/>
    <w:rsid w:val="00A56821"/>
    <w:rsid w:val="00A61001"/>
    <w:rsid w:val="00A6172F"/>
    <w:rsid w:val="00A6217D"/>
    <w:rsid w:val="00A653EB"/>
    <w:rsid w:val="00A65B0B"/>
    <w:rsid w:val="00A65B8F"/>
    <w:rsid w:val="00A70C0F"/>
    <w:rsid w:val="00A71AE1"/>
    <w:rsid w:val="00A71AEC"/>
    <w:rsid w:val="00A71E5F"/>
    <w:rsid w:val="00A72D2A"/>
    <w:rsid w:val="00A73B84"/>
    <w:rsid w:val="00A75283"/>
    <w:rsid w:val="00A83870"/>
    <w:rsid w:val="00A83B6B"/>
    <w:rsid w:val="00A85B8B"/>
    <w:rsid w:val="00A8641D"/>
    <w:rsid w:val="00A925AC"/>
    <w:rsid w:val="00A96D4F"/>
    <w:rsid w:val="00AA00EB"/>
    <w:rsid w:val="00AA0F67"/>
    <w:rsid w:val="00AA23F7"/>
    <w:rsid w:val="00AA689D"/>
    <w:rsid w:val="00AA7E03"/>
    <w:rsid w:val="00AB27E0"/>
    <w:rsid w:val="00AB2CD5"/>
    <w:rsid w:val="00AC07BD"/>
    <w:rsid w:val="00AC0842"/>
    <w:rsid w:val="00AC3059"/>
    <w:rsid w:val="00AC3F84"/>
    <w:rsid w:val="00AC52A4"/>
    <w:rsid w:val="00AC7BB7"/>
    <w:rsid w:val="00AD0618"/>
    <w:rsid w:val="00AD15A2"/>
    <w:rsid w:val="00AD3469"/>
    <w:rsid w:val="00AD7292"/>
    <w:rsid w:val="00AE051C"/>
    <w:rsid w:val="00AE0C8E"/>
    <w:rsid w:val="00AE2994"/>
    <w:rsid w:val="00AE33A0"/>
    <w:rsid w:val="00AE3BCE"/>
    <w:rsid w:val="00AE49F7"/>
    <w:rsid w:val="00AE7C1E"/>
    <w:rsid w:val="00AF0C06"/>
    <w:rsid w:val="00AF1E07"/>
    <w:rsid w:val="00AF2BDD"/>
    <w:rsid w:val="00AF3387"/>
    <w:rsid w:val="00AF57D7"/>
    <w:rsid w:val="00AF67A0"/>
    <w:rsid w:val="00B016B9"/>
    <w:rsid w:val="00B01720"/>
    <w:rsid w:val="00B01A36"/>
    <w:rsid w:val="00B01E00"/>
    <w:rsid w:val="00B0208D"/>
    <w:rsid w:val="00B0217B"/>
    <w:rsid w:val="00B045EA"/>
    <w:rsid w:val="00B0589C"/>
    <w:rsid w:val="00B05EFB"/>
    <w:rsid w:val="00B06CC1"/>
    <w:rsid w:val="00B077E1"/>
    <w:rsid w:val="00B11029"/>
    <w:rsid w:val="00B11A21"/>
    <w:rsid w:val="00B133E6"/>
    <w:rsid w:val="00B13BFB"/>
    <w:rsid w:val="00B1466A"/>
    <w:rsid w:val="00B16F1A"/>
    <w:rsid w:val="00B203B5"/>
    <w:rsid w:val="00B216B8"/>
    <w:rsid w:val="00B22031"/>
    <w:rsid w:val="00B22A28"/>
    <w:rsid w:val="00B23C9C"/>
    <w:rsid w:val="00B24C98"/>
    <w:rsid w:val="00B33E89"/>
    <w:rsid w:val="00B34D35"/>
    <w:rsid w:val="00B379F2"/>
    <w:rsid w:val="00B40ACA"/>
    <w:rsid w:val="00B44398"/>
    <w:rsid w:val="00B460B7"/>
    <w:rsid w:val="00B47BFB"/>
    <w:rsid w:val="00B51E8E"/>
    <w:rsid w:val="00B558DC"/>
    <w:rsid w:val="00B56A76"/>
    <w:rsid w:val="00B56B7F"/>
    <w:rsid w:val="00B5738B"/>
    <w:rsid w:val="00B618F4"/>
    <w:rsid w:val="00B67038"/>
    <w:rsid w:val="00B67949"/>
    <w:rsid w:val="00B67ADD"/>
    <w:rsid w:val="00B704E5"/>
    <w:rsid w:val="00B71D8A"/>
    <w:rsid w:val="00B73A38"/>
    <w:rsid w:val="00B754E0"/>
    <w:rsid w:val="00B756C1"/>
    <w:rsid w:val="00B766DE"/>
    <w:rsid w:val="00B81777"/>
    <w:rsid w:val="00B8183F"/>
    <w:rsid w:val="00B81ECF"/>
    <w:rsid w:val="00B82DE9"/>
    <w:rsid w:val="00B834DD"/>
    <w:rsid w:val="00B83CD8"/>
    <w:rsid w:val="00B8412E"/>
    <w:rsid w:val="00B955FA"/>
    <w:rsid w:val="00BA0D3B"/>
    <w:rsid w:val="00BA0E85"/>
    <w:rsid w:val="00BA17CE"/>
    <w:rsid w:val="00BA2D07"/>
    <w:rsid w:val="00BA4153"/>
    <w:rsid w:val="00BA63E8"/>
    <w:rsid w:val="00BA737B"/>
    <w:rsid w:val="00BB1CE8"/>
    <w:rsid w:val="00BB1E14"/>
    <w:rsid w:val="00BB314A"/>
    <w:rsid w:val="00BB3EA3"/>
    <w:rsid w:val="00BB508C"/>
    <w:rsid w:val="00BB7240"/>
    <w:rsid w:val="00BC1ACE"/>
    <w:rsid w:val="00BC2485"/>
    <w:rsid w:val="00BC2B29"/>
    <w:rsid w:val="00BC4338"/>
    <w:rsid w:val="00BC4379"/>
    <w:rsid w:val="00BC7737"/>
    <w:rsid w:val="00BD04FB"/>
    <w:rsid w:val="00BD1FA2"/>
    <w:rsid w:val="00BD3D77"/>
    <w:rsid w:val="00BD4DA8"/>
    <w:rsid w:val="00BE25C4"/>
    <w:rsid w:val="00BE2AC2"/>
    <w:rsid w:val="00BE32D8"/>
    <w:rsid w:val="00BE439E"/>
    <w:rsid w:val="00BE4F21"/>
    <w:rsid w:val="00BE549A"/>
    <w:rsid w:val="00BE5EA6"/>
    <w:rsid w:val="00BF0578"/>
    <w:rsid w:val="00C0107F"/>
    <w:rsid w:val="00C016C6"/>
    <w:rsid w:val="00C02851"/>
    <w:rsid w:val="00C12517"/>
    <w:rsid w:val="00C138D1"/>
    <w:rsid w:val="00C15A8A"/>
    <w:rsid w:val="00C16799"/>
    <w:rsid w:val="00C16ABD"/>
    <w:rsid w:val="00C229C9"/>
    <w:rsid w:val="00C24147"/>
    <w:rsid w:val="00C25FE0"/>
    <w:rsid w:val="00C27521"/>
    <w:rsid w:val="00C2771C"/>
    <w:rsid w:val="00C27BD7"/>
    <w:rsid w:val="00C30AE5"/>
    <w:rsid w:val="00C31C2C"/>
    <w:rsid w:val="00C33317"/>
    <w:rsid w:val="00C33510"/>
    <w:rsid w:val="00C34408"/>
    <w:rsid w:val="00C3493A"/>
    <w:rsid w:val="00C40809"/>
    <w:rsid w:val="00C42B6C"/>
    <w:rsid w:val="00C449B5"/>
    <w:rsid w:val="00C45347"/>
    <w:rsid w:val="00C4622E"/>
    <w:rsid w:val="00C52E09"/>
    <w:rsid w:val="00C52EAE"/>
    <w:rsid w:val="00C533EE"/>
    <w:rsid w:val="00C53DD9"/>
    <w:rsid w:val="00C54515"/>
    <w:rsid w:val="00C55CD8"/>
    <w:rsid w:val="00C601BD"/>
    <w:rsid w:val="00C65B7A"/>
    <w:rsid w:val="00C70317"/>
    <w:rsid w:val="00C7114D"/>
    <w:rsid w:val="00C725C9"/>
    <w:rsid w:val="00C744AF"/>
    <w:rsid w:val="00C7786F"/>
    <w:rsid w:val="00C8042B"/>
    <w:rsid w:val="00C80BC1"/>
    <w:rsid w:val="00C8320F"/>
    <w:rsid w:val="00C86046"/>
    <w:rsid w:val="00C86A65"/>
    <w:rsid w:val="00C87170"/>
    <w:rsid w:val="00C9211C"/>
    <w:rsid w:val="00C937EE"/>
    <w:rsid w:val="00C94502"/>
    <w:rsid w:val="00C94944"/>
    <w:rsid w:val="00C97D23"/>
    <w:rsid w:val="00CA149C"/>
    <w:rsid w:val="00CA1DE0"/>
    <w:rsid w:val="00CA3A73"/>
    <w:rsid w:val="00CB1A7F"/>
    <w:rsid w:val="00CB44F9"/>
    <w:rsid w:val="00CB4E1B"/>
    <w:rsid w:val="00CB6ABA"/>
    <w:rsid w:val="00CC7246"/>
    <w:rsid w:val="00CC7DF7"/>
    <w:rsid w:val="00CD3BD9"/>
    <w:rsid w:val="00CD41D7"/>
    <w:rsid w:val="00CD6B16"/>
    <w:rsid w:val="00CE18FA"/>
    <w:rsid w:val="00CE2F08"/>
    <w:rsid w:val="00CE44E4"/>
    <w:rsid w:val="00CE6297"/>
    <w:rsid w:val="00CE6CDB"/>
    <w:rsid w:val="00CF1489"/>
    <w:rsid w:val="00CF3363"/>
    <w:rsid w:val="00CF670D"/>
    <w:rsid w:val="00CF706C"/>
    <w:rsid w:val="00D0073D"/>
    <w:rsid w:val="00D013E3"/>
    <w:rsid w:val="00D03AC8"/>
    <w:rsid w:val="00D0462D"/>
    <w:rsid w:val="00D06507"/>
    <w:rsid w:val="00D10248"/>
    <w:rsid w:val="00D1128F"/>
    <w:rsid w:val="00D11B7E"/>
    <w:rsid w:val="00D12FF6"/>
    <w:rsid w:val="00D14025"/>
    <w:rsid w:val="00D143AF"/>
    <w:rsid w:val="00D215BF"/>
    <w:rsid w:val="00D251BD"/>
    <w:rsid w:val="00D26A68"/>
    <w:rsid w:val="00D30F26"/>
    <w:rsid w:val="00D311DB"/>
    <w:rsid w:val="00D32F39"/>
    <w:rsid w:val="00D345D9"/>
    <w:rsid w:val="00D375F9"/>
    <w:rsid w:val="00D409FB"/>
    <w:rsid w:val="00D40E22"/>
    <w:rsid w:val="00D45042"/>
    <w:rsid w:val="00D45060"/>
    <w:rsid w:val="00D479F4"/>
    <w:rsid w:val="00D47A85"/>
    <w:rsid w:val="00D519B5"/>
    <w:rsid w:val="00D555A6"/>
    <w:rsid w:val="00D55AAD"/>
    <w:rsid w:val="00D56FB2"/>
    <w:rsid w:val="00D57141"/>
    <w:rsid w:val="00D57BA7"/>
    <w:rsid w:val="00D61CD2"/>
    <w:rsid w:val="00D642AA"/>
    <w:rsid w:val="00D6583D"/>
    <w:rsid w:val="00D66C6B"/>
    <w:rsid w:val="00D718E8"/>
    <w:rsid w:val="00D71980"/>
    <w:rsid w:val="00D71E4C"/>
    <w:rsid w:val="00D72CFF"/>
    <w:rsid w:val="00D7390B"/>
    <w:rsid w:val="00D82999"/>
    <w:rsid w:val="00D86473"/>
    <w:rsid w:val="00D86A9A"/>
    <w:rsid w:val="00D875AF"/>
    <w:rsid w:val="00D910D6"/>
    <w:rsid w:val="00D91822"/>
    <w:rsid w:val="00D941CA"/>
    <w:rsid w:val="00D9527A"/>
    <w:rsid w:val="00DA11D7"/>
    <w:rsid w:val="00DA3C8B"/>
    <w:rsid w:val="00DA5180"/>
    <w:rsid w:val="00DA5C53"/>
    <w:rsid w:val="00DA64D6"/>
    <w:rsid w:val="00DA72C3"/>
    <w:rsid w:val="00DB0BCD"/>
    <w:rsid w:val="00DB36D7"/>
    <w:rsid w:val="00DB4713"/>
    <w:rsid w:val="00DB58E1"/>
    <w:rsid w:val="00DB6872"/>
    <w:rsid w:val="00DB6E31"/>
    <w:rsid w:val="00DC1A5D"/>
    <w:rsid w:val="00DC2109"/>
    <w:rsid w:val="00DC540D"/>
    <w:rsid w:val="00DC58D3"/>
    <w:rsid w:val="00DD1A4A"/>
    <w:rsid w:val="00DD2B7E"/>
    <w:rsid w:val="00DD5486"/>
    <w:rsid w:val="00DD6703"/>
    <w:rsid w:val="00DD713D"/>
    <w:rsid w:val="00DD7A68"/>
    <w:rsid w:val="00DE2BDF"/>
    <w:rsid w:val="00DE3C47"/>
    <w:rsid w:val="00DE4360"/>
    <w:rsid w:val="00DE66FC"/>
    <w:rsid w:val="00DE7200"/>
    <w:rsid w:val="00DE79FE"/>
    <w:rsid w:val="00DF09A6"/>
    <w:rsid w:val="00DF0B14"/>
    <w:rsid w:val="00DF62FA"/>
    <w:rsid w:val="00E002F4"/>
    <w:rsid w:val="00E0369E"/>
    <w:rsid w:val="00E03B93"/>
    <w:rsid w:val="00E06192"/>
    <w:rsid w:val="00E10731"/>
    <w:rsid w:val="00E1158D"/>
    <w:rsid w:val="00E12C01"/>
    <w:rsid w:val="00E12F14"/>
    <w:rsid w:val="00E13ED6"/>
    <w:rsid w:val="00E1464C"/>
    <w:rsid w:val="00E149D1"/>
    <w:rsid w:val="00E2191D"/>
    <w:rsid w:val="00E23518"/>
    <w:rsid w:val="00E2633E"/>
    <w:rsid w:val="00E30D3B"/>
    <w:rsid w:val="00E31D6F"/>
    <w:rsid w:val="00E31E81"/>
    <w:rsid w:val="00E3661C"/>
    <w:rsid w:val="00E36D9E"/>
    <w:rsid w:val="00E40BC7"/>
    <w:rsid w:val="00E417BE"/>
    <w:rsid w:val="00E53873"/>
    <w:rsid w:val="00E53F1D"/>
    <w:rsid w:val="00E5583C"/>
    <w:rsid w:val="00E561D3"/>
    <w:rsid w:val="00E615F5"/>
    <w:rsid w:val="00E63836"/>
    <w:rsid w:val="00E6383B"/>
    <w:rsid w:val="00E6509A"/>
    <w:rsid w:val="00E70F31"/>
    <w:rsid w:val="00E73343"/>
    <w:rsid w:val="00E81706"/>
    <w:rsid w:val="00E84CAC"/>
    <w:rsid w:val="00E9002B"/>
    <w:rsid w:val="00E9016D"/>
    <w:rsid w:val="00E9387D"/>
    <w:rsid w:val="00E966EC"/>
    <w:rsid w:val="00E97703"/>
    <w:rsid w:val="00EA311B"/>
    <w:rsid w:val="00EA43FA"/>
    <w:rsid w:val="00EA57CC"/>
    <w:rsid w:val="00EA6220"/>
    <w:rsid w:val="00EA6B2C"/>
    <w:rsid w:val="00EB03F3"/>
    <w:rsid w:val="00EB0AE0"/>
    <w:rsid w:val="00EB0B86"/>
    <w:rsid w:val="00EB2D68"/>
    <w:rsid w:val="00EB5D78"/>
    <w:rsid w:val="00EB5F6E"/>
    <w:rsid w:val="00EB72FC"/>
    <w:rsid w:val="00EC0998"/>
    <w:rsid w:val="00EC17EB"/>
    <w:rsid w:val="00EC6F77"/>
    <w:rsid w:val="00ED1066"/>
    <w:rsid w:val="00ED10BB"/>
    <w:rsid w:val="00ED13B2"/>
    <w:rsid w:val="00ED2EB7"/>
    <w:rsid w:val="00EE2641"/>
    <w:rsid w:val="00EE37E9"/>
    <w:rsid w:val="00EE3FEF"/>
    <w:rsid w:val="00EE6BEA"/>
    <w:rsid w:val="00EF11F0"/>
    <w:rsid w:val="00EF1367"/>
    <w:rsid w:val="00EF1D9A"/>
    <w:rsid w:val="00EF3ACD"/>
    <w:rsid w:val="00EF476C"/>
    <w:rsid w:val="00EF5512"/>
    <w:rsid w:val="00F01E0A"/>
    <w:rsid w:val="00F03143"/>
    <w:rsid w:val="00F03DFA"/>
    <w:rsid w:val="00F04325"/>
    <w:rsid w:val="00F05746"/>
    <w:rsid w:val="00F06E78"/>
    <w:rsid w:val="00F07984"/>
    <w:rsid w:val="00F1071A"/>
    <w:rsid w:val="00F10ADF"/>
    <w:rsid w:val="00F1281E"/>
    <w:rsid w:val="00F13C2A"/>
    <w:rsid w:val="00F152D4"/>
    <w:rsid w:val="00F15734"/>
    <w:rsid w:val="00F158B4"/>
    <w:rsid w:val="00F20B7F"/>
    <w:rsid w:val="00F20DB5"/>
    <w:rsid w:val="00F26F5C"/>
    <w:rsid w:val="00F311EA"/>
    <w:rsid w:val="00F31414"/>
    <w:rsid w:val="00F366DC"/>
    <w:rsid w:val="00F37B68"/>
    <w:rsid w:val="00F37B78"/>
    <w:rsid w:val="00F40B90"/>
    <w:rsid w:val="00F40E3D"/>
    <w:rsid w:val="00F43A31"/>
    <w:rsid w:val="00F43FCE"/>
    <w:rsid w:val="00F4441B"/>
    <w:rsid w:val="00F45507"/>
    <w:rsid w:val="00F52AEF"/>
    <w:rsid w:val="00F538CA"/>
    <w:rsid w:val="00F548E1"/>
    <w:rsid w:val="00F570C3"/>
    <w:rsid w:val="00F57FE7"/>
    <w:rsid w:val="00F6056C"/>
    <w:rsid w:val="00F621D0"/>
    <w:rsid w:val="00F63170"/>
    <w:rsid w:val="00F65074"/>
    <w:rsid w:val="00F65539"/>
    <w:rsid w:val="00F667EE"/>
    <w:rsid w:val="00F72D9A"/>
    <w:rsid w:val="00F74D15"/>
    <w:rsid w:val="00F7564C"/>
    <w:rsid w:val="00F765E1"/>
    <w:rsid w:val="00F77203"/>
    <w:rsid w:val="00F804A9"/>
    <w:rsid w:val="00F831AC"/>
    <w:rsid w:val="00F8336A"/>
    <w:rsid w:val="00F83AE1"/>
    <w:rsid w:val="00F83FB1"/>
    <w:rsid w:val="00F842AE"/>
    <w:rsid w:val="00F84691"/>
    <w:rsid w:val="00F85012"/>
    <w:rsid w:val="00F86042"/>
    <w:rsid w:val="00F87E94"/>
    <w:rsid w:val="00F92447"/>
    <w:rsid w:val="00F929CD"/>
    <w:rsid w:val="00F93E3A"/>
    <w:rsid w:val="00F941CF"/>
    <w:rsid w:val="00F94901"/>
    <w:rsid w:val="00F95735"/>
    <w:rsid w:val="00F967F0"/>
    <w:rsid w:val="00FA15D7"/>
    <w:rsid w:val="00FA2B66"/>
    <w:rsid w:val="00FA5C1D"/>
    <w:rsid w:val="00FA7622"/>
    <w:rsid w:val="00FB081E"/>
    <w:rsid w:val="00FB263C"/>
    <w:rsid w:val="00FB5B64"/>
    <w:rsid w:val="00FB5DEA"/>
    <w:rsid w:val="00FB7483"/>
    <w:rsid w:val="00FB7979"/>
    <w:rsid w:val="00FC0AE0"/>
    <w:rsid w:val="00FC19A6"/>
    <w:rsid w:val="00FC1A41"/>
    <w:rsid w:val="00FC221C"/>
    <w:rsid w:val="00FD56F3"/>
    <w:rsid w:val="00FD5D9F"/>
    <w:rsid w:val="00FD6295"/>
    <w:rsid w:val="00FD667A"/>
    <w:rsid w:val="00FD6D1B"/>
    <w:rsid w:val="00FE0D1A"/>
    <w:rsid w:val="00FE29C9"/>
    <w:rsid w:val="00FE2FE8"/>
    <w:rsid w:val="00FE2FF1"/>
    <w:rsid w:val="00FE3427"/>
    <w:rsid w:val="00FE5E97"/>
    <w:rsid w:val="00FF02D8"/>
    <w:rsid w:val="00FF12B8"/>
    <w:rsid w:val="00FF166C"/>
    <w:rsid w:val="00FF1BE0"/>
    <w:rsid w:val="00FF58B9"/>
    <w:rsid w:val="00FF76BC"/>
    <w:rsid w:val="00FF79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5840D0"/>
  <w15:chartTrackingRefBased/>
  <w15:docId w15:val="{37F7FE53-DA67-41B5-A446-511C7C3EF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B748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B748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D689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0022"/>
    <w:pPr>
      <w:ind w:left="720"/>
      <w:contextualSpacing/>
    </w:pPr>
  </w:style>
  <w:style w:type="paragraph" w:styleId="FootnoteText">
    <w:name w:val="footnote text"/>
    <w:aliases w:val=" Char,A,ADB,Char,DSE note,FN,FOOTNOTES,Footnote Text Char1,Footnote Text Char1 Char Char,Footnote Text Char1 Char Char Char Char,Footnote Text Char2 Char,Footnote Text Char2 Char Char Char,Fußnote,Geneva 9,f,fn,footnote text,ft,single spac"/>
    <w:basedOn w:val="Normal"/>
    <w:link w:val="FootnoteTextChar"/>
    <w:uiPriority w:val="99"/>
    <w:unhideWhenUsed/>
    <w:qFormat/>
    <w:rsid w:val="00031BD2"/>
    <w:pPr>
      <w:spacing w:after="0" w:line="240" w:lineRule="auto"/>
    </w:pPr>
    <w:rPr>
      <w:sz w:val="20"/>
      <w:szCs w:val="20"/>
    </w:rPr>
  </w:style>
  <w:style w:type="character" w:customStyle="1" w:styleId="FootnoteTextChar">
    <w:name w:val="Footnote Text Char"/>
    <w:aliases w:val=" Char Char,A Char,ADB Char,Char Char,DSE note Char,FN Char,FOOTNOTES Char,Footnote Text Char1 Char,Footnote Text Char1 Char Char Char,Footnote Text Char1 Char Char Char Char Char,Footnote Text Char2 Char Char,Fußnote Char,f Char"/>
    <w:basedOn w:val="DefaultParagraphFont"/>
    <w:link w:val="FootnoteText"/>
    <w:uiPriority w:val="99"/>
    <w:qFormat/>
    <w:rsid w:val="00031BD2"/>
    <w:rPr>
      <w:sz w:val="20"/>
      <w:szCs w:val="20"/>
    </w:rPr>
  </w:style>
  <w:style w:type="character" w:styleId="FootnoteReference">
    <w:name w:val="footnote reference"/>
    <w:aliases w:val=" BVI fnr,16 Point,BVI,BVI ,BVI f,BVI fnr,Car Car Char Car Char Car Car Char Car Char Char,Car1,Footnote,Footnote Reference Number,Footnote Reference1,R,Re,Ref,SUPERS,Superscript 6 Point,de nota al pie,f1,footnote ref,fr,ftref,heading1"/>
    <w:basedOn w:val="DefaultParagraphFont"/>
    <w:link w:val="CarattereCarattereCharCharCharCharCharCharZchn"/>
    <w:uiPriority w:val="99"/>
    <w:unhideWhenUsed/>
    <w:qFormat/>
    <w:rsid w:val="00031BD2"/>
    <w:rPr>
      <w:vertAlign w:val="superscript"/>
    </w:rPr>
  </w:style>
  <w:style w:type="paragraph" w:customStyle="1" w:styleId="CarattereCarattereCharCharCharCharCharCharZchn">
    <w:name w:val="Carattere Carattere Char Char Char Char Char Char Zchn"/>
    <w:aliases w:val="Carattere Carattere Char Char Char Char Char Char Char Zchn,Char Char Char Char Char Char Char Char Zchn,ftref Char Char Char Char Char Char Zchn,ftref Char Char Char1 Zchn"/>
    <w:basedOn w:val="Normal"/>
    <w:next w:val="Normal"/>
    <w:link w:val="FootnoteReference"/>
    <w:uiPriority w:val="99"/>
    <w:rsid w:val="007439DA"/>
    <w:pPr>
      <w:spacing w:line="240" w:lineRule="exact"/>
      <w:ind w:left="360" w:hanging="360"/>
      <w:jc w:val="both"/>
    </w:pPr>
    <w:rPr>
      <w:vertAlign w:val="superscript"/>
    </w:rPr>
  </w:style>
  <w:style w:type="character" w:styleId="Hyperlink">
    <w:name w:val="Hyperlink"/>
    <w:basedOn w:val="DefaultParagraphFont"/>
    <w:uiPriority w:val="99"/>
    <w:unhideWhenUsed/>
    <w:rsid w:val="00594B67"/>
    <w:rPr>
      <w:color w:val="0563C1" w:themeColor="hyperlink"/>
      <w:u w:val="single"/>
    </w:rPr>
  </w:style>
  <w:style w:type="character" w:styleId="UnresolvedMention">
    <w:name w:val="Unresolved Mention"/>
    <w:basedOn w:val="DefaultParagraphFont"/>
    <w:uiPriority w:val="99"/>
    <w:semiHidden/>
    <w:unhideWhenUsed/>
    <w:rsid w:val="00594B67"/>
    <w:rPr>
      <w:color w:val="605E5C"/>
      <w:shd w:val="clear" w:color="auto" w:fill="E1DFDD"/>
    </w:rPr>
  </w:style>
  <w:style w:type="character" w:customStyle="1" w:styleId="Heading1Char">
    <w:name w:val="Heading 1 Char"/>
    <w:basedOn w:val="DefaultParagraphFont"/>
    <w:link w:val="Heading1"/>
    <w:uiPriority w:val="9"/>
    <w:rsid w:val="00FB7483"/>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FB7483"/>
    <w:pPr>
      <w:outlineLvl w:val="9"/>
    </w:pPr>
    <w:rPr>
      <w:kern w:val="0"/>
      <w14:ligatures w14:val="none"/>
    </w:rPr>
  </w:style>
  <w:style w:type="character" w:customStyle="1" w:styleId="Heading2Char">
    <w:name w:val="Heading 2 Char"/>
    <w:basedOn w:val="DefaultParagraphFont"/>
    <w:link w:val="Heading2"/>
    <w:uiPriority w:val="9"/>
    <w:rsid w:val="00FB7483"/>
    <w:rPr>
      <w:rFonts w:asciiTheme="majorHAnsi" w:eastAsiaTheme="majorEastAsia" w:hAnsiTheme="majorHAnsi" w:cstheme="majorBidi"/>
      <w:color w:val="2F5496" w:themeColor="accent1" w:themeShade="BF"/>
      <w:sz w:val="26"/>
      <w:szCs w:val="26"/>
    </w:rPr>
  </w:style>
  <w:style w:type="paragraph" w:styleId="TOC1">
    <w:name w:val="toc 1"/>
    <w:basedOn w:val="Normal"/>
    <w:next w:val="Normal"/>
    <w:autoRedefine/>
    <w:uiPriority w:val="39"/>
    <w:unhideWhenUsed/>
    <w:rsid w:val="00FB7483"/>
    <w:pPr>
      <w:spacing w:after="100"/>
    </w:pPr>
  </w:style>
  <w:style w:type="paragraph" w:styleId="TOC2">
    <w:name w:val="toc 2"/>
    <w:basedOn w:val="Normal"/>
    <w:next w:val="Normal"/>
    <w:autoRedefine/>
    <w:uiPriority w:val="39"/>
    <w:unhideWhenUsed/>
    <w:rsid w:val="00FB7483"/>
    <w:pPr>
      <w:spacing w:after="100"/>
      <w:ind w:left="220"/>
    </w:pPr>
  </w:style>
  <w:style w:type="character" w:customStyle="1" w:styleId="Heading3Char">
    <w:name w:val="Heading 3 Char"/>
    <w:basedOn w:val="DefaultParagraphFont"/>
    <w:link w:val="Heading3"/>
    <w:uiPriority w:val="9"/>
    <w:rsid w:val="005D689E"/>
    <w:rPr>
      <w:rFonts w:asciiTheme="majorHAnsi" w:eastAsiaTheme="majorEastAsia" w:hAnsiTheme="majorHAnsi" w:cstheme="majorBidi"/>
      <w:color w:val="1F3763" w:themeColor="accent1" w:themeShade="7F"/>
      <w:sz w:val="24"/>
      <w:szCs w:val="24"/>
    </w:rPr>
  </w:style>
  <w:style w:type="paragraph" w:customStyle="1" w:styleId="Default">
    <w:name w:val="Default"/>
    <w:rsid w:val="00305096"/>
    <w:pPr>
      <w:autoSpaceDE w:val="0"/>
      <w:autoSpaceDN w:val="0"/>
      <w:adjustRightInd w:val="0"/>
      <w:spacing w:after="0" w:line="240" w:lineRule="auto"/>
    </w:pPr>
    <w:rPr>
      <w:rFonts w:ascii="Times New Roman" w:hAnsi="Times New Roman" w:cs="Times New Roman"/>
      <w:color w:val="000000"/>
      <w:kern w:val="0"/>
      <w:sz w:val="24"/>
      <w:szCs w:val="24"/>
    </w:rPr>
  </w:style>
  <w:style w:type="paragraph" w:styleId="TOC3">
    <w:name w:val="toc 3"/>
    <w:basedOn w:val="Normal"/>
    <w:next w:val="Normal"/>
    <w:autoRedefine/>
    <w:uiPriority w:val="39"/>
    <w:unhideWhenUsed/>
    <w:rsid w:val="00B5738B"/>
    <w:pPr>
      <w:spacing w:after="100"/>
      <w:ind w:left="440"/>
    </w:pPr>
  </w:style>
  <w:style w:type="paragraph" w:styleId="Header">
    <w:name w:val="header"/>
    <w:basedOn w:val="Normal"/>
    <w:link w:val="HeaderChar"/>
    <w:uiPriority w:val="99"/>
    <w:unhideWhenUsed/>
    <w:rsid w:val="004946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4632"/>
  </w:style>
  <w:style w:type="paragraph" w:styleId="Footer">
    <w:name w:val="footer"/>
    <w:basedOn w:val="Normal"/>
    <w:link w:val="FooterChar"/>
    <w:uiPriority w:val="99"/>
    <w:unhideWhenUsed/>
    <w:rsid w:val="004946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46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2521699">
      <w:bodyDiv w:val="1"/>
      <w:marLeft w:val="0"/>
      <w:marRight w:val="0"/>
      <w:marTop w:val="0"/>
      <w:marBottom w:val="0"/>
      <w:divBdr>
        <w:top w:val="none" w:sz="0" w:space="0" w:color="auto"/>
        <w:left w:val="none" w:sz="0" w:space="0" w:color="auto"/>
        <w:bottom w:val="none" w:sz="0" w:space="0" w:color="auto"/>
        <w:right w:val="none" w:sz="0" w:space="0" w:color="auto"/>
      </w:divBdr>
    </w:div>
    <w:div w:id="1879660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justice.gov/ust/eo/private_trustee/vacancies/11ad" TargetMode="External"/><Relationship Id="rId2" Type="http://schemas.openxmlformats.org/officeDocument/2006/relationships/hyperlink" Target="https://tribunaldecommerce.sn/wp-content/uploads/2020/02/Chiffres20clc3a9s20du20contentieux20traitc3a920au20TCHCD202019.pdfm" TargetMode="External"/><Relationship Id="rId1" Type="http://schemas.openxmlformats.org/officeDocument/2006/relationships/hyperlink" Target="https://www.worldbank.org/en/topic/smefinance" TargetMode="External"/><Relationship Id="rId4" Type="http://schemas.openxmlformats.org/officeDocument/2006/relationships/hyperlink" Target="https://www.justice.gov/opa/pr/us-trustee-program-ready-implement-small-business-reorganization-act-20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D6F8C7C988384409E56E50016D7E9B3" ma:contentTypeVersion="12" ma:contentTypeDescription="Create a new document." ma:contentTypeScope="" ma:versionID="71ec2c4ab317f95ce60361d0e81e8f9f">
  <xsd:schema xmlns:xsd="http://www.w3.org/2001/XMLSchema" xmlns:xs="http://www.w3.org/2001/XMLSchema" xmlns:p="http://schemas.microsoft.com/office/2006/metadata/properties" xmlns:ns2="18e62be2-c4e9-4ce5-a02f-eb20c2d38545" xmlns:ns3="c242c73c-47d0-4b9f-b82b-3a14ebb11afb" targetNamespace="http://schemas.microsoft.com/office/2006/metadata/properties" ma:root="true" ma:fieldsID="b261d60fd61a62b75a1e502085eac76b" ns2:_="" ns3:_="">
    <xsd:import namespace="18e62be2-c4e9-4ce5-a02f-eb20c2d38545"/>
    <xsd:import namespace="c242c73c-47d0-4b9f-b82b-3a14ebb11af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e62be2-c4e9-4ce5-a02f-eb20c2d385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8fd00175-ead4-462a-bd62-8aa33dd9966b"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242c73c-47d0-4b9f-b82b-3a14ebb11afb"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656a6780-6e67-488c-b3c5-edbefee3beb5}" ma:internalName="TaxCatchAll" ma:showField="CatchAllData" ma:web="c242c73c-47d0-4b9f-b82b-3a14ebb11afb">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18e62be2-c4e9-4ce5-a02f-eb20c2d38545">
      <Terms xmlns="http://schemas.microsoft.com/office/infopath/2007/PartnerControls"/>
    </lcf76f155ced4ddcb4097134ff3c332f>
    <TaxCatchAll xmlns="c242c73c-47d0-4b9f-b82b-3a14ebb11afb" xsi:nil="true"/>
  </documentManagement>
</p:properties>
</file>

<file path=customXml/itemProps1.xml><?xml version="1.0" encoding="utf-8"?>
<ds:datastoreItem xmlns:ds="http://schemas.openxmlformats.org/officeDocument/2006/customXml" ds:itemID="{1D08B82E-AA5B-428C-AC9E-AA4C96D93CD5}">
  <ds:schemaRefs>
    <ds:schemaRef ds:uri="http://schemas.openxmlformats.org/officeDocument/2006/bibliography"/>
  </ds:schemaRefs>
</ds:datastoreItem>
</file>

<file path=customXml/itemProps2.xml><?xml version="1.0" encoding="utf-8"?>
<ds:datastoreItem xmlns:ds="http://schemas.openxmlformats.org/officeDocument/2006/customXml" ds:itemID="{419C5835-7DF4-4C61-9FFB-7295821CBEF8}"/>
</file>

<file path=customXml/itemProps3.xml><?xml version="1.0" encoding="utf-8"?>
<ds:datastoreItem xmlns:ds="http://schemas.openxmlformats.org/officeDocument/2006/customXml" ds:itemID="{BB64DF71-9FD8-467D-B481-90C6DF0E2334}"/>
</file>

<file path=customXml/itemProps4.xml><?xml version="1.0" encoding="utf-8"?>
<ds:datastoreItem xmlns:ds="http://schemas.openxmlformats.org/officeDocument/2006/customXml" ds:itemID="{28EF73CA-4956-4DA0-A2ED-826A2D3849A1}"/>
</file>

<file path=docProps/app.xml><?xml version="1.0" encoding="utf-8"?>
<Properties xmlns="http://schemas.openxmlformats.org/officeDocument/2006/extended-properties" xmlns:vt="http://schemas.openxmlformats.org/officeDocument/2006/docPropsVTypes">
  <Template>Normal</Template>
  <TotalTime>1</TotalTime>
  <Pages>21</Pages>
  <Words>5768</Words>
  <Characters>32644</Characters>
  <Application>Microsoft Office Word</Application>
  <DocSecurity>4</DocSecurity>
  <Lines>272</Lines>
  <Paragraphs>76</Paragraphs>
  <ScaleCrop>false</ScaleCrop>
  <Company>WBG</Company>
  <LinksUpToDate>false</LinksUpToDate>
  <CharactersWithSpaces>38336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Paterson</dc:creator>
  <cp:keywords/>
  <dc:description/>
  <cp:lastModifiedBy>Heather Callow</cp:lastModifiedBy>
  <cp:revision>2</cp:revision>
  <cp:lastPrinted>2024-02-26T23:06:00Z</cp:lastPrinted>
  <dcterms:created xsi:type="dcterms:W3CDTF">2024-02-27T11:14:00Z</dcterms:created>
  <dcterms:modified xsi:type="dcterms:W3CDTF">2024-02-27T11:14:00Z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0x0101009D6F8C7C988384409E56E50016D7E9B3</vt:lpwstr>
  </property>
</Properties>
</file>