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F2279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5543B"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55543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2B2331" w:rsidRDefault="00AD0E59" w:rsidP="00AD0E59">
      <w:pPr>
        <w:pStyle w:val="ListParagraph"/>
        <w:numPr>
          <w:ilvl w:val="0"/>
          <w:numId w:val="50"/>
        </w:numPr>
        <w:ind w:left="426" w:hanging="426"/>
        <w:jc w:val="both"/>
        <w:rPr>
          <w:rFonts w:ascii="Avenir Next" w:hAnsi="Avenir Next" w:cs="Arial"/>
          <w:sz w:val="22"/>
          <w:szCs w:val="22"/>
          <w:lang w:val="en-GB"/>
        </w:rPr>
      </w:pPr>
      <w:r w:rsidRPr="002B2331">
        <w:rPr>
          <w:rFonts w:ascii="Avenir Next" w:hAnsi="Avenir Next" w:cs="Arial"/>
          <w:sz w:val="22"/>
          <w:szCs w:val="22"/>
          <w:lang w:val="en-GB"/>
        </w:rPr>
        <w:t>Options (</w:t>
      </w:r>
      <w:proofErr w:type="spellStart"/>
      <w:r w:rsidRPr="002B2331">
        <w:rPr>
          <w:rFonts w:ascii="Avenir Next" w:hAnsi="Avenir Next" w:cs="Arial"/>
          <w:sz w:val="22"/>
          <w:szCs w:val="22"/>
          <w:lang w:val="en-GB"/>
        </w:rPr>
        <w:t>i</w:t>
      </w:r>
      <w:proofErr w:type="spellEnd"/>
      <w:r w:rsidRPr="002B2331">
        <w:rPr>
          <w:rFonts w:ascii="Avenir Next" w:hAnsi="Avenir Next" w:cs="Arial"/>
          <w:sz w:val="22"/>
          <w:szCs w:val="22"/>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2B2331" w:rsidRDefault="00AD0E59" w:rsidP="00AD0E59">
      <w:pPr>
        <w:pStyle w:val="ListParagraph"/>
        <w:numPr>
          <w:ilvl w:val="0"/>
          <w:numId w:val="50"/>
        </w:numPr>
        <w:ind w:left="426" w:hanging="426"/>
        <w:jc w:val="both"/>
        <w:rPr>
          <w:rFonts w:ascii="Avenir Next" w:hAnsi="Avenir Next" w:cs="Arial"/>
          <w:sz w:val="22"/>
          <w:szCs w:val="22"/>
          <w:highlight w:val="yellow"/>
          <w:lang w:val="en-GB"/>
        </w:rPr>
      </w:pPr>
      <w:proofErr w:type="gramStart"/>
      <w:r w:rsidRPr="002B2331">
        <w:rPr>
          <w:rFonts w:ascii="Avenir Next" w:hAnsi="Avenir Next" w:cs="Arial"/>
          <w:sz w:val="22"/>
          <w:szCs w:val="22"/>
          <w:highlight w:val="yellow"/>
          <w:lang w:val="en-GB"/>
        </w:rPr>
        <w:lastRenderedPageBreak/>
        <w:t>All of</w:t>
      </w:r>
      <w:proofErr w:type="gramEnd"/>
      <w:r w:rsidRPr="002B2331">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773677"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773677">
        <w:rPr>
          <w:rFonts w:ascii="Avenir Next" w:hAnsi="Avenir Next" w:cs="Arial"/>
          <w:sz w:val="22"/>
          <w:szCs w:val="22"/>
          <w:highlight w:val="yellow"/>
          <w:lang w:val="en-GB"/>
        </w:rPr>
        <w:t>Options (</w:t>
      </w:r>
      <w:proofErr w:type="spellStart"/>
      <w:r w:rsidRPr="00773677">
        <w:rPr>
          <w:rFonts w:ascii="Avenir Next" w:hAnsi="Avenir Next" w:cs="Arial"/>
          <w:sz w:val="22"/>
          <w:szCs w:val="22"/>
          <w:highlight w:val="yellow"/>
          <w:lang w:val="en-GB"/>
        </w:rPr>
        <w:t>i</w:t>
      </w:r>
      <w:proofErr w:type="spellEnd"/>
      <w:r w:rsidRPr="00773677">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00111">
      <w:pPr>
        <w:pStyle w:val="ListParagraph"/>
        <w:numPr>
          <w:ilvl w:val="0"/>
          <w:numId w:val="18"/>
        </w:numPr>
        <w:ind w:left="426" w:hanging="426"/>
        <w:jc w:val="both"/>
        <w:rPr>
          <w:rFonts w:ascii="Avenir Next" w:hAnsi="Avenir Next" w:cs="Arial"/>
          <w:sz w:val="22"/>
          <w:szCs w:val="22"/>
          <w:lang w:val="en-GB"/>
        </w:rPr>
      </w:pPr>
      <w:r w:rsidRPr="00812AFE">
        <w:rPr>
          <w:rFonts w:ascii="Avenir Next" w:hAnsi="Avenir Next" w:cs="Arial"/>
          <w:sz w:val="22"/>
          <w:szCs w:val="22"/>
          <w:lang w:val="en-GB"/>
        </w:rPr>
        <w:t>Options (</w:t>
      </w:r>
      <w:proofErr w:type="spellStart"/>
      <w:r w:rsidRPr="00812AFE">
        <w:rPr>
          <w:rFonts w:ascii="Avenir Next" w:hAnsi="Avenir Next" w:cs="Arial"/>
          <w:sz w:val="22"/>
          <w:szCs w:val="22"/>
          <w:lang w:val="en-GB"/>
        </w:rPr>
        <w:t>i</w:t>
      </w:r>
      <w:proofErr w:type="spellEnd"/>
      <w:r w:rsidRPr="00812AFE">
        <w:rPr>
          <w:rFonts w:ascii="Avenir Next" w:hAnsi="Avenir Next" w:cs="Arial"/>
          <w:sz w:val="22"/>
          <w:szCs w:val="22"/>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8156FE"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8156FE">
        <w:rPr>
          <w:rFonts w:ascii="Avenir Next" w:hAnsi="Avenir Next" w:cs="Arial"/>
          <w:sz w:val="22"/>
          <w:szCs w:val="22"/>
          <w:highlight w:val="yellow"/>
          <w:lang w:val="en-GB"/>
        </w:rPr>
        <w:t>Options (ii), (iv) and (v).</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Default="00622586" w:rsidP="00707FC8">
      <w:pPr>
        <w:autoSpaceDE w:val="0"/>
        <w:autoSpaceDN w:val="0"/>
        <w:adjustRightInd w:val="0"/>
        <w:spacing w:line="276" w:lineRule="auto"/>
        <w:jc w:val="both"/>
        <w:rPr>
          <w:rFonts w:ascii="Avenir Next" w:hAnsi="Avenir Next" w:cs="Arial"/>
          <w:sz w:val="22"/>
          <w:szCs w:val="22"/>
          <w:lang w:val="en-GB"/>
        </w:rPr>
      </w:pPr>
    </w:p>
    <w:p w14:paraId="21FEAF4E" w14:textId="77777777" w:rsidR="008156FE" w:rsidRDefault="008156FE" w:rsidP="00707FC8">
      <w:pPr>
        <w:autoSpaceDE w:val="0"/>
        <w:autoSpaceDN w:val="0"/>
        <w:adjustRightInd w:val="0"/>
        <w:spacing w:line="276" w:lineRule="auto"/>
        <w:jc w:val="both"/>
        <w:rPr>
          <w:rFonts w:ascii="Avenir Next" w:hAnsi="Avenir Next" w:cs="Arial"/>
          <w:sz w:val="22"/>
          <w:szCs w:val="22"/>
          <w:lang w:val="en-GB"/>
        </w:rPr>
      </w:pPr>
    </w:p>
    <w:p w14:paraId="5C4E8AF0" w14:textId="77777777" w:rsidR="008156FE" w:rsidRPr="00E2622D" w:rsidRDefault="008156FE"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0B089B"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0B089B">
        <w:rPr>
          <w:rFonts w:ascii="Avenir Next" w:hAnsi="Avenir Next" w:cs="Arial"/>
          <w:sz w:val="22"/>
          <w:szCs w:val="22"/>
          <w:highlight w:val="yellow"/>
          <w:lang w:val="en-GB"/>
        </w:rPr>
        <w:t>Options (</w:t>
      </w:r>
      <w:proofErr w:type="spellStart"/>
      <w:r w:rsidRPr="000B089B">
        <w:rPr>
          <w:rFonts w:ascii="Avenir Next" w:hAnsi="Avenir Next" w:cs="Arial"/>
          <w:sz w:val="22"/>
          <w:szCs w:val="22"/>
          <w:highlight w:val="yellow"/>
          <w:lang w:val="en-GB"/>
        </w:rPr>
        <w:t>i</w:t>
      </w:r>
      <w:proofErr w:type="spellEnd"/>
      <w:r w:rsidRPr="000B089B">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001FC9"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001FC9">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Default="00622586" w:rsidP="00707FC8">
      <w:pPr>
        <w:jc w:val="both"/>
        <w:rPr>
          <w:rFonts w:ascii="Avenir Next" w:hAnsi="Avenir Next" w:cs="Arial"/>
          <w:sz w:val="22"/>
          <w:szCs w:val="22"/>
          <w:lang w:val="en-GB"/>
        </w:rPr>
      </w:pPr>
    </w:p>
    <w:p w14:paraId="60CC18F2" w14:textId="77777777" w:rsidR="00001FC9" w:rsidRDefault="00001FC9" w:rsidP="00707FC8">
      <w:pPr>
        <w:jc w:val="both"/>
        <w:rPr>
          <w:rFonts w:ascii="Avenir Next" w:hAnsi="Avenir Next" w:cs="Arial"/>
          <w:sz w:val="22"/>
          <w:szCs w:val="22"/>
          <w:lang w:val="en-GB"/>
        </w:rPr>
      </w:pPr>
    </w:p>
    <w:p w14:paraId="5FF4F45D" w14:textId="77777777" w:rsidR="00001FC9" w:rsidRDefault="00001FC9" w:rsidP="00707FC8">
      <w:pPr>
        <w:jc w:val="both"/>
        <w:rPr>
          <w:rFonts w:ascii="Avenir Next" w:hAnsi="Avenir Next" w:cs="Arial"/>
          <w:sz w:val="22"/>
          <w:szCs w:val="22"/>
          <w:lang w:val="en-GB"/>
        </w:rPr>
      </w:pPr>
    </w:p>
    <w:p w14:paraId="2D82F2E1" w14:textId="77777777" w:rsidR="00001FC9" w:rsidRPr="00E2622D" w:rsidRDefault="00001FC9"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94677"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A94677">
        <w:rPr>
          <w:rFonts w:ascii="Avenir Next" w:hAnsi="Avenir Next" w:cs="Arial"/>
          <w:sz w:val="22"/>
          <w:szCs w:val="22"/>
          <w:highlight w:val="yellow"/>
          <w:lang w:val="en-GB"/>
        </w:rPr>
        <w:t>Options (</w:t>
      </w:r>
      <w:proofErr w:type="spellStart"/>
      <w:r w:rsidRPr="00A94677">
        <w:rPr>
          <w:rFonts w:ascii="Avenir Next" w:hAnsi="Avenir Next" w:cs="Arial"/>
          <w:sz w:val="22"/>
          <w:szCs w:val="22"/>
          <w:highlight w:val="yellow"/>
          <w:lang w:val="en-GB"/>
        </w:rPr>
        <w:t>i</w:t>
      </w:r>
      <w:proofErr w:type="spellEnd"/>
      <w:r w:rsidRPr="00A94677">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803561"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803561">
        <w:rPr>
          <w:rFonts w:ascii="Avenir Next" w:hAnsi="Avenir Next" w:cs="Arial"/>
          <w:sz w:val="22"/>
          <w:szCs w:val="22"/>
          <w:highlight w:val="yellow"/>
          <w:lang w:val="en-GB"/>
        </w:rPr>
        <w:t>Options (</w:t>
      </w:r>
      <w:proofErr w:type="spellStart"/>
      <w:r w:rsidRPr="00803561">
        <w:rPr>
          <w:rFonts w:ascii="Avenir Next" w:hAnsi="Avenir Next" w:cs="Arial"/>
          <w:sz w:val="22"/>
          <w:szCs w:val="22"/>
          <w:highlight w:val="yellow"/>
          <w:lang w:val="en-GB"/>
        </w:rPr>
        <w:t>i</w:t>
      </w:r>
      <w:proofErr w:type="spellEnd"/>
      <w:r w:rsidRPr="00803561">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Default="00622586" w:rsidP="00707FC8">
      <w:pPr>
        <w:spacing w:line="276" w:lineRule="auto"/>
        <w:jc w:val="both"/>
        <w:rPr>
          <w:rFonts w:ascii="Avenir Next" w:eastAsiaTheme="minorHAnsi" w:hAnsi="Avenir Next" w:cs="Arial"/>
          <w:sz w:val="22"/>
          <w:szCs w:val="22"/>
          <w:lang w:val="en-GB"/>
        </w:rPr>
      </w:pPr>
    </w:p>
    <w:p w14:paraId="7D15788B" w14:textId="77777777" w:rsidR="00A94677" w:rsidRDefault="00A94677" w:rsidP="00707FC8">
      <w:pPr>
        <w:spacing w:line="276" w:lineRule="auto"/>
        <w:jc w:val="both"/>
        <w:rPr>
          <w:rFonts w:ascii="Avenir Next" w:eastAsiaTheme="minorHAnsi" w:hAnsi="Avenir Next" w:cs="Arial"/>
          <w:sz w:val="22"/>
          <w:szCs w:val="22"/>
          <w:lang w:val="en-GB"/>
        </w:rPr>
      </w:pPr>
    </w:p>
    <w:p w14:paraId="105A8370" w14:textId="77777777" w:rsidR="00A94677" w:rsidRDefault="00A94677" w:rsidP="00707FC8">
      <w:pPr>
        <w:spacing w:line="276" w:lineRule="auto"/>
        <w:jc w:val="both"/>
        <w:rPr>
          <w:rFonts w:ascii="Avenir Next" w:eastAsiaTheme="minorHAnsi" w:hAnsi="Avenir Next" w:cs="Arial"/>
          <w:sz w:val="22"/>
          <w:szCs w:val="22"/>
          <w:lang w:val="en-GB"/>
        </w:rPr>
      </w:pPr>
    </w:p>
    <w:p w14:paraId="3BBCA6A5" w14:textId="77777777" w:rsidR="00A94677" w:rsidRDefault="00A94677" w:rsidP="00707FC8">
      <w:pPr>
        <w:spacing w:line="276" w:lineRule="auto"/>
        <w:jc w:val="both"/>
        <w:rPr>
          <w:rFonts w:ascii="Avenir Next" w:eastAsiaTheme="minorHAnsi" w:hAnsi="Avenir Next" w:cs="Arial"/>
          <w:sz w:val="22"/>
          <w:szCs w:val="22"/>
          <w:lang w:val="en-GB"/>
        </w:rPr>
      </w:pPr>
    </w:p>
    <w:p w14:paraId="14B9B709" w14:textId="77777777" w:rsidR="00A94677" w:rsidRDefault="00A94677" w:rsidP="00707FC8">
      <w:pPr>
        <w:spacing w:line="276" w:lineRule="auto"/>
        <w:jc w:val="both"/>
        <w:rPr>
          <w:rFonts w:ascii="Avenir Next" w:eastAsiaTheme="minorHAnsi" w:hAnsi="Avenir Next" w:cs="Arial"/>
          <w:sz w:val="22"/>
          <w:szCs w:val="22"/>
          <w:lang w:val="en-GB"/>
        </w:rPr>
      </w:pPr>
    </w:p>
    <w:p w14:paraId="72925E0D" w14:textId="77777777" w:rsidR="00A94677" w:rsidRPr="00E2622D" w:rsidRDefault="00A94677"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0E4F69"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0E4F69">
        <w:rPr>
          <w:rFonts w:ascii="Avenir Next" w:hAnsi="Avenir Next" w:cs="Arial"/>
          <w:sz w:val="22"/>
          <w:szCs w:val="22"/>
          <w:highlight w:val="yellow"/>
          <w:lang w:val="en-GB"/>
        </w:rPr>
        <w:t>Options (</w:t>
      </w:r>
      <w:proofErr w:type="spellStart"/>
      <w:r w:rsidRPr="000E4F69">
        <w:rPr>
          <w:rFonts w:ascii="Avenir Next" w:hAnsi="Avenir Next" w:cs="Arial"/>
          <w:sz w:val="22"/>
          <w:szCs w:val="22"/>
          <w:highlight w:val="yellow"/>
          <w:lang w:val="en-GB"/>
        </w:rPr>
        <w:t>i</w:t>
      </w:r>
      <w:proofErr w:type="spellEnd"/>
      <w:r w:rsidRPr="000E4F69">
        <w:rPr>
          <w:rFonts w:ascii="Avenir Next" w:hAnsi="Avenir Next" w:cs="Arial"/>
          <w:sz w:val="22"/>
          <w:szCs w:val="22"/>
          <w:highlight w:val="yellow"/>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6130A"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46130A">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1BF3C9A7" w14:textId="77777777" w:rsidR="00602943" w:rsidRPr="001603FA" w:rsidRDefault="00602943" w:rsidP="006029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The key distinction between the MLCBI and the EU Regulation on insolvency lies in their jurisdictional reach.</w:t>
      </w:r>
    </w:p>
    <w:p w14:paraId="728BBFD1" w14:textId="77777777" w:rsidR="00602943" w:rsidRPr="001603FA" w:rsidRDefault="00602943" w:rsidP="00602943">
      <w:pPr>
        <w:ind w:left="720" w:hanging="720"/>
        <w:jc w:val="both"/>
        <w:rPr>
          <w:rFonts w:ascii="Arial" w:hAnsi="Arial" w:cs="Arial"/>
          <w:color w:val="808080" w:themeColor="background1" w:themeShade="80"/>
          <w:sz w:val="22"/>
          <w:szCs w:val="22"/>
          <w:lang w:val="en-GB"/>
        </w:rPr>
      </w:pPr>
    </w:p>
    <w:p w14:paraId="764A9EF2" w14:textId="77777777" w:rsidR="00602943" w:rsidRPr="001603FA" w:rsidRDefault="00602943" w:rsidP="006029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MLCBI is a global treaty addressing tax avoidance, applicable to signatory countries worldwide, fostering international cooperation. However, it has a limited focus.</w:t>
      </w:r>
    </w:p>
    <w:p w14:paraId="27C0AB04" w14:textId="77777777" w:rsidR="00602943" w:rsidRPr="001603FA" w:rsidRDefault="00602943" w:rsidP="00602943">
      <w:pPr>
        <w:ind w:left="720" w:hanging="720"/>
        <w:jc w:val="both"/>
        <w:rPr>
          <w:rFonts w:ascii="Arial" w:hAnsi="Arial" w:cs="Arial"/>
          <w:color w:val="808080" w:themeColor="background1" w:themeShade="80"/>
          <w:sz w:val="22"/>
          <w:szCs w:val="22"/>
          <w:lang w:val="en-GB"/>
        </w:rPr>
      </w:pPr>
    </w:p>
    <w:p w14:paraId="654B0E66" w14:textId="0929C9BF" w:rsidR="00CB56CE" w:rsidRPr="001603FA" w:rsidRDefault="00602943" w:rsidP="006029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 xml:space="preserve">EU Regulation governs insolvency within EU member states, facilitating cooperation and efficiency within the EU. Its disadvantage lies in its limited application outside the EU, unlike MLCBI's global reach.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C86B371" w:rsidR="00867A8F" w:rsidRPr="001603FA" w:rsidRDefault="006807B1" w:rsidP="006807B1">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 xml:space="preserve">The court should primarily consider whether granting post-recognition relief under Article 21 of the MLCBI aligns with the Model Law's objectives and promotes efficient administration of the foreign insolvency proceeding, considering stakeholders' </w:t>
      </w:r>
      <w:proofErr w:type="gramStart"/>
      <w:r w:rsidRPr="001603FA">
        <w:rPr>
          <w:rFonts w:ascii="Arial" w:hAnsi="Arial" w:cs="Arial"/>
          <w:color w:val="808080" w:themeColor="background1" w:themeShade="80"/>
          <w:sz w:val="22"/>
          <w:szCs w:val="22"/>
          <w:lang w:val="en-GB"/>
        </w:rPr>
        <w:t>interests</w:t>
      </w:r>
      <w:proofErr w:type="gramEnd"/>
      <w:r w:rsidRPr="001603FA">
        <w:rPr>
          <w:rFonts w:ascii="Arial" w:hAnsi="Arial" w:cs="Arial"/>
          <w:color w:val="808080" w:themeColor="background1" w:themeShade="80"/>
          <w:sz w:val="22"/>
          <w:szCs w:val="22"/>
          <w:lang w:val="en-GB"/>
        </w:rPr>
        <w:t xml:space="preserve"> and maintaining comity between jurisdictions.</w:t>
      </w:r>
      <w:r w:rsidR="00867A8F" w:rsidRPr="001603FA">
        <w:rPr>
          <w:rFonts w:ascii="Arial" w:hAnsi="Arial"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2C92B6E" w:rsidR="00867A8F" w:rsidRPr="001603FA" w:rsidRDefault="00562727" w:rsidP="00562727">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Article 13 of the MLCBI grants creditors the rights to timely notification of the foreign insolvency proceeding, participation in the process, fair treatment without discrimination, the ability to challenge actions affecting their interests, and access to relevant information. These provisions ensure creditors' rights and promote fairness and transparency in cross-border insolvency proceedings.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4D0FBFA" w14:textId="02FFE9EB" w:rsidR="005010DE" w:rsidRPr="001603FA" w:rsidRDefault="005010DE" w:rsidP="005010DE">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 xml:space="preserve">A notable difference lies in the scope of relief available between foreign main and foreign non-main proceedings. In foreign main proceedings, where the debtor's </w:t>
      </w:r>
      <w:proofErr w:type="spellStart"/>
      <w:r w:rsidRPr="001603FA">
        <w:rPr>
          <w:rFonts w:ascii="Arial" w:hAnsi="Arial" w:cs="Arial"/>
          <w:color w:val="808080" w:themeColor="background1" w:themeShade="80"/>
          <w:sz w:val="22"/>
          <w:szCs w:val="22"/>
          <w:lang w:val="en-GB"/>
        </w:rPr>
        <w:t>center</w:t>
      </w:r>
      <w:proofErr w:type="spellEnd"/>
      <w:r w:rsidRPr="001603FA">
        <w:rPr>
          <w:rFonts w:ascii="Arial" w:hAnsi="Arial" w:cs="Arial"/>
          <w:color w:val="808080" w:themeColor="background1" w:themeShade="80"/>
          <w:sz w:val="22"/>
          <w:szCs w:val="22"/>
          <w:lang w:val="en-GB"/>
        </w:rPr>
        <w:t xml:space="preserve"> of main interests (COMI) is located, the relief granted by the court applies universally to </w:t>
      </w:r>
      <w:proofErr w:type="gramStart"/>
      <w:r w:rsidRPr="001603FA">
        <w:rPr>
          <w:rFonts w:ascii="Arial" w:hAnsi="Arial" w:cs="Arial"/>
          <w:color w:val="808080" w:themeColor="background1" w:themeShade="80"/>
          <w:sz w:val="22"/>
          <w:szCs w:val="22"/>
          <w:lang w:val="en-GB"/>
        </w:rPr>
        <w:t>all of</w:t>
      </w:r>
      <w:proofErr w:type="gramEnd"/>
      <w:r w:rsidRPr="001603FA">
        <w:rPr>
          <w:rFonts w:ascii="Arial" w:hAnsi="Arial" w:cs="Arial"/>
          <w:color w:val="808080" w:themeColor="background1" w:themeShade="80"/>
          <w:sz w:val="22"/>
          <w:szCs w:val="22"/>
          <w:lang w:val="en-GB"/>
        </w:rPr>
        <w:t xml:space="preserve"> the debtor's assets, irrespective of their location. Conversely, in foreign non-main proceedings, typically occurring in jurisdictions where the debtor holds assets but isn't deemed its COMI, the relief is usually confined to the assets within the jurisdiction of that specific proceeding. This distinction underscores the broader applicability of relief in main proceedings compared to the more localized impact of relief in non-main proceedings.</w:t>
      </w:r>
    </w:p>
    <w:p w14:paraId="396F3E81" w14:textId="77777777" w:rsidR="00257437" w:rsidRPr="001603FA" w:rsidRDefault="00257437" w:rsidP="00707FC8">
      <w:pPr>
        <w:jc w:val="both"/>
        <w:rPr>
          <w:rFonts w:ascii="Arial" w:hAnsi="Arial"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652CA6D3" w14:textId="77777777" w:rsidR="00513E43" w:rsidRPr="001603FA" w:rsidRDefault="00513E43" w:rsidP="00513E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 xml:space="preserve">In this scenario, since the debtor's </w:t>
      </w:r>
      <w:proofErr w:type="spellStart"/>
      <w:r w:rsidRPr="001603FA">
        <w:rPr>
          <w:rFonts w:ascii="Arial" w:hAnsi="Arial" w:cs="Arial"/>
          <w:color w:val="808080" w:themeColor="background1" w:themeShade="80"/>
          <w:sz w:val="22"/>
          <w:szCs w:val="22"/>
          <w:lang w:val="en-GB"/>
        </w:rPr>
        <w:t>center</w:t>
      </w:r>
      <w:proofErr w:type="spellEnd"/>
      <w:r w:rsidRPr="001603FA">
        <w:rPr>
          <w:rFonts w:ascii="Arial" w:hAnsi="Arial" w:cs="Arial"/>
          <w:color w:val="808080" w:themeColor="background1" w:themeShade="80"/>
          <w:sz w:val="22"/>
          <w:szCs w:val="22"/>
          <w:lang w:val="en-GB"/>
        </w:rPr>
        <w:t xml:space="preserve"> of main interests (COMI) is in Germany, the foreign main proceeding must have been filed in Germany. This is because the foreign main proceeding is typically commenced in the jurisdiction where the debtor's COMI is located.</w:t>
      </w:r>
    </w:p>
    <w:p w14:paraId="7D08C716" w14:textId="77777777" w:rsidR="00513E43" w:rsidRPr="001603FA" w:rsidRDefault="00513E43" w:rsidP="00513E43">
      <w:pPr>
        <w:ind w:left="720" w:hanging="720"/>
        <w:jc w:val="both"/>
        <w:rPr>
          <w:rFonts w:ascii="Arial" w:hAnsi="Arial" w:cs="Arial"/>
          <w:color w:val="808080" w:themeColor="background1" w:themeShade="80"/>
          <w:sz w:val="22"/>
          <w:szCs w:val="22"/>
          <w:lang w:val="en-GB"/>
        </w:rPr>
      </w:pPr>
    </w:p>
    <w:p w14:paraId="54CAA069" w14:textId="77777777" w:rsidR="00513E43" w:rsidRPr="001603FA" w:rsidRDefault="00513E43" w:rsidP="00513E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As for the establishment in Bermuda, foreign non-main proceedings may have been filed there. Foreign non-main proceedings are typically commenced in jurisdictions where the debtor has assets but is not considered to have its COMI.</w:t>
      </w:r>
    </w:p>
    <w:p w14:paraId="7C78BB13" w14:textId="77777777" w:rsidR="00513E43" w:rsidRDefault="00513E43" w:rsidP="00513E43">
      <w:pPr>
        <w:ind w:left="720" w:hanging="720"/>
        <w:jc w:val="both"/>
        <w:rPr>
          <w:rFonts w:ascii="Avenir Next" w:hAnsi="Avenir Next" w:cs="Arial"/>
          <w:color w:val="808080" w:themeColor="background1" w:themeShade="80"/>
          <w:sz w:val="22"/>
          <w:szCs w:val="22"/>
          <w:lang w:val="en-GB"/>
        </w:rPr>
      </w:pPr>
    </w:p>
    <w:p w14:paraId="20300129" w14:textId="77777777" w:rsidR="00513E43" w:rsidRPr="00513E43" w:rsidRDefault="00513E43" w:rsidP="00513E43">
      <w:pPr>
        <w:ind w:left="720" w:hanging="720"/>
        <w:jc w:val="both"/>
        <w:rPr>
          <w:rFonts w:ascii="Avenir Next" w:hAnsi="Avenir Next" w:cs="Arial"/>
          <w:color w:val="808080" w:themeColor="background1" w:themeShade="80"/>
          <w:sz w:val="22"/>
          <w:szCs w:val="22"/>
          <w:lang w:val="en-GB"/>
        </w:rPr>
      </w:pPr>
    </w:p>
    <w:p w14:paraId="3EADCD6D" w14:textId="77777777" w:rsidR="00513E43" w:rsidRPr="001603FA" w:rsidRDefault="00513E43" w:rsidP="00513E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lastRenderedPageBreak/>
        <w:t xml:space="preserve">The likely result is that the relief granted in the foreign main proceeding filed in Germany would have universal effect and apply to </w:t>
      </w:r>
      <w:proofErr w:type="gramStart"/>
      <w:r w:rsidRPr="001603FA">
        <w:rPr>
          <w:rFonts w:ascii="Arial" w:hAnsi="Arial" w:cs="Arial"/>
          <w:color w:val="808080" w:themeColor="background1" w:themeShade="80"/>
          <w:sz w:val="22"/>
          <w:szCs w:val="22"/>
          <w:lang w:val="en-GB"/>
        </w:rPr>
        <w:t>all of</w:t>
      </w:r>
      <w:proofErr w:type="gramEnd"/>
      <w:r w:rsidRPr="001603FA">
        <w:rPr>
          <w:rFonts w:ascii="Arial" w:hAnsi="Arial" w:cs="Arial"/>
          <w:color w:val="808080" w:themeColor="background1" w:themeShade="80"/>
          <w:sz w:val="22"/>
          <w:szCs w:val="22"/>
          <w:lang w:val="en-GB"/>
        </w:rPr>
        <w:t xml:space="preserve"> the debtor's assets worldwide. On the other hand, the relief granted in the foreign non-main proceeding filed in Bermuda would likely be limited to the assets located within Bermuda.</w:t>
      </w:r>
    </w:p>
    <w:p w14:paraId="2CAE9C73" w14:textId="77777777" w:rsidR="00513E43" w:rsidRPr="001603FA" w:rsidRDefault="00513E43" w:rsidP="00513E43">
      <w:pPr>
        <w:ind w:left="720" w:hanging="720"/>
        <w:jc w:val="both"/>
        <w:rPr>
          <w:rFonts w:ascii="Arial" w:hAnsi="Arial" w:cs="Arial"/>
          <w:color w:val="808080" w:themeColor="background1" w:themeShade="80"/>
          <w:sz w:val="22"/>
          <w:szCs w:val="22"/>
          <w:lang w:val="en-GB"/>
        </w:rPr>
      </w:pPr>
    </w:p>
    <w:p w14:paraId="4381C120" w14:textId="41B4B70D" w:rsidR="00513E43" w:rsidRPr="001603FA" w:rsidRDefault="00513E43" w:rsidP="00513E43">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Furthermore, since recognition proceedings have been opened in the US, the US court would likely recognize the foreign main proceeding filed in Germany and provide relief consistent with the recognition of that main proceeding. This recognition would facilitate cooperation and coordination between the US court and the German proceeding.</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79D33353" w14:textId="77777777" w:rsidR="000A7184" w:rsidRPr="001603FA" w:rsidRDefault="000A7184" w:rsidP="000A7184">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The likely outcome is that the recognition proceeding in the US would continue despite the lawsuit and discovery served on the joint provisional liquidators. Recognition proceedings are typically separate from other legal actions and are focused on acknowledging the foreign insolvency proceeding's validity and granting it certain legal effects within the jurisdiction.</w:t>
      </w:r>
    </w:p>
    <w:p w14:paraId="3664DD6E" w14:textId="77777777" w:rsidR="000A7184" w:rsidRPr="001603FA" w:rsidRDefault="000A7184" w:rsidP="000A7184">
      <w:pPr>
        <w:ind w:left="720" w:hanging="720"/>
        <w:jc w:val="both"/>
        <w:rPr>
          <w:rFonts w:ascii="Arial" w:hAnsi="Arial" w:cs="Arial"/>
          <w:color w:val="808080" w:themeColor="background1" w:themeShade="80"/>
          <w:sz w:val="22"/>
          <w:szCs w:val="22"/>
          <w:lang w:val="en-GB"/>
        </w:rPr>
      </w:pPr>
    </w:p>
    <w:p w14:paraId="568F9C8D" w14:textId="77777777" w:rsidR="000A7184" w:rsidRPr="001603FA" w:rsidRDefault="000A7184" w:rsidP="000A7184">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However, the joint provisional liquidators may need to respond to the lawsuit and participate in the discovery process to address the allegations of tortious interference with contract rights. This could potentially delay or complicate the recognition proceeding but would not necessarily prevent it from moving forward.</w:t>
      </w:r>
    </w:p>
    <w:p w14:paraId="5E75B406" w14:textId="77777777" w:rsidR="000A7184" w:rsidRPr="001603FA" w:rsidRDefault="000A7184" w:rsidP="000A7184">
      <w:pPr>
        <w:ind w:left="720" w:hanging="720"/>
        <w:jc w:val="both"/>
        <w:rPr>
          <w:rFonts w:ascii="Arial" w:hAnsi="Arial" w:cs="Arial"/>
          <w:color w:val="808080" w:themeColor="background1" w:themeShade="80"/>
          <w:sz w:val="22"/>
          <w:szCs w:val="22"/>
          <w:lang w:val="en-GB"/>
        </w:rPr>
      </w:pPr>
    </w:p>
    <w:p w14:paraId="532D45E7" w14:textId="64882C1C" w:rsidR="000A7184" w:rsidRPr="001603FA" w:rsidRDefault="000A7184" w:rsidP="000A7184">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Ultimately, the recognition proceeding would be determined based on whether the foreign insolvency proceeding meets the criteria for recognition under US law. If the US court determines that the foreign proceeding is valid and meets the necessary requirements, it would likely grant recognition despite the ongoing lawsuit against the joint provisional liquidators.</w:t>
      </w:r>
    </w:p>
    <w:p w14:paraId="3E5477B7" w14:textId="77777777" w:rsidR="000A7184" w:rsidRDefault="000A7184" w:rsidP="00867A8F">
      <w:pPr>
        <w:ind w:left="720" w:hanging="720"/>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9D604F8" w14:textId="77777777" w:rsidR="002939F4" w:rsidRPr="001603FA" w:rsidRDefault="002939F4" w:rsidP="005B5A6C">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To protect the assets during the US recognition proceeding, the foreign representative should take these steps:</w:t>
      </w:r>
    </w:p>
    <w:p w14:paraId="6289766F" w14:textId="77777777" w:rsidR="002939F4" w:rsidRPr="001603FA" w:rsidRDefault="002939F4" w:rsidP="002939F4">
      <w:pPr>
        <w:ind w:left="720" w:hanging="720"/>
        <w:jc w:val="both"/>
        <w:rPr>
          <w:rFonts w:ascii="Arial" w:hAnsi="Arial" w:cs="Arial"/>
          <w:color w:val="808080" w:themeColor="background1" w:themeShade="80"/>
          <w:sz w:val="22"/>
          <w:szCs w:val="22"/>
          <w:lang w:val="en-GB"/>
        </w:rPr>
      </w:pPr>
    </w:p>
    <w:p w14:paraId="1BD897D6" w14:textId="77777777" w:rsidR="005B5A6C" w:rsidRPr="001603FA" w:rsidRDefault="005B5A6C" w:rsidP="005B5A6C">
      <w:pPr>
        <w:pStyle w:val="ListParagraph"/>
        <w:numPr>
          <w:ilvl w:val="0"/>
          <w:numId w:val="58"/>
        </w:numPr>
        <w:jc w:val="both"/>
        <w:rPr>
          <w:rFonts w:ascii="Arial" w:hAnsi="Arial" w:cs="Arial"/>
          <w:color w:val="808080" w:themeColor="background1" w:themeShade="80"/>
          <w:sz w:val="22"/>
          <w:szCs w:val="22"/>
          <w:lang w:val="en-GB"/>
        </w:rPr>
      </w:pPr>
      <w:r w:rsidRPr="00272B99">
        <w:rPr>
          <w:rFonts w:ascii="Arial" w:hAnsi="Arial" w:cs="Arial"/>
          <w:b/>
          <w:bCs/>
          <w:color w:val="808080" w:themeColor="background1" w:themeShade="80"/>
          <w:sz w:val="22"/>
          <w:szCs w:val="22"/>
          <w:lang w:val="en-GB"/>
        </w:rPr>
        <w:t>Seek Court Orders</w:t>
      </w:r>
      <w:r w:rsidRPr="001603FA">
        <w:rPr>
          <w:rFonts w:ascii="Arial" w:hAnsi="Arial" w:cs="Arial"/>
          <w:color w:val="808080" w:themeColor="background1" w:themeShade="80"/>
          <w:sz w:val="22"/>
          <w:szCs w:val="22"/>
          <w:lang w:val="en-GB"/>
        </w:rPr>
        <w:t>: The foreign representative should petition the US court for protective orders or injunctions to prevent any enforcement of ipso facto clauses by US-based counterparties. This would safeguard the assets from any adverse actions triggered by the bankruptcy-like restructuring proceeding in the UK.</w:t>
      </w:r>
    </w:p>
    <w:p w14:paraId="5F45A9A8" w14:textId="77777777" w:rsidR="005B5A6C" w:rsidRDefault="005B5A6C" w:rsidP="005B5A6C">
      <w:pPr>
        <w:ind w:left="720" w:hanging="720"/>
        <w:jc w:val="both"/>
        <w:rPr>
          <w:rFonts w:ascii="Arial" w:hAnsi="Arial" w:cs="Arial"/>
          <w:color w:val="808080" w:themeColor="background1" w:themeShade="80"/>
          <w:sz w:val="22"/>
          <w:szCs w:val="22"/>
          <w:lang w:val="en-GB"/>
        </w:rPr>
      </w:pPr>
    </w:p>
    <w:p w14:paraId="2C56BABB" w14:textId="77777777" w:rsidR="00272B99" w:rsidRDefault="00272B99" w:rsidP="005B5A6C">
      <w:pPr>
        <w:ind w:left="720" w:hanging="720"/>
        <w:jc w:val="both"/>
        <w:rPr>
          <w:rFonts w:ascii="Arial" w:hAnsi="Arial" w:cs="Arial"/>
          <w:color w:val="808080" w:themeColor="background1" w:themeShade="80"/>
          <w:sz w:val="22"/>
          <w:szCs w:val="22"/>
          <w:lang w:val="en-GB"/>
        </w:rPr>
      </w:pPr>
    </w:p>
    <w:p w14:paraId="246B4E6D" w14:textId="77777777" w:rsidR="00272B99" w:rsidRPr="001603FA" w:rsidRDefault="00272B99" w:rsidP="005B5A6C">
      <w:pPr>
        <w:ind w:left="720" w:hanging="720"/>
        <w:jc w:val="both"/>
        <w:rPr>
          <w:rFonts w:ascii="Arial" w:hAnsi="Arial" w:cs="Arial"/>
          <w:color w:val="808080" w:themeColor="background1" w:themeShade="80"/>
          <w:sz w:val="22"/>
          <w:szCs w:val="22"/>
          <w:lang w:val="en-GB"/>
        </w:rPr>
      </w:pPr>
    </w:p>
    <w:p w14:paraId="0E8A85B9" w14:textId="77777777" w:rsidR="005B5A6C" w:rsidRPr="001603FA" w:rsidRDefault="005B5A6C" w:rsidP="005B5A6C">
      <w:pPr>
        <w:pStyle w:val="ListParagraph"/>
        <w:numPr>
          <w:ilvl w:val="0"/>
          <w:numId w:val="58"/>
        </w:numPr>
        <w:jc w:val="both"/>
        <w:rPr>
          <w:rFonts w:ascii="Arial" w:hAnsi="Arial" w:cs="Arial"/>
          <w:color w:val="808080" w:themeColor="background1" w:themeShade="80"/>
          <w:sz w:val="22"/>
          <w:szCs w:val="22"/>
          <w:lang w:val="en-GB"/>
        </w:rPr>
      </w:pPr>
      <w:r w:rsidRPr="00272B99">
        <w:rPr>
          <w:rFonts w:ascii="Arial" w:hAnsi="Arial" w:cs="Arial"/>
          <w:b/>
          <w:bCs/>
          <w:color w:val="808080" w:themeColor="background1" w:themeShade="80"/>
          <w:sz w:val="22"/>
          <w:szCs w:val="22"/>
          <w:lang w:val="en-GB"/>
        </w:rPr>
        <w:lastRenderedPageBreak/>
        <w:t>Provide Notice</w:t>
      </w:r>
      <w:r w:rsidRPr="001603FA">
        <w:rPr>
          <w:rFonts w:ascii="Arial" w:hAnsi="Arial" w:cs="Arial"/>
          <w:color w:val="808080" w:themeColor="background1" w:themeShade="80"/>
          <w:sz w:val="22"/>
          <w:szCs w:val="22"/>
          <w:lang w:val="en-GB"/>
        </w:rPr>
        <w:t>: The foreign representative should provide notice to all relevant parties, including lessors and licensors with ipso facto clauses, informing them of the pending</w:t>
      </w:r>
      <w:r w:rsidRPr="005B5A6C">
        <w:rPr>
          <w:rFonts w:ascii="Avenir Next" w:hAnsi="Avenir Next" w:cs="Arial"/>
          <w:color w:val="808080" w:themeColor="background1" w:themeShade="80"/>
          <w:sz w:val="22"/>
          <w:szCs w:val="22"/>
          <w:lang w:val="en-GB"/>
        </w:rPr>
        <w:t xml:space="preserve"> </w:t>
      </w:r>
      <w:r w:rsidRPr="001603FA">
        <w:rPr>
          <w:rFonts w:ascii="Arial" w:hAnsi="Arial" w:cs="Arial"/>
          <w:color w:val="808080" w:themeColor="background1" w:themeShade="80"/>
          <w:sz w:val="22"/>
          <w:szCs w:val="22"/>
          <w:lang w:val="en-GB"/>
        </w:rPr>
        <w:t>recognition proceeding in the US and the protections sought against enforcement of such clauses. This ensures transparency and gives affected parties an opportunity to respond or seek clarification.</w:t>
      </w:r>
    </w:p>
    <w:p w14:paraId="7338CF10" w14:textId="77777777" w:rsidR="005B5A6C" w:rsidRPr="001603FA" w:rsidRDefault="005B5A6C" w:rsidP="005B5A6C">
      <w:pPr>
        <w:ind w:left="720" w:hanging="720"/>
        <w:jc w:val="both"/>
        <w:rPr>
          <w:rFonts w:ascii="Arial" w:hAnsi="Arial" w:cs="Arial"/>
          <w:color w:val="808080" w:themeColor="background1" w:themeShade="80"/>
          <w:sz w:val="22"/>
          <w:szCs w:val="22"/>
          <w:lang w:val="en-GB"/>
        </w:rPr>
      </w:pPr>
    </w:p>
    <w:p w14:paraId="656C963E" w14:textId="77777777" w:rsidR="005B5A6C" w:rsidRPr="001603FA" w:rsidRDefault="005B5A6C" w:rsidP="005B5A6C">
      <w:pPr>
        <w:pStyle w:val="ListParagraph"/>
        <w:numPr>
          <w:ilvl w:val="0"/>
          <w:numId w:val="58"/>
        </w:numPr>
        <w:jc w:val="both"/>
        <w:rPr>
          <w:rFonts w:ascii="Arial" w:hAnsi="Arial" w:cs="Arial"/>
          <w:color w:val="808080" w:themeColor="background1" w:themeShade="80"/>
          <w:sz w:val="22"/>
          <w:szCs w:val="22"/>
          <w:lang w:val="en-GB"/>
        </w:rPr>
      </w:pPr>
      <w:r w:rsidRPr="00272B99">
        <w:rPr>
          <w:rFonts w:ascii="Arial" w:hAnsi="Arial" w:cs="Arial"/>
          <w:b/>
          <w:bCs/>
          <w:color w:val="808080" w:themeColor="background1" w:themeShade="80"/>
          <w:sz w:val="22"/>
          <w:szCs w:val="22"/>
          <w:lang w:val="en-GB"/>
        </w:rPr>
        <w:t>Engage Legal Counsel</w:t>
      </w:r>
      <w:r w:rsidRPr="001603FA">
        <w:rPr>
          <w:rFonts w:ascii="Arial" w:hAnsi="Arial" w:cs="Arial"/>
          <w:color w:val="808080" w:themeColor="background1" w:themeShade="80"/>
          <w:sz w:val="22"/>
          <w:szCs w:val="22"/>
          <w:lang w:val="en-GB"/>
        </w:rPr>
        <w:t>: It's advisable for the foreign representative to engage experienced legal counsel familiar with US bankruptcy laws and procedures to navigate the recognition proceeding effectively. Legal counsel can provide guidance on the best strategies to protect the assets and address any legal challenges that may arise during the process.</w:t>
      </w:r>
    </w:p>
    <w:p w14:paraId="11CCA510" w14:textId="77777777" w:rsidR="005B5A6C" w:rsidRPr="001603FA" w:rsidRDefault="005B5A6C" w:rsidP="005B5A6C">
      <w:pPr>
        <w:ind w:left="720" w:hanging="720"/>
        <w:jc w:val="both"/>
        <w:rPr>
          <w:rFonts w:ascii="Arial" w:hAnsi="Arial" w:cs="Arial"/>
          <w:color w:val="808080" w:themeColor="background1" w:themeShade="80"/>
          <w:sz w:val="22"/>
          <w:szCs w:val="22"/>
          <w:lang w:val="en-GB"/>
        </w:rPr>
      </w:pPr>
    </w:p>
    <w:p w14:paraId="3A9F8E71" w14:textId="6CA750BF" w:rsidR="002939F4" w:rsidRPr="001603FA" w:rsidRDefault="005B5A6C" w:rsidP="005B5A6C">
      <w:pPr>
        <w:pStyle w:val="ListParagraph"/>
        <w:numPr>
          <w:ilvl w:val="0"/>
          <w:numId w:val="58"/>
        </w:numPr>
        <w:jc w:val="both"/>
        <w:rPr>
          <w:rFonts w:ascii="Arial" w:hAnsi="Arial" w:cs="Arial"/>
          <w:color w:val="808080" w:themeColor="background1" w:themeShade="80"/>
          <w:sz w:val="22"/>
          <w:szCs w:val="22"/>
          <w:lang w:val="en-GB"/>
        </w:rPr>
      </w:pPr>
      <w:r w:rsidRPr="00272B99">
        <w:rPr>
          <w:rFonts w:ascii="Arial" w:hAnsi="Arial" w:cs="Arial"/>
          <w:b/>
          <w:bCs/>
          <w:color w:val="808080" w:themeColor="background1" w:themeShade="80"/>
          <w:sz w:val="22"/>
          <w:szCs w:val="22"/>
          <w:lang w:val="en-GB"/>
        </w:rPr>
        <w:t>Monitor Proceedings</w:t>
      </w:r>
      <w:r w:rsidRPr="001603FA">
        <w:rPr>
          <w:rFonts w:ascii="Arial" w:hAnsi="Arial" w:cs="Arial"/>
          <w:color w:val="808080" w:themeColor="background1" w:themeShade="80"/>
          <w:sz w:val="22"/>
          <w:szCs w:val="22"/>
          <w:lang w:val="en-GB"/>
        </w:rPr>
        <w:t>: Throughout the recognition proceeding, the foreign representative should closely monitor developments and promptly respond to any objections or concerns raised by creditors or other interested parties. This proactive approach helps mitigate risks and ensures that the assets remain protected during the legal proceedings.</w:t>
      </w:r>
    </w:p>
    <w:p w14:paraId="3F9C6E13" w14:textId="77777777" w:rsidR="005B5A6C" w:rsidRPr="001603FA" w:rsidRDefault="005B5A6C" w:rsidP="002939F4">
      <w:pPr>
        <w:ind w:left="720" w:hanging="720"/>
        <w:jc w:val="both"/>
        <w:rPr>
          <w:rFonts w:ascii="Arial" w:hAnsi="Arial" w:cs="Arial"/>
          <w:color w:val="808080" w:themeColor="background1" w:themeShade="80"/>
          <w:sz w:val="22"/>
          <w:szCs w:val="22"/>
          <w:lang w:val="en-GB"/>
        </w:rPr>
      </w:pPr>
    </w:p>
    <w:p w14:paraId="29D33AF2" w14:textId="16284737" w:rsidR="002939F4" w:rsidRPr="001603FA" w:rsidRDefault="002939F4" w:rsidP="005B5A6C">
      <w:pPr>
        <w:jc w:val="both"/>
        <w:rPr>
          <w:rFonts w:ascii="Arial" w:hAnsi="Arial" w:cs="Arial"/>
          <w:color w:val="808080" w:themeColor="background1" w:themeShade="80"/>
          <w:sz w:val="22"/>
          <w:szCs w:val="22"/>
          <w:lang w:val="en-GB"/>
        </w:rPr>
      </w:pPr>
      <w:r w:rsidRPr="001603FA">
        <w:rPr>
          <w:rFonts w:ascii="Arial" w:hAnsi="Arial" w:cs="Arial"/>
          <w:color w:val="808080" w:themeColor="background1" w:themeShade="80"/>
          <w:sz w:val="22"/>
          <w:szCs w:val="22"/>
          <w:lang w:val="en-GB"/>
        </w:rPr>
        <w:t>These actions will help safeguard the assets and ensure stability during the legal proceedings in the US.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E5DDB65" w14:textId="77777777" w:rsidR="00D03778" w:rsidRPr="00EE77BF" w:rsidRDefault="00D03778" w:rsidP="00D03778">
      <w:pPr>
        <w:ind w:left="720" w:hanging="720"/>
        <w:jc w:val="both"/>
        <w:rPr>
          <w:rFonts w:ascii="Arial" w:hAnsi="Arial" w:cs="Arial"/>
          <w:color w:val="808080" w:themeColor="background1" w:themeShade="80"/>
          <w:sz w:val="22"/>
          <w:szCs w:val="22"/>
          <w:lang w:val="en-GB"/>
        </w:rPr>
      </w:pPr>
      <w:r w:rsidRPr="00EE77BF">
        <w:rPr>
          <w:rFonts w:ascii="Arial" w:hAnsi="Arial" w:cs="Arial"/>
          <w:color w:val="808080" w:themeColor="background1" w:themeShade="80"/>
          <w:sz w:val="22"/>
          <w:szCs w:val="22"/>
          <w:lang w:val="en-GB"/>
        </w:rPr>
        <w:t>Following the denial of recognition in Country B, the foreign representative could:</w:t>
      </w:r>
    </w:p>
    <w:p w14:paraId="21B698F2" w14:textId="77777777" w:rsidR="00D03778" w:rsidRPr="00EE77BF" w:rsidRDefault="00D03778" w:rsidP="00D03778">
      <w:pPr>
        <w:ind w:left="720" w:hanging="720"/>
        <w:jc w:val="both"/>
        <w:rPr>
          <w:rFonts w:ascii="Arial" w:hAnsi="Arial" w:cs="Arial"/>
          <w:color w:val="808080" w:themeColor="background1" w:themeShade="80"/>
          <w:sz w:val="22"/>
          <w:szCs w:val="22"/>
          <w:lang w:val="en-GB"/>
        </w:rPr>
      </w:pPr>
    </w:p>
    <w:p w14:paraId="75163B13" w14:textId="77777777" w:rsidR="00D03778" w:rsidRPr="00EE77BF" w:rsidRDefault="00D03778" w:rsidP="00AD3AA1">
      <w:pPr>
        <w:pStyle w:val="ListParagraph"/>
        <w:numPr>
          <w:ilvl w:val="0"/>
          <w:numId w:val="59"/>
        </w:numPr>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Appeal the Decision:</w:t>
      </w:r>
      <w:r w:rsidRPr="00EE77BF">
        <w:rPr>
          <w:rFonts w:ascii="Arial" w:hAnsi="Arial" w:cs="Arial"/>
          <w:color w:val="808080" w:themeColor="background1" w:themeShade="80"/>
          <w:sz w:val="22"/>
          <w:szCs w:val="22"/>
          <w:lang w:val="en-GB"/>
        </w:rPr>
        <w:t xml:space="preserve"> Consider appealing the denial to a higher court or appellate body.</w:t>
      </w:r>
    </w:p>
    <w:p w14:paraId="17559AB0" w14:textId="77777777" w:rsidR="00AD3AA1" w:rsidRPr="00EE77BF" w:rsidRDefault="00AD3AA1" w:rsidP="00D03778">
      <w:pPr>
        <w:ind w:left="720" w:hanging="720"/>
        <w:jc w:val="both"/>
        <w:rPr>
          <w:rFonts w:ascii="Arial" w:hAnsi="Arial" w:cs="Arial"/>
          <w:color w:val="808080" w:themeColor="background1" w:themeShade="80"/>
          <w:sz w:val="22"/>
          <w:szCs w:val="22"/>
          <w:lang w:val="en-GB"/>
        </w:rPr>
      </w:pPr>
    </w:p>
    <w:p w14:paraId="70E54CD3" w14:textId="77777777" w:rsidR="00D03778" w:rsidRPr="00EE77BF" w:rsidRDefault="00D03778" w:rsidP="00AD3AA1">
      <w:pPr>
        <w:pStyle w:val="ListParagraph"/>
        <w:numPr>
          <w:ilvl w:val="0"/>
          <w:numId w:val="59"/>
        </w:numPr>
        <w:tabs>
          <w:tab w:val="left" w:pos="900"/>
        </w:tabs>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Pursue Alternative Recognition:</w:t>
      </w:r>
      <w:r w:rsidRPr="00EE77BF">
        <w:rPr>
          <w:rFonts w:ascii="Arial" w:hAnsi="Arial" w:cs="Arial"/>
          <w:color w:val="808080" w:themeColor="background1" w:themeShade="80"/>
          <w:sz w:val="22"/>
          <w:szCs w:val="22"/>
          <w:lang w:val="en-GB"/>
        </w:rPr>
        <w:t xml:space="preserve"> Explore other avenues for recognition, such as recognition as a foreign non-main proceeding or alternative legal mechanisms.</w:t>
      </w:r>
    </w:p>
    <w:p w14:paraId="51EAB11B" w14:textId="77777777" w:rsidR="00AD3AA1" w:rsidRPr="00EE77BF" w:rsidRDefault="00AD3AA1" w:rsidP="00D03778">
      <w:pPr>
        <w:ind w:left="720" w:hanging="720"/>
        <w:jc w:val="both"/>
        <w:rPr>
          <w:rFonts w:ascii="Arial" w:hAnsi="Arial" w:cs="Arial"/>
          <w:color w:val="808080" w:themeColor="background1" w:themeShade="80"/>
          <w:sz w:val="22"/>
          <w:szCs w:val="22"/>
          <w:lang w:val="en-GB"/>
        </w:rPr>
      </w:pPr>
    </w:p>
    <w:p w14:paraId="27C11D7C" w14:textId="77777777" w:rsidR="00D03778" w:rsidRPr="00EE77BF" w:rsidRDefault="00D03778" w:rsidP="00AD3AA1">
      <w:pPr>
        <w:pStyle w:val="ListParagraph"/>
        <w:numPr>
          <w:ilvl w:val="0"/>
          <w:numId w:val="59"/>
        </w:numPr>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Negotiate with Creditors:</w:t>
      </w:r>
      <w:r w:rsidRPr="00EE77BF">
        <w:rPr>
          <w:rFonts w:ascii="Arial" w:hAnsi="Arial" w:cs="Arial"/>
          <w:color w:val="808080" w:themeColor="background1" w:themeShade="80"/>
          <w:sz w:val="22"/>
          <w:szCs w:val="22"/>
          <w:lang w:val="en-GB"/>
        </w:rPr>
        <w:t xml:space="preserve"> Engage in direct negotiations with creditors in Country B to reach agreements on asset sales.</w:t>
      </w:r>
    </w:p>
    <w:p w14:paraId="7CCD902F" w14:textId="77777777" w:rsidR="00AD3AA1" w:rsidRPr="00EE77BF" w:rsidRDefault="00AD3AA1" w:rsidP="00D03778">
      <w:pPr>
        <w:ind w:left="720" w:hanging="720"/>
        <w:jc w:val="both"/>
        <w:rPr>
          <w:rFonts w:ascii="Arial" w:hAnsi="Arial" w:cs="Arial"/>
          <w:color w:val="808080" w:themeColor="background1" w:themeShade="80"/>
          <w:sz w:val="22"/>
          <w:szCs w:val="22"/>
          <w:lang w:val="en-GB"/>
        </w:rPr>
      </w:pPr>
    </w:p>
    <w:p w14:paraId="3694E801" w14:textId="77777777" w:rsidR="00D03778" w:rsidRPr="00EE77BF" w:rsidRDefault="00D03778" w:rsidP="00AD3AA1">
      <w:pPr>
        <w:pStyle w:val="ListParagraph"/>
        <w:numPr>
          <w:ilvl w:val="0"/>
          <w:numId w:val="59"/>
        </w:numPr>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Review Strategy:</w:t>
      </w:r>
      <w:r w:rsidRPr="00EE77BF">
        <w:rPr>
          <w:rFonts w:ascii="Arial" w:hAnsi="Arial" w:cs="Arial"/>
          <w:color w:val="808080" w:themeColor="background1" w:themeShade="80"/>
          <w:sz w:val="22"/>
          <w:szCs w:val="22"/>
          <w:lang w:val="en-GB"/>
        </w:rPr>
        <w:t xml:space="preserve"> Assess the initial recognition strategy and make necessary adjustments for future attempts.</w:t>
      </w:r>
    </w:p>
    <w:p w14:paraId="2A5F6AD8" w14:textId="77777777" w:rsidR="00AD3AA1" w:rsidRPr="00EE77BF" w:rsidRDefault="00AD3AA1" w:rsidP="00D03778">
      <w:pPr>
        <w:ind w:left="720" w:hanging="720"/>
        <w:jc w:val="both"/>
        <w:rPr>
          <w:rFonts w:ascii="Arial" w:hAnsi="Arial" w:cs="Arial"/>
          <w:color w:val="808080" w:themeColor="background1" w:themeShade="80"/>
          <w:sz w:val="22"/>
          <w:szCs w:val="22"/>
          <w:lang w:val="en-GB"/>
        </w:rPr>
      </w:pPr>
    </w:p>
    <w:p w14:paraId="09952C8F" w14:textId="77777777" w:rsidR="00D03778" w:rsidRPr="00EE77BF" w:rsidRDefault="00D03778" w:rsidP="00D03778">
      <w:pPr>
        <w:ind w:left="720" w:hanging="720"/>
        <w:jc w:val="both"/>
        <w:rPr>
          <w:rFonts w:ascii="Arial" w:hAnsi="Arial" w:cs="Arial"/>
          <w:color w:val="808080" w:themeColor="background1" w:themeShade="80"/>
          <w:sz w:val="22"/>
          <w:szCs w:val="22"/>
          <w:lang w:val="en-GB"/>
        </w:rPr>
      </w:pPr>
      <w:r w:rsidRPr="00EE77BF">
        <w:rPr>
          <w:rFonts w:ascii="Arial" w:hAnsi="Arial" w:cs="Arial"/>
          <w:color w:val="808080" w:themeColor="background1" w:themeShade="80"/>
          <w:sz w:val="22"/>
          <w:szCs w:val="22"/>
          <w:lang w:val="en-GB"/>
        </w:rPr>
        <w:t>At the outset, the foreign representative should have:</w:t>
      </w:r>
    </w:p>
    <w:p w14:paraId="3ADB1449" w14:textId="77777777" w:rsidR="00D03778" w:rsidRPr="00EE77BF" w:rsidRDefault="00D03778" w:rsidP="00D03778">
      <w:pPr>
        <w:ind w:left="720" w:hanging="720"/>
        <w:jc w:val="both"/>
        <w:rPr>
          <w:rFonts w:ascii="Arial" w:hAnsi="Arial" w:cs="Arial"/>
          <w:color w:val="808080" w:themeColor="background1" w:themeShade="80"/>
          <w:sz w:val="22"/>
          <w:szCs w:val="22"/>
          <w:lang w:val="en-GB"/>
        </w:rPr>
      </w:pPr>
    </w:p>
    <w:p w14:paraId="01A6000D" w14:textId="77777777" w:rsidR="00D03778" w:rsidRPr="00EE77BF" w:rsidRDefault="00D03778" w:rsidP="00AE778C">
      <w:pPr>
        <w:pStyle w:val="ListParagraph"/>
        <w:numPr>
          <w:ilvl w:val="0"/>
          <w:numId w:val="60"/>
        </w:numPr>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Conducted Due Diligence</w:t>
      </w:r>
      <w:r w:rsidRPr="00EE77BF">
        <w:rPr>
          <w:rFonts w:ascii="Arial" w:hAnsi="Arial" w:cs="Arial"/>
          <w:color w:val="808080" w:themeColor="background1" w:themeShade="80"/>
          <w:sz w:val="22"/>
          <w:szCs w:val="22"/>
          <w:lang w:val="en-GB"/>
        </w:rPr>
        <w:t>: Conducted thorough due diligence to assess success likelihood and identify challenges.</w:t>
      </w:r>
    </w:p>
    <w:p w14:paraId="49BAC45B" w14:textId="77777777" w:rsidR="00AD3AA1" w:rsidRPr="00EE77BF" w:rsidRDefault="00AD3AA1" w:rsidP="00AD3AA1">
      <w:pPr>
        <w:jc w:val="both"/>
        <w:rPr>
          <w:rFonts w:ascii="Arial" w:hAnsi="Arial" w:cs="Arial"/>
          <w:color w:val="808080" w:themeColor="background1" w:themeShade="80"/>
          <w:sz w:val="22"/>
          <w:szCs w:val="22"/>
          <w:lang w:val="en-GB"/>
        </w:rPr>
      </w:pPr>
    </w:p>
    <w:p w14:paraId="585CA9CB" w14:textId="77777777" w:rsidR="00D03778" w:rsidRPr="00EE77BF" w:rsidRDefault="00D03778" w:rsidP="00AE778C">
      <w:pPr>
        <w:pStyle w:val="ListParagraph"/>
        <w:numPr>
          <w:ilvl w:val="0"/>
          <w:numId w:val="60"/>
        </w:numPr>
        <w:jc w:val="both"/>
        <w:rPr>
          <w:rFonts w:ascii="Arial" w:hAnsi="Arial" w:cs="Arial"/>
          <w:color w:val="808080" w:themeColor="background1" w:themeShade="80"/>
          <w:sz w:val="22"/>
          <w:szCs w:val="22"/>
          <w:lang w:val="en-GB"/>
        </w:rPr>
      </w:pPr>
      <w:r w:rsidRPr="00AC5CDD">
        <w:rPr>
          <w:rFonts w:ascii="Arial" w:hAnsi="Arial" w:cs="Arial"/>
          <w:b/>
          <w:bCs/>
          <w:color w:val="808080" w:themeColor="background1" w:themeShade="80"/>
          <w:sz w:val="22"/>
          <w:szCs w:val="22"/>
          <w:lang w:val="en-GB"/>
        </w:rPr>
        <w:t>Engaged Local Counsel:</w:t>
      </w:r>
      <w:r w:rsidRPr="00EE77BF">
        <w:rPr>
          <w:rFonts w:ascii="Arial" w:hAnsi="Arial" w:cs="Arial"/>
          <w:color w:val="808080" w:themeColor="background1" w:themeShade="80"/>
          <w:sz w:val="22"/>
          <w:szCs w:val="22"/>
          <w:lang w:val="en-GB"/>
        </w:rPr>
        <w:t xml:space="preserve"> Hired local counsel in Country B familiar with its insolvency laws.</w:t>
      </w:r>
    </w:p>
    <w:p w14:paraId="65E8999A" w14:textId="77777777" w:rsidR="00AD3AA1" w:rsidRPr="00EE77BF" w:rsidRDefault="00AD3AA1" w:rsidP="00D03778">
      <w:pPr>
        <w:ind w:left="720" w:hanging="720"/>
        <w:jc w:val="both"/>
        <w:rPr>
          <w:rFonts w:ascii="Arial" w:hAnsi="Arial" w:cs="Arial"/>
          <w:color w:val="808080" w:themeColor="background1" w:themeShade="80"/>
          <w:sz w:val="22"/>
          <w:szCs w:val="22"/>
          <w:lang w:val="en-GB"/>
        </w:rPr>
      </w:pPr>
    </w:p>
    <w:p w14:paraId="5CE78AF8" w14:textId="75EABDFD" w:rsidR="00D03778" w:rsidRPr="00EE77BF" w:rsidRDefault="00D03778" w:rsidP="00AE778C">
      <w:pPr>
        <w:pStyle w:val="ListParagraph"/>
        <w:numPr>
          <w:ilvl w:val="0"/>
          <w:numId w:val="60"/>
        </w:numPr>
        <w:jc w:val="both"/>
        <w:rPr>
          <w:rFonts w:ascii="Arial" w:hAnsi="Arial" w:cs="Arial"/>
          <w:color w:val="808080" w:themeColor="background1" w:themeShade="80"/>
          <w:sz w:val="22"/>
          <w:szCs w:val="22"/>
          <w:lang w:val="en-GB"/>
        </w:rPr>
      </w:pPr>
      <w:r w:rsidRPr="00DB2469">
        <w:rPr>
          <w:rFonts w:ascii="Arial" w:hAnsi="Arial" w:cs="Arial"/>
          <w:b/>
          <w:bCs/>
          <w:color w:val="808080" w:themeColor="background1" w:themeShade="80"/>
          <w:sz w:val="22"/>
          <w:szCs w:val="22"/>
          <w:lang w:val="en-GB"/>
        </w:rPr>
        <w:lastRenderedPageBreak/>
        <w:t>Prepared a Strong Petition:</w:t>
      </w:r>
      <w:r w:rsidRPr="00EE77BF">
        <w:rPr>
          <w:rFonts w:ascii="Arial" w:hAnsi="Arial" w:cs="Arial"/>
          <w:color w:val="808080" w:themeColor="background1" w:themeShade="80"/>
          <w:sz w:val="22"/>
          <w:szCs w:val="22"/>
          <w:lang w:val="en-GB"/>
        </w:rPr>
        <w:t xml:space="preserve"> Submitted a comprehensive petition addressing potential concerns and providing clear evidence for recognition.</w:t>
      </w:r>
    </w:p>
    <w:p w14:paraId="3C2FA0E8" w14:textId="77777777" w:rsidR="000714EF" w:rsidRPr="00EE77BF" w:rsidRDefault="000714EF" w:rsidP="000714EF">
      <w:pPr>
        <w:pStyle w:val="ListParagraph"/>
        <w:rPr>
          <w:rFonts w:ascii="Arial" w:hAnsi="Arial" w:cs="Arial"/>
          <w:color w:val="808080" w:themeColor="background1" w:themeShade="80"/>
          <w:sz w:val="22"/>
          <w:szCs w:val="22"/>
          <w:lang w:val="en-GB"/>
        </w:rPr>
      </w:pPr>
    </w:p>
    <w:p w14:paraId="22E8130D" w14:textId="070E4F35" w:rsidR="000714EF" w:rsidRPr="00EE77BF" w:rsidRDefault="000714EF" w:rsidP="000714EF">
      <w:pPr>
        <w:pStyle w:val="ListParagraph"/>
        <w:ind w:left="0"/>
        <w:jc w:val="both"/>
        <w:rPr>
          <w:rFonts w:ascii="Arial" w:hAnsi="Arial" w:cs="Arial"/>
          <w:color w:val="808080" w:themeColor="background1" w:themeShade="80"/>
          <w:sz w:val="22"/>
          <w:szCs w:val="22"/>
          <w:lang w:val="en-GB"/>
        </w:rPr>
      </w:pPr>
      <w:r w:rsidRPr="00EE77BF">
        <w:rPr>
          <w:rFonts w:ascii="Arial" w:hAnsi="Arial" w:cs="Arial"/>
          <w:color w:val="808080" w:themeColor="background1" w:themeShade="80"/>
          <w:sz w:val="22"/>
          <w:szCs w:val="22"/>
          <w:lang w:val="en-GB"/>
        </w:rPr>
        <w:t>By taking these steps, the foreign representative can effectively respond to the denial of recognition in Country B and pursue alternative strategies to achieve the desired outcomes in the administration of the foreign debtor's assets.</w:t>
      </w:r>
    </w:p>
    <w:p w14:paraId="0C64800F" w14:textId="77777777" w:rsidR="000714EF" w:rsidRPr="00EE77BF" w:rsidRDefault="000714EF" w:rsidP="000714EF">
      <w:pPr>
        <w:pStyle w:val="ListParagraph"/>
        <w:ind w:left="0"/>
        <w:jc w:val="both"/>
        <w:rPr>
          <w:rFonts w:ascii="Arial" w:hAnsi="Arial"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799E96CC" w14:textId="2236CCD1" w:rsidR="001136C3" w:rsidRPr="008745FC" w:rsidRDefault="001136C3" w:rsidP="001136C3">
      <w:p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Based on the extensive details provided, crafting a robust filing strategy for Globe Holdings to ensure a successful restructuring involves a thorough understanding of its corporate structure, jurisdictional considerations, and the intricacies of cross-border insolvency proceedings. Here's a comprehensive analysis:</w:t>
      </w:r>
    </w:p>
    <w:p w14:paraId="540C1123" w14:textId="77777777" w:rsidR="001136C3" w:rsidRPr="008745FC" w:rsidRDefault="001136C3" w:rsidP="001136C3">
      <w:pPr>
        <w:jc w:val="both"/>
        <w:rPr>
          <w:rFonts w:ascii="Arial" w:hAnsi="Arial" w:cs="Arial"/>
          <w:color w:val="808080" w:themeColor="background1" w:themeShade="80"/>
          <w:sz w:val="22"/>
          <w:szCs w:val="28"/>
        </w:rPr>
      </w:pPr>
    </w:p>
    <w:p w14:paraId="6DFA3D76" w14:textId="77777777" w:rsidR="001136C3" w:rsidRPr="008745FC" w:rsidRDefault="001136C3" w:rsidP="001136C3">
      <w:pPr>
        <w:jc w:val="both"/>
        <w:rPr>
          <w:rFonts w:ascii="Arial" w:hAnsi="Arial" w:cs="Arial"/>
          <w:b/>
          <w:bCs/>
          <w:color w:val="808080" w:themeColor="background1" w:themeShade="80"/>
          <w:sz w:val="22"/>
          <w:szCs w:val="28"/>
          <w:u w:val="single"/>
        </w:rPr>
      </w:pPr>
      <w:r w:rsidRPr="008745FC">
        <w:rPr>
          <w:rFonts w:ascii="Arial" w:hAnsi="Arial" w:cs="Arial"/>
          <w:b/>
          <w:bCs/>
          <w:color w:val="808080" w:themeColor="background1" w:themeShade="80"/>
          <w:sz w:val="22"/>
          <w:szCs w:val="28"/>
          <w:u w:val="single"/>
        </w:rPr>
        <w:t>Recognition Proceedings:</w:t>
      </w:r>
    </w:p>
    <w:p w14:paraId="19EC5354" w14:textId="77777777" w:rsidR="001136C3" w:rsidRPr="008745FC" w:rsidRDefault="001136C3" w:rsidP="00EE2175">
      <w:pPr>
        <w:pStyle w:val="ListParagraph"/>
        <w:numPr>
          <w:ilvl w:val="0"/>
          <w:numId w:val="61"/>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Given Globe Holdings' COMI in the Cayman Islands and its Cayman Islands incorporation, the primary filing strategy should prioritize recognition of the restructuring proceedings as a foreign main proceeding in the United States under Chapter 15 of the Bankruptcy Code. This approach aims to extend the restructuring's effects to the US and obtain necessary relief.</w:t>
      </w:r>
    </w:p>
    <w:p w14:paraId="185F12F2" w14:textId="77777777" w:rsidR="00EE2175" w:rsidRPr="008745FC" w:rsidRDefault="00EE2175" w:rsidP="001136C3">
      <w:pPr>
        <w:jc w:val="both"/>
        <w:rPr>
          <w:rFonts w:ascii="Arial" w:hAnsi="Arial" w:cs="Arial"/>
          <w:color w:val="808080" w:themeColor="background1" w:themeShade="80"/>
          <w:sz w:val="22"/>
          <w:szCs w:val="28"/>
        </w:rPr>
      </w:pPr>
    </w:p>
    <w:p w14:paraId="1A457138" w14:textId="77777777" w:rsidR="001136C3" w:rsidRPr="008745FC" w:rsidRDefault="001136C3" w:rsidP="00EE2175">
      <w:pPr>
        <w:pStyle w:val="ListParagraph"/>
        <w:numPr>
          <w:ilvl w:val="0"/>
          <w:numId w:val="61"/>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Seeking recognition in the US is critical to ensuring the enforceability of the restructuring plan, protecting assets located in the US, and facilitating cooperation with US creditors and stakeholders.</w:t>
      </w:r>
    </w:p>
    <w:p w14:paraId="5CA722C6" w14:textId="77777777" w:rsidR="00EE2175" w:rsidRPr="008745FC" w:rsidRDefault="00EE2175" w:rsidP="00EE2175">
      <w:pPr>
        <w:pStyle w:val="ListParagraph"/>
        <w:rPr>
          <w:rFonts w:ascii="Arial" w:hAnsi="Arial" w:cs="Arial"/>
          <w:color w:val="808080" w:themeColor="background1" w:themeShade="80"/>
          <w:sz w:val="22"/>
          <w:szCs w:val="28"/>
        </w:rPr>
      </w:pPr>
    </w:p>
    <w:p w14:paraId="172E0CA0" w14:textId="77777777" w:rsidR="00EE2175" w:rsidRPr="008745FC" w:rsidRDefault="00EE2175" w:rsidP="00EE2175">
      <w:pPr>
        <w:pStyle w:val="ListParagraph"/>
        <w:jc w:val="both"/>
        <w:rPr>
          <w:rFonts w:ascii="Arial" w:hAnsi="Arial" w:cs="Arial"/>
          <w:color w:val="808080" w:themeColor="background1" w:themeShade="80"/>
          <w:sz w:val="22"/>
          <w:szCs w:val="28"/>
        </w:rPr>
      </w:pPr>
    </w:p>
    <w:p w14:paraId="7515318E" w14:textId="77777777" w:rsidR="001136C3" w:rsidRPr="008745FC" w:rsidRDefault="001136C3" w:rsidP="001136C3">
      <w:pPr>
        <w:jc w:val="both"/>
        <w:rPr>
          <w:rFonts w:ascii="Arial" w:hAnsi="Arial" w:cs="Arial"/>
          <w:b/>
          <w:bCs/>
          <w:color w:val="808080" w:themeColor="background1" w:themeShade="80"/>
          <w:sz w:val="22"/>
          <w:szCs w:val="28"/>
          <w:u w:val="single"/>
        </w:rPr>
      </w:pPr>
      <w:r w:rsidRPr="008745FC">
        <w:rPr>
          <w:rFonts w:ascii="Arial" w:hAnsi="Arial" w:cs="Arial"/>
          <w:b/>
          <w:bCs/>
          <w:color w:val="808080" w:themeColor="background1" w:themeShade="80"/>
          <w:sz w:val="22"/>
          <w:szCs w:val="28"/>
          <w:u w:val="single"/>
        </w:rPr>
        <w:t>Filing Strategy:</w:t>
      </w:r>
    </w:p>
    <w:p w14:paraId="2D0DD12C" w14:textId="77777777" w:rsidR="001136C3" w:rsidRPr="008745FC" w:rsidRDefault="001136C3" w:rsidP="00EE2175">
      <w:pPr>
        <w:pStyle w:val="ListParagraph"/>
        <w:numPr>
          <w:ilvl w:val="0"/>
          <w:numId w:val="62"/>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Globe Holdings should meticulously prepare a petition for recognition of the Cayman restructuring proceedings as a foreign main proceeding in the US Bankruptcy Court. The petition should adhere to all procedural requirements under Chapter 15 and provide comprehensive documentation to substantiate the legitimacy and effectiveness of the Cayman restructuring process.</w:t>
      </w:r>
    </w:p>
    <w:p w14:paraId="2B648B45" w14:textId="77777777" w:rsidR="00EE2175" w:rsidRPr="008745FC" w:rsidRDefault="00EE2175" w:rsidP="001136C3">
      <w:pPr>
        <w:jc w:val="both"/>
        <w:rPr>
          <w:rFonts w:ascii="Arial" w:hAnsi="Arial" w:cs="Arial"/>
          <w:color w:val="808080" w:themeColor="background1" w:themeShade="80"/>
          <w:sz w:val="22"/>
          <w:szCs w:val="28"/>
        </w:rPr>
      </w:pPr>
    </w:p>
    <w:p w14:paraId="061E462D" w14:textId="77777777" w:rsidR="001136C3" w:rsidRPr="008745FC" w:rsidRDefault="001136C3" w:rsidP="00EE2175">
      <w:pPr>
        <w:pStyle w:val="ListParagraph"/>
        <w:numPr>
          <w:ilvl w:val="0"/>
          <w:numId w:val="62"/>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Supporting documents to be included in the petition may encompass the Convening Order, the Sanction Order, evidence of overwhelming support from Noteholders for the restructuring scheme, and any other relevant court orders or communications related to the restructuring.</w:t>
      </w:r>
    </w:p>
    <w:p w14:paraId="5C78B710" w14:textId="77777777" w:rsidR="007D1352" w:rsidRPr="008745FC" w:rsidRDefault="007D1352" w:rsidP="007D1352">
      <w:pPr>
        <w:pStyle w:val="ListParagraph"/>
        <w:rPr>
          <w:rFonts w:ascii="Arial" w:hAnsi="Arial" w:cs="Arial"/>
          <w:color w:val="808080" w:themeColor="background1" w:themeShade="80"/>
          <w:sz w:val="22"/>
          <w:szCs w:val="28"/>
        </w:rPr>
      </w:pPr>
    </w:p>
    <w:p w14:paraId="5276E0DF" w14:textId="77777777" w:rsidR="001136C3" w:rsidRPr="008745FC" w:rsidRDefault="001136C3" w:rsidP="001136C3">
      <w:pPr>
        <w:jc w:val="both"/>
        <w:rPr>
          <w:rFonts w:ascii="Arial" w:hAnsi="Arial" w:cs="Arial"/>
          <w:b/>
          <w:bCs/>
          <w:color w:val="808080" w:themeColor="background1" w:themeShade="80"/>
          <w:sz w:val="22"/>
          <w:szCs w:val="28"/>
          <w:u w:val="single"/>
        </w:rPr>
      </w:pPr>
      <w:r w:rsidRPr="008745FC">
        <w:rPr>
          <w:rFonts w:ascii="Arial" w:hAnsi="Arial" w:cs="Arial"/>
          <w:b/>
          <w:bCs/>
          <w:color w:val="808080" w:themeColor="background1" w:themeShade="80"/>
          <w:sz w:val="22"/>
          <w:szCs w:val="28"/>
          <w:u w:val="single"/>
        </w:rPr>
        <w:t>Requested Relief:</w:t>
      </w:r>
    </w:p>
    <w:p w14:paraId="7DAFDB02" w14:textId="77777777" w:rsidR="001136C3" w:rsidRPr="008745FC" w:rsidRDefault="001136C3" w:rsidP="007D1352">
      <w:pPr>
        <w:pStyle w:val="ListParagraph"/>
        <w:numPr>
          <w:ilvl w:val="0"/>
          <w:numId w:val="63"/>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On the day of filing, Globe Holdings should strategically request immediate provisional relief from the US Bankruptcy Court to safeguard its assets and interests in the US. This relief may encompass a stay of litigation, an injunction against creditors' actions, and other protective measures aimed at preserving the integrity of the restructuring process and ensuring its success.</w:t>
      </w:r>
    </w:p>
    <w:p w14:paraId="79720E48" w14:textId="77777777" w:rsidR="007D1352" w:rsidRPr="008745FC" w:rsidRDefault="007D1352" w:rsidP="001136C3">
      <w:pPr>
        <w:jc w:val="both"/>
        <w:rPr>
          <w:rFonts w:ascii="Arial" w:hAnsi="Arial" w:cs="Arial"/>
          <w:color w:val="808080" w:themeColor="background1" w:themeShade="80"/>
          <w:sz w:val="22"/>
          <w:szCs w:val="28"/>
        </w:rPr>
      </w:pPr>
    </w:p>
    <w:p w14:paraId="5E71D58F" w14:textId="77777777" w:rsidR="001136C3" w:rsidRPr="008745FC" w:rsidRDefault="001136C3" w:rsidP="007D1352">
      <w:pPr>
        <w:pStyle w:val="ListParagraph"/>
        <w:numPr>
          <w:ilvl w:val="0"/>
          <w:numId w:val="63"/>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Additionally, Globe Holdings should seek recognition of the automatic stay to prevent further adverse actions against its assets in the US, thereby fostering an environment conducive to successful restructuring negotiations and implementation.</w:t>
      </w:r>
    </w:p>
    <w:p w14:paraId="1960C7BA" w14:textId="77777777" w:rsidR="007D1352" w:rsidRPr="008745FC" w:rsidRDefault="007D1352" w:rsidP="007D1352">
      <w:pPr>
        <w:pStyle w:val="ListParagraph"/>
        <w:rPr>
          <w:rFonts w:ascii="Arial" w:hAnsi="Arial" w:cs="Arial"/>
          <w:color w:val="808080" w:themeColor="background1" w:themeShade="80"/>
          <w:sz w:val="22"/>
          <w:szCs w:val="28"/>
        </w:rPr>
      </w:pPr>
    </w:p>
    <w:p w14:paraId="501AB646" w14:textId="77777777" w:rsidR="001136C3" w:rsidRPr="008745FC" w:rsidRDefault="001136C3" w:rsidP="001136C3">
      <w:pPr>
        <w:jc w:val="both"/>
        <w:rPr>
          <w:rFonts w:ascii="Arial" w:hAnsi="Arial" w:cs="Arial"/>
          <w:b/>
          <w:bCs/>
          <w:color w:val="808080" w:themeColor="background1" w:themeShade="80"/>
          <w:sz w:val="22"/>
          <w:szCs w:val="28"/>
          <w:u w:val="single"/>
        </w:rPr>
      </w:pPr>
      <w:r w:rsidRPr="008745FC">
        <w:rPr>
          <w:rFonts w:ascii="Arial" w:hAnsi="Arial" w:cs="Arial"/>
          <w:b/>
          <w:bCs/>
          <w:color w:val="808080" w:themeColor="background1" w:themeShade="80"/>
          <w:sz w:val="22"/>
          <w:szCs w:val="28"/>
          <w:u w:val="single"/>
        </w:rPr>
        <w:t>Addressing Class Action Litigation:</w:t>
      </w:r>
    </w:p>
    <w:p w14:paraId="5398A9CB" w14:textId="77777777" w:rsidR="001136C3" w:rsidRPr="008745FC" w:rsidRDefault="001136C3" w:rsidP="00746025">
      <w:pPr>
        <w:pStyle w:val="ListParagraph"/>
        <w:numPr>
          <w:ilvl w:val="0"/>
          <w:numId w:val="64"/>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Proactively addressing the potential class action litigation looming in the US is paramount, notwithstanding its pending status.</w:t>
      </w:r>
    </w:p>
    <w:p w14:paraId="719144AE" w14:textId="77777777" w:rsidR="00FA5CB3" w:rsidRPr="008745FC" w:rsidRDefault="00FA5CB3" w:rsidP="001136C3">
      <w:pPr>
        <w:jc w:val="both"/>
        <w:rPr>
          <w:rFonts w:ascii="Arial" w:hAnsi="Arial" w:cs="Arial"/>
          <w:color w:val="808080" w:themeColor="background1" w:themeShade="80"/>
          <w:sz w:val="22"/>
          <w:szCs w:val="28"/>
        </w:rPr>
      </w:pPr>
    </w:p>
    <w:p w14:paraId="22B6BC0C" w14:textId="77777777" w:rsidR="001136C3" w:rsidRPr="008745FC" w:rsidRDefault="001136C3" w:rsidP="00746025">
      <w:pPr>
        <w:pStyle w:val="ListParagraph"/>
        <w:numPr>
          <w:ilvl w:val="0"/>
          <w:numId w:val="64"/>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Globe Holdings should engage seasoned US counsel to assess the potential claims, devise a robust defense strategy, and prepare for potential litigation challenges. Gathering pertinent evidence and documentation to substantiate its position and protect its interests in the class action proceedings is imperative to mitigate legal risks and safeguard stakeholder value.</w:t>
      </w:r>
    </w:p>
    <w:p w14:paraId="5CF08773" w14:textId="77777777" w:rsidR="00746025" w:rsidRPr="008745FC" w:rsidRDefault="00746025" w:rsidP="001136C3">
      <w:pPr>
        <w:jc w:val="both"/>
        <w:rPr>
          <w:rFonts w:ascii="Arial" w:hAnsi="Arial" w:cs="Arial"/>
          <w:color w:val="808080" w:themeColor="background1" w:themeShade="80"/>
          <w:sz w:val="22"/>
          <w:szCs w:val="28"/>
        </w:rPr>
      </w:pPr>
    </w:p>
    <w:p w14:paraId="5758D008" w14:textId="77777777" w:rsidR="001136C3" w:rsidRPr="008745FC" w:rsidRDefault="001136C3" w:rsidP="001136C3">
      <w:pPr>
        <w:jc w:val="both"/>
        <w:rPr>
          <w:rFonts w:ascii="Arial" w:hAnsi="Arial" w:cs="Arial"/>
          <w:b/>
          <w:bCs/>
          <w:color w:val="808080" w:themeColor="background1" w:themeShade="80"/>
          <w:sz w:val="22"/>
          <w:szCs w:val="28"/>
          <w:u w:val="single"/>
        </w:rPr>
      </w:pPr>
      <w:r w:rsidRPr="008745FC">
        <w:rPr>
          <w:rFonts w:ascii="Arial" w:hAnsi="Arial" w:cs="Arial"/>
          <w:b/>
          <w:bCs/>
          <w:color w:val="808080" w:themeColor="background1" w:themeShade="80"/>
          <w:sz w:val="22"/>
          <w:szCs w:val="28"/>
          <w:u w:val="single"/>
        </w:rPr>
        <w:t>Ongoing Compliance and Reporting:</w:t>
      </w:r>
    </w:p>
    <w:p w14:paraId="5B1ABFC6" w14:textId="77777777" w:rsidR="001136C3" w:rsidRPr="008745FC" w:rsidRDefault="001136C3" w:rsidP="002132C1">
      <w:pPr>
        <w:pStyle w:val="ListParagraph"/>
        <w:numPr>
          <w:ilvl w:val="0"/>
          <w:numId w:val="65"/>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Throughout the restructuring process, Globe Holdings must uphold ongoing compliance with all pertinent legal and regulatory requirements in both the Cayman Islands and the US jurisdictions.</w:t>
      </w:r>
    </w:p>
    <w:p w14:paraId="554BEC76" w14:textId="77777777" w:rsidR="002132C1" w:rsidRPr="008745FC" w:rsidRDefault="002132C1" w:rsidP="001136C3">
      <w:pPr>
        <w:jc w:val="both"/>
        <w:rPr>
          <w:rFonts w:ascii="Arial" w:hAnsi="Arial" w:cs="Arial"/>
          <w:color w:val="808080" w:themeColor="background1" w:themeShade="80"/>
          <w:sz w:val="22"/>
          <w:szCs w:val="28"/>
        </w:rPr>
      </w:pPr>
    </w:p>
    <w:p w14:paraId="2C3BF223" w14:textId="77777777" w:rsidR="001136C3" w:rsidRPr="008745FC" w:rsidRDefault="001136C3" w:rsidP="002132C1">
      <w:pPr>
        <w:pStyle w:val="ListParagraph"/>
        <w:numPr>
          <w:ilvl w:val="0"/>
          <w:numId w:val="65"/>
        </w:num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This entails adhering to court orders, complying with reporting obligations to the US Bankruptcy Court, and maintaining transparency with stakeholders regarding the progress of the restructuring efforts.</w:t>
      </w:r>
    </w:p>
    <w:p w14:paraId="7B35EB33" w14:textId="77777777" w:rsidR="002132C1" w:rsidRPr="008745FC" w:rsidRDefault="002132C1" w:rsidP="002132C1">
      <w:pPr>
        <w:pStyle w:val="ListParagraph"/>
        <w:rPr>
          <w:rFonts w:ascii="Arial" w:hAnsi="Arial" w:cs="Arial"/>
          <w:color w:val="808080" w:themeColor="background1" w:themeShade="80"/>
          <w:sz w:val="22"/>
          <w:szCs w:val="28"/>
        </w:rPr>
      </w:pPr>
    </w:p>
    <w:p w14:paraId="499766C6" w14:textId="77777777" w:rsidR="00D56289" w:rsidRPr="008745FC" w:rsidRDefault="00D56289" w:rsidP="00D56289">
      <w:p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t>In summary, Globe Holdings must meticulously navigate the complexities of cross-border insolvency proceedings to ensure a successful restructuring outcome. By strategically pursuing recognition of its Cayman restructuring proceedings as a foreign main proceeding in the US under Chapter 15, Globe Holdings can extend the restructuring's efficacy to US jurisdictions. Proactive engagement with legal counsel, meticulous preparation of petition documentation, and strategic pursuit of immediate provisional relief are essential components of this approach.</w:t>
      </w:r>
    </w:p>
    <w:p w14:paraId="504E889B" w14:textId="77777777" w:rsidR="00D56289" w:rsidRPr="008745FC" w:rsidRDefault="00D56289" w:rsidP="00D56289">
      <w:pPr>
        <w:jc w:val="both"/>
        <w:rPr>
          <w:rFonts w:ascii="Arial" w:hAnsi="Arial" w:cs="Arial"/>
          <w:color w:val="808080" w:themeColor="background1" w:themeShade="80"/>
          <w:sz w:val="22"/>
          <w:szCs w:val="28"/>
        </w:rPr>
      </w:pPr>
    </w:p>
    <w:p w14:paraId="236105B2" w14:textId="77777777" w:rsidR="00D56289" w:rsidRPr="008745FC" w:rsidRDefault="00D56289" w:rsidP="00D56289">
      <w:pPr>
        <w:jc w:val="both"/>
        <w:rPr>
          <w:rFonts w:ascii="Arial" w:hAnsi="Arial" w:cs="Arial"/>
          <w:color w:val="808080" w:themeColor="background1" w:themeShade="80"/>
          <w:sz w:val="22"/>
          <w:szCs w:val="28"/>
        </w:rPr>
      </w:pPr>
    </w:p>
    <w:p w14:paraId="083FF78F" w14:textId="77777777" w:rsidR="00D56289" w:rsidRPr="008745FC" w:rsidRDefault="00D56289" w:rsidP="00D56289">
      <w:pPr>
        <w:jc w:val="both"/>
        <w:rPr>
          <w:rFonts w:ascii="Arial" w:hAnsi="Arial" w:cs="Arial"/>
          <w:color w:val="808080" w:themeColor="background1" w:themeShade="80"/>
          <w:sz w:val="22"/>
          <w:szCs w:val="28"/>
        </w:rPr>
      </w:pPr>
    </w:p>
    <w:p w14:paraId="0184AFBA" w14:textId="77777777" w:rsidR="00D56289" w:rsidRPr="008745FC" w:rsidRDefault="00D56289" w:rsidP="00D56289">
      <w:pPr>
        <w:jc w:val="both"/>
        <w:rPr>
          <w:rFonts w:ascii="Arial" w:hAnsi="Arial" w:cs="Arial"/>
          <w:color w:val="808080" w:themeColor="background1" w:themeShade="80"/>
          <w:sz w:val="22"/>
          <w:szCs w:val="28"/>
        </w:rPr>
      </w:pPr>
    </w:p>
    <w:p w14:paraId="6FDB8882" w14:textId="77777777" w:rsidR="00D56289" w:rsidRPr="008745FC" w:rsidRDefault="00D56289" w:rsidP="00D56289">
      <w:pPr>
        <w:jc w:val="both"/>
        <w:rPr>
          <w:rFonts w:ascii="Arial" w:hAnsi="Arial" w:cs="Arial"/>
          <w:color w:val="808080" w:themeColor="background1" w:themeShade="80"/>
          <w:sz w:val="22"/>
          <w:szCs w:val="28"/>
        </w:rPr>
      </w:pPr>
      <w:r w:rsidRPr="008745FC">
        <w:rPr>
          <w:rFonts w:ascii="Arial" w:hAnsi="Arial" w:cs="Arial"/>
          <w:color w:val="808080" w:themeColor="background1" w:themeShade="80"/>
          <w:sz w:val="22"/>
          <w:szCs w:val="28"/>
        </w:rPr>
        <w:lastRenderedPageBreak/>
        <w:t>Addressing potential class action litigation requires proactive vigilance and diligent preparation to mitigate legal risks and protect stakeholder value. By enlisting the expertise of seasoned legal counsel, Globe Holdings can navigate impending litigation while focusing on the successful execution of the restructuring plan.</w:t>
      </w:r>
    </w:p>
    <w:p w14:paraId="5410DA23" w14:textId="77777777" w:rsidR="00D56289" w:rsidRPr="008745FC" w:rsidRDefault="00D56289" w:rsidP="00D56289">
      <w:pPr>
        <w:jc w:val="both"/>
        <w:rPr>
          <w:rFonts w:ascii="Arial" w:hAnsi="Arial" w:cs="Arial"/>
          <w:color w:val="808080" w:themeColor="background1" w:themeShade="80"/>
          <w:sz w:val="22"/>
          <w:szCs w:val="28"/>
        </w:rPr>
      </w:pPr>
    </w:p>
    <w:p w14:paraId="43A441E9" w14:textId="258D54BF" w:rsidR="00126E19" w:rsidRPr="008745FC" w:rsidRDefault="00D56289" w:rsidP="00D56289">
      <w:pPr>
        <w:jc w:val="both"/>
        <w:rPr>
          <w:rFonts w:ascii="Arial" w:hAnsi="Arial" w:cs="Arial"/>
          <w:sz w:val="22"/>
          <w:szCs w:val="22"/>
          <w:lang w:val="en-GB"/>
        </w:rPr>
      </w:pPr>
      <w:r w:rsidRPr="008745FC">
        <w:rPr>
          <w:rFonts w:ascii="Arial" w:hAnsi="Arial" w:cs="Arial"/>
          <w:color w:val="808080" w:themeColor="background1" w:themeShade="80"/>
          <w:sz w:val="22"/>
          <w:szCs w:val="28"/>
        </w:rPr>
        <w:t>Compliance, transparency, and stakeholder engagement remain paramount throughout the restructuring process. By upholding these principles and adhering to rigorous reporting standards and legal obligations, Globe Holdings can instill confidence among its stakeholders and foster an environment conducive to achieving a mutually beneficial restructuring outcome.</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F22796">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D84A" w14:textId="77777777" w:rsidR="00F22796" w:rsidRDefault="00F22796" w:rsidP="00241B44">
      <w:r>
        <w:separator/>
      </w:r>
    </w:p>
  </w:endnote>
  <w:endnote w:type="continuationSeparator" w:id="0">
    <w:p w14:paraId="7289486B" w14:textId="77777777" w:rsidR="00F22796" w:rsidRDefault="00F227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400C039" w:rsidR="000300E0" w:rsidRPr="00B46CE2" w:rsidRDefault="00DF4156" w:rsidP="000300E0">
    <w:pPr>
      <w:pStyle w:val="Footer"/>
      <w:ind w:right="360"/>
      <w:rPr>
        <w:rFonts w:ascii="Avenir Next" w:hAnsi="Avenir Next"/>
        <w:sz w:val="22"/>
        <w:szCs w:val="22"/>
      </w:rPr>
    </w:pPr>
    <w:r>
      <w:rPr>
        <w:rFonts w:ascii="Avenir Next" w:hAnsi="Avenir Next"/>
        <w:sz w:val="22"/>
        <w:szCs w:val="22"/>
      </w:rPr>
      <w:t>202223</w:t>
    </w:r>
    <w:r w:rsidR="00775CC5">
      <w:rPr>
        <w:rFonts w:ascii="Avenir Next" w:hAnsi="Avenir Next"/>
        <w:sz w:val="22"/>
        <w:szCs w:val="22"/>
      </w:rPr>
      <w:t>-</w:t>
    </w:r>
    <w:r>
      <w:rPr>
        <w:rFonts w:ascii="Avenir Next" w:hAnsi="Avenir Next"/>
        <w:sz w:val="22"/>
        <w:szCs w:val="22"/>
      </w:rPr>
      <w:t>8</w:t>
    </w:r>
    <w:r w:rsidR="000E67A0">
      <w:rPr>
        <w:rFonts w:ascii="Avenir Next" w:hAnsi="Avenir Next"/>
        <w:sz w:val="22"/>
        <w:szCs w:val="22"/>
      </w:rPr>
      <w:t>60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2116" w14:textId="77777777" w:rsidR="00F22796" w:rsidRDefault="00F22796" w:rsidP="00241B44">
      <w:r>
        <w:separator/>
      </w:r>
    </w:p>
  </w:footnote>
  <w:footnote w:type="continuationSeparator" w:id="0">
    <w:p w14:paraId="13A43E7B" w14:textId="77777777" w:rsidR="00F22796" w:rsidRDefault="00F2279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D816" w14:textId="77777777" w:rsidR="00775CC5" w:rsidRDefault="00775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BE9" w14:textId="77777777" w:rsidR="00775CC5" w:rsidRDefault="00775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FED9" w14:textId="77777777" w:rsidR="00775CC5" w:rsidRDefault="00775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1F3023"/>
    <w:multiLevelType w:val="hybridMultilevel"/>
    <w:tmpl w:val="D038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3C2C87"/>
    <w:multiLevelType w:val="hybridMultilevel"/>
    <w:tmpl w:val="D17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8A163BD"/>
    <w:multiLevelType w:val="hybridMultilevel"/>
    <w:tmpl w:val="326A6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6E5CAC"/>
    <w:multiLevelType w:val="hybridMultilevel"/>
    <w:tmpl w:val="DC0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89C1F96"/>
    <w:multiLevelType w:val="hybridMultilevel"/>
    <w:tmpl w:val="35B4C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2395D70"/>
    <w:multiLevelType w:val="hybridMultilevel"/>
    <w:tmpl w:val="AB2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B83885"/>
    <w:multiLevelType w:val="hybridMultilevel"/>
    <w:tmpl w:val="35B4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D70B2A"/>
    <w:multiLevelType w:val="hybridMultilevel"/>
    <w:tmpl w:val="0EA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4"/>
  </w:num>
  <w:num w:numId="3" w16cid:durableId="1837500537">
    <w:abstractNumId w:val="48"/>
  </w:num>
  <w:num w:numId="4" w16cid:durableId="577205504">
    <w:abstractNumId w:val="58"/>
  </w:num>
  <w:num w:numId="5" w16cid:durableId="587693970">
    <w:abstractNumId w:val="10"/>
  </w:num>
  <w:num w:numId="6" w16cid:durableId="937175523">
    <w:abstractNumId w:val="56"/>
  </w:num>
  <w:num w:numId="7" w16cid:durableId="1654067440">
    <w:abstractNumId w:val="27"/>
  </w:num>
  <w:num w:numId="8" w16cid:durableId="1105736194">
    <w:abstractNumId w:val="50"/>
  </w:num>
  <w:num w:numId="9" w16cid:durableId="337470287">
    <w:abstractNumId w:val="30"/>
  </w:num>
  <w:num w:numId="10" w16cid:durableId="409736686">
    <w:abstractNumId w:val="17"/>
  </w:num>
  <w:num w:numId="11" w16cid:durableId="2113239495">
    <w:abstractNumId w:val="34"/>
  </w:num>
  <w:num w:numId="12" w16cid:durableId="277688465">
    <w:abstractNumId w:val="54"/>
  </w:num>
  <w:num w:numId="13" w16cid:durableId="2058502388">
    <w:abstractNumId w:val="8"/>
  </w:num>
  <w:num w:numId="14" w16cid:durableId="1848598104">
    <w:abstractNumId w:val="41"/>
  </w:num>
  <w:num w:numId="15" w16cid:durableId="634214434">
    <w:abstractNumId w:val="18"/>
  </w:num>
  <w:num w:numId="16" w16cid:durableId="1164055646">
    <w:abstractNumId w:val="19"/>
  </w:num>
  <w:num w:numId="17" w16cid:durableId="4065661">
    <w:abstractNumId w:val="36"/>
  </w:num>
  <w:num w:numId="18" w16cid:durableId="970591766">
    <w:abstractNumId w:val="9"/>
  </w:num>
  <w:num w:numId="19" w16cid:durableId="1299339140">
    <w:abstractNumId w:val="35"/>
  </w:num>
  <w:num w:numId="20" w16cid:durableId="1327175081">
    <w:abstractNumId w:val="63"/>
  </w:num>
  <w:num w:numId="21" w16cid:durableId="2089498112">
    <w:abstractNumId w:val="25"/>
  </w:num>
  <w:num w:numId="22" w16cid:durableId="221064104">
    <w:abstractNumId w:val="53"/>
  </w:num>
  <w:num w:numId="23" w16cid:durableId="860243873">
    <w:abstractNumId w:val="61"/>
  </w:num>
  <w:num w:numId="24" w16cid:durableId="1555506834">
    <w:abstractNumId w:val="52"/>
  </w:num>
  <w:num w:numId="25" w16cid:durableId="1954677308">
    <w:abstractNumId w:val="40"/>
  </w:num>
  <w:num w:numId="26" w16cid:durableId="998270126">
    <w:abstractNumId w:val="62"/>
  </w:num>
  <w:num w:numId="27" w16cid:durableId="657656171">
    <w:abstractNumId w:val="57"/>
  </w:num>
  <w:num w:numId="28" w16cid:durableId="1116829249">
    <w:abstractNumId w:val="13"/>
  </w:num>
  <w:num w:numId="29" w16cid:durableId="1055274873">
    <w:abstractNumId w:val="14"/>
  </w:num>
  <w:num w:numId="30" w16cid:durableId="790785319">
    <w:abstractNumId w:val="37"/>
  </w:num>
  <w:num w:numId="31" w16cid:durableId="781922295">
    <w:abstractNumId w:val="6"/>
  </w:num>
  <w:num w:numId="32" w16cid:durableId="268047206">
    <w:abstractNumId w:val="39"/>
  </w:num>
  <w:num w:numId="33" w16cid:durableId="198930779">
    <w:abstractNumId w:val="0"/>
  </w:num>
  <w:num w:numId="34" w16cid:durableId="480577945">
    <w:abstractNumId w:val="49"/>
  </w:num>
  <w:num w:numId="35" w16cid:durableId="984242224">
    <w:abstractNumId w:val="29"/>
  </w:num>
  <w:num w:numId="36" w16cid:durableId="485898662">
    <w:abstractNumId w:val="51"/>
  </w:num>
  <w:num w:numId="37" w16cid:durableId="1147433143">
    <w:abstractNumId w:val="32"/>
  </w:num>
  <w:num w:numId="38" w16cid:durableId="827285019">
    <w:abstractNumId w:val="44"/>
  </w:num>
  <w:num w:numId="39" w16cid:durableId="128666775">
    <w:abstractNumId w:val="7"/>
  </w:num>
  <w:num w:numId="40" w16cid:durableId="1339426664">
    <w:abstractNumId w:val="28"/>
  </w:num>
  <w:num w:numId="41" w16cid:durableId="1969971734">
    <w:abstractNumId w:val="55"/>
  </w:num>
  <w:num w:numId="42" w16cid:durableId="368453801">
    <w:abstractNumId w:val="24"/>
  </w:num>
  <w:num w:numId="43" w16cid:durableId="51392340">
    <w:abstractNumId w:val="38"/>
  </w:num>
  <w:num w:numId="44" w16cid:durableId="1531332188">
    <w:abstractNumId w:val="16"/>
  </w:num>
  <w:num w:numId="45" w16cid:durableId="8337133">
    <w:abstractNumId w:val="15"/>
  </w:num>
  <w:num w:numId="46" w16cid:durableId="1612931796">
    <w:abstractNumId w:val="43"/>
  </w:num>
  <w:num w:numId="47" w16cid:durableId="89930162">
    <w:abstractNumId w:val="26"/>
  </w:num>
  <w:num w:numId="48" w16cid:durableId="1477838578">
    <w:abstractNumId w:val="11"/>
  </w:num>
  <w:num w:numId="49" w16cid:durableId="2073384460">
    <w:abstractNumId w:val="59"/>
  </w:num>
  <w:num w:numId="50" w16cid:durableId="59720369">
    <w:abstractNumId w:val="33"/>
  </w:num>
  <w:num w:numId="51" w16cid:durableId="1379276728">
    <w:abstractNumId w:val="12"/>
  </w:num>
  <w:num w:numId="52" w16cid:durableId="921179279">
    <w:abstractNumId w:val="22"/>
  </w:num>
  <w:num w:numId="53" w16cid:durableId="1060514793">
    <w:abstractNumId w:val="31"/>
  </w:num>
  <w:num w:numId="54" w16cid:durableId="64230155">
    <w:abstractNumId w:val="4"/>
  </w:num>
  <w:num w:numId="55" w16cid:durableId="1681084025">
    <w:abstractNumId w:val="2"/>
  </w:num>
  <w:num w:numId="56" w16cid:durableId="1275090443">
    <w:abstractNumId w:val="20"/>
  </w:num>
  <w:num w:numId="57" w16cid:durableId="269969236">
    <w:abstractNumId w:val="45"/>
  </w:num>
  <w:num w:numId="58" w16cid:durableId="1817914111">
    <w:abstractNumId w:val="21"/>
  </w:num>
  <w:num w:numId="59" w16cid:durableId="2117019953">
    <w:abstractNumId w:val="47"/>
  </w:num>
  <w:num w:numId="60" w16cid:durableId="1886913393">
    <w:abstractNumId w:val="42"/>
  </w:num>
  <w:num w:numId="61" w16cid:durableId="31195422">
    <w:abstractNumId w:val="3"/>
  </w:num>
  <w:num w:numId="62" w16cid:durableId="564070175">
    <w:abstractNumId w:val="46"/>
  </w:num>
  <w:num w:numId="63" w16cid:durableId="155539769">
    <w:abstractNumId w:val="23"/>
  </w:num>
  <w:num w:numId="64" w16cid:durableId="1422407396">
    <w:abstractNumId w:val="60"/>
  </w:num>
  <w:num w:numId="65" w16cid:durableId="88290909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1FC9"/>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14EF"/>
    <w:rsid w:val="00073474"/>
    <w:rsid w:val="00077D49"/>
    <w:rsid w:val="00082609"/>
    <w:rsid w:val="00083B38"/>
    <w:rsid w:val="000851CC"/>
    <w:rsid w:val="00093BE8"/>
    <w:rsid w:val="000A68ED"/>
    <w:rsid w:val="000A7184"/>
    <w:rsid w:val="000B089B"/>
    <w:rsid w:val="000B4FEB"/>
    <w:rsid w:val="000B5FF1"/>
    <w:rsid w:val="000B609F"/>
    <w:rsid w:val="000C147F"/>
    <w:rsid w:val="000C6BB9"/>
    <w:rsid w:val="000D32A9"/>
    <w:rsid w:val="000D55A8"/>
    <w:rsid w:val="000E4841"/>
    <w:rsid w:val="000E4F69"/>
    <w:rsid w:val="000E6325"/>
    <w:rsid w:val="000E67A0"/>
    <w:rsid w:val="000F1677"/>
    <w:rsid w:val="000F3D6C"/>
    <w:rsid w:val="000F579C"/>
    <w:rsid w:val="00100E8F"/>
    <w:rsid w:val="00101707"/>
    <w:rsid w:val="00101A9E"/>
    <w:rsid w:val="001136C3"/>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03FA"/>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32C1"/>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2B99"/>
    <w:rsid w:val="00276913"/>
    <w:rsid w:val="0028135B"/>
    <w:rsid w:val="00282480"/>
    <w:rsid w:val="00284EBE"/>
    <w:rsid w:val="002939F4"/>
    <w:rsid w:val="0029433F"/>
    <w:rsid w:val="00294829"/>
    <w:rsid w:val="00294F3B"/>
    <w:rsid w:val="0029690F"/>
    <w:rsid w:val="002A1EEC"/>
    <w:rsid w:val="002A29FB"/>
    <w:rsid w:val="002A2A60"/>
    <w:rsid w:val="002B1C45"/>
    <w:rsid w:val="002B21DF"/>
    <w:rsid w:val="002B2331"/>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130A"/>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0DE"/>
    <w:rsid w:val="0050157D"/>
    <w:rsid w:val="00506803"/>
    <w:rsid w:val="0050682B"/>
    <w:rsid w:val="00507AAC"/>
    <w:rsid w:val="00513E43"/>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543B"/>
    <w:rsid w:val="00556777"/>
    <w:rsid w:val="0055688E"/>
    <w:rsid w:val="00560534"/>
    <w:rsid w:val="00562727"/>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5A6C"/>
    <w:rsid w:val="005B67AC"/>
    <w:rsid w:val="005C2C94"/>
    <w:rsid w:val="005C36BC"/>
    <w:rsid w:val="005C4865"/>
    <w:rsid w:val="005D43E0"/>
    <w:rsid w:val="005D58A3"/>
    <w:rsid w:val="005E1B79"/>
    <w:rsid w:val="005E5C28"/>
    <w:rsid w:val="005F026D"/>
    <w:rsid w:val="005F21F4"/>
    <w:rsid w:val="005F2D0B"/>
    <w:rsid w:val="005F4B31"/>
    <w:rsid w:val="00602943"/>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7B1"/>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6025"/>
    <w:rsid w:val="00751F66"/>
    <w:rsid w:val="007603F5"/>
    <w:rsid w:val="00764DB0"/>
    <w:rsid w:val="00766F8A"/>
    <w:rsid w:val="0076764D"/>
    <w:rsid w:val="00773677"/>
    <w:rsid w:val="0077498C"/>
    <w:rsid w:val="00775CC5"/>
    <w:rsid w:val="00777183"/>
    <w:rsid w:val="00784128"/>
    <w:rsid w:val="00784B4B"/>
    <w:rsid w:val="007854ED"/>
    <w:rsid w:val="00793173"/>
    <w:rsid w:val="007B3AC7"/>
    <w:rsid w:val="007B497A"/>
    <w:rsid w:val="007C1FCC"/>
    <w:rsid w:val="007C32A8"/>
    <w:rsid w:val="007C3FE5"/>
    <w:rsid w:val="007C6201"/>
    <w:rsid w:val="007C6988"/>
    <w:rsid w:val="007D1352"/>
    <w:rsid w:val="007D28A1"/>
    <w:rsid w:val="007D7C92"/>
    <w:rsid w:val="007E1154"/>
    <w:rsid w:val="007E6BA4"/>
    <w:rsid w:val="007E7678"/>
    <w:rsid w:val="007F41F8"/>
    <w:rsid w:val="007F60D0"/>
    <w:rsid w:val="00803561"/>
    <w:rsid w:val="0080454E"/>
    <w:rsid w:val="00804C32"/>
    <w:rsid w:val="00806302"/>
    <w:rsid w:val="00807119"/>
    <w:rsid w:val="00812AFE"/>
    <w:rsid w:val="008156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45FC"/>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4677"/>
    <w:rsid w:val="00A96489"/>
    <w:rsid w:val="00AA3A42"/>
    <w:rsid w:val="00AA5311"/>
    <w:rsid w:val="00AA7BAA"/>
    <w:rsid w:val="00AB1747"/>
    <w:rsid w:val="00AB685C"/>
    <w:rsid w:val="00AB6C2D"/>
    <w:rsid w:val="00AC08F7"/>
    <w:rsid w:val="00AC3839"/>
    <w:rsid w:val="00AC5CDD"/>
    <w:rsid w:val="00AC7082"/>
    <w:rsid w:val="00AD0E59"/>
    <w:rsid w:val="00AD3AA1"/>
    <w:rsid w:val="00AD3FEA"/>
    <w:rsid w:val="00AD7BBD"/>
    <w:rsid w:val="00AE778C"/>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B17F8"/>
    <w:rsid w:val="00BB4768"/>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03778"/>
    <w:rsid w:val="00D148DC"/>
    <w:rsid w:val="00D17FDC"/>
    <w:rsid w:val="00D444C5"/>
    <w:rsid w:val="00D45AEA"/>
    <w:rsid w:val="00D5244F"/>
    <w:rsid w:val="00D52E4F"/>
    <w:rsid w:val="00D56289"/>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2469"/>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4156"/>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2175"/>
    <w:rsid w:val="00EE4971"/>
    <w:rsid w:val="00EE77BF"/>
    <w:rsid w:val="00EF090E"/>
    <w:rsid w:val="00F033DA"/>
    <w:rsid w:val="00F11AAB"/>
    <w:rsid w:val="00F13FB1"/>
    <w:rsid w:val="00F17BC1"/>
    <w:rsid w:val="00F17C87"/>
    <w:rsid w:val="00F20272"/>
    <w:rsid w:val="00F223E7"/>
    <w:rsid w:val="00F22796"/>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5CB3"/>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223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82</cp:revision>
  <cp:lastPrinted>2019-08-27T05:42:00Z</cp:lastPrinted>
  <dcterms:created xsi:type="dcterms:W3CDTF">2023-01-19T09:32:00Z</dcterms:created>
  <dcterms:modified xsi:type="dcterms:W3CDTF">2024-02-27T01:01:00Z</dcterms:modified>
</cp:coreProperties>
</file>